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6AC453">
      <w:pPr>
        <w:jc w:val="center"/>
        <w:rPr>
          <w:rFonts w:hint="eastAsia" w:ascii="黑体" w:hAnsi="黑体" w:eastAsia="黑体" w:cs="Times New Roman"/>
          <w:b/>
          <w:color w:val="auto"/>
          <w:sz w:val="52"/>
          <w:szCs w:val="52"/>
          <w:highlight w:val="none"/>
          <w:lang w:eastAsia="zh-CN"/>
        </w:rPr>
      </w:pPr>
      <w:bookmarkStart w:id="0" w:name="_GoBack"/>
      <w:r>
        <w:rPr>
          <w:rFonts w:hint="eastAsia" w:ascii="黑体" w:hAnsi="黑体" w:eastAsia="黑体" w:cs="Times New Roman"/>
          <w:b/>
          <w:color w:val="auto"/>
          <w:sz w:val="52"/>
          <w:szCs w:val="52"/>
          <w:highlight w:val="none"/>
          <w:lang w:eastAsia="zh-CN"/>
        </w:rPr>
        <w:drawing>
          <wp:anchor distT="0" distB="0" distL="114300" distR="114300" simplePos="0" relativeHeight="251659264" behindDoc="0" locked="0" layoutInCell="1" allowOverlap="1">
            <wp:simplePos x="0" y="0"/>
            <wp:positionH relativeFrom="column">
              <wp:posOffset>45085</wp:posOffset>
            </wp:positionH>
            <wp:positionV relativeFrom="paragraph">
              <wp:posOffset>156845</wp:posOffset>
            </wp:positionV>
            <wp:extent cx="6150610" cy="8947785"/>
            <wp:effectExtent l="0" t="0" r="2540" b="5715"/>
            <wp:wrapNone/>
            <wp:docPr id="5" name="图片 5" descr="a6dc3f633da65dda86236eeb0da2ca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a6dc3f633da65dda86236eeb0da2cae5"/>
                    <pic:cNvPicPr>
                      <a:picLocks noChangeAspect="1"/>
                    </pic:cNvPicPr>
                  </pic:nvPicPr>
                  <pic:blipFill>
                    <a:blip r:embed="rId5"/>
                    <a:stretch>
                      <a:fillRect/>
                    </a:stretch>
                  </pic:blipFill>
                  <pic:spPr>
                    <a:xfrm>
                      <a:off x="0" y="0"/>
                      <a:ext cx="6150610" cy="8947785"/>
                    </a:xfrm>
                    <a:prstGeom prst="rect">
                      <a:avLst/>
                    </a:prstGeom>
                  </pic:spPr>
                </pic:pic>
              </a:graphicData>
            </a:graphic>
          </wp:anchor>
        </w:drawing>
      </w:r>
      <w:bookmarkEnd w:id="0"/>
      <w:r>
        <w:rPr>
          <w:rFonts w:hint="eastAsia" w:ascii="黑体" w:hAnsi="黑体" w:eastAsia="黑体" w:cs="Times New Roman"/>
          <w:b/>
          <w:color w:val="auto"/>
          <w:sz w:val="52"/>
          <w:szCs w:val="52"/>
          <w:highlight w:val="none"/>
        </w:rPr>
        <w:t>货  物  采  购  合  同</w:t>
      </w:r>
    </w:p>
    <w:p w14:paraId="3A4E9C4D">
      <w:pPr>
        <w:rPr>
          <w:rFonts w:hint="eastAsia" w:ascii="宋体" w:hAnsi="宋体" w:eastAsia="宋体" w:cs="Times New Roman"/>
          <w:color w:val="auto"/>
          <w:sz w:val="24"/>
          <w:szCs w:val="24"/>
          <w:highlight w:val="none"/>
        </w:rPr>
      </w:pPr>
    </w:p>
    <w:p w14:paraId="3D8E7151">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合同编号：</w:t>
      </w:r>
      <w:r>
        <w:rPr>
          <w:rFonts w:hint="eastAsia" w:ascii="宋体" w:hAnsi="宋体" w:eastAsia="宋体" w:cs="宋体"/>
          <w:color w:val="auto"/>
          <w:sz w:val="21"/>
          <w:szCs w:val="21"/>
          <w:highlight w:val="none"/>
          <w:lang w:val="en-US" w:eastAsia="zh-CN"/>
        </w:rPr>
        <w:t>豫财招标采购-2026-868</w:t>
      </w:r>
      <w:r>
        <w:rPr>
          <w:rFonts w:hint="eastAsia" w:ascii="宋体" w:hAnsi="宋体" w:cs="宋体"/>
          <w:color w:val="auto"/>
          <w:sz w:val="21"/>
          <w:szCs w:val="21"/>
          <w:highlight w:val="none"/>
          <w:lang w:val="en-US" w:eastAsia="zh-CN"/>
        </w:rPr>
        <w:t>-A包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采购项目编号</w:t>
      </w:r>
      <w:r>
        <w:rPr>
          <w:rFonts w:hint="eastAsia" w:ascii="宋体" w:hAnsi="宋体" w:eastAsia="宋体" w:cs="宋体"/>
          <w:color w:val="auto"/>
          <w:sz w:val="21"/>
          <w:szCs w:val="21"/>
          <w:highlight w:val="none"/>
          <w:lang w:eastAsia="zh-CN"/>
        </w:rPr>
        <w:t>）</w:t>
      </w:r>
    </w:p>
    <w:p w14:paraId="750B399E">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签订地点：河南郑州</w:t>
      </w:r>
    </w:p>
    <w:p w14:paraId="7A833A75">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签订时间：</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p>
    <w:p w14:paraId="688F9B0A">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甲方（盖章）：河南中医药大学</w:t>
      </w:r>
    </w:p>
    <w:p w14:paraId="40E3193D">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乙方 (盖章)：</w:t>
      </w:r>
      <w:r>
        <w:rPr>
          <w:rFonts w:hint="eastAsia" w:ascii="宋体" w:hAnsi="宋体" w:eastAsia="宋体" w:cs="宋体"/>
          <w:b/>
          <w:color w:val="auto"/>
          <w:sz w:val="21"/>
          <w:szCs w:val="21"/>
          <w:highlight w:val="none"/>
          <w:u w:val="single"/>
        </w:rPr>
        <w:t>河南新时达科技有限公司</w:t>
      </w:r>
    </w:p>
    <w:p w14:paraId="7DC4B3C1">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根据《中华人民共和国政府采购法》、《中华人民共和国民法典》及招标代理机构：</w:t>
      </w:r>
      <w:r>
        <w:rPr>
          <w:rFonts w:hint="eastAsia" w:ascii="宋体" w:hAnsi="宋体" w:eastAsia="宋体" w:cs="宋体"/>
          <w:color w:val="auto"/>
          <w:sz w:val="21"/>
          <w:szCs w:val="21"/>
          <w:highlight w:val="none"/>
          <w:u w:val="single"/>
        </w:rPr>
        <w:t>信人建设管理有限公司（项目编号：豫财招标采购-2026-868）</w:t>
      </w:r>
      <w:r>
        <w:rPr>
          <w:rFonts w:hint="eastAsia" w:ascii="宋体" w:hAnsi="宋体" w:eastAsia="宋体" w:cs="宋体"/>
          <w:color w:val="auto"/>
          <w:sz w:val="21"/>
          <w:szCs w:val="21"/>
          <w:highlight w:val="none"/>
        </w:rPr>
        <w:t>的《招标文件》、乙方的《投标文件》及《中标通知书》，经甲、乙双方协商，就甲方向乙方购买货物及相关服务事宜，同意签订本合同。详细技术说明及其他有关合同项目的特定信息由合同附件予以说明，合同附件及本项目的招标文件、投标文件、《中标通知书》等均为本合同不可分割的部分。双方同意共同遵守如下条款：</w:t>
      </w:r>
    </w:p>
    <w:p w14:paraId="235FD544">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一、合同货物</w:t>
      </w:r>
      <w:r>
        <w:rPr>
          <w:rFonts w:hint="eastAsia" w:ascii="宋体" w:hAnsi="宋体" w:eastAsia="宋体" w:cs="宋体"/>
          <w:b/>
          <w:bCs/>
          <w:color w:val="auto"/>
          <w:sz w:val="21"/>
          <w:szCs w:val="21"/>
          <w:highlight w:val="none"/>
        </w:rPr>
        <w:t>名称及价格</w:t>
      </w:r>
    </w:p>
    <w:p w14:paraId="362F9D22">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color w:val="auto"/>
          <w:sz w:val="21"/>
          <w:szCs w:val="21"/>
          <w:highlight w:val="none"/>
        </w:rPr>
        <w:t xml:space="preserve"> 乙方负责向甲方提供下表中所列货物和相关的安装调试服务等（详细配置清单见附件）。 </w:t>
      </w:r>
    </w:p>
    <w:p w14:paraId="08EC245D">
      <w:pPr>
        <w:keepNext w:val="0"/>
        <w:keepLines w:val="0"/>
        <w:pageBreakBefore w:val="0"/>
        <w:wordWrap/>
        <w:overflowPunct/>
        <w:topLinePunct w:val="0"/>
        <w:autoSpaceDE/>
        <w:autoSpaceDN/>
        <w:bidi w:val="0"/>
        <w:adjustRightInd/>
        <w:snapToGrid/>
        <w:spacing w:line="360" w:lineRule="auto"/>
        <w:rPr>
          <w:rFonts w:ascii="宋体" w:hAnsi="宋体" w:cs="宋体"/>
          <w:b/>
          <w:bCs/>
          <w:szCs w:val="21"/>
        </w:rPr>
      </w:pPr>
      <w:r>
        <w:rPr>
          <w:rFonts w:hint="eastAsia" w:ascii="宋体" w:hAnsi="宋体" w:cs="宋体"/>
          <w:b/>
          <w:szCs w:val="21"/>
        </w:rPr>
        <w:t>（1）清单1：免税进口科学研究和教学用品                           单位：元</w:t>
      </w:r>
    </w:p>
    <w:tbl>
      <w:tblPr>
        <w:tblStyle w:val="7"/>
        <w:tblW w:w="10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151"/>
        <w:gridCol w:w="2073"/>
        <w:gridCol w:w="1369"/>
        <w:gridCol w:w="983"/>
        <w:gridCol w:w="533"/>
        <w:gridCol w:w="559"/>
        <w:gridCol w:w="1008"/>
        <w:gridCol w:w="1070"/>
        <w:gridCol w:w="1073"/>
      </w:tblGrid>
      <w:tr w14:paraId="3208A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696" w:type="dxa"/>
            <w:tcBorders>
              <w:top w:val="single" w:color="auto" w:sz="4" w:space="0"/>
              <w:left w:val="single" w:color="auto" w:sz="4" w:space="0"/>
              <w:bottom w:val="single" w:color="auto" w:sz="4" w:space="0"/>
              <w:right w:val="single" w:color="auto" w:sz="4" w:space="0"/>
            </w:tcBorders>
            <w:vAlign w:val="center"/>
          </w:tcPr>
          <w:p w14:paraId="663BACC5">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序号</w:t>
            </w:r>
          </w:p>
        </w:tc>
        <w:tc>
          <w:tcPr>
            <w:tcW w:w="1151" w:type="dxa"/>
            <w:tcBorders>
              <w:top w:val="single" w:color="auto" w:sz="4" w:space="0"/>
              <w:left w:val="single" w:color="auto" w:sz="4" w:space="0"/>
              <w:bottom w:val="single" w:color="auto" w:sz="4" w:space="0"/>
              <w:right w:val="single" w:color="auto" w:sz="4" w:space="0"/>
            </w:tcBorders>
            <w:vAlign w:val="center"/>
          </w:tcPr>
          <w:p w14:paraId="1A5FE91F">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货物名称</w:t>
            </w:r>
          </w:p>
        </w:tc>
        <w:tc>
          <w:tcPr>
            <w:tcW w:w="2073" w:type="dxa"/>
            <w:tcBorders>
              <w:top w:val="single" w:color="auto" w:sz="4" w:space="0"/>
              <w:left w:val="single" w:color="auto" w:sz="4" w:space="0"/>
              <w:bottom w:val="single" w:color="auto" w:sz="4" w:space="0"/>
              <w:right w:val="single" w:color="auto" w:sz="4" w:space="0"/>
            </w:tcBorders>
            <w:vAlign w:val="center"/>
          </w:tcPr>
          <w:p w14:paraId="6C7EFEC9">
            <w:pPr>
              <w:keepNext w:val="0"/>
              <w:keepLines w:val="0"/>
              <w:pageBreakBefore w:val="0"/>
              <w:widowControl/>
              <w:wordWrap/>
              <w:overflowPunct/>
              <w:topLinePunct w:val="0"/>
              <w:autoSpaceDE/>
              <w:autoSpaceDN/>
              <w:bidi w:val="0"/>
              <w:adjustRightInd/>
              <w:snapToGrid/>
              <w:spacing w:line="360" w:lineRule="auto"/>
              <w:jc w:val="center"/>
              <w:rPr>
                <w:rFonts w:ascii="宋体" w:hAnsi="宋体" w:cs="宋体"/>
                <w:kern w:val="0"/>
                <w:szCs w:val="21"/>
              </w:rPr>
            </w:pPr>
            <w:r>
              <w:rPr>
                <w:rFonts w:hint="eastAsia" w:ascii="宋体" w:hAnsi="宋体" w:cs="宋体"/>
                <w:kern w:val="0"/>
                <w:szCs w:val="21"/>
              </w:rPr>
              <w:t>品牌/制造商</w:t>
            </w:r>
          </w:p>
        </w:tc>
        <w:tc>
          <w:tcPr>
            <w:tcW w:w="1369" w:type="dxa"/>
            <w:tcBorders>
              <w:top w:val="single" w:color="auto" w:sz="4" w:space="0"/>
              <w:left w:val="single" w:color="auto" w:sz="4" w:space="0"/>
              <w:bottom w:val="single" w:color="auto" w:sz="4" w:space="0"/>
              <w:right w:val="single" w:color="auto" w:sz="4" w:space="0"/>
            </w:tcBorders>
            <w:vAlign w:val="center"/>
          </w:tcPr>
          <w:p w14:paraId="5F014B85">
            <w:pPr>
              <w:keepNext w:val="0"/>
              <w:keepLines w:val="0"/>
              <w:pageBreakBefore w:val="0"/>
              <w:widowControl/>
              <w:wordWrap/>
              <w:overflowPunct/>
              <w:topLinePunct w:val="0"/>
              <w:autoSpaceDE/>
              <w:autoSpaceDN/>
              <w:bidi w:val="0"/>
              <w:adjustRightInd/>
              <w:snapToGrid/>
              <w:spacing w:line="360" w:lineRule="auto"/>
              <w:jc w:val="center"/>
              <w:rPr>
                <w:rFonts w:ascii="宋体" w:hAnsi="宋体" w:cs="宋体"/>
                <w:kern w:val="0"/>
                <w:szCs w:val="21"/>
              </w:rPr>
            </w:pPr>
            <w:r>
              <w:rPr>
                <w:rFonts w:hint="eastAsia" w:ascii="宋体" w:hAnsi="宋体" w:cs="宋体"/>
                <w:szCs w:val="21"/>
              </w:rPr>
              <w:t>型号规格</w:t>
            </w:r>
          </w:p>
        </w:tc>
        <w:tc>
          <w:tcPr>
            <w:tcW w:w="983" w:type="dxa"/>
            <w:tcBorders>
              <w:top w:val="single" w:color="auto" w:sz="4" w:space="0"/>
              <w:left w:val="single" w:color="auto" w:sz="4" w:space="0"/>
              <w:bottom w:val="single" w:color="auto" w:sz="4" w:space="0"/>
              <w:right w:val="single" w:color="auto" w:sz="4" w:space="0"/>
            </w:tcBorders>
            <w:vAlign w:val="center"/>
          </w:tcPr>
          <w:p w14:paraId="4FBB19BD">
            <w:pPr>
              <w:keepNext w:val="0"/>
              <w:keepLines w:val="0"/>
              <w:pageBreakBefore w:val="0"/>
              <w:widowControl/>
              <w:wordWrap/>
              <w:overflowPunct/>
              <w:topLinePunct w:val="0"/>
              <w:autoSpaceDE/>
              <w:autoSpaceDN/>
              <w:bidi w:val="0"/>
              <w:adjustRightInd/>
              <w:snapToGrid/>
              <w:spacing w:line="360" w:lineRule="auto"/>
              <w:jc w:val="center"/>
              <w:rPr>
                <w:rFonts w:ascii="宋体" w:hAnsi="宋体" w:cs="宋体"/>
                <w:kern w:val="0"/>
                <w:szCs w:val="21"/>
              </w:rPr>
            </w:pPr>
            <w:r>
              <w:rPr>
                <w:rFonts w:hint="eastAsia" w:ascii="宋体" w:hAnsi="宋体" w:cs="宋体"/>
                <w:kern w:val="0"/>
                <w:szCs w:val="21"/>
              </w:rPr>
              <w:t>原产地</w:t>
            </w:r>
          </w:p>
        </w:tc>
        <w:tc>
          <w:tcPr>
            <w:tcW w:w="533" w:type="dxa"/>
            <w:tcBorders>
              <w:top w:val="single" w:color="auto" w:sz="4" w:space="0"/>
              <w:left w:val="single" w:color="auto" w:sz="4" w:space="0"/>
              <w:bottom w:val="single" w:color="auto" w:sz="4" w:space="0"/>
              <w:right w:val="single" w:color="auto" w:sz="4" w:space="0"/>
            </w:tcBorders>
            <w:vAlign w:val="center"/>
          </w:tcPr>
          <w:p w14:paraId="57D73B21">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单</w:t>
            </w:r>
          </w:p>
          <w:p w14:paraId="77044829">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位</w:t>
            </w:r>
          </w:p>
        </w:tc>
        <w:tc>
          <w:tcPr>
            <w:tcW w:w="559" w:type="dxa"/>
            <w:tcBorders>
              <w:top w:val="single" w:color="auto" w:sz="4" w:space="0"/>
              <w:left w:val="single" w:color="auto" w:sz="4" w:space="0"/>
              <w:bottom w:val="single" w:color="auto" w:sz="4" w:space="0"/>
              <w:right w:val="single" w:color="auto" w:sz="4" w:space="0"/>
            </w:tcBorders>
            <w:vAlign w:val="center"/>
          </w:tcPr>
          <w:p w14:paraId="7A5151AA">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数</w:t>
            </w:r>
          </w:p>
          <w:p w14:paraId="1CB6E1DE">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量</w:t>
            </w:r>
          </w:p>
        </w:tc>
        <w:tc>
          <w:tcPr>
            <w:tcW w:w="1008" w:type="dxa"/>
            <w:tcBorders>
              <w:top w:val="single" w:color="auto" w:sz="4" w:space="0"/>
              <w:left w:val="single" w:color="auto" w:sz="4" w:space="0"/>
              <w:bottom w:val="single" w:color="auto" w:sz="4" w:space="0"/>
              <w:right w:val="single" w:color="auto" w:sz="4" w:space="0"/>
            </w:tcBorders>
            <w:vAlign w:val="center"/>
          </w:tcPr>
          <w:p w14:paraId="2F03C5E9">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单价</w:t>
            </w:r>
          </w:p>
          <w:p w14:paraId="3ECC4154">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（RMB）</w:t>
            </w:r>
          </w:p>
        </w:tc>
        <w:tc>
          <w:tcPr>
            <w:tcW w:w="1070" w:type="dxa"/>
            <w:tcBorders>
              <w:top w:val="single" w:color="auto" w:sz="4" w:space="0"/>
              <w:left w:val="single" w:color="auto" w:sz="4" w:space="0"/>
              <w:bottom w:val="single" w:color="auto" w:sz="4" w:space="0"/>
              <w:right w:val="single" w:color="auto" w:sz="4" w:space="0"/>
            </w:tcBorders>
            <w:vAlign w:val="center"/>
          </w:tcPr>
          <w:p w14:paraId="3CF30A82">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小计</w:t>
            </w:r>
          </w:p>
          <w:p w14:paraId="52E6F2A5">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（RMB）</w:t>
            </w:r>
          </w:p>
        </w:tc>
        <w:tc>
          <w:tcPr>
            <w:tcW w:w="1073" w:type="dxa"/>
            <w:tcBorders>
              <w:top w:val="single" w:color="auto" w:sz="4" w:space="0"/>
              <w:left w:val="single" w:color="auto" w:sz="4" w:space="0"/>
              <w:bottom w:val="single" w:color="auto" w:sz="4" w:space="0"/>
              <w:right w:val="single" w:color="auto" w:sz="4" w:space="0"/>
            </w:tcBorders>
            <w:vAlign w:val="center"/>
          </w:tcPr>
          <w:p w14:paraId="00F7807B">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bCs/>
                <w:szCs w:val="21"/>
              </w:rPr>
              <w:t>交货时间</w:t>
            </w:r>
          </w:p>
        </w:tc>
      </w:tr>
      <w:tr w14:paraId="28CBC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1221DAF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1</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37DA434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Cs w:val="21"/>
                <w:highlight w:val="none"/>
              </w:rPr>
              <w:t>气相色谱三重四极杆质谱仪</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4B54FC69">
            <w:pPr>
              <w:keepNext w:val="0"/>
              <w:keepLines w:val="0"/>
              <w:pageBreakBefore w:val="0"/>
              <w:widowControl/>
              <w:wordWrap/>
              <w:overflowPunct/>
              <w:topLinePunct w:val="0"/>
              <w:autoSpaceDE/>
              <w:autoSpaceDN/>
              <w:bidi w:val="0"/>
              <w:adjustRightInd/>
              <w:snapToGrid/>
              <w:spacing w:line="360" w:lineRule="auto"/>
              <w:jc w:val="center"/>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16642E0D">
            <w:pPr>
              <w:keepNext w:val="0"/>
              <w:keepLines w:val="0"/>
              <w:pageBreakBefore w:val="0"/>
              <w:widowControl/>
              <w:wordWrap/>
              <w:overflowPunct/>
              <w:topLinePunct w:val="0"/>
              <w:autoSpaceDE/>
              <w:autoSpaceDN/>
              <w:bidi w:val="0"/>
              <w:adjustRightInd/>
              <w:snapToGrid/>
              <w:spacing w:line="360" w:lineRule="auto"/>
              <w:jc w:val="center"/>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szCs w:val="21"/>
                <w:highlight w:val="none"/>
              </w:rPr>
              <w:t>8890-7000E</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1C475D66">
            <w:pPr>
              <w:keepNext w:val="0"/>
              <w:keepLines w:val="0"/>
              <w:pageBreakBefore w:val="0"/>
              <w:widowControl/>
              <w:wordWrap/>
              <w:overflowPunct/>
              <w:topLinePunct w:val="0"/>
              <w:autoSpaceDE/>
              <w:autoSpaceDN/>
              <w:bidi w:val="0"/>
              <w:adjustRightInd/>
              <w:snapToGrid/>
              <w:spacing w:line="360" w:lineRule="auto"/>
              <w:jc w:val="center"/>
              <w:rPr>
                <w:rFonts w:hint="eastAsia" w:ascii="宋体" w:hAnsi="宋体" w:eastAsia="宋体" w:cs="宋体"/>
                <w:b w:val="0"/>
                <w:bCs/>
                <w:color w:val="auto"/>
                <w:kern w:val="0"/>
                <w:sz w:val="21"/>
                <w:szCs w:val="21"/>
                <w:highlight w:val="none"/>
                <w:lang w:val="en-US" w:eastAsia="zh-CN" w:bidi="ar-SA"/>
              </w:rPr>
            </w:pPr>
            <w:r>
              <w:rPr>
                <w:rFonts w:hint="eastAsia" w:ascii="宋体" w:hAnsi="宋体" w:cs="宋体"/>
                <w:b w:val="0"/>
                <w:bCs/>
                <w:color w:val="auto"/>
                <w:szCs w:val="21"/>
                <w:highlight w:val="none"/>
                <w:lang w:val="en-US" w:eastAsia="zh-CN"/>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78D6E02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cs="宋体"/>
                <w:b w:val="0"/>
                <w:bCs/>
                <w:color w:val="auto"/>
                <w:szCs w:val="21"/>
                <w:highlight w:val="none"/>
                <w:lang w:val="en-US" w:eastAsia="zh-CN"/>
              </w:rPr>
              <w:t>台</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6661362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cs="宋体"/>
                <w:b w:val="0"/>
                <w:bCs/>
                <w:color w:val="auto"/>
                <w:szCs w:val="21"/>
                <w:highlight w:val="none"/>
                <w:lang w:val="en-US" w:eastAsia="zh-CN"/>
              </w:rPr>
              <w:t>1</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3A67E3E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Cs w:val="21"/>
                <w:highlight w:val="none"/>
              </w:rPr>
              <w:t>1478800</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3E9F6F1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Cs w:val="21"/>
                <w:highlight w:val="none"/>
              </w:rPr>
              <w:t>1478800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05765C9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471AB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68E0DDA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2</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3ECD185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Cs w:val="21"/>
                <w:highlight w:val="none"/>
              </w:rPr>
              <w:t>高光谱成像光谱仪</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62D559AB">
            <w:pPr>
              <w:keepNext w:val="0"/>
              <w:keepLines w:val="0"/>
              <w:pageBreakBefore w:val="0"/>
              <w:widowControl/>
              <w:wordWrap/>
              <w:overflowPunct/>
              <w:topLinePunct w:val="0"/>
              <w:autoSpaceDE/>
              <w:autoSpaceDN/>
              <w:bidi w:val="0"/>
              <w:adjustRightInd/>
              <w:snapToGrid/>
              <w:spacing w:line="360" w:lineRule="auto"/>
              <w:jc w:val="center"/>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szCs w:val="21"/>
                <w:highlight w:val="none"/>
              </w:rPr>
              <w:t>SPECIM</w:t>
            </w:r>
            <w:r>
              <w:rPr>
                <w:rFonts w:hint="eastAsia" w:ascii="宋体" w:hAnsi="宋体" w:eastAsia="宋体" w:cs="宋体"/>
                <w:b w:val="0"/>
                <w:bCs/>
                <w:color w:val="auto"/>
                <w:szCs w:val="21"/>
                <w:highlight w:val="none"/>
                <w:lang w:val="en-US" w:eastAsia="zh-CN"/>
              </w:rPr>
              <w:t>/SPECIM, Spectral Imaging Oy Ltd.</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5AD0B268">
            <w:pPr>
              <w:keepNext w:val="0"/>
              <w:keepLines w:val="0"/>
              <w:pageBreakBefore w:val="0"/>
              <w:widowControl/>
              <w:wordWrap/>
              <w:overflowPunct/>
              <w:topLinePunct w:val="0"/>
              <w:autoSpaceDE/>
              <w:autoSpaceDN/>
              <w:bidi w:val="0"/>
              <w:adjustRightInd/>
              <w:snapToGrid/>
              <w:spacing w:line="360" w:lineRule="auto"/>
              <w:jc w:val="center"/>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szCs w:val="21"/>
                <w:highlight w:val="none"/>
              </w:rPr>
              <w:t>FX10&amp;FX17</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68AF34C2">
            <w:pPr>
              <w:keepNext w:val="0"/>
              <w:keepLines w:val="0"/>
              <w:pageBreakBefore w:val="0"/>
              <w:widowControl/>
              <w:wordWrap/>
              <w:overflowPunct/>
              <w:topLinePunct w:val="0"/>
              <w:autoSpaceDE/>
              <w:autoSpaceDN/>
              <w:bidi w:val="0"/>
              <w:adjustRightInd/>
              <w:snapToGrid/>
              <w:spacing w:line="360" w:lineRule="auto"/>
              <w:jc w:val="center"/>
              <w:rPr>
                <w:rFonts w:hint="eastAsia" w:ascii="宋体" w:hAnsi="宋体" w:eastAsia="宋体" w:cs="宋体"/>
                <w:b w:val="0"/>
                <w:bCs/>
                <w:color w:val="auto"/>
                <w:kern w:val="0"/>
                <w:sz w:val="21"/>
                <w:szCs w:val="21"/>
                <w:highlight w:val="none"/>
                <w:lang w:val="en-US" w:eastAsia="zh-CN" w:bidi="ar-SA"/>
              </w:rPr>
            </w:pPr>
            <w:r>
              <w:rPr>
                <w:rFonts w:hint="eastAsia" w:ascii="宋体" w:hAnsi="宋体" w:cs="宋体"/>
                <w:b w:val="0"/>
                <w:bCs/>
                <w:color w:val="auto"/>
                <w:szCs w:val="21"/>
                <w:highlight w:val="none"/>
                <w:lang w:val="en-US" w:eastAsia="zh-CN"/>
              </w:rPr>
              <w:t>芬兰</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0419462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cs="宋体"/>
                <w:b w:val="0"/>
                <w:bCs/>
                <w:color w:val="auto"/>
                <w:szCs w:val="21"/>
                <w:highlight w:val="none"/>
                <w:lang w:val="en-US" w:eastAsia="zh-CN"/>
              </w:rPr>
              <w:t>台</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67B6C8A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cs="宋体"/>
                <w:b w:val="0"/>
                <w:bCs/>
                <w:color w:val="auto"/>
                <w:szCs w:val="21"/>
                <w:highlight w:val="none"/>
                <w:lang w:val="en-US" w:eastAsia="zh-CN"/>
              </w:rPr>
              <w:t>1</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283CBADD">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Cs w:val="21"/>
                <w:highlight w:val="none"/>
              </w:rPr>
              <w:t>730000</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1F89EE3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Cs w:val="21"/>
                <w:highlight w:val="none"/>
              </w:rPr>
              <w:t>730000</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717C077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75A6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515" w:type="dxa"/>
            <w:gridSpan w:val="10"/>
            <w:tcBorders>
              <w:top w:val="single" w:color="auto" w:sz="4" w:space="0"/>
              <w:left w:val="single" w:color="auto" w:sz="4" w:space="0"/>
              <w:bottom w:val="single" w:color="auto" w:sz="4" w:space="0"/>
              <w:right w:val="single" w:color="auto" w:sz="4" w:space="0"/>
            </w:tcBorders>
            <w:vAlign w:val="center"/>
          </w:tcPr>
          <w:p w14:paraId="2D5A20BB">
            <w:pPr>
              <w:keepNext w:val="0"/>
              <w:keepLines w:val="0"/>
              <w:pageBreakBefore w:val="0"/>
              <w:wordWrap/>
              <w:overflowPunct/>
              <w:topLinePunct w:val="0"/>
              <w:autoSpaceDE/>
              <w:autoSpaceDN/>
              <w:bidi w:val="0"/>
              <w:adjustRightInd/>
              <w:snapToGrid/>
              <w:spacing w:line="360" w:lineRule="auto"/>
              <w:jc w:val="center"/>
            </w:pPr>
            <w:r>
              <w:rPr>
                <w:rFonts w:hint="eastAsia" w:ascii="宋体" w:hAnsi="宋体" w:cs="宋体"/>
                <w:szCs w:val="21"/>
              </w:rPr>
              <w:t>备件、专用工具、耗材等</w:t>
            </w:r>
          </w:p>
        </w:tc>
      </w:tr>
      <w:tr w14:paraId="0EF09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0BF7295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1</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23F9C1D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专用工具包</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3F8E9A7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5CC8B20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19199M</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1A61A3F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2EDCC94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套</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67233EC6">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1</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4E2C2DC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0FE55B8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6CF505E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2C85E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45CBB84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2</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6CB63E46">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HP-5MS色谱柱30m*0.25mm*0.25μm</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6A66290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5B38C03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19091S-433UI</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5F0F44D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67F6B4B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根</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2045536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3</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180B92D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5961B20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1D8087ED">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473D5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7635764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3</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39A38B26">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VF-624</w:t>
            </w:r>
            <w:r>
              <w:rPr>
                <w:rFonts w:ascii="宋体" w:hAnsi="宋体" w:eastAsia="宋体" w:cs="宋体"/>
                <w:kern w:val="0"/>
                <w:lang w:val="en-US" w:eastAsia="zh-CN" w:bidi="ar-SA"/>
              </w:rPr>
              <w:t>色谱柱30m*0.25mm*0.25μm</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6BD1D7F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5563709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CP91</w:t>
            </w:r>
            <w:r>
              <w:rPr>
                <w:rFonts w:hint="eastAsia" w:ascii="宋体" w:hAnsi="宋体" w:eastAsia="宋体" w:cs="宋体"/>
                <w:kern w:val="0"/>
                <w:lang w:val="en-US" w:eastAsia="zh-CN" w:bidi="ar-SA"/>
              </w:rPr>
              <w:t>02</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59E3B17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17D62EE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根</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0282D74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cs="宋体"/>
                <w:kern w:val="0"/>
                <w:lang w:val="en-US" w:eastAsia="zh-CN" w:bidi="ar-SA"/>
              </w:rPr>
              <w:t>2</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09EA68B6">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3059098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63D3960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02A10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569ACF7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4</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12BDAE22">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DB-</w:t>
            </w:r>
            <w:r>
              <w:rPr>
                <w:rFonts w:hint="eastAsia" w:ascii="宋体" w:hAnsi="宋体" w:eastAsia="宋体" w:cs="宋体"/>
                <w:kern w:val="0"/>
                <w:lang w:val="en-US" w:eastAsia="zh-CN" w:bidi="ar-SA"/>
              </w:rPr>
              <w:t>FFAP</w:t>
            </w:r>
            <w:r>
              <w:rPr>
                <w:rFonts w:ascii="宋体" w:hAnsi="宋体" w:eastAsia="宋体" w:cs="宋体"/>
                <w:kern w:val="0"/>
                <w:lang w:val="en-US" w:eastAsia="zh-CN" w:bidi="ar-SA"/>
              </w:rPr>
              <w:t>色谱柱30m*0.25mm*0.25μm</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51CFCF2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76FB86B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122-3232</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2ABC641D">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19F20E4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根</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0565D83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ascii="宋体" w:hAnsi="宋体" w:eastAsia="宋体" w:cs="宋体"/>
                <w:kern w:val="0"/>
                <w:lang w:val="en-US" w:eastAsia="zh-CN" w:bidi="ar-SA"/>
              </w:rPr>
              <w:t>2</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749AD58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5BFBA5F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515C067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06C98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76A9B186">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5</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7BBFC78D">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2mL</w:t>
            </w:r>
            <w:r>
              <w:rPr>
                <w:rFonts w:ascii="宋体" w:hAnsi="宋体" w:eastAsia="宋体" w:cs="宋体"/>
                <w:color w:val="auto"/>
                <w:kern w:val="0"/>
                <w:lang w:val="en-US" w:eastAsia="zh-CN" w:bidi="ar-SA"/>
              </w:rPr>
              <w:t>螺纹口样品瓶带瓶盖及瓶垫</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71B490B2">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0E2CF13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5183-2067</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4984DAA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08065C9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包</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4B04D6D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1</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60E1F87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7CA5DB1D">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74801C9D">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7E671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371F45E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6</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727F793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10 μL自动进样针</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41DFD01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4CD833C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5181-3360</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453E7EA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34A3873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支</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5E87DC0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8</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23A2431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2B7268D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1F83830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3BA24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68459C9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7</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2CFA8D6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机械泵泵油</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299702A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2606DB2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AVF 60</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6515A1F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093E97E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瓶</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3A90835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4</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63CB038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340C06F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665BF1C2">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0C616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43A6727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8</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7DDBFAC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EI灯丝</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56DEF76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498154F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G</w:t>
            </w:r>
            <w:r>
              <w:rPr>
                <w:rFonts w:hint="eastAsia" w:ascii="宋体" w:hAnsi="宋体" w:eastAsia="宋体" w:cs="宋体"/>
                <w:color w:val="auto"/>
                <w:kern w:val="0"/>
                <w:lang w:val="en-US" w:eastAsia="zh-CN" w:bidi="ar-SA"/>
              </w:rPr>
              <w:t>7005</w:t>
            </w:r>
            <w:r>
              <w:rPr>
                <w:rFonts w:ascii="宋体" w:hAnsi="宋体" w:eastAsia="宋体" w:cs="宋体"/>
                <w:color w:val="auto"/>
                <w:kern w:val="0"/>
                <w:lang w:val="en-US" w:eastAsia="zh-CN" w:bidi="ar-SA"/>
              </w:rPr>
              <w:t>-600</w:t>
            </w:r>
            <w:r>
              <w:rPr>
                <w:rFonts w:hint="eastAsia" w:ascii="宋体" w:hAnsi="宋体" w:eastAsia="宋体" w:cs="宋体"/>
                <w:color w:val="auto"/>
                <w:kern w:val="0"/>
                <w:lang w:val="en-US" w:eastAsia="zh-CN" w:bidi="ar-SA"/>
              </w:rPr>
              <w:t>6</w:t>
            </w:r>
            <w:r>
              <w:rPr>
                <w:rFonts w:ascii="宋体" w:hAnsi="宋体" w:eastAsia="宋体" w:cs="宋体"/>
                <w:color w:val="auto"/>
                <w:kern w:val="0"/>
                <w:lang w:val="en-US" w:eastAsia="zh-CN" w:bidi="ar-SA"/>
              </w:rPr>
              <w:t>1</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205329E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06671C2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个</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00FB729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5</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7AAB26B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7AA6447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451D795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6EBFA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7C9A86A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9</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4E40B98D">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分流/不分流衬管，5/包</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080CE3C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58BB2F7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5183-4712</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6401709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7DA86E1D">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包</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2D73124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2</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70E6612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4193FCC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1B5DB34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1A27F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6045597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10</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1C267E0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SPME专用</w:t>
            </w:r>
            <w:r>
              <w:rPr>
                <w:rFonts w:ascii="宋体" w:hAnsi="宋体" w:eastAsia="宋体" w:cs="宋体"/>
                <w:color w:val="auto"/>
                <w:kern w:val="0"/>
                <w:lang w:val="en-US" w:eastAsia="zh-CN" w:bidi="ar-SA"/>
              </w:rPr>
              <w:t>衬管</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7DC6CA76">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5B890CE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2 mm内径</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407B5EAD">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0D50C59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个</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529491E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5</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22E9035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3A9768E2">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60AA7AC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354A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0C90447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11</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5E280C9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SPME专用衬管</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6D91E8C6">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7888017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0.75mm 内径</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3E635FD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6C7FEC4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个</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71FC509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5</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7E6D69E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31D66AC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504213D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4D93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7CDB72F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12</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68A78DA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柱接头，2/包</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7AD97E3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5BEEB76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5181-8830</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3C7D63E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0FCEDD26">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包</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2A17E82D">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3</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1FDDAFB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245661E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64CEF53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6A0D6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67EA9B2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13</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5D69942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质谱柱接头</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5AA97E9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0706FEF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05988-20066</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16D3847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333246E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个</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26E25E9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6</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7E2B8DA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77F7442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300E8D1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32FE9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59DBBFB6">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14</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77747F0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石墨密封垫，10/包</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04A5A1F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5623050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5181-3323</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79A0F72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240BF5E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包</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69F6F0C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5</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172A078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1D41AC22">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00FD2AD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674E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6A85F8B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15</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23C44D1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质谱端密封垫，10/包</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5970415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1AD47A3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5062-3508</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42AD116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4D22FAF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包</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0843343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5</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3BC85A3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6DEBD75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06CD6BF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567E8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3429B406">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16</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01B3714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低流失进样隔垫，100/包</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461D59F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3D76BA1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5183-4757-100</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5AAF843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1428932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包</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7D5CC65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2</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19EA959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58D00FE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1873488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307BA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314ED53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17</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11CF907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大容量整合式捕集阱</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6E43FC6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458831F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RMSH-2</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61AF7CD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45916FB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个</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7BBDBC0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1</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37B7169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42F9BB6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26987C4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70E0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322FEF1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18</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624615ED">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死堵</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0D63932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5D27EE2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5020-8294</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243F290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3AA9CD8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个</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78E8F1B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2</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68E7960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04354BF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596CE57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25956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05AF879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19</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302CCB8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衬管密封圈，10/包</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70CF0F3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485F6B2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5188-5365</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3F12E666">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2744258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包</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5F56F5F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1</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014437E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1DF5593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3A98DBB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5AB13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092D191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kern w:val="0"/>
                <w:lang w:val="en-US" w:eastAsia="zh-CN" w:bidi="ar-SA"/>
              </w:rPr>
              <w:t>20</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690AA22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进样口分流平板</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42859BD2">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654910D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5181-5367</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21DF94D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47F45DF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个</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3215B27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2</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38850BA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4DE36A3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5361751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2CA0D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7689C43B">
            <w:pPr>
              <w:keepNext w:val="0"/>
              <w:keepLines w:val="0"/>
              <w:pageBreakBefore w:val="0"/>
              <w:wordWrap/>
              <w:overflowPunct/>
              <w:topLinePunct w:val="0"/>
              <w:autoSpaceDE/>
              <w:autoSpaceDN/>
              <w:bidi w:val="0"/>
              <w:adjustRightInd/>
              <w:snapToGrid/>
              <w:spacing w:line="360" w:lineRule="auto"/>
              <w:jc w:val="center"/>
              <w:rPr>
                <w:rFonts w:hint="default" w:ascii="宋体" w:hAnsi="宋体" w:eastAsia="宋体" w:cs="宋体"/>
                <w:kern w:val="0"/>
                <w:lang w:val="en-US" w:eastAsia="zh-CN" w:bidi="ar-SA"/>
              </w:rPr>
            </w:pPr>
            <w:r>
              <w:rPr>
                <w:rFonts w:hint="eastAsia" w:ascii="宋体" w:hAnsi="宋体" w:cs="宋体"/>
                <w:kern w:val="0"/>
                <w:lang w:val="en-US" w:eastAsia="zh-CN" w:bidi="ar-SA"/>
              </w:rPr>
              <w:t>21</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2AB7AA9C">
            <w:pPr>
              <w:keepNext w:val="0"/>
              <w:keepLines w:val="0"/>
              <w:pageBreakBefore w:val="0"/>
              <w:wordWrap/>
              <w:overflowPunct/>
              <w:topLinePunct w:val="0"/>
              <w:autoSpaceDE/>
              <w:autoSpaceDN/>
              <w:bidi w:val="0"/>
              <w:adjustRightInd/>
              <w:snapToGrid/>
              <w:spacing w:line="360" w:lineRule="auto"/>
              <w:jc w:val="center"/>
              <w:rPr>
                <w:rFonts w:hint="default" w:ascii="宋体" w:hAnsi="宋体" w:eastAsia="宋体" w:cs="宋体"/>
                <w:color w:val="auto"/>
                <w:kern w:val="0"/>
                <w:lang w:val="en-US" w:eastAsia="zh-CN" w:bidi="ar-SA"/>
              </w:rPr>
            </w:pPr>
            <w:r>
              <w:rPr>
                <w:rFonts w:hint="eastAsia" w:ascii="宋体" w:hAnsi="宋体" w:cs="宋体"/>
                <w:color w:val="auto"/>
                <w:kern w:val="0"/>
                <w:lang w:val="en-US" w:eastAsia="zh-CN" w:bidi="ar-SA"/>
              </w:rPr>
              <w:t>测试标样</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63AA938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Agilent</w:t>
            </w:r>
            <w:r>
              <w:rPr>
                <w:rFonts w:hint="eastAsia" w:ascii="宋体" w:hAnsi="宋体" w:eastAsia="宋体" w:cs="宋体"/>
                <w:b w:val="0"/>
                <w:bCs/>
                <w:color w:val="auto"/>
                <w:szCs w:val="21"/>
                <w:highlight w:val="none"/>
                <w:lang w:val="en-US" w:eastAsia="zh-CN"/>
              </w:rPr>
              <w:t>/Agilent Technologies, INC</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3546851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color w:val="auto"/>
                <w:szCs w:val="21"/>
                <w:highlight w:val="none"/>
              </w:rPr>
              <w:t>8890-7000E</w:t>
            </w:r>
            <w:r>
              <w:rPr>
                <w:rFonts w:hint="eastAsia" w:ascii="宋体" w:hAnsi="宋体" w:eastAsia="宋体" w:cs="宋体"/>
                <w:b w:val="0"/>
                <w:bCs/>
                <w:color w:val="auto"/>
                <w:szCs w:val="21"/>
                <w:highlight w:val="none"/>
                <w:lang w:val="en-US" w:eastAsia="zh-CN"/>
              </w:rPr>
              <w:t>专用</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02CDBFC1">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ascii="宋体" w:hAnsi="宋体" w:eastAsia="宋体" w:cs="宋体"/>
                <w:color w:val="auto"/>
                <w:kern w:val="0"/>
                <w:lang w:val="en-US" w:eastAsia="zh-CN" w:bidi="ar-SA"/>
              </w:rPr>
              <w:t>新加坡</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294785A8">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个</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6065533F">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color w:val="auto"/>
                <w:kern w:val="0"/>
                <w:lang w:val="en-US" w:eastAsia="zh-CN" w:bidi="ar-SA"/>
              </w:rPr>
              <w:t>2</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22FDDEC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0"/>
                <w:sz w:val="21"/>
                <w:szCs w:val="22"/>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23A92972">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auto"/>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457990DD">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3D15E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62F9328A">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22</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09CC8635">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eastAsia="宋体" w:cs="宋体"/>
                <w:bCs/>
                <w:color w:val="auto"/>
                <w:sz w:val="21"/>
                <w:szCs w:val="21"/>
                <w:highlight w:val="none"/>
              </w:rPr>
              <w:t>高纯氦气钢瓶</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17CC12C3">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源正/河南源正特种气体有限公司</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5BA42E49">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40L</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6C9F04AA">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中国</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179514DA">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瓶</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7CBAF06F">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1</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5A0426A2">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5B8EC6F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10088B0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4774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6A966407">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23</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499733F0">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eastAsia="宋体" w:cs="宋体"/>
                <w:bCs/>
                <w:color w:val="auto"/>
                <w:sz w:val="21"/>
                <w:szCs w:val="21"/>
                <w:highlight w:val="none"/>
              </w:rPr>
              <w:t>高纯氮气钢瓶</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2C114F1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cs="宋体"/>
                <w:kern w:val="0"/>
                <w:lang w:val="en-US" w:eastAsia="zh-CN" w:bidi="ar-SA"/>
              </w:rPr>
              <w:t>源正/河南源正特种气体有限公司</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11A16B7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cs="宋体"/>
                <w:kern w:val="0"/>
                <w:lang w:val="en-US" w:eastAsia="zh-CN" w:bidi="ar-SA"/>
              </w:rPr>
              <w:t>40L</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5128940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cs="宋体"/>
                <w:kern w:val="0"/>
                <w:lang w:val="en-US" w:eastAsia="zh-CN" w:bidi="ar-SA"/>
              </w:rPr>
              <w:t>中国</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0BD9BB5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cs="宋体"/>
                <w:kern w:val="0"/>
                <w:lang w:val="en-US" w:eastAsia="zh-CN" w:bidi="ar-SA"/>
              </w:rPr>
              <w:t>瓶</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132945B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cs="宋体"/>
                <w:kern w:val="0"/>
                <w:lang w:val="en-US" w:eastAsia="zh-CN" w:bidi="ar-SA"/>
              </w:rPr>
              <w:t>1</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0C9A4C9B">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3DBB980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75509D5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45C41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2D1F7CC0">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24</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4A2A0132">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eastAsia="宋体" w:cs="宋体"/>
                <w:bCs/>
                <w:color w:val="auto"/>
                <w:sz w:val="21"/>
                <w:szCs w:val="21"/>
                <w:highlight w:val="none"/>
              </w:rPr>
              <w:t>减压阀</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1EE4F8AC">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cs="宋体"/>
                <w:kern w:val="0"/>
                <w:lang w:val="en-US" w:eastAsia="zh-CN" w:bidi="ar-SA"/>
              </w:rPr>
              <w:t>徐州鸿业/徐州鸿业仪器仪表有限公司</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64F38A0E">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cs="宋体"/>
                <w:kern w:val="0"/>
                <w:lang w:val="en-US" w:eastAsia="zh-CN" w:bidi="ar-SA"/>
              </w:rPr>
              <w:t>YQJ-6</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7769D14A">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cs="宋体"/>
                <w:kern w:val="0"/>
                <w:lang w:val="en-US" w:eastAsia="zh-CN" w:bidi="ar-SA"/>
              </w:rPr>
              <w:t>中国</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2832F4DE">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个</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527D2E0C">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4</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3EEDFD9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68FE0F24">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26A11267">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59877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03A95994">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25</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0B843C59">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cs="宋体"/>
                <w:kern w:val="0"/>
                <w:lang w:val="en-US" w:eastAsia="zh-CN" w:bidi="ar-SA"/>
              </w:rPr>
              <w:t>钢瓶柜</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7FCFD1CE">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cs="宋体"/>
                <w:kern w:val="0"/>
                <w:lang w:val="en-US" w:eastAsia="zh-CN" w:bidi="ar-SA"/>
              </w:rPr>
              <w:t>源正/河南源正特种气体有限公司</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140443D2">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定制</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620B5F7B">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cs="宋体"/>
                <w:kern w:val="0"/>
                <w:lang w:val="en-US" w:eastAsia="zh-CN" w:bidi="ar-SA"/>
              </w:rPr>
              <w:t>中国</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342F231A">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套</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098AA07E">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1</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0D6C8579">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4591580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38AC2D35">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6D611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48982D68">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26</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79CCF98E">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eastAsia="宋体" w:cs="宋体"/>
                <w:bCs/>
                <w:color w:val="auto"/>
                <w:sz w:val="21"/>
                <w:szCs w:val="21"/>
                <w:highlight w:val="none"/>
                <w:lang w:val="en-US" w:eastAsia="zh-CN"/>
              </w:rPr>
              <w:t>精密移液器</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29409084">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cs="宋体"/>
                <w:kern w:val="0"/>
                <w:lang w:val="en-US" w:eastAsia="zh-CN" w:bidi="ar-SA"/>
              </w:rPr>
              <w:t>Eppendorf/Eppendorf SE</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6854113C">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cs="宋体"/>
                <w:kern w:val="0"/>
                <w:lang w:val="en-US" w:eastAsia="zh-CN" w:bidi="ar-SA"/>
              </w:rPr>
              <w:t>Research</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26D0F6CF">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德国</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6321FCEB">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套</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2129D06A">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1</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6FE9D94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5520416C">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234FC1B3">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3D81E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jc w:val="center"/>
        </w:trPr>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6F34124C">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27</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3948E136">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eastAsia="宋体" w:cs="宋体"/>
                <w:bCs/>
                <w:color w:val="auto"/>
                <w:sz w:val="21"/>
                <w:szCs w:val="21"/>
                <w:highlight w:val="none"/>
                <w:lang w:val="en-US" w:eastAsia="zh-CN"/>
              </w:rPr>
              <w:t>UPS</w:t>
            </w:r>
            <w:r>
              <w:rPr>
                <w:rFonts w:hint="eastAsia" w:ascii="宋体" w:hAnsi="宋体" w:eastAsia="宋体" w:cs="宋体"/>
                <w:color w:val="auto"/>
                <w:sz w:val="21"/>
                <w:szCs w:val="21"/>
                <w:highlight w:val="none"/>
              </w:rPr>
              <w:t>稳压电源</w:t>
            </w:r>
          </w:p>
        </w:tc>
        <w:tc>
          <w:tcPr>
            <w:tcW w:w="2073" w:type="dxa"/>
            <w:tcBorders>
              <w:top w:val="single" w:color="auto" w:sz="4" w:space="0"/>
              <w:left w:val="single" w:color="auto" w:sz="4" w:space="0"/>
              <w:bottom w:val="single" w:color="auto" w:sz="4" w:space="0"/>
              <w:right w:val="single" w:color="auto" w:sz="4" w:space="0"/>
            </w:tcBorders>
            <w:shd w:val="clear" w:color="auto" w:fill="auto"/>
            <w:vAlign w:val="center"/>
          </w:tcPr>
          <w:p w14:paraId="7CAFF8E2">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山特/山特电子(深圳)有限公司</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14:paraId="2670FC20">
            <w:pPr>
              <w:keepNext w:val="0"/>
              <w:keepLines w:val="0"/>
              <w:pageBreakBefore w:val="0"/>
              <w:wordWrap/>
              <w:overflowPunct/>
              <w:topLinePunct w:val="0"/>
              <w:autoSpaceDE/>
              <w:autoSpaceDN/>
              <w:bidi w:val="0"/>
              <w:adjustRightInd/>
              <w:snapToGrid/>
              <w:spacing w:line="360" w:lineRule="auto"/>
              <w:jc w:val="center"/>
              <w:rPr>
                <w:rFonts w:hint="eastAsia" w:ascii="宋体" w:hAnsi="宋体" w:cs="宋体"/>
                <w:kern w:val="0"/>
                <w:lang w:val="en-US" w:eastAsia="zh-CN" w:bidi="ar-SA"/>
              </w:rPr>
            </w:pPr>
            <w:r>
              <w:rPr>
                <w:rFonts w:hint="eastAsia" w:ascii="宋体" w:hAnsi="宋体" w:cs="宋体"/>
                <w:kern w:val="0"/>
                <w:lang w:val="en-US" w:eastAsia="zh-CN" w:bidi="ar-SA"/>
              </w:rPr>
              <w:t>C10KS(G7)</w:t>
            </w:r>
          </w:p>
        </w:tc>
        <w:tc>
          <w:tcPr>
            <w:tcW w:w="983" w:type="dxa"/>
            <w:tcBorders>
              <w:top w:val="single" w:color="auto" w:sz="4" w:space="0"/>
              <w:left w:val="single" w:color="auto" w:sz="4" w:space="0"/>
              <w:bottom w:val="single" w:color="auto" w:sz="4" w:space="0"/>
              <w:right w:val="single" w:color="auto" w:sz="4" w:space="0"/>
            </w:tcBorders>
            <w:shd w:val="clear" w:color="auto" w:fill="auto"/>
            <w:vAlign w:val="center"/>
          </w:tcPr>
          <w:p w14:paraId="28102A59">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中国</w:t>
            </w:r>
          </w:p>
        </w:tc>
        <w:tc>
          <w:tcPr>
            <w:tcW w:w="533" w:type="dxa"/>
            <w:tcBorders>
              <w:top w:val="single" w:color="auto" w:sz="4" w:space="0"/>
              <w:left w:val="single" w:color="auto" w:sz="4" w:space="0"/>
              <w:bottom w:val="single" w:color="auto" w:sz="4" w:space="0"/>
              <w:right w:val="single" w:color="auto" w:sz="4" w:space="0"/>
            </w:tcBorders>
            <w:shd w:val="clear" w:color="auto" w:fill="auto"/>
            <w:vAlign w:val="center"/>
          </w:tcPr>
          <w:p w14:paraId="0CF30338">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套</w:t>
            </w:r>
          </w:p>
        </w:tc>
        <w:tc>
          <w:tcPr>
            <w:tcW w:w="559" w:type="dxa"/>
            <w:tcBorders>
              <w:top w:val="single" w:color="auto" w:sz="4" w:space="0"/>
              <w:left w:val="single" w:color="auto" w:sz="4" w:space="0"/>
              <w:bottom w:val="single" w:color="auto" w:sz="4" w:space="0"/>
              <w:right w:val="single" w:color="auto" w:sz="4" w:space="0"/>
            </w:tcBorders>
            <w:shd w:val="clear" w:color="auto" w:fill="auto"/>
            <w:vAlign w:val="center"/>
          </w:tcPr>
          <w:p w14:paraId="095BBA76">
            <w:pPr>
              <w:keepNext w:val="0"/>
              <w:keepLines w:val="0"/>
              <w:pageBreakBefore w:val="0"/>
              <w:wordWrap/>
              <w:overflowPunct/>
              <w:topLinePunct w:val="0"/>
              <w:autoSpaceDE/>
              <w:autoSpaceDN/>
              <w:bidi w:val="0"/>
              <w:adjustRightInd/>
              <w:snapToGrid/>
              <w:spacing w:line="360" w:lineRule="auto"/>
              <w:jc w:val="center"/>
              <w:rPr>
                <w:rFonts w:hint="default" w:ascii="宋体" w:hAnsi="宋体" w:cs="宋体"/>
                <w:kern w:val="0"/>
                <w:lang w:val="en-US" w:eastAsia="zh-CN" w:bidi="ar-SA"/>
              </w:rPr>
            </w:pPr>
            <w:r>
              <w:rPr>
                <w:rFonts w:hint="eastAsia" w:ascii="宋体" w:hAnsi="宋体" w:cs="宋体"/>
                <w:kern w:val="0"/>
                <w:lang w:val="en-US" w:eastAsia="zh-CN" w:bidi="ar-SA"/>
              </w:rPr>
              <w:t>2</w:t>
            </w:r>
          </w:p>
        </w:tc>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36B3D5A0">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kern w:val="0"/>
                <w:sz w:val="21"/>
                <w:szCs w:val="22"/>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443740DA">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val="0"/>
                <w:bCs w:val="0"/>
                <w:color w:val="000000"/>
                <w:kern w:val="0"/>
                <w:sz w:val="21"/>
                <w:szCs w:val="21"/>
                <w:lang w:val="en-US" w:eastAsia="zh-CN" w:bidi="ar-SA"/>
              </w:rPr>
              <w:t>已包含在设备报价中</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1E09B30E">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签订合同后</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天内</w:t>
            </w:r>
          </w:p>
        </w:tc>
      </w:tr>
      <w:tr w14:paraId="5462D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847" w:type="dxa"/>
            <w:gridSpan w:val="2"/>
            <w:tcBorders>
              <w:top w:val="single" w:color="auto" w:sz="4" w:space="0"/>
              <w:left w:val="single" w:color="auto" w:sz="4" w:space="0"/>
              <w:bottom w:val="single" w:color="auto" w:sz="4" w:space="0"/>
              <w:right w:val="single" w:color="auto" w:sz="4" w:space="0"/>
            </w:tcBorders>
            <w:vAlign w:val="center"/>
          </w:tcPr>
          <w:p w14:paraId="3F641F34">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合计</w:t>
            </w:r>
          </w:p>
        </w:tc>
        <w:tc>
          <w:tcPr>
            <w:tcW w:w="8668" w:type="dxa"/>
            <w:gridSpan w:val="8"/>
            <w:tcBorders>
              <w:top w:val="single" w:color="auto" w:sz="4" w:space="0"/>
              <w:left w:val="single" w:color="auto" w:sz="4" w:space="0"/>
              <w:bottom w:val="single" w:color="auto" w:sz="4" w:space="0"/>
              <w:right w:val="single" w:color="auto" w:sz="4" w:space="0"/>
            </w:tcBorders>
            <w:vAlign w:val="center"/>
          </w:tcPr>
          <w:p w14:paraId="7F0DEDA5">
            <w:pPr>
              <w:keepNext w:val="0"/>
              <w:keepLines w:val="0"/>
              <w:pageBreakBefore w:val="0"/>
              <w:wordWrap/>
              <w:overflowPunct/>
              <w:topLinePunct w:val="0"/>
              <w:autoSpaceDE/>
              <w:autoSpaceDN/>
              <w:bidi w:val="0"/>
              <w:adjustRightInd/>
              <w:snapToGrid/>
              <w:spacing w:line="360" w:lineRule="auto"/>
              <w:jc w:val="center"/>
              <w:rPr>
                <w:rFonts w:ascii="宋体" w:hAnsi="宋体" w:cs="宋体"/>
                <w:b/>
                <w:bCs/>
                <w:szCs w:val="21"/>
              </w:rPr>
            </w:pPr>
            <w:r>
              <w:rPr>
                <w:rFonts w:hint="eastAsia" w:ascii="宋体" w:hAnsi="宋体" w:eastAsia="宋体" w:cs="宋体"/>
                <w:color w:val="auto"/>
                <w:szCs w:val="21"/>
                <w:highlight w:val="none"/>
              </w:rPr>
              <w:t>人民币大写：贰佰贰拾万零捌仟捌佰元整（￥：2208800.00元）</w:t>
            </w:r>
          </w:p>
        </w:tc>
      </w:tr>
      <w:tr w14:paraId="49B39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847" w:type="dxa"/>
            <w:gridSpan w:val="2"/>
            <w:tcBorders>
              <w:top w:val="single" w:color="auto" w:sz="4" w:space="0"/>
              <w:left w:val="single" w:color="auto" w:sz="4" w:space="0"/>
              <w:bottom w:val="single" w:color="auto" w:sz="4" w:space="0"/>
              <w:right w:val="single" w:color="auto" w:sz="4" w:space="0"/>
            </w:tcBorders>
            <w:vAlign w:val="center"/>
          </w:tcPr>
          <w:p w14:paraId="6F143B22">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备注</w:t>
            </w:r>
          </w:p>
        </w:tc>
        <w:tc>
          <w:tcPr>
            <w:tcW w:w="8668" w:type="dxa"/>
            <w:gridSpan w:val="8"/>
            <w:tcBorders>
              <w:top w:val="single" w:color="auto" w:sz="4" w:space="0"/>
              <w:left w:val="single" w:color="auto" w:sz="4" w:space="0"/>
              <w:bottom w:val="single" w:color="auto" w:sz="4" w:space="0"/>
              <w:right w:val="single" w:color="auto" w:sz="4" w:space="0"/>
            </w:tcBorders>
            <w:vAlign w:val="center"/>
          </w:tcPr>
          <w:p w14:paraId="762D7A24">
            <w:pPr>
              <w:keepNext w:val="0"/>
              <w:keepLines w:val="0"/>
              <w:pageBreakBefore w:val="0"/>
              <w:wordWrap/>
              <w:overflowPunct/>
              <w:topLinePunct w:val="0"/>
              <w:autoSpaceDE/>
              <w:autoSpaceDN/>
              <w:bidi w:val="0"/>
              <w:adjustRightInd/>
              <w:snapToGrid/>
              <w:spacing w:line="360" w:lineRule="auto"/>
              <w:jc w:val="center"/>
              <w:rPr>
                <w:rFonts w:ascii="宋体" w:hAnsi="宋体" w:cs="宋体"/>
                <w:b/>
                <w:bCs/>
                <w:szCs w:val="21"/>
              </w:rPr>
            </w:pPr>
            <w:r>
              <w:rPr>
                <w:rFonts w:hint="eastAsia" w:ascii="宋体" w:hAnsi="宋体" w:eastAsia="宋体" w:cs="宋体"/>
                <w:b w:val="0"/>
                <w:bCs/>
                <w:color w:val="auto"/>
                <w:szCs w:val="21"/>
                <w:highlight w:val="none"/>
              </w:rPr>
              <w:t>气相色谱三重四极杆质谱仪</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高光谱成像光谱仪</w:t>
            </w:r>
            <w:r>
              <w:rPr>
                <w:rFonts w:hint="eastAsia" w:ascii="宋体" w:hAnsi="宋体" w:cs="宋体"/>
                <w:szCs w:val="21"/>
              </w:rPr>
              <w:t>进口免税</w:t>
            </w:r>
          </w:p>
        </w:tc>
      </w:tr>
    </w:tbl>
    <w:p w14:paraId="4199EE78">
      <w:pPr>
        <w:keepNext w:val="0"/>
        <w:keepLines w:val="0"/>
        <w:pageBreakBefore w:val="0"/>
        <w:wordWrap/>
        <w:overflowPunct/>
        <w:topLinePunct w:val="0"/>
        <w:autoSpaceDE/>
        <w:autoSpaceDN/>
        <w:bidi w:val="0"/>
        <w:adjustRightInd/>
        <w:snapToGrid/>
        <w:spacing w:line="360" w:lineRule="auto"/>
        <w:rPr>
          <w:rFonts w:ascii="宋体" w:hAnsi="宋体" w:cs="宋体"/>
          <w:b/>
          <w:szCs w:val="21"/>
        </w:rPr>
      </w:pPr>
      <w:r>
        <w:rPr>
          <w:rFonts w:hint="eastAsia" w:ascii="宋体" w:hAnsi="宋体" w:cs="宋体"/>
          <w:b/>
          <w:szCs w:val="21"/>
        </w:rPr>
        <w:t>（2）清单2：非免税货物                                           单位：元</w:t>
      </w:r>
    </w:p>
    <w:tbl>
      <w:tblPr>
        <w:tblStyle w:val="7"/>
        <w:tblW w:w="10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62"/>
        <w:gridCol w:w="1898"/>
        <w:gridCol w:w="1488"/>
        <w:gridCol w:w="985"/>
        <w:gridCol w:w="580"/>
        <w:gridCol w:w="580"/>
        <w:gridCol w:w="1090"/>
        <w:gridCol w:w="1055"/>
        <w:gridCol w:w="1069"/>
      </w:tblGrid>
      <w:tr w14:paraId="74605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495E436A">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序号</w:t>
            </w:r>
          </w:p>
        </w:tc>
        <w:tc>
          <w:tcPr>
            <w:tcW w:w="1062" w:type="dxa"/>
            <w:tcBorders>
              <w:top w:val="single" w:color="auto" w:sz="4" w:space="0"/>
              <w:left w:val="single" w:color="auto" w:sz="4" w:space="0"/>
              <w:bottom w:val="single" w:color="auto" w:sz="4" w:space="0"/>
              <w:right w:val="single" w:color="auto" w:sz="4" w:space="0"/>
            </w:tcBorders>
            <w:vAlign w:val="center"/>
          </w:tcPr>
          <w:p w14:paraId="404D20D6">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货物名称</w:t>
            </w:r>
          </w:p>
        </w:tc>
        <w:tc>
          <w:tcPr>
            <w:tcW w:w="1898" w:type="dxa"/>
            <w:tcBorders>
              <w:top w:val="single" w:color="auto" w:sz="4" w:space="0"/>
              <w:left w:val="single" w:color="auto" w:sz="4" w:space="0"/>
              <w:bottom w:val="single" w:color="auto" w:sz="4" w:space="0"/>
              <w:right w:val="single" w:color="auto" w:sz="4" w:space="0"/>
            </w:tcBorders>
            <w:vAlign w:val="center"/>
          </w:tcPr>
          <w:p w14:paraId="69F177B9">
            <w:pPr>
              <w:keepNext w:val="0"/>
              <w:keepLines w:val="0"/>
              <w:pageBreakBefore w:val="0"/>
              <w:widowControl/>
              <w:wordWrap/>
              <w:overflowPunct/>
              <w:topLinePunct w:val="0"/>
              <w:autoSpaceDE/>
              <w:autoSpaceDN/>
              <w:bidi w:val="0"/>
              <w:adjustRightInd/>
              <w:snapToGrid/>
              <w:spacing w:line="360" w:lineRule="auto"/>
              <w:jc w:val="center"/>
              <w:rPr>
                <w:rFonts w:ascii="宋体" w:hAnsi="宋体" w:cs="宋体"/>
                <w:kern w:val="0"/>
                <w:szCs w:val="21"/>
              </w:rPr>
            </w:pPr>
            <w:r>
              <w:rPr>
                <w:rFonts w:hint="eastAsia" w:ascii="宋体" w:hAnsi="宋体" w:cs="宋体"/>
                <w:kern w:val="0"/>
                <w:szCs w:val="21"/>
              </w:rPr>
              <w:t>品牌/制造商</w:t>
            </w:r>
          </w:p>
        </w:tc>
        <w:tc>
          <w:tcPr>
            <w:tcW w:w="1488" w:type="dxa"/>
            <w:tcBorders>
              <w:top w:val="single" w:color="auto" w:sz="4" w:space="0"/>
              <w:left w:val="single" w:color="auto" w:sz="4" w:space="0"/>
              <w:bottom w:val="single" w:color="auto" w:sz="4" w:space="0"/>
              <w:right w:val="single" w:color="auto" w:sz="4" w:space="0"/>
            </w:tcBorders>
            <w:vAlign w:val="center"/>
          </w:tcPr>
          <w:p w14:paraId="6F8AE712">
            <w:pPr>
              <w:keepNext w:val="0"/>
              <w:keepLines w:val="0"/>
              <w:pageBreakBefore w:val="0"/>
              <w:widowControl/>
              <w:wordWrap/>
              <w:overflowPunct/>
              <w:topLinePunct w:val="0"/>
              <w:autoSpaceDE/>
              <w:autoSpaceDN/>
              <w:bidi w:val="0"/>
              <w:adjustRightInd/>
              <w:snapToGrid/>
              <w:spacing w:line="360" w:lineRule="auto"/>
              <w:jc w:val="center"/>
              <w:rPr>
                <w:rFonts w:ascii="宋体" w:hAnsi="宋体" w:cs="宋体"/>
                <w:kern w:val="0"/>
                <w:szCs w:val="21"/>
              </w:rPr>
            </w:pPr>
            <w:r>
              <w:rPr>
                <w:rFonts w:hint="eastAsia" w:ascii="宋体" w:hAnsi="宋体" w:cs="宋体"/>
                <w:szCs w:val="21"/>
              </w:rPr>
              <w:t>型号规格</w:t>
            </w:r>
          </w:p>
        </w:tc>
        <w:tc>
          <w:tcPr>
            <w:tcW w:w="985" w:type="dxa"/>
            <w:tcBorders>
              <w:top w:val="single" w:color="auto" w:sz="4" w:space="0"/>
              <w:left w:val="single" w:color="auto" w:sz="4" w:space="0"/>
              <w:bottom w:val="single" w:color="auto" w:sz="4" w:space="0"/>
              <w:right w:val="single" w:color="auto" w:sz="4" w:space="0"/>
            </w:tcBorders>
            <w:vAlign w:val="center"/>
          </w:tcPr>
          <w:p w14:paraId="3ECF88D6">
            <w:pPr>
              <w:keepNext w:val="0"/>
              <w:keepLines w:val="0"/>
              <w:pageBreakBefore w:val="0"/>
              <w:widowControl/>
              <w:wordWrap/>
              <w:overflowPunct/>
              <w:topLinePunct w:val="0"/>
              <w:autoSpaceDE/>
              <w:autoSpaceDN/>
              <w:bidi w:val="0"/>
              <w:adjustRightInd/>
              <w:snapToGrid/>
              <w:spacing w:line="360" w:lineRule="auto"/>
              <w:jc w:val="center"/>
              <w:rPr>
                <w:rFonts w:ascii="宋体" w:hAnsi="宋体" w:cs="宋体"/>
                <w:kern w:val="0"/>
                <w:szCs w:val="21"/>
              </w:rPr>
            </w:pPr>
            <w:r>
              <w:rPr>
                <w:rFonts w:hint="eastAsia" w:ascii="宋体" w:hAnsi="宋体" w:cs="宋体"/>
                <w:kern w:val="0"/>
                <w:szCs w:val="21"/>
              </w:rPr>
              <w:t>原产地</w:t>
            </w:r>
          </w:p>
        </w:tc>
        <w:tc>
          <w:tcPr>
            <w:tcW w:w="580" w:type="dxa"/>
            <w:tcBorders>
              <w:top w:val="single" w:color="auto" w:sz="4" w:space="0"/>
              <w:left w:val="single" w:color="auto" w:sz="4" w:space="0"/>
              <w:bottom w:val="single" w:color="auto" w:sz="4" w:space="0"/>
              <w:right w:val="single" w:color="auto" w:sz="4" w:space="0"/>
            </w:tcBorders>
            <w:vAlign w:val="center"/>
          </w:tcPr>
          <w:p w14:paraId="3AC157C7">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单</w:t>
            </w:r>
          </w:p>
          <w:p w14:paraId="2651458F">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位</w:t>
            </w:r>
          </w:p>
        </w:tc>
        <w:tc>
          <w:tcPr>
            <w:tcW w:w="580" w:type="dxa"/>
            <w:tcBorders>
              <w:top w:val="single" w:color="auto" w:sz="4" w:space="0"/>
              <w:left w:val="single" w:color="auto" w:sz="4" w:space="0"/>
              <w:bottom w:val="single" w:color="auto" w:sz="4" w:space="0"/>
              <w:right w:val="single" w:color="auto" w:sz="4" w:space="0"/>
            </w:tcBorders>
            <w:vAlign w:val="center"/>
          </w:tcPr>
          <w:p w14:paraId="16E657BE">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数</w:t>
            </w:r>
          </w:p>
          <w:p w14:paraId="1DC0D0DE">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量</w:t>
            </w:r>
          </w:p>
        </w:tc>
        <w:tc>
          <w:tcPr>
            <w:tcW w:w="1090" w:type="dxa"/>
            <w:tcBorders>
              <w:top w:val="single" w:color="auto" w:sz="4" w:space="0"/>
              <w:left w:val="single" w:color="auto" w:sz="4" w:space="0"/>
              <w:bottom w:val="single" w:color="auto" w:sz="4" w:space="0"/>
              <w:right w:val="single" w:color="auto" w:sz="4" w:space="0"/>
            </w:tcBorders>
            <w:vAlign w:val="center"/>
          </w:tcPr>
          <w:p w14:paraId="09199B03">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单价</w:t>
            </w:r>
          </w:p>
          <w:p w14:paraId="365C64B5">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（RMB）</w:t>
            </w:r>
          </w:p>
        </w:tc>
        <w:tc>
          <w:tcPr>
            <w:tcW w:w="1055" w:type="dxa"/>
            <w:tcBorders>
              <w:top w:val="single" w:color="auto" w:sz="4" w:space="0"/>
              <w:left w:val="single" w:color="auto" w:sz="4" w:space="0"/>
              <w:bottom w:val="single" w:color="auto" w:sz="4" w:space="0"/>
              <w:right w:val="single" w:color="auto" w:sz="4" w:space="0"/>
            </w:tcBorders>
            <w:vAlign w:val="center"/>
          </w:tcPr>
          <w:p w14:paraId="11904A73">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小计</w:t>
            </w:r>
          </w:p>
          <w:p w14:paraId="6784D752">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（RMB）</w:t>
            </w:r>
          </w:p>
        </w:tc>
        <w:tc>
          <w:tcPr>
            <w:tcW w:w="1069" w:type="dxa"/>
            <w:tcBorders>
              <w:top w:val="single" w:color="auto" w:sz="4" w:space="0"/>
              <w:left w:val="single" w:color="auto" w:sz="4" w:space="0"/>
              <w:bottom w:val="single" w:color="auto" w:sz="4" w:space="0"/>
              <w:right w:val="single" w:color="auto" w:sz="4" w:space="0"/>
            </w:tcBorders>
            <w:vAlign w:val="center"/>
          </w:tcPr>
          <w:p w14:paraId="6E4551CF">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bCs/>
                <w:szCs w:val="21"/>
              </w:rPr>
              <w:t>交货时间</w:t>
            </w:r>
          </w:p>
        </w:tc>
      </w:tr>
      <w:tr w14:paraId="12BAD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2EF87A72">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1</w:t>
            </w:r>
          </w:p>
        </w:tc>
        <w:tc>
          <w:tcPr>
            <w:tcW w:w="1062" w:type="dxa"/>
            <w:tcBorders>
              <w:top w:val="single" w:color="auto" w:sz="4" w:space="0"/>
              <w:left w:val="single" w:color="auto" w:sz="4" w:space="0"/>
              <w:bottom w:val="single" w:color="auto" w:sz="4" w:space="0"/>
              <w:right w:val="single" w:color="auto" w:sz="4" w:space="0"/>
            </w:tcBorders>
            <w:vAlign w:val="center"/>
          </w:tcPr>
          <w:p w14:paraId="0D7E3079">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hint="eastAsia" w:ascii="宋体" w:hAnsi="宋体" w:eastAsia="宋体" w:cs="宋体"/>
                <w:b/>
                <w:szCs w:val="21"/>
                <w:lang w:eastAsia="zh-CN"/>
              </w:rPr>
            </w:pPr>
            <w:r>
              <w:rPr>
                <w:rFonts w:hint="eastAsia"/>
                <w:lang w:val="en-US" w:eastAsia="zh-CN"/>
              </w:rPr>
              <w:t>无</w:t>
            </w:r>
          </w:p>
        </w:tc>
        <w:tc>
          <w:tcPr>
            <w:tcW w:w="1898" w:type="dxa"/>
            <w:tcBorders>
              <w:top w:val="single" w:color="auto" w:sz="4" w:space="0"/>
              <w:left w:val="single" w:color="auto" w:sz="4" w:space="0"/>
              <w:bottom w:val="single" w:color="auto" w:sz="4" w:space="0"/>
              <w:right w:val="single" w:color="auto" w:sz="4" w:space="0"/>
            </w:tcBorders>
            <w:vAlign w:val="center"/>
          </w:tcPr>
          <w:p w14:paraId="3D164941">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kern w:val="0"/>
                <w:szCs w:val="21"/>
              </w:rPr>
            </w:pPr>
            <w:r>
              <w:rPr>
                <w:rFonts w:hint="eastAsia"/>
                <w:lang w:val="en-US" w:eastAsia="zh-CN"/>
              </w:rPr>
              <w:t>无</w:t>
            </w:r>
          </w:p>
        </w:tc>
        <w:tc>
          <w:tcPr>
            <w:tcW w:w="1488" w:type="dxa"/>
            <w:tcBorders>
              <w:top w:val="single" w:color="auto" w:sz="4" w:space="0"/>
              <w:left w:val="single" w:color="auto" w:sz="4" w:space="0"/>
              <w:bottom w:val="single" w:color="auto" w:sz="4" w:space="0"/>
              <w:right w:val="single" w:color="auto" w:sz="4" w:space="0"/>
            </w:tcBorders>
            <w:vAlign w:val="center"/>
          </w:tcPr>
          <w:p w14:paraId="1B051E67">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kern w:val="0"/>
                <w:szCs w:val="21"/>
              </w:rPr>
            </w:pPr>
            <w:r>
              <w:rPr>
                <w:rFonts w:hint="eastAsia"/>
                <w:lang w:val="en-US" w:eastAsia="zh-CN"/>
              </w:rPr>
              <w:t>无</w:t>
            </w:r>
          </w:p>
        </w:tc>
        <w:tc>
          <w:tcPr>
            <w:tcW w:w="985" w:type="dxa"/>
            <w:tcBorders>
              <w:top w:val="single" w:color="auto" w:sz="4" w:space="0"/>
              <w:left w:val="single" w:color="auto" w:sz="4" w:space="0"/>
              <w:bottom w:val="single" w:color="auto" w:sz="4" w:space="0"/>
              <w:right w:val="single" w:color="auto" w:sz="4" w:space="0"/>
            </w:tcBorders>
            <w:vAlign w:val="center"/>
          </w:tcPr>
          <w:p w14:paraId="2E6C1C74">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kern w:val="0"/>
                <w:szCs w:val="21"/>
              </w:rPr>
            </w:pPr>
            <w:r>
              <w:rPr>
                <w:rFonts w:hint="eastAsia"/>
                <w:lang w:val="en-US" w:eastAsia="zh-CN"/>
              </w:rPr>
              <w:t>无</w:t>
            </w:r>
          </w:p>
        </w:tc>
        <w:tc>
          <w:tcPr>
            <w:tcW w:w="580" w:type="dxa"/>
            <w:tcBorders>
              <w:top w:val="single" w:color="auto" w:sz="4" w:space="0"/>
              <w:left w:val="single" w:color="auto" w:sz="4" w:space="0"/>
              <w:bottom w:val="single" w:color="auto" w:sz="4" w:space="0"/>
              <w:right w:val="single" w:color="auto" w:sz="4" w:space="0"/>
            </w:tcBorders>
            <w:vAlign w:val="center"/>
          </w:tcPr>
          <w:p w14:paraId="048C491D">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szCs w:val="21"/>
              </w:rPr>
            </w:pPr>
            <w:r>
              <w:rPr>
                <w:rFonts w:hint="eastAsia"/>
                <w:lang w:val="en-US" w:eastAsia="zh-CN"/>
              </w:rPr>
              <w:t>无</w:t>
            </w:r>
          </w:p>
        </w:tc>
        <w:tc>
          <w:tcPr>
            <w:tcW w:w="580" w:type="dxa"/>
            <w:tcBorders>
              <w:top w:val="single" w:color="auto" w:sz="4" w:space="0"/>
              <w:left w:val="single" w:color="auto" w:sz="4" w:space="0"/>
              <w:bottom w:val="single" w:color="auto" w:sz="4" w:space="0"/>
              <w:right w:val="single" w:color="auto" w:sz="4" w:space="0"/>
            </w:tcBorders>
            <w:vAlign w:val="center"/>
          </w:tcPr>
          <w:p w14:paraId="14DD8F24">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szCs w:val="21"/>
              </w:rPr>
            </w:pPr>
            <w:r>
              <w:rPr>
                <w:rFonts w:hint="eastAsia"/>
                <w:lang w:val="en-US" w:eastAsia="zh-CN"/>
              </w:rPr>
              <w:t>无</w:t>
            </w:r>
          </w:p>
        </w:tc>
        <w:tc>
          <w:tcPr>
            <w:tcW w:w="1090" w:type="dxa"/>
            <w:tcBorders>
              <w:top w:val="single" w:color="auto" w:sz="4" w:space="0"/>
              <w:left w:val="single" w:color="auto" w:sz="4" w:space="0"/>
              <w:bottom w:val="single" w:color="auto" w:sz="4" w:space="0"/>
              <w:right w:val="single" w:color="auto" w:sz="4" w:space="0"/>
            </w:tcBorders>
            <w:vAlign w:val="center"/>
          </w:tcPr>
          <w:p w14:paraId="12C914FF">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szCs w:val="21"/>
              </w:rPr>
            </w:pPr>
            <w:r>
              <w:rPr>
                <w:rFonts w:hint="eastAsia"/>
                <w:lang w:val="en-US" w:eastAsia="zh-CN"/>
              </w:rPr>
              <w:t>无</w:t>
            </w:r>
          </w:p>
        </w:tc>
        <w:tc>
          <w:tcPr>
            <w:tcW w:w="1055" w:type="dxa"/>
            <w:tcBorders>
              <w:top w:val="single" w:color="auto" w:sz="4" w:space="0"/>
              <w:left w:val="single" w:color="auto" w:sz="4" w:space="0"/>
              <w:bottom w:val="single" w:color="auto" w:sz="4" w:space="0"/>
              <w:right w:val="single" w:color="auto" w:sz="4" w:space="0"/>
            </w:tcBorders>
            <w:vAlign w:val="center"/>
          </w:tcPr>
          <w:p w14:paraId="473747F6">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szCs w:val="21"/>
              </w:rPr>
            </w:pPr>
            <w:r>
              <w:rPr>
                <w:rFonts w:hint="eastAsia"/>
                <w:lang w:val="en-US" w:eastAsia="zh-CN"/>
              </w:rPr>
              <w:t>无</w:t>
            </w:r>
          </w:p>
        </w:tc>
        <w:tc>
          <w:tcPr>
            <w:tcW w:w="1069" w:type="dxa"/>
            <w:tcBorders>
              <w:top w:val="single" w:color="auto" w:sz="4" w:space="0"/>
              <w:left w:val="single" w:color="auto" w:sz="4" w:space="0"/>
              <w:bottom w:val="single" w:color="auto" w:sz="4" w:space="0"/>
              <w:right w:val="single" w:color="auto" w:sz="4" w:space="0"/>
            </w:tcBorders>
            <w:vAlign w:val="center"/>
          </w:tcPr>
          <w:p w14:paraId="2ED09397">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szCs w:val="21"/>
              </w:rPr>
            </w:pPr>
            <w:r>
              <w:rPr>
                <w:rFonts w:hint="eastAsia"/>
                <w:lang w:val="en-US" w:eastAsia="zh-CN"/>
              </w:rPr>
              <w:t>无</w:t>
            </w:r>
          </w:p>
        </w:tc>
      </w:tr>
      <w:tr w14:paraId="1DF03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2606E01F">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2</w:t>
            </w:r>
          </w:p>
        </w:tc>
        <w:tc>
          <w:tcPr>
            <w:tcW w:w="1062" w:type="dxa"/>
            <w:tcBorders>
              <w:top w:val="single" w:color="auto" w:sz="4" w:space="0"/>
              <w:left w:val="single" w:color="auto" w:sz="4" w:space="0"/>
              <w:bottom w:val="single" w:color="auto" w:sz="4" w:space="0"/>
              <w:right w:val="single" w:color="auto" w:sz="4" w:space="0"/>
            </w:tcBorders>
            <w:vAlign w:val="center"/>
          </w:tcPr>
          <w:p w14:paraId="70D0DDAD">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szCs w:val="21"/>
              </w:rPr>
            </w:pPr>
            <w:r>
              <w:rPr>
                <w:rFonts w:hint="eastAsia"/>
                <w:lang w:val="en-US" w:eastAsia="zh-CN"/>
              </w:rPr>
              <w:t>无</w:t>
            </w:r>
          </w:p>
        </w:tc>
        <w:tc>
          <w:tcPr>
            <w:tcW w:w="1898" w:type="dxa"/>
            <w:tcBorders>
              <w:top w:val="single" w:color="auto" w:sz="4" w:space="0"/>
              <w:left w:val="single" w:color="auto" w:sz="4" w:space="0"/>
              <w:bottom w:val="single" w:color="auto" w:sz="4" w:space="0"/>
              <w:right w:val="single" w:color="auto" w:sz="4" w:space="0"/>
            </w:tcBorders>
            <w:vAlign w:val="center"/>
          </w:tcPr>
          <w:p w14:paraId="17D51C94">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kern w:val="0"/>
                <w:szCs w:val="21"/>
              </w:rPr>
            </w:pPr>
            <w:r>
              <w:rPr>
                <w:rFonts w:hint="eastAsia"/>
                <w:lang w:val="en-US" w:eastAsia="zh-CN"/>
              </w:rPr>
              <w:t>无</w:t>
            </w:r>
          </w:p>
        </w:tc>
        <w:tc>
          <w:tcPr>
            <w:tcW w:w="1488" w:type="dxa"/>
            <w:tcBorders>
              <w:top w:val="single" w:color="auto" w:sz="4" w:space="0"/>
              <w:left w:val="single" w:color="auto" w:sz="4" w:space="0"/>
              <w:bottom w:val="single" w:color="auto" w:sz="4" w:space="0"/>
              <w:right w:val="single" w:color="auto" w:sz="4" w:space="0"/>
            </w:tcBorders>
            <w:vAlign w:val="center"/>
          </w:tcPr>
          <w:p w14:paraId="65B60E70">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kern w:val="0"/>
                <w:szCs w:val="21"/>
              </w:rPr>
            </w:pPr>
            <w:r>
              <w:rPr>
                <w:rFonts w:hint="eastAsia"/>
                <w:lang w:val="en-US" w:eastAsia="zh-CN"/>
              </w:rPr>
              <w:t>无</w:t>
            </w:r>
          </w:p>
        </w:tc>
        <w:tc>
          <w:tcPr>
            <w:tcW w:w="985" w:type="dxa"/>
            <w:tcBorders>
              <w:top w:val="single" w:color="auto" w:sz="4" w:space="0"/>
              <w:left w:val="single" w:color="auto" w:sz="4" w:space="0"/>
              <w:bottom w:val="single" w:color="auto" w:sz="4" w:space="0"/>
              <w:right w:val="single" w:color="auto" w:sz="4" w:space="0"/>
            </w:tcBorders>
            <w:vAlign w:val="center"/>
          </w:tcPr>
          <w:p w14:paraId="1454D321">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kern w:val="0"/>
                <w:szCs w:val="21"/>
              </w:rPr>
            </w:pPr>
            <w:r>
              <w:rPr>
                <w:rFonts w:hint="eastAsia"/>
                <w:lang w:val="en-US" w:eastAsia="zh-CN"/>
              </w:rPr>
              <w:t>无</w:t>
            </w:r>
          </w:p>
        </w:tc>
        <w:tc>
          <w:tcPr>
            <w:tcW w:w="580" w:type="dxa"/>
            <w:tcBorders>
              <w:top w:val="single" w:color="auto" w:sz="4" w:space="0"/>
              <w:left w:val="single" w:color="auto" w:sz="4" w:space="0"/>
              <w:bottom w:val="single" w:color="auto" w:sz="4" w:space="0"/>
              <w:right w:val="single" w:color="auto" w:sz="4" w:space="0"/>
            </w:tcBorders>
            <w:vAlign w:val="center"/>
          </w:tcPr>
          <w:p w14:paraId="153456CF">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szCs w:val="21"/>
              </w:rPr>
            </w:pPr>
            <w:r>
              <w:rPr>
                <w:rFonts w:hint="eastAsia"/>
                <w:lang w:val="en-US" w:eastAsia="zh-CN"/>
              </w:rPr>
              <w:t>无</w:t>
            </w:r>
          </w:p>
        </w:tc>
        <w:tc>
          <w:tcPr>
            <w:tcW w:w="580" w:type="dxa"/>
            <w:tcBorders>
              <w:top w:val="single" w:color="auto" w:sz="4" w:space="0"/>
              <w:left w:val="single" w:color="auto" w:sz="4" w:space="0"/>
              <w:bottom w:val="single" w:color="auto" w:sz="4" w:space="0"/>
              <w:right w:val="single" w:color="auto" w:sz="4" w:space="0"/>
            </w:tcBorders>
            <w:vAlign w:val="center"/>
          </w:tcPr>
          <w:p w14:paraId="13F2F10F">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szCs w:val="21"/>
              </w:rPr>
            </w:pPr>
            <w:r>
              <w:rPr>
                <w:rFonts w:hint="eastAsia"/>
                <w:lang w:val="en-US" w:eastAsia="zh-CN"/>
              </w:rPr>
              <w:t>无</w:t>
            </w:r>
          </w:p>
        </w:tc>
        <w:tc>
          <w:tcPr>
            <w:tcW w:w="1090" w:type="dxa"/>
            <w:tcBorders>
              <w:top w:val="single" w:color="auto" w:sz="4" w:space="0"/>
              <w:left w:val="single" w:color="auto" w:sz="4" w:space="0"/>
              <w:bottom w:val="single" w:color="auto" w:sz="4" w:space="0"/>
              <w:right w:val="single" w:color="auto" w:sz="4" w:space="0"/>
            </w:tcBorders>
            <w:vAlign w:val="center"/>
          </w:tcPr>
          <w:p w14:paraId="6A168637">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szCs w:val="21"/>
              </w:rPr>
            </w:pPr>
            <w:r>
              <w:rPr>
                <w:rFonts w:hint="eastAsia"/>
                <w:lang w:val="en-US" w:eastAsia="zh-CN"/>
              </w:rPr>
              <w:t>无</w:t>
            </w:r>
          </w:p>
        </w:tc>
        <w:tc>
          <w:tcPr>
            <w:tcW w:w="1055" w:type="dxa"/>
            <w:tcBorders>
              <w:top w:val="single" w:color="auto" w:sz="4" w:space="0"/>
              <w:left w:val="single" w:color="auto" w:sz="4" w:space="0"/>
              <w:bottom w:val="single" w:color="auto" w:sz="4" w:space="0"/>
              <w:right w:val="single" w:color="auto" w:sz="4" w:space="0"/>
            </w:tcBorders>
            <w:vAlign w:val="center"/>
          </w:tcPr>
          <w:p w14:paraId="7D27EDE7">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b/>
                <w:szCs w:val="21"/>
              </w:rPr>
            </w:pPr>
            <w:r>
              <w:rPr>
                <w:rFonts w:hint="eastAsia"/>
                <w:lang w:val="en-US" w:eastAsia="zh-CN"/>
              </w:rPr>
              <w:t>无</w:t>
            </w:r>
          </w:p>
        </w:tc>
        <w:tc>
          <w:tcPr>
            <w:tcW w:w="1069" w:type="dxa"/>
            <w:tcBorders>
              <w:top w:val="single" w:color="auto" w:sz="4" w:space="0"/>
              <w:left w:val="single" w:color="auto" w:sz="4" w:space="0"/>
              <w:bottom w:val="single" w:color="auto" w:sz="4" w:space="0"/>
              <w:right w:val="single" w:color="auto" w:sz="4" w:space="0"/>
            </w:tcBorders>
            <w:vAlign w:val="center"/>
          </w:tcPr>
          <w:p w14:paraId="7FDEB5C5">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szCs w:val="21"/>
              </w:rPr>
            </w:pPr>
            <w:r>
              <w:rPr>
                <w:rFonts w:hint="eastAsia"/>
                <w:lang w:val="en-US" w:eastAsia="zh-CN"/>
              </w:rPr>
              <w:t>无</w:t>
            </w:r>
          </w:p>
        </w:tc>
      </w:tr>
      <w:tr w14:paraId="5FF0E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0455" w:type="dxa"/>
            <w:gridSpan w:val="10"/>
            <w:tcBorders>
              <w:top w:val="single" w:color="auto" w:sz="4" w:space="0"/>
              <w:left w:val="single" w:color="auto" w:sz="4" w:space="0"/>
              <w:bottom w:val="single" w:color="auto" w:sz="4" w:space="0"/>
              <w:right w:val="single" w:color="auto" w:sz="4" w:space="0"/>
            </w:tcBorders>
            <w:vAlign w:val="center"/>
          </w:tcPr>
          <w:p w14:paraId="5ACF5B5D">
            <w:pPr>
              <w:keepNext w:val="0"/>
              <w:keepLines w:val="0"/>
              <w:pageBreakBefore w:val="0"/>
              <w:widowControl/>
              <w:kinsoku w:val="0"/>
              <w:wordWrap/>
              <w:overflowPunct/>
              <w:topLinePunct w:val="0"/>
              <w:autoSpaceDE/>
              <w:autoSpaceDN/>
              <w:bidi w:val="0"/>
              <w:adjustRightInd/>
              <w:snapToGrid/>
              <w:spacing w:line="360" w:lineRule="auto"/>
              <w:jc w:val="center"/>
              <w:textAlignment w:val="baseline"/>
            </w:pPr>
            <w:r>
              <w:rPr>
                <w:rFonts w:hint="eastAsia" w:ascii="宋体" w:hAnsi="宋体" w:cs="宋体"/>
                <w:szCs w:val="21"/>
              </w:rPr>
              <w:t>备件、专用工具、耗材等</w:t>
            </w:r>
          </w:p>
        </w:tc>
      </w:tr>
      <w:tr w14:paraId="1DD1A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378AAE97">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rPr>
              <w:t>无</w:t>
            </w:r>
          </w:p>
        </w:tc>
        <w:tc>
          <w:tcPr>
            <w:tcW w:w="1062" w:type="dxa"/>
            <w:tcBorders>
              <w:top w:val="single" w:color="auto" w:sz="4" w:space="0"/>
              <w:left w:val="single" w:color="auto" w:sz="4" w:space="0"/>
              <w:bottom w:val="single" w:color="auto" w:sz="4" w:space="0"/>
              <w:right w:val="single" w:color="auto" w:sz="4" w:space="0"/>
            </w:tcBorders>
            <w:vAlign w:val="center"/>
          </w:tcPr>
          <w:p w14:paraId="5E589891">
            <w:pPr>
              <w:keepNext w:val="0"/>
              <w:keepLines w:val="0"/>
              <w:pageBreakBefore w:val="0"/>
              <w:widowControl/>
              <w:kinsoku w:val="0"/>
              <w:wordWrap/>
              <w:overflowPunct/>
              <w:topLinePunct w:val="0"/>
              <w:autoSpaceDE/>
              <w:autoSpaceDN/>
              <w:bidi w:val="0"/>
              <w:adjustRightInd/>
              <w:snapToGrid/>
              <w:spacing w:line="360" w:lineRule="auto"/>
              <w:jc w:val="center"/>
              <w:textAlignment w:val="baseline"/>
            </w:pPr>
            <w:r>
              <w:rPr>
                <w:rFonts w:hint="eastAsia"/>
              </w:rPr>
              <w:t>无</w:t>
            </w:r>
          </w:p>
        </w:tc>
        <w:tc>
          <w:tcPr>
            <w:tcW w:w="1898" w:type="dxa"/>
            <w:tcBorders>
              <w:top w:val="single" w:color="auto" w:sz="4" w:space="0"/>
              <w:left w:val="single" w:color="auto" w:sz="4" w:space="0"/>
              <w:bottom w:val="single" w:color="auto" w:sz="4" w:space="0"/>
              <w:right w:val="single" w:color="auto" w:sz="4" w:space="0"/>
            </w:tcBorders>
            <w:vAlign w:val="center"/>
          </w:tcPr>
          <w:p w14:paraId="07E1D7FC">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rPr>
            </w:pPr>
            <w:r>
              <w:rPr>
                <w:rFonts w:hint="eastAsia"/>
              </w:rPr>
              <w:t>无</w:t>
            </w:r>
          </w:p>
        </w:tc>
        <w:tc>
          <w:tcPr>
            <w:tcW w:w="1488" w:type="dxa"/>
            <w:tcBorders>
              <w:top w:val="single" w:color="auto" w:sz="4" w:space="0"/>
              <w:left w:val="single" w:color="auto" w:sz="4" w:space="0"/>
              <w:bottom w:val="single" w:color="auto" w:sz="4" w:space="0"/>
              <w:right w:val="single" w:color="auto" w:sz="4" w:space="0"/>
            </w:tcBorders>
            <w:vAlign w:val="center"/>
          </w:tcPr>
          <w:p w14:paraId="7E2781D6">
            <w:pPr>
              <w:keepNext w:val="0"/>
              <w:keepLines w:val="0"/>
              <w:pageBreakBefore w:val="0"/>
              <w:widowControl/>
              <w:kinsoku w:val="0"/>
              <w:wordWrap/>
              <w:overflowPunct/>
              <w:topLinePunct w:val="0"/>
              <w:autoSpaceDE/>
              <w:autoSpaceDN/>
              <w:bidi w:val="0"/>
              <w:adjustRightInd/>
              <w:snapToGrid/>
              <w:spacing w:line="360" w:lineRule="auto"/>
              <w:jc w:val="center"/>
              <w:textAlignment w:val="baseline"/>
              <w:rPr>
                <w:rFonts w:ascii="宋体" w:hAnsi="宋体" w:cs="宋体"/>
              </w:rPr>
            </w:pPr>
            <w:r>
              <w:rPr>
                <w:rFonts w:hint="eastAsia"/>
              </w:rPr>
              <w:t>无</w:t>
            </w:r>
          </w:p>
        </w:tc>
        <w:tc>
          <w:tcPr>
            <w:tcW w:w="985" w:type="dxa"/>
            <w:tcBorders>
              <w:top w:val="single" w:color="auto" w:sz="4" w:space="0"/>
              <w:left w:val="single" w:color="auto" w:sz="4" w:space="0"/>
              <w:bottom w:val="single" w:color="auto" w:sz="4" w:space="0"/>
              <w:right w:val="single" w:color="auto" w:sz="4" w:space="0"/>
            </w:tcBorders>
            <w:vAlign w:val="center"/>
          </w:tcPr>
          <w:p w14:paraId="4CACDDC9">
            <w:pPr>
              <w:keepNext w:val="0"/>
              <w:keepLines w:val="0"/>
              <w:pageBreakBefore w:val="0"/>
              <w:widowControl/>
              <w:kinsoku w:val="0"/>
              <w:wordWrap/>
              <w:overflowPunct/>
              <w:topLinePunct w:val="0"/>
              <w:autoSpaceDE/>
              <w:autoSpaceDN/>
              <w:bidi w:val="0"/>
              <w:adjustRightInd/>
              <w:snapToGrid/>
              <w:spacing w:line="360" w:lineRule="auto"/>
              <w:jc w:val="center"/>
              <w:textAlignment w:val="baseline"/>
            </w:pPr>
            <w:r>
              <w:rPr>
                <w:rFonts w:hint="eastAsia"/>
              </w:rPr>
              <w:t>无</w:t>
            </w:r>
          </w:p>
        </w:tc>
        <w:tc>
          <w:tcPr>
            <w:tcW w:w="580" w:type="dxa"/>
            <w:tcBorders>
              <w:top w:val="single" w:color="auto" w:sz="4" w:space="0"/>
              <w:left w:val="single" w:color="auto" w:sz="4" w:space="0"/>
              <w:bottom w:val="single" w:color="auto" w:sz="4" w:space="0"/>
              <w:right w:val="single" w:color="auto" w:sz="4" w:space="0"/>
            </w:tcBorders>
            <w:vAlign w:val="center"/>
          </w:tcPr>
          <w:p w14:paraId="1EC5495B">
            <w:pPr>
              <w:keepNext w:val="0"/>
              <w:keepLines w:val="0"/>
              <w:pageBreakBefore w:val="0"/>
              <w:wordWrap/>
              <w:overflowPunct/>
              <w:topLinePunct w:val="0"/>
              <w:autoSpaceDE/>
              <w:autoSpaceDN/>
              <w:bidi w:val="0"/>
              <w:adjustRightInd/>
              <w:snapToGrid/>
              <w:spacing w:line="360" w:lineRule="auto"/>
              <w:jc w:val="center"/>
              <w:rPr>
                <w:kern w:val="0"/>
                <w:szCs w:val="21"/>
                <w:shd w:val="clear" w:color="auto" w:fill="FFFFFF"/>
              </w:rPr>
            </w:pPr>
            <w:r>
              <w:rPr>
                <w:rFonts w:hint="eastAsia"/>
              </w:rPr>
              <w:t>无</w:t>
            </w:r>
          </w:p>
        </w:tc>
        <w:tc>
          <w:tcPr>
            <w:tcW w:w="580" w:type="dxa"/>
            <w:tcBorders>
              <w:top w:val="single" w:color="auto" w:sz="4" w:space="0"/>
              <w:left w:val="single" w:color="auto" w:sz="4" w:space="0"/>
              <w:bottom w:val="single" w:color="auto" w:sz="4" w:space="0"/>
              <w:right w:val="single" w:color="auto" w:sz="4" w:space="0"/>
            </w:tcBorders>
            <w:vAlign w:val="center"/>
          </w:tcPr>
          <w:p w14:paraId="119BD9AA">
            <w:pPr>
              <w:keepNext w:val="0"/>
              <w:keepLines w:val="0"/>
              <w:pageBreakBefore w:val="0"/>
              <w:widowControl/>
              <w:kinsoku w:val="0"/>
              <w:wordWrap/>
              <w:overflowPunct/>
              <w:topLinePunct w:val="0"/>
              <w:autoSpaceDE/>
              <w:autoSpaceDN/>
              <w:bidi w:val="0"/>
              <w:adjustRightInd/>
              <w:snapToGrid/>
              <w:spacing w:line="360" w:lineRule="auto"/>
              <w:jc w:val="center"/>
              <w:textAlignment w:val="baseline"/>
            </w:pPr>
            <w:r>
              <w:rPr>
                <w:rFonts w:hint="eastAsia"/>
              </w:rPr>
              <w:t>无</w:t>
            </w:r>
          </w:p>
        </w:tc>
        <w:tc>
          <w:tcPr>
            <w:tcW w:w="1090" w:type="dxa"/>
            <w:tcBorders>
              <w:top w:val="single" w:color="auto" w:sz="4" w:space="0"/>
              <w:left w:val="single" w:color="auto" w:sz="4" w:space="0"/>
              <w:bottom w:val="single" w:color="auto" w:sz="4" w:space="0"/>
              <w:right w:val="single" w:color="auto" w:sz="4" w:space="0"/>
            </w:tcBorders>
            <w:vAlign w:val="center"/>
          </w:tcPr>
          <w:p w14:paraId="22FA0BAD">
            <w:pPr>
              <w:keepNext w:val="0"/>
              <w:keepLines w:val="0"/>
              <w:pageBreakBefore w:val="0"/>
              <w:widowControl/>
              <w:wordWrap/>
              <w:overflowPunct/>
              <w:topLinePunct w:val="0"/>
              <w:autoSpaceDE/>
              <w:autoSpaceDN/>
              <w:bidi w:val="0"/>
              <w:adjustRightInd/>
              <w:snapToGrid/>
              <w:spacing w:line="360" w:lineRule="auto"/>
              <w:jc w:val="center"/>
              <w:rPr>
                <w:rFonts w:ascii="宋体" w:hAnsi="宋体" w:cs="宋体"/>
              </w:rPr>
            </w:pPr>
            <w:r>
              <w:rPr>
                <w:rFonts w:hint="eastAsia"/>
              </w:rPr>
              <w:t>无</w:t>
            </w:r>
          </w:p>
        </w:tc>
        <w:tc>
          <w:tcPr>
            <w:tcW w:w="1055" w:type="dxa"/>
            <w:tcBorders>
              <w:top w:val="single" w:color="auto" w:sz="4" w:space="0"/>
              <w:left w:val="single" w:color="auto" w:sz="4" w:space="0"/>
              <w:bottom w:val="single" w:color="auto" w:sz="4" w:space="0"/>
              <w:right w:val="single" w:color="auto" w:sz="4" w:space="0"/>
            </w:tcBorders>
            <w:vAlign w:val="center"/>
          </w:tcPr>
          <w:p w14:paraId="6D9EB92C">
            <w:pPr>
              <w:keepNext w:val="0"/>
              <w:keepLines w:val="0"/>
              <w:pageBreakBefore w:val="0"/>
              <w:widowControl/>
              <w:wordWrap/>
              <w:overflowPunct/>
              <w:topLinePunct w:val="0"/>
              <w:autoSpaceDE/>
              <w:autoSpaceDN/>
              <w:bidi w:val="0"/>
              <w:adjustRightInd/>
              <w:snapToGrid/>
              <w:spacing w:line="360" w:lineRule="auto"/>
              <w:jc w:val="center"/>
              <w:rPr>
                <w:rFonts w:ascii="宋体" w:hAnsi="宋体" w:cs="宋体"/>
              </w:rPr>
            </w:pPr>
            <w:r>
              <w:rPr>
                <w:rFonts w:hint="eastAsia"/>
              </w:rPr>
              <w:t>无</w:t>
            </w:r>
          </w:p>
        </w:tc>
        <w:tc>
          <w:tcPr>
            <w:tcW w:w="1069" w:type="dxa"/>
            <w:tcBorders>
              <w:top w:val="single" w:color="auto" w:sz="4" w:space="0"/>
              <w:left w:val="single" w:color="auto" w:sz="4" w:space="0"/>
              <w:bottom w:val="single" w:color="auto" w:sz="4" w:space="0"/>
              <w:right w:val="single" w:color="auto" w:sz="4" w:space="0"/>
            </w:tcBorders>
            <w:vAlign w:val="center"/>
          </w:tcPr>
          <w:p w14:paraId="7D32B834">
            <w:pPr>
              <w:keepNext w:val="0"/>
              <w:keepLines w:val="0"/>
              <w:pageBreakBefore w:val="0"/>
              <w:widowControl/>
              <w:wordWrap/>
              <w:overflowPunct/>
              <w:topLinePunct w:val="0"/>
              <w:autoSpaceDE/>
              <w:autoSpaceDN/>
              <w:bidi w:val="0"/>
              <w:adjustRightInd/>
              <w:snapToGrid/>
              <w:spacing w:line="360" w:lineRule="auto"/>
              <w:jc w:val="center"/>
            </w:pPr>
            <w:r>
              <w:rPr>
                <w:rFonts w:hint="eastAsia"/>
              </w:rPr>
              <w:t>无</w:t>
            </w:r>
          </w:p>
        </w:tc>
      </w:tr>
      <w:tr w14:paraId="37034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710" w:type="dxa"/>
            <w:gridSpan w:val="2"/>
            <w:tcBorders>
              <w:top w:val="single" w:color="auto" w:sz="4" w:space="0"/>
              <w:left w:val="single" w:color="auto" w:sz="4" w:space="0"/>
              <w:bottom w:val="single" w:color="auto" w:sz="4" w:space="0"/>
              <w:right w:val="single" w:color="auto" w:sz="4" w:space="0"/>
            </w:tcBorders>
            <w:vAlign w:val="center"/>
          </w:tcPr>
          <w:p w14:paraId="0E032620">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合计</w:t>
            </w:r>
          </w:p>
        </w:tc>
        <w:tc>
          <w:tcPr>
            <w:tcW w:w="8745" w:type="dxa"/>
            <w:gridSpan w:val="8"/>
            <w:tcBorders>
              <w:top w:val="single" w:color="auto" w:sz="4" w:space="0"/>
              <w:left w:val="single" w:color="auto" w:sz="4" w:space="0"/>
              <w:bottom w:val="single" w:color="auto" w:sz="4" w:space="0"/>
              <w:right w:val="single" w:color="auto" w:sz="4" w:space="0"/>
            </w:tcBorders>
            <w:vAlign w:val="center"/>
          </w:tcPr>
          <w:p w14:paraId="29DA4E87">
            <w:pPr>
              <w:keepNext w:val="0"/>
              <w:keepLines w:val="0"/>
              <w:pageBreakBefore w:val="0"/>
              <w:wordWrap/>
              <w:overflowPunct/>
              <w:topLinePunct w:val="0"/>
              <w:autoSpaceDE/>
              <w:autoSpaceDN/>
              <w:bidi w:val="0"/>
              <w:adjustRightInd/>
              <w:snapToGrid/>
              <w:spacing w:line="360" w:lineRule="auto"/>
              <w:jc w:val="center"/>
              <w:rPr>
                <w:rFonts w:ascii="宋体" w:hAnsi="宋体" w:cs="宋体"/>
                <w:b/>
                <w:bCs/>
                <w:szCs w:val="21"/>
              </w:rPr>
            </w:pPr>
            <w:r>
              <w:rPr>
                <w:rFonts w:hint="eastAsia" w:ascii="宋体" w:hAnsi="宋体" w:cs="宋体"/>
                <w:szCs w:val="21"/>
              </w:rPr>
              <w:t>人民币大写：</w:t>
            </w:r>
            <w:r>
              <w:rPr>
                <w:rFonts w:hint="eastAsia" w:ascii="宋体" w:hAnsi="宋体" w:cs="宋体"/>
                <w:szCs w:val="21"/>
                <w:lang w:val="en-US" w:eastAsia="zh-CN"/>
              </w:rPr>
              <w:t>****</w:t>
            </w:r>
            <w:r>
              <w:rPr>
                <w:rFonts w:hint="eastAsia" w:ascii="宋体" w:hAnsi="宋体" w:cs="宋体"/>
                <w:szCs w:val="21"/>
              </w:rPr>
              <w:t>元整（￥：</w:t>
            </w:r>
            <w:r>
              <w:rPr>
                <w:rFonts w:hint="eastAsia" w:ascii="宋体" w:hAnsi="宋体" w:cs="宋体"/>
                <w:szCs w:val="21"/>
                <w:lang w:val="en-US" w:eastAsia="zh-CN"/>
              </w:rPr>
              <w:t>*****</w:t>
            </w:r>
            <w:r>
              <w:rPr>
                <w:rFonts w:hint="eastAsia" w:ascii="宋体" w:hAnsi="宋体" w:cs="宋体"/>
                <w:szCs w:val="21"/>
              </w:rPr>
              <w:t>元）</w:t>
            </w:r>
          </w:p>
        </w:tc>
      </w:tr>
      <w:tr w14:paraId="3EC2B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710" w:type="dxa"/>
            <w:gridSpan w:val="2"/>
            <w:tcBorders>
              <w:top w:val="single" w:color="auto" w:sz="4" w:space="0"/>
              <w:left w:val="single" w:color="auto" w:sz="4" w:space="0"/>
              <w:bottom w:val="single" w:color="auto" w:sz="4" w:space="0"/>
              <w:right w:val="single" w:color="auto" w:sz="4" w:space="0"/>
            </w:tcBorders>
            <w:vAlign w:val="center"/>
          </w:tcPr>
          <w:p w14:paraId="14C72437">
            <w:pPr>
              <w:keepNext w:val="0"/>
              <w:keepLines w:val="0"/>
              <w:pageBreakBefore w:val="0"/>
              <w:wordWrap/>
              <w:overflowPunct/>
              <w:topLinePunct w:val="0"/>
              <w:autoSpaceDE/>
              <w:autoSpaceDN/>
              <w:bidi w:val="0"/>
              <w:adjustRightInd/>
              <w:snapToGrid/>
              <w:spacing w:line="360" w:lineRule="auto"/>
              <w:jc w:val="center"/>
              <w:rPr>
                <w:rFonts w:ascii="宋体" w:hAnsi="宋体" w:cs="宋体"/>
                <w:szCs w:val="21"/>
              </w:rPr>
            </w:pPr>
            <w:r>
              <w:rPr>
                <w:rFonts w:hint="eastAsia" w:ascii="宋体" w:hAnsi="宋体" w:cs="宋体"/>
                <w:szCs w:val="21"/>
              </w:rPr>
              <w:t>备注</w:t>
            </w:r>
          </w:p>
        </w:tc>
        <w:tc>
          <w:tcPr>
            <w:tcW w:w="8745" w:type="dxa"/>
            <w:gridSpan w:val="8"/>
            <w:tcBorders>
              <w:top w:val="single" w:color="auto" w:sz="4" w:space="0"/>
              <w:left w:val="single" w:color="auto" w:sz="4" w:space="0"/>
              <w:bottom w:val="single" w:color="auto" w:sz="4" w:space="0"/>
              <w:right w:val="single" w:color="auto" w:sz="4" w:space="0"/>
            </w:tcBorders>
            <w:vAlign w:val="center"/>
          </w:tcPr>
          <w:p w14:paraId="36C500F6">
            <w:pPr>
              <w:keepNext w:val="0"/>
              <w:keepLines w:val="0"/>
              <w:pageBreakBefore w:val="0"/>
              <w:wordWrap/>
              <w:overflowPunct/>
              <w:topLinePunct w:val="0"/>
              <w:autoSpaceDE/>
              <w:autoSpaceDN/>
              <w:bidi w:val="0"/>
              <w:adjustRightInd/>
              <w:snapToGrid/>
              <w:spacing w:line="360" w:lineRule="auto"/>
              <w:jc w:val="center"/>
              <w:rPr>
                <w:rFonts w:hint="eastAsia" w:ascii="宋体" w:hAnsi="宋体" w:eastAsia="宋体" w:cs="宋体"/>
                <w:b/>
                <w:bCs/>
                <w:szCs w:val="21"/>
                <w:lang w:eastAsia="zh-CN"/>
              </w:rPr>
            </w:pPr>
            <w:r>
              <w:rPr>
                <w:rFonts w:hint="eastAsia" w:ascii="宋体" w:hAnsi="宋体" w:cs="宋体"/>
                <w:szCs w:val="21"/>
                <w:lang w:val="en-US" w:eastAsia="zh-CN"/>
              </w:rPr>
              <w:t>无</w:t>
            </w:r>
          </w:p>
        </w:tc>
      </w:tr>
    </w:tbl>
    <w:p w14:paraId="202FD10A">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本合同（清单1+清单2）总金额人民币大写：</w:t>
      </w:r>
      <w:r>
        <w:rPr>
          <w:rFonts w:hint="eastAsia" w:ascii="宋体" w:hAnsi="宋体" w:eastAsia="宋体" w:cs="宋体"/>
          <w:b/>
          <w:color w:val="auto"/>
          <w:sz w:val="21"/>
          <w:szCs w:val="21"/>
          <w:highlight w:val="none"/>
          <w:u w:val="single"/>
        </w:rPr>
        <w:t>贰佰贰拾万零捌仟捌佰元整</w:t>
      </w:r>
      <w:r>
        <w:rPr>
          <w:rFonts w:hint="eastAsia" w:ascii="宋体" w:hAnsi="宋体" w:eastAsia="宋体" w:cs="宋体"/>
          <w:color w:val="auto"/>
          <w:sz w:val="21"/>
          <w:szCs w:val="21"/>
          <w:highlight w:val="none"/>
        </w:rPr>
        <w:t>（RMB：</w:t>
      </w:r>
      <w:r>
        <w:rPr>
          <w:rFonts w:hint="eastAsia" w:ascii="宋体" w:hAnsi="宋体" w:eastAsia="宋体" w:cs="宋体"/>
          <w:b/>
          <w:color w:val="auto"/>
          <w:sz w:val="21"/>
          <w:szCs w:val="21"/>
          <w:highlight w:val="none"/>
          <w:u w:val="single"/>
        </w:rPr>
        <w:t>2208800.00元</w:t>
      </w:r>
      <w:r>
        <w:rPr>
          <w:rFonts w:hint="eastAsia" w:ascii="宋体" w:hAnsi="宋体" w:eastAsia="宋体" w:cs="宋体"/>
          <w:color w:val="auto"/>
          <w:sz w:val="21"/>
          <w:szCs w:val="21"/>
          <w:highlight w:val="none"/>
        </w:rPr>
        <w:t>）。</w:t>
      </w:r>
    </w:p>
    <w:p w14:paraId="184FA103">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本合同总金额为货物从生产厂家至河南中医药大学校内甲方指定地点总价。包括：货物和附属装置、备品备件、专用工具、安装调试、培训、运输、保险、验收检测费、各类税费及相关技术服务费用和验收合格之前及保修期与备品备件等为履行合同发生的所有含税费用。</w:t>
      </w:r>
    </w:p>
    <w:p w14:paraId="487124AC">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乙方负责办理合同所涉及的进口货物海关免税手续，甲方协助乙方办理进口免税相关事项，提供与其享受免关税待遇相关的证明文件资料，费用已包括在合同总金额内。</w:t>
      </w:r>
    </w:p>
    <w:p w14:paraId="62FF2701">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本合同执行期间合同总金额不变。甲方无须另向乙方支付本合同规定之外的其他任何费用。</w:t>
      </w:r>
    </w:p>
    <w:p w14:paraId="6432605A">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乙方所供货物若与合同要求不相符时，甲方有权拒收，并拒付该部分货物的货款。</w:t>
      </w:r>
    </w:p>
    <w:p w14:paraId="1D5AC2EE">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履约保证金：</w:t>
      </w:r>
    </w:p>
    <w:p w14:paraId="38D5D8A2">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签订合同前乙方按招标文件要求缴纳中标价（成交价）5%作为履约保证金，若乙方未履行合同或履行合同不符合要求的，则履约保证金不予退还；若乙方履行合同，货物经验收合格无质量问题，甲方无息退还履约保证金（凭收款收据）。</w:t>
      </w:r>
    </w:p>
    <w:p w14:paraId="359F35F2">
      <w:pPr>
        <w:keepNext w:val="0"/>
        <w:keepLines w:val="0"/>
        <w:pageBreakBefore w:val="0"/>
        <w:wordWrap/>
        <w:overflowPunct/>
        <w:topLinePunct w:val="0"/>
        <w:autoSpaceDE/>
        <w:autoSpaceDN/>
        <w:bidi w:val="0"/>
        <w:adjustRightInd/>
        <w:snapToGrid/>
        <w:spacing w:line="360" w:lineRule="auto"/>
        <w:ind w:left="479" w:leftChars="228"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交纳方式：中标人在领取中标通知书后签订合同前将履约保证金汇（存）入采购方指定银行</w:t>
      </w:r>
      <w:r>
        <w:rPr>
          <w:rFonts w:hint="eastAsia" w:ascii="宋体" w:hAnsi="宋体" w:eastAsia="宋体" w:cs="宋体"/>
          <w:color w:val="auto"/>
          <w:sz w:val="21"/>
          <w:szCs w:val="21"/>
          <w:highlight w:val="none"/>
          <w:lang w:val="en-US" w:eastAsia="zh-CN"/>
        </w:rPr>
        <w:t>账</w:t>
      </w:r>
      <w:r>
        <w:rPr>
          <w:rFonts w:hint="eastAsia" w:ascii="宋体" w:hAnsi="宋体" w:eastAsia="宋体" w:cs="宋体"/>
          <w:color w:val="auto"/>
          <w:sz w:val="21"/>
          <w:szCs w:val="21"/>
          <w:highlight w:val="none"/>
        </w:rPr>
        <w:t>户：</w:t>
      </w:r>
    </w:p>
    <w:p w14:paraId="09162CA9">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开户名称：河南中医药大学</w:t>
      </w:r>
    </w:p>
    <w:p w14:paraId="1A04035A">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  号：1702020609200014257</w:t>
      </w:r>
    </w:p>
    <w:p w14:paraId="1D5E3262">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开户行：工商银行花园路支行（请注明中标通知书中的合同编号）</w:t>
      </w:r>
    </w:p>
    <w:p w14:paraId="6A93A651">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二、货物质量标准</w:t>
      </w:r>
    </w:p>
    <w:p w14:paraId="51ADC535">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乙方提供的货物必须符合中华人民共和国国家相关标准、行业强制性标准及环保要求。同时技术指标必须与乙方投标文件所陈述的指标保持一致。用于临床的医疗仪器必须有有效的医疗器械注册证。</w:t>
      </w:r>
    </w:p>
    <w:p w14:paraId="31BD543E">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乙方提供的货物必须为全新的、未使用过的原厂原包装产品（含零部件、配件、随机工具、技术文件等），且进货渠道合法。</w:t>
      </w:r>
    </w:p>
    <w:p w14:paraId="24660EEB">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乙方提供的货物必须包装外观完好、无破损，货物洁净完好、无划痕、无凹陷、无</w:t>
      </w:r>
      <w:r>
        <w:rPr>
          <w:rFonts w:hint="eastAsia" w:ascii="宋体" w:hAnsi="宋体" w:eastAsia="宋体" w:cs="宋体"/>
          <w:color w:val="auto"/>
          <w:sz w:val="21"/>
          <w:szCs w:val="21"/>
          <w:highlight w:val="none"/>
          <w:lang w:val="en-US" w:eastAsia="zh-CN"/>
        </w:rPr>
        <w:t>褪</w:t>
      </w:r>
      <w:r>
        <w:rPr>
          <w:rFonts w:hint="eastAsia" w:ascii="宋体" w:hAnsi="宋体" w:eastAsia="宋体" w:cs="宋体"/>
          <w:color w:val="auto"/>
          <w:sz w:val="21"/>
          <w:szCs w:val="21"/>
          <w:highlight w:val="none"/>
        </w:rPr>
        <w:t>色、无锈迹。</w:t>
      </w:r>
    </w:p>
    <w:p w14:paraId="623D39AE">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乙方提供的货物不符合合同规定的质量要求的，甲方有权拒绝接</w:t>
      </w:r>
      <w:r>
        <w:rPr>
          <w:rFonts w:hint="eastAsia" w:ascii="宋体" w:hAnsi="宋体" w:eastAsia="宋体" w:cs="宋体"/>
          <w:color w:val="auto"/>
          <w:sz w:val="21"/>
          <w:szCs w:val="21"/>
          <w:highlight w:val="none"/>
          <w:lang w:val="en-US" w:eastAsia="zh-CN"/>
        </w:rPr>
        <w:t>收</w:t>
      </w:r>
      <w:r>
        <w:rPr>
          <w:rFonts w:hint="eastAsia" w:ascii="宋体" w:hAnsi="宋体" w:eastAsia="宋体" w:cs="宋体"/>
          <w:color w:val="auto"/>
          <w:sz w:val="21"/>
          <w:szCs w:val="21"/>
          <w:highlight w:val="none"/>
        </w:rPr>
        <w:t>该货物，乙方应更换被拒绝的货物，并达到合同规定的质量要求，所造成的损失由乙方承担。必要时甲方有权解除合同。</w:t>
      </w:r>
    </w:p>
    <w:p w14:paraId="63CACF97">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因货物的质量问题发生争议，由河南省商检部门进行质量鉴定。货物符合质量标准的，鉴定费由甲方承担；货物不符合质量标准的，鉴定费由乙方承担。</w:t>
      </w:r>
    </w:p>
    <w:p w14:paraId="4CE65012">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三、货物包装、交货</w:t>
      </w:r>
    </w:p>
    <w:p w14:paraId="54F94F06">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包装</w:t>
      </w:r>
    </w:p>
    <w:p w14:paraId="7715723B">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⑴ 合同货物的包装必须与运输方式相适应，应有良好的防湿、防锈、防潮、防雨、防腐及防碰撞的措施。凡由于不适当的包装而造成货物在运输过程中有任何损坏、丢失等由乙方负责。</w:t>
      </w:r>
    </w:p>
    <w:p w14:paraId="6098D660">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⑵ 包装应足以承受整个过程中的运输、转运、装卸、储存等，充分考虑到运输途中的各种情况（如暴露于恶劣气候等），以及露天存放的需要。</w:t>
      </w:r>
    </w:p>
    <w:p w14:paraId="0883E7BD">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交货</w:t>
      </w:r>
    </w:p>
    <w:p w14:paraId="756D5F92">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⑴ 乙方交货时间：合同生效后</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60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日内全部</w:t>
      </w:r>
      <w:r>
        <w:rPr>
          <w:rFonts w:hint="eastAsia" w:ascii="宋体" w:hAnsi="宋体" w:eastAsia="宋体" w:cs="宋体"/>
          <w:color w:val="auto"/>
          <w:sz w:val="21"/>
          <w:szCs w:val="21"/>
          <w:highlight w:val="none"/>
          <w:lang w:val="en-US" w:eastAsia="zh-CN"/>
        </w:rPr>
        <w:t>完成</w:t>
      </w:r>
      <w:r>
        <w:rPr>
          <w:rFonts w:hint="eastAsia" w:ascii="宋体" w:hAnsi="宋体" w:eastAsia="宋体" w:cs="宋体"/>
          <w:color w:val="auto"/>
          <w:sz w:val="21"/>
          <w:szCs w:val="21"/>
          <w:highlight w:val="none"/>
        </w:rPr>
        <w:t>交货。交货完毕后及时提交货物验收申请（货物经验收合格的，交货日期以甲方收到乙方验收申请函日期为准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验收不合格的，交货日期以实际验收合格日期为准）。即</w:t>
      </w:r>
      <w:r>
        <w:rPr>
          <w:rFonts w:hint="eastAsia" w:ascii="宋体" w:hAnsi="宋体" w:eastAsia="宋体" w:cs="宋体"/>
          <w:color w:val="0000FF"/>
          <w:sz w:val="21"/>
          <w:szCs w:val="21"/>
          <w:highlight w:val="none"/>
        </w:rPr>
        <w:t>在</w:t>
      </w:r>
      <w:r>
        <w:rPr>
          <w:rFonts w:hint="eastAsia" w:ascii="宋体" w:hAnsi="宋体" w:cs="宋体"/>
          <w:b/>
          <w:color w:val="0000FF"/>
          <w:sz w:val="21"/>
          <w:szCs w:val="21"/>
          <w:highlight w:val="none"/>
          <w:u w:val="single"/>
          <w:lang w:val="en-US" w:eastAsia="zh-CN"/>
        </w:rPr>
        <w:t xml:space="preserve">      </w:t>
      </w:r>
      <w:r>
        <w:rPr>
          <w:rFonts w:hint="eastAsia" w:ascii="宋体" w:hAnsi="宋体" w:eastAsia="宋体" w:cs="宋体"/>
          <w:color w:val="0000FF"/>
          <w:sz w:val="21"/>
          <w:szCs w:val="21"/>
          <w:highlight w:val="none"/>
        </w:rPr>
        <w:t>年</w:t>
      </w:r>
      <w:r>
        <w:rPr>
          <w:rFonts w:hint="eastAsia" w:ascii="宋体" w:hAnsi="宋体" w:cs="宋体"/>
          <w:b/>
          <w:color w:val="0000FF"/>
          <w:sz w:val="21"/>
          <w:szCs w:val="21"/>
          <w:highlight w:val="none"/>
          <w:u w:val="single"/>
          <w:lang w:val="en-US" w:eastAsia="zh-CN"/>
        </w:rPr>
        <w:t xml:space="preserve">    </w:t>
      </w:r>
      <w:r>
        <w:rPr>
          <w:rFonts w:hint="eastAsia" w:ascii="宋体" w:hAnsi="宋体" w:eastAsia="宋体" w:cs="宋体"/>
          <w:color w:val="0000FF"/>
          <w:sz w:val="21"/>
          <w:szCs w:val="21"/>
          <w:highlight w:val="none"/>
        </w:rPr>
        <w:t>月</w:t>
      </w:r>
      <w:r>
        <w:rPr>
          <w:rFonts w:hint="eastAsia" w:ascii="宋体" w:hAnsi="宋体" w:cs="宋体"/>
          <w:b/>
          <w:color w:val="0000FF"/>
          <w:sz w:val="21"/>
          <w:szCs w:val="21"/>
          <w:highlight w:val="none"/>
          <w:u w:val="single"/>
          <w:lang w:val="en-US" w:eastAsia="zh-CN"/>
        </w:rPr>
        <w:t xml:space="preserve">     </w:t>
      </w:r>
      <w:r>
        <w:rPr>
          <w:rFonts w:hint="eastAsia" w:ascii="宋体" w:hAnsi="宋体" w:eastAsia="宋体" w:cs="宋体"/>
          <w:color w:val="0000FF"/>
          <w:sz w:val="21"/>
          <w:szCs w:val="21"/>
          <w:highlight w:val="none"/>
        </w:rPr>
        <w:t>日</w:t>
      </w:r>
      <w:r>
        <w:rPr>
          <w:rFonts w:hint="eastAsia" w:ascii="宋体" w:hAnsi="宋体" w:eastAsia="宋体" w:cs="宋体"/>
          <w:color w:val="auto"/>
          <w:sz w:val="21"/>
          <w:szCs w:val="21"/>
          <w:highlight w:val="none"/>
        </w:rPr>
        <w:t>前完成全部仪器设备的安装调试，并交付使用(如由于采购人的原因造成合同延迟签订或验收的，时间顺延)。乙方逾期交付物品，则每迟交一周货物应向甲方支付货款总额5%违约金，不足一周按一周计算。</w:t>
      </w:r>
    </w:p>
    <w:p w14:paraId="29A3F9DA">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⑵</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根据所购货物情况，甲方确定是否在发货前对所供货物进行检查，以保证所发货物与合同一致。所需费用由乙方承担。</w:t>
      </w:r>
    </w:p>
    <w:p w14:paraId="2B359FD2">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⑶ 乙方交货地点：河南中医药大学指定地点。</w:t>
      </w:r>
    </w:p>
    <w:p w14:paraId="226C1E30">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⑷ 合同货物抵达甲方后，由甲乙双方一同清点货物数量，开箱检验表面状况，核对规格型号。并负责解决开箱检验清点发现的问题和赔偿。</w:t>
      </w:r>
    </w:p>
    <w:p w14:paraId="5D61E223">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⑸ 乙方应将合同货物的产品序列号、用户手册、技术资料（包括详细装箱单、质量证书、设备说明书、使用手册和其</w:t>
      </w:r>
      <w:r>
        <w:rPr>
          <w:rFonts w:hint="eastAsia" w:ascii="宋体" w:hAnsi="宋体" w:eastAsia="宋体" w:cs="宋体"/>
          <w:color w:val="auto"/>
          <w:sz w:val="21"/>
          <w:szCs w:val="21"/>
          <w:highlight w:val="none"/>
          <w:lang w:val="en-US" w:eastAsia="zh-CN"/>
        </w:rPr>
        <w:t>他</w:t>
      </w:r>
      <w:r>
        <w:rPr>
          <w:rFonts w:hint="eastAsia" w:ascii="宋体" w:hAnsi="宋体" w:eastAsia="宋体" w:cs="宋体"/>
          <w:color w:val="auto"/>
          <w:sz w:val="21"/>
          <w:szCs w:val="21"/>
          <w:highlight w:val="none"/>
        </w:rPr>
        <w:t>相关技术资料）及配件、随机工具等一并交付给甲方。</w:t>
      </w:r>
    </w:p>
    <w:p w14:paraId="0CBB439F">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⑹ 专用工具及备品、备件应分别包装，并在包装箱外加以注明其用处。</w:t>
      </w:r>
    </w:p>
    <w:p w14:paraId="783FC92F">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四、合同货物的安装、调试</w:t>
      </w:r>
    </w:p>
    <w:p w14:paraId="5A78CF47">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乙方负责合同项下货物的安装调试至能够正常开机使用，且与合同要求的各项技术指标一致，符合各项安全标准，一切费用由乙方负责。</w:t>
      </w:r>
    </w:p>
    <w:p w14:paraId="15AA90A5">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乙方安装时须对各安装场地内的其</w:t>
      </w:r>
      <w:r>
        <w:rPr>
          <w:rFonts w:hint="eastAsia" w:ascii="宋体" w:hAnsi="宋体" w:eastAsia="宋体" w:cs="宋体"/>
          <w:color w:val="auto"/>
          <w:sz w:val="21"/>
          <w:szCs w:val="21"/>
          <w:highlight w:val="none"/>
          <w:lang w:val="en-US" w:eastAsia="zh-CN"/>
        </w:rPr>
        <w:t>他</w:t>
      </w:r>
      <w:r>
        <w:rPr>
          <w:rFonts w:hint="eastAsia" w:ascii="宋体" w:hAnsi="宋体" w:eastAsia="宋体" w:cs="宋体"/>
          <w:color w:val="auto"/>
          <w:sz w:val="21"/>
          <w:szCs w:val="21"/>
          <w:highlight w:val="none"/>
        </w:rPr>
        <w:t>设备、设施有良好保护措施。</w:t>
      </w:r>
    </w:p>
    <w:p w14:paraId="0EF58AD8">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五、安全责任</w:t>
      </w:r>
    </w:p>
    <w:p w14:paraId="57299A0A">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乙方在安装、调试合同货物过程中要严格执行国家有关人身安全及防火安全的规定，做好各项防护措施，防止各类事故的发生，若造成人身伤害及货物损坏事故等，则由乙方负全部责任</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并对甲方造成实际损失进行赔偿</w:t>
      </w:r>
      <w:r>
        <w:rPr>
          <w:rFonts w:hint="eastAsia" w:ascii="宋体" w:hAnsi="宋体" w:eastAsia="宋体" w:cs="宋体"/>
          <w:color w:val="auto"/>
          <w:sz w:val="21"/>
          <w:szCs w:val="21"/>
          <w:highlight w:val="none"/>
          <w:lang w:eastAsia="zh-CN"/>
        </w:rPr>
        <w:t>。</w:t>
      </w:r>
    </w:p>
    <w:p w14:paraId="18546082">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六、货物的验收</w:t>
      </w:r>
    </w:p>
    <w:p w14:paraId="0ADD9C73">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在甲方验收前，乙方</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rPr>
        <w:t>提交合同货物验收报告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每台仪器设备制造厂商出具的明细装箱单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每台仪器设备制造厂商出具的出厂质量证书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每台仪器设备制造厂商出具的使用说明书</w:t>
      </w:r>
      <w:r>
        <w:rPr>
          <w:rFonts w:hint="eastAsia" w:ascii="宋体" w:hAnsi="宋体" w:eastAsia="宋体" w:cs="宋体"/>
          <w:color w:val="auto"/>
          <w:sz w:val="21"/>
          <w:szCs w:val="21"/>
          <w:highlight w:val="none"/>
          <w:lang w:eastAsia="zh-CN"/>
        </w:rPr>
        <w:t>。</w:t>
      </w:r>
    </w:p>
    <w:p w14:paraId="28932A36">
      <w:pPr>
        <w:keepNext w:val="0"/>
        <w:keepLines w:val="0"/>
        <w:pageBreakBefore w:val="0"/>
        <w:wordWrap/>
        <w:overflowPunct/>
        <w:topLinePunct w:val="0"/>
        <w:autoSpaceDE/>
        <w:autoSpaceDN/>
        <w:bidi w:val="0"/>
        <w:adjustRightInd/>
        <w:snapToGrid/>
        <w:spacing w:line="360" w:lineRule="auto"/>
        <w:ind w:right="-82" w:rightChars="-3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乙方应在甲方验收前，向甲方提供按本合同的技术规格、技术规范要求进行的测试报告和验收报告，验收以招投标文件、合同技术规格、产品相应的技术说明为标准。</w:t>
      </w:r>
    </w:p>
    <w:p w14:paraId="33561104">
      <w:pPr>
        <w:keepNext w:val="0"/>
        <w:keepLines w:val="0"/>
        <w:pageBreakBefore w:val="0"/>
        <w:wordWrap/>
        <w:overflowPunct/>
        <w:topLinePunct w:val="0"/>
        <w:autoSpaceDE/>
        <w:autoSpaceDN/>
        <w:bidi w:val="0"/>
        <w:adjustRightInd/>
        <w:snapToGrid/>
        <w:spacing w:line="360" w:lineRule="auto"/>
        <w:ind w:right="-82" w:rightChars="-3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合同货物（系统）交货（完工）并完成操作培训、粘贴条码，且正常运行30天</w:t>
      </w:r>
      <w:r>
        <w:rPr>
          <w:rFonts w:hint="eastAsia" w:ascii="宋体" w:hAnsi="宋体" w:eastAsia="宋体" w:cs="宋体"/>
          <w:color w:val="auto"/>
          <w:sz w:val="21"/>
          <w:szCs w:val="21"/>
          <w:highlight w:val="none"/>
          <w:lang w:val="en-US" w:eastAsia="zh-CN"/>
        </w:rPr>
        <w:t>内</w:t>
      </w:r>
      <w:r>
        <w:rPr>
          <w:rFonts w:hint="eastAsia" w:ascii="宋体" w:hAnsi="宋体" w:eastAsia="宋体" w:cs="宋体"/>
          <w:color w:val="auto"/>
          <w:sz w:val="21"/>
          <w:szCs w:val="21"/>
          <w:highlight w:val="none"/>
        </w:rPr>
        <w:t>，甲方使用单位组织验收。验收应在甲乙双方共同参加下进行。</w:t>
      </w:r>
    </w:p>
    <w:p w14:paraId="70C568A7">
      <w:pPr>
        <w:keepNext w:val="0"/>
        <w:keepLines w:val="0"/>
        <w:pageBreakBefore w:val="0"/>
        <w:wordWrap/>
        <w:overflowPunct/>
        <w:topLinePunct w:val="0"/>
        <w:autoSpaceDE/>
        <w:autoSpaceDN/>
        <w:bidi w:val="0"/>
        <w:adjustRightInd/>
        <w:snapToGrid/>
        <w:spacing w:line="360" w:lineRule="auto"/>
        <w:ind w:right="-82" w:rightChars="-3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验收按国家有关规定、规范进行。验收时如发现所交付的货物有短装、次品、损坏或其</w:t>
      </w:r>
      <w:r>
        <w:rPr>
          <w:rFonts w:hint="eastAsia" w:ascii="宋体" w:hAnsi="宋体" w:eastAsia="宋体" w:cs="宋体"/>
          <w:color w:val="auto"/>
          <w:sz w:val="21"/>
          <w:szCs w:val="21"/>
          <w:highlight w:val="none"/>
          <w:lang w:val="en-US" w:eastAsia="zh-CN"/>
        </w:rPr>
        <w:t>他</w:t>
      </w:r>
      <w:r>
        <w:rPr>
          <w:rFonts w:hint="eastAsia" w:ascii="宋体" w:hAnsi="宋体" w:eastAsia="宋体" w:cs="宋体"/>
          <w:color w:val="auto"/>
          <w:sz w:val="21"/>
          <w:szCs w:val="21"/>
          <w:highlight w:val="none"/>
        </w:rPr>
        <w:t>不符合本合同规定之情形者，甲方应做出详尽的现场记录，或由甲乙双方签署备忘录。此现场记录或备忘录可用作补充、缺失和更换损坏部件的有效证据。由此产生的有关费用由乙方承担。</w:t>
      </w:r>
    </w:p>
    <w:p w14:paraId="30D19FCF">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如果合同货物运输和安装调试过程中因事故造成货物短缺、损坏，乙方应及时安排换装，以保证合同货物安装调试的成功完成。换货的相关费用由乙方承担。</w:t>
      </w:r>
    </w:p>
    <w:p w14:paraId="20941F6B">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国内产品或合资厂的产品必须具备出厂合格证。</w:t>
      </w:r>
    </w:p>
    <w:p w14:paraId="1E98A92F">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 进口产品必须具备省级（或相当于省级）商检部门的检验证明</w:t>
      </w:r>
      <w:r>
        <w:rPr>
          <w:rFonts w:hint="eastAsia" w:ascii="宋体" w:hAnsi="宋体" w:eastAsia="宋体" w:cs="宋体"/>
          <w:color w:val="auto"/>
          <w:sz w:val="21"/>
          <w:szCs w:val="21"/>
          <w:highlight w:val="none"/>
          <w:lang w:eastAsia="zh-CN"/>
        </w:rPr>
        <w:t>，进口免税设备需要同时准备免税证明、报关单、外贸合同。</w:t>
      </w:r>
    </w:p>
    <w:p w14:paraId="7F5F7F80">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 乙方保证合同项下提供的货物不侵犯任何第三方的专利、商标或版权。否则，乙方须承担对第三方的专利或版权的侵权责任并承担因此而发生的所有费用。</w:t>
      </w:r>
    </w:p>
    <w:p w14:paraId="5B7D0D14">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 合同货物验收未能通过的，乙方负责及时整改。若整改后仍未能合格的，甲方依法追究其经济及法律责任。</w:t>
      </w:r>
    </w:p>
    <w:p w14:paraId="6E14B5B0">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 验收合格后双方共同签署验收报告，验收合格日期以最后的签字日为准。</w:t>
      </w:r>
    </w:p>
    <w:p w14:paraId="399D6A54">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七、培训</w:t>
      </w:r>
    </w:p>
    <w:p w14:paraId="739D71C7">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为甲方提供操作及维护培训，主要内容为货物的基本结构、性能、主要部件的构造及原理，日常使用操作、保养与管理，常见故障的排除，紧急情况的处理等，培训地点主要在货物安装现场或按甲乙双方协商安排。与培训相关的未尽事宜按招标文件的要求及投标文件中提供的方案执行。如需要可另附培训协议。</w:t>
      </w:r>
    </w:p>
    <w:p w14:paraId="414909C2">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八、 付款方式</w:t>
      </w:r>
    </w:p>
    <w:p w14:paraId="27F5B96F">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中标的货物安装调试，正常运行</w:t>
      </w:r>
      <w:r>
        <w:rPr>
          <w:rFonts w:hint="eastAsia" w:ascii="宋体" w:hAnsi="宋体" w:cs="宋体"/>
          <w:color w:val="auto"/>
          <w:sz w:val="21"/>
          <w:szCs w:val="21"/>
          <w:highlight w:val="none"/>
          <w:lang w:val="en-US" w:eastAsia="zh-CN"/>
        </w:rPr>
        <w:t>后</w:t>
      </w:r>
      <w:r>
        <w:rPr>
          <w:rFonts w:hint="eastAsia" w:ascii="宋体" w:hAnsi="宋体" w:eastAsia="宋体" w:cs="宋体"/>
          <w:color w:val="auto"/>
          <w:sz w:val="21"/>
          <w:szCs w:val="21"/>
          <w:highlight w:val="none"/>
        </w:rPr>
        <w:t>，采购方组织有关人员及使用单位联合验收，验收合格后采购方支付合同</w:t>
      </w:r>
      <w:r>
        <w:rPr>
          <w:rFonts w:hint="eastAsia" w:ascii="宋体" w:hAnsi="宋体" w:eastAsia="宋体" w:cs="宋体"/>
          <w:color w:val="auto"/>
          <w:sz w:val="21"/>
          <w:szCs w:val="21"/>
          <w:highlight w:val="none"/>
          <w:lang w:val="en-US" w:eastAsia="zh-CN"/>
        </w:rPr>
        <w:t>价的</w:t>
      </w:r>
      <w:r>
        <w:rPr>
          <w:rFonts w:hint="eastAsia" w:ascii="宋体" w:hAnsi="宋体" w:eastAsia="宋体" w:cs="宋体"/>
          <w:color w:val="auto"/>
          <w:sz w:val="21"/>
          <w:szCs w:val="21"/>
          <w:highlight w:val="none"/>
        </w:rPr>
        <w:t>总额</w:t>
      </w:r>
      <w:r>
        <w:rPr>
          <w:rFonts w:hint="eastAsia" w:ascii="宋体" w:hAnsi="宋体" w:eastAsia="宋体" w:cs="宋体"/>
          <w:color w:val="auto"/>
          <w:sz w:val="21"/>
          <w:szCs w:val="21"/>
          <w:highlight w:val="none"/>
          <w:lang w:eastAsia="zh-CN"/>
        </w:rPr>
        <w:t>。</w:t>
      </w:r>
    </w:p>
    <w:p w14:paraId="160D63EF">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申请付款时必须提交以下文件和资料：1、资金支付申请书；2、由甲方签字的验收报告；3、</w:t>
      </w:r>
      <w:r>
        <w:rPr>
          <w:rFonts w:hint="eastAsia" w:ascii="宋体" w:hAnsi="宋体" w:eastAsia="宋体" w:cs="宋体"/>
          <w:color w:val="auto"/>
          <w:sz w:val="21"/>
          <w:szCs w:val="21"/>
          <w:highlight w:val="none"/>
          <w:lang w:eastAsia="zh-CN"/>
        </w:rPr>
        <w:t>教学、科研设备需开具</w:t>
      </w:r>
      <w:r>
        <w:rPr>
          <w:rFonts w:hint="eastAsia" w:ascii="宋体" w:hAnsi="宋体" w:eastAsia="宋体" w:cs="宋体"/>
          <w:color w:val="auto"/>
          <w:sz w:val="21"/>
          <w:szCs w:val="21"/>
          <w:highlight w:val="none"/>
        </w:rPr>
        <w:t>增值税</w:t>
      </w:r>
      <w:r>
        <w:rPr>
          <w:rFonts w:hint="eastAsia" w:ascii="宋体" w:hAnsi="宋体" w:eastAsia="宋体" w:cs="宋体"/>
          <w:color w:val="auto"/>
          <w:sz w:val="21"/>
          <w:szCs w:val="21"/>
          <w:highlight w:val="none"/>
          <w:lang w:eastAsia="zh-CN"/>
        </w:rPr>
        <w:t>专用</w:t>
      </w:r>
      <w:r>
        <w:rPr>
          <w:rFonts w:hint="eastAsia" w:ascii="宋体" w:hAnsi="宋体" w:eastAsia="宋体" w:cs="宋体"/>
          <w:color w:val="auto"/>
          <w:sz w:val="21"/>
          <w:szCs w:val="21"/>
          <w:highlight w:val="none"/>
        </w:rPr>
        <w:t>发票</w:t>
      </w:r>
      <w:r>
        <w:rPr>
          <w:rFonts w:hint="eastAsia" w:ascii="宋体" w:hAnsi="宋体" w:eastAsia="宋体" w:cs="宋体"/>
          <w:color w:val="auto"/>
          <w:sz w:val="21"/>
          <w:szCs w:val="21"/>
          <w:highlight w:val="none"/>
          <w:lang w:eastAsia="zh-CN"/>
        </w:rPr>
        <w:t>，其他货物、服务需开具增值税普通发票。</w:t>
      </w:r>
    </w:p>
    <w:p w14:paraId="0A8E18E0">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具体步骤：乙方填写《资金支付申请书》、开具抬头为甲方的发票，并送交甲方；甲方填写《验收报告》，乙方凭《资金支付申请书》和《验收报告》由甲方支付货款。</w:t>
      </w:r>
    </w:p>
    <w:p w14:paraId="468FF496">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九、质保期限</w:t>
      </w:r>
    </w:p>
    <w:p w14:paraId="13D3C812">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本合同货物整机</w:t>
      </w:r>
      <w:r>
        <w:rPr>
          <w:rFonts w:hint="eastAsia" w:ascii="宋体" w:hAnsi="宋体" w:eastAsia="宋体" w:cs="宋体"/>
          <w:bCs/>
          <w:color w:val="auto"/>
          <w:sz w:val="21"/>
          <w:szCs w:val="21"/>
          <w:highlight w:val="none"/>
        </w:rPr>
        <w:t>免费质保期</w:t>
      </w:r>
      <w:r>
        <w:rPr>
          <w:rFonts w:hint="eastAsia" w:ascii="宋体" w:hAnsi="宋体" w:eastAsia="宋体" w:cs="宋体"/>
          <w:b/>
          <w:bCs/>
          <w:color w:val="auto"/>
          <w:sz w:val="21"/>
          <w:szCs w:val="21"/>
          <w:highlight w:val="none"/>
          <w:u w:val="single"/>
          <w:lang w:eastAsia="zh-CN"/>
        </w:rPr>
        <w:t xml:space="preserve"> </w:t>
      </w:r>
      <w:r>
        <w:rPr>
          <w:rFonts w:hint="eastAsia" w:ascii="宋体" w:hAnsi="宋体" w:cs="宋体"/>
          <w:b/>
          <w:bCs/>
          <w:color w:val="auto"/>
          <w:sz w:val="21"/>
          <w:szCs w:val="21"/>
          <w:highlight w:val="none"/>
          <w:u w:val="single"/>
          <w:lang w:val="en-US" w:eastAsia="zh-CN"/>
        </w:rPr>
        <w:t>3</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年</w:t>
      </w:r>
      <w:r>
        <w:rPr>
          <w:rFonts w:hint="eastAsia" w:ascii="宋体" w:hAnsi="宋体" w:eastAsia="宋体" w:cs="宋体"/>
          <w:color w:val="auto"/>
          <w:sz w:val="21"/>
          <w:szCs w:val="21"/>
          <w:highlight w:val="none"/>
        </w:rPr>
        <w:t>。质保期自甲乙双方在设备验收报告签字之日起计算。</w:t>
      </w:r>
    </w:p>
    <w:p w14:paraId="22FF6488">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十、售后服务</w:t>
      </w:r>
      <w:r>
        <w:rPr>
          <w:rFonts w:hint="eastAsia" w:ascii="宋体" w:hAnsi="宋体" w:eastAsia="宋体" w:cs="宋体"/>
          <w:b/>
          <w:color w:val="auto"/>
          <w:sz w:val="21"/>
          <w:szCs w:val="21"/>
          <w:highlight w:val="none"/>
        </w:rPr>
        <w:tab/>
      </w:r>
    </w:p>
    <w:p w14:paraId="602F7DEA">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Cs w:val="21"/>
          <w:highlight w:val="none"/>
        </w:rPr>
        <w:t xml:space="preserve"> </w:t>
      </w:r>
      <w:r>
        <w:rPr>
          <w:rFonts w:hint="eastAsia" w:ascii="宋体" w:hAnsi="宋体" w:eastAsia="宋体" w:cs="宋体"/>
          <w:color w:val="auto"/>
          <w:sz w:val="21"/>
          <w:szCs w:val="21"/>
          <w:highlight w:val="none"/>
        </w:rPr>
        <w:t>乙方须指派专人负责与甲方联系售后服务事宜（联系人：</w:t>
      </w:r>
      <w:r>
        <w:rPr>
          <w:rFonts w:hint="eastAsia" w:ascii="宋体" w:hAnsi="宋体" w:cs="宋体"/>
          <w:b/>
          <w:color w:val="auto"/>
          <w:sz w:val="21"/>
          <w:szCs w:val="21"/>
          <w:highlight w:val="none"/>
          <w:lang w:val="en-US" w:eastAsia="zh-CN"/>
        </w:rPr>
        <w:t>申晓冰</w:t>
      </w:r>
      <w:r>
        <w:rPr>
          <w:rFonts w:hint="eastAsia" w:ascii="宋体" w:hAnsi="宋体" w:eastAsia="宋体" w:cs="宋体"/>
          <w:color w:val="auto"/>
          <w:sz w:val="21"/>
          <w:szCs w:val="21"/>
          <w:highlight w:val="none"/>
        </w:rPr>
        <w:t>，电话：</w:t>
      </w:r>
      <w:r>
        <w:rPr>
          <w:rFonts w:hint="eastAsia" w:ascii="宋体" w:hAnsi="宋体" w:cs="宋体"/>
          <w:b/>
          <w:color w:val="auto"/>
          <w:sz w:val="21"/>
          <w:szCs w:val="21"/>
          <w:highlight w:val="none"/>
          <w:lang w:val="en-US" w:eastAsia="zh-CN"/>
        </w:rPr>
        <w:t>18100337157</w:t>
      </w:r>
      <w:r>
        <w:rPr>
          <w:rFonts w:hint="eastAsia" w:ascii="宋体" w:hAnsi="宋体" w:eastAsia="宋体" w:cs="宋体"/>
          <w:color w:val="auto"/>
          <w:sz w:val="21"/>
          <w:szCs w:val="21"/>
          <w:highlight w:val="none"/>
        </w:rPr>
        <w:t xml:space="preserve">）。 </w:t>
      </w:r>
    </w:p>
    <w:p w14:paraId="75EE8546">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质保期内，乙方负责对其提供的货物上门进行硬件维修、软件维护和升级等免费服务，甲方不再支付任何费用，但人为因素或自然灾害造成的损坏除外。</w:t>
      </w:r>
    </w:p>
    <w:p w14:paraId="6A330124">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质保期内，乙方在接到甲方系统故障或问题告知后，8小时内做出回应，48小时内到达现场排除故障。</w:t>
      </w:r>
    </w:p>
    <w:p w14:paraId="10640736">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质保期满后，乙方负责终身维修，维修需要更换零配件时，按出厂价收取，不再收取其他费用。维修响应时间为接到报修后24小时内。乙方不定期免费提供仪器维护和进行软件升级和技术指导。质保期满后，乙方根据用户需要提供使用人员继续培训服务，费用视情况而定。</w:t>
      </w:r>
    </w:p>
    <w:p w14:paraId="3A32A3F4">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十一、索赔</w:t>
      </w:r>
    </w:p>
    <w:p w14:paraId="7874A511">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甲方如对乙方所提供的货物有异议，甲方有权根据有关检验结果向乙方提出索赔。</w:t>
      </w:r>
    </w:p>
    <w:p w14:paraId="010BA61A">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在合同执行期间，如果乙方对甲方提出的索赔和差异负有责任，乙方应按照甲方同意的下列一种或多种方式解决索赔事宜：</w:t>
      </w:r>
    </w:p>
    <w:p w14:paraId="39AC4764">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⑴ 乙方同意退货，并按合同规定的同种货币将货款退还给甲方，并承担由此发生的一切损失和费用。</w:t>
      </w:r>
    </w:p>
    <w:p w14:paraId="5DBF412D">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⑵ 根据货物低劣程度、损坏程度以及甲方所遭受损失的数额甲乙双方商定降低货物的价格。</w:t>
      </w:r>
    </w:p>
    <w:p w14:paraId="62D9D7B6">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⑶ 用符合规格、质量和性能要求的新零件、部件或货物来更换有缺陷的部分或修补缺陷的部分，乙方应承担一切费用和风险并负有甲方所发生的一切直接费用。同时，延长质量保证期。</w:t>
      </w:r>
    </w:p>
    <w:p w14:paraId="74F2F260">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如果在甲方发出索赔通知后</w:t>
      </w:r>
      <w:r>
        <w:rPr>
          <w:rFonts w:hint="eastAsia" w:ascii="宋体" w:hAnsi="宋体" w:eastAsia="宋体" w:cs="宋体"/>
          <w:color w:val="auto"/>
          <w:sz w:val="21"/>
          <w:szCs w:val="21"/>
          <w:highlight w:val="none"/>
          <w:shd w:val="clear" w:color="auto" w:fill="FFFFFF"/>
        </w:rPr>
        <w:t>30</w:t>
      </w:r>
      <w:r>
        <w:rPr>
          <w:rFonts w:hint="eastAsia" w:ascii="宋体" w:hAnsi="宋体" w:eastAsia="宋体" w:cs="宋体"/>
          <w:color w:val="auto"/>
          <w:sz w:val="21"/>
          <w:szCs w:val="21"/>
          <w:highlight w:val="none"/>
        </w:rPr>
        <w:t>天内，乙方未作答复，上述索赔应视为已被乙方接受。甲方将从合同款项中扣回索赔金额。如果这些金额不足以补偿索赔金额，甲方有权向乙方提出不足部分的补偿。</w:t>
      </w:r>
    </w:p>
    <w:p w14:paraId="4A122E59">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十二、违约责任</w:t>
      </w:r>
    </w:p>
    <w:p w14:paraId="4959F9FB">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乙方未能交付货物，则向甲方支付合同总额20%的违约金，同时履约保证金不予退还。</w:t>
      </w:r>
    </w:p>
    <w:p w14:paraId="14574D77">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乙方交付的货物与投标文件或合同不相符的，甲方有权拒收，乙方向甲方支付合同总额30%的违约金，同时履约保证金不予退还。</w:t>
      </w:r>
    </w:p>
    <w:p w14:paraId="6C3CE0E1">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甲方无正当理由拒收货物，拒付货款的，则向乙方支付合同总额10%的违约金。</w:t>
      </w:r>
    </w:p>
    <w:p w14:paraId="0018AB13">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乙方逾期交付货物（交付最终时间以甲方收到乙方提交的申请验收函之日为准，但若货物经验收不合格的，交付最终时间以最终验收合格日期为准。），则每迟交一周货物应向甲方支付货款总额5%违约金（不可抗力除外），违约金乙方同意从货款中扣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逾期超过四周，甲方有权解除本合同，乙方应向甲方支付合同总额20%的违约金，同时履约保证金不予退还”。</w:t>
      </w:r>
    </w:p>
    <w:p w14:paraId="72A289DF">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甲方逾期付款，则每延迟一周付款甲方应向乙方支付货款总额0.5%违约金，违约金总额不超过合同总价的5%（不可抗力除外）。</w:t>
      </w:r>
    </w:p>
    <w:p w14:paraId="1A98501A">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乙方必须按甲方指定地点按时交货，货物不符合质量标准的，乙方必须按时负责调换至合格为止，并承担由此产生的实际费用。不能按时调换至合格者，按不能交货处理。乙方若不能按时交货，甲方将不保证按时付款，所造成的一切后果由乙方承担。</w:t>
      </w:r>
    </w:p>
    <w:p w14:paraId="31EF9FBE">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.若乙方提出换货，则按第十二条第2款执行。</w:t>
      </w:r>
    </w:p>
    <w:p w14:paraId="13CEA663">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十三、争端的解决</w:t>
      </w:r>
    </w:p>
    <w:p w14:paraId="5FE9D1B0">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1.凡与本合同有关而引起的一切争执和分歧，甲乙双方通过友好协商解决或提交河南省政府采购管理部门调解，如协商或调解不成，任何一方可以向</w:t>
      </w:r>
      <w:r>
        <w:rPr>
          <w:rFonts w:hint="eastAsia" w:ascii="宋体" w:hAnsi="宋体" w:eastAsia="宋体" w:cs="宋体"/>
          <w:color w:val="auto"/>
          <w:sz w:val="21"/>
          <w:szCs w:val="21"/>
          <w:highlight w:val="none"/>
          <w:lang w:val="en-US" w:eastAsia="zh-CN"/>
        </w:rPr>
        <w:t>甲方所在</w:t>
      </w:r>
      <w:r>
        <w:rPr>
          <w:rFonts w:hint="eastAsia" w:ascii="宋体" w:hAnsi="宋体" w:eastAsia="宋体" w:cs="宋体"/>
          <w:color w:val="auto"/>
          <w:sz w:val="21"/>
          <w:szCs w:val="21"/>
          <w:highlight w:val="none"/>
        </w:rPr>
        <w:t>地仲裁委员会申请仲裁裁决。</w:t>
      </w:r>
    </w:p>
    <w:p w14:paraId="5885C41A">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2.在进行仲裁期间，除提交仲裁机构的事项外，合同其他部分应继续履行。</w:t>
      </w:r>
    </w:p>
    <w:p w14:paraId="3628A5C9">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十四、</w:t>
      </w:r>
      <w:r>
        <w:rPr>
          <w:rFonts w:hint="eastAsia" w:ascii="宋体" w:hAnsi="宋体" w:eastAsia="宋体" w:cs="宋体"/>
          <w:b/>
          <w:bCs/>
          <w:color w:val="auto"/>
          <w:sz w:val="21"/>
          <w:szCs w:val="21"/>
          <w:highlight w:val="none"/>
        </w:rPr>
        <w:t>合同组成</w:t>
      </w:r>
    </w:p>
    <w:p w14:paraId="68755EB4">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本项目</w:t>
      </w:r>
      <w:r>
        <w:rPr>
          <w:rFonts w:hint="eastAsia" w:ascii="宋体" w:hAnsi="宋体" w:eastAsia="宋体" w:cs="宋体"/>
          <w:color w:val="auto"/>
          <w:sz w:val="21"/>
          <w:szCs w:val="21"/>
          <w:highlight w:val="none"/>
        </w:rPr>
        <w:t>招标文件、投标文件及下列附件等均为本合同的有效组成部分，与本合同具有同</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法律效力。</w:t>
      </w:r>
    </w:p>
    <w:p w14:paraId="6884082F">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中标通知书（附件1）；</w:t>
      </w:r>
    </w:p>
    <w:p w14:paraId="5E95EE2E">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w:t>
      </w:r>
      <w:r>
        <w:rPr>
          <w:rFonts w:hint="eastAsia" w:ascii="宋体" w:hAnsi="宋体" w:eastAsia="宋体" w:cs="宋体"/>
          <w:bCs/>
          <w:color w:val="auto"/>
          <w:sz w:val="21"/>
          <w:szCs w:val="21"/>
          <w:highlight w:val="none"/>
        </w:rPr>
        <w:t>中标货物分项报价一览表</w:t>
      </w:r>
      <w:r>
        <w:rPr>
          <w:rFonts w:hint="eastAsia" w:ascii="宋体" w:hAnsi="宋体" w:eastAsia="宋体" w:cs="宋体"/>
          <w:color w:val="auto"/>
          <w:sz w:val="21"/>
          <w:szCs w:val="21"/>
          <w:highlight w:val="none"/>
        </w:rPr>
        <w:t>（附件2）；</w:t>
      </w:r>
    </w:p>
    <w:p w14:paraId="7FF35E68">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中标货物制造商</w:t>
      </w:r>
      <w:r>
        <w:rPr>
          <w:rFonts w:hint="eastAsia" w:ascii="宋体" w:hAnsi="宋体" w:eastAsia="宋体" w:cs="宋体"/>
          <w:bCs/>
          <w:color w:val="auto"/>
          <w:sz w:val="21"/>
          <w:szCs w:val="21"/>
          <w:highlight w:val="none"/>
        </w:rPr>
        <w:t>配置清单</w:t>
      </w:r>
      <w:r>
        <w:rPr>
          <w:rFonts w:hint="eastAsia" w:ascii="宋体" w:hAnsi="宋体" w:eastAsia="宋体" w:cs="宋体"/>
          <w:color w:val="auto"/>
          <w:sz w:val="21"/>
          <w:szCs w:val="21"/>
          <w:highlight w:val="none"/>
        </w:rPr>
        <w:t>（附件3）；</w:t>
      </w:r>
    </w:p>
    <w:p w14:paraId="24996975">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中标货物技术参数及配置表（附件4）； </w:t>
      </w:r>
    </w:p>
    <w:p w14:paraId="3BE97470">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供货商质量保障及服务表（附件5）；</w:t>
      </w:r>
    </w:p>
    <w:p w14:paraId="6E62BA41">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中标货物安装培训计划表（附件6）</w:t>
      </w:r>
    </w:p>
    <w:p w14:paraId="32A25EDD">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中标货物制造商售后服务承诺（附件7）</w:t>
      </w:r>
    </w:p>
    <w:p w14:paraId="59F152BC">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临床使用的医疗器械应提供一份以下复印件：①医疗器械注册证；②医疗器械产品注册登记表；③产品检验报告；④医疗器械生产许可证；⑤医疗器械经营企业许可证等复印件一份。并保证以上证件均在有效期内。</w:t>
      </w:r>
    </w:p>
    <w:p w14:paraId="639D84B0">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十五、合同解除和终止</w:t>
      </w:r>
    </w:p>
    <w:p w14:paraId="73130A1F">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甲乙双方各自完成合同规定的责任和义务，合同自然终止。</w:t>
      </w:r>
    </w:p>
    <w:p w14:paraId="2AE59E4E">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如果一方严重违反合同，并在收到对方违约通知书后在</w:t>
      </w:r>
      <w:r>
        <w:rPr>
          <w:rFonts w:hint="eastAsia" w:ascii="宋体" w:hAnsi="宋体" w:eastAsia="宋体" w:cs="宋体"/>
          <w:color w:val="auto"/>
          <w:sz w:val="21"/>
          <w:szCs w:val="21"/>
          <w:highlight w:val="none"/>
          <w:shd w:val="clear" w:color="auto" w:fill="FFFFFF"/>
        </w:rPr>
        <w:t>30</w:t>
      </w:r>
      <w:r>
        <w:rPr>
          <w:rFonts w:hint="eastAsia" w:ascii="宋体" w:hAnsi="宋体" w:eastAsia="宋体" w:cs="宋体"/>
          <w:color w:val="auto"/>
          <w:sz w:val="21"/>
          <w:szCs w:val="21"/>
          <w:highlight w:val="none"/>
        </w:rPr>
        <w:t>天内或在指定期限内仍未能改正违约的，另一方可立即终止本合同。</w:t>
      </w:r>
    </w:p>
    <w:p w14:paraId="79828C71">
      <w:pPr>
        <w:keepNext w:val="0"/>
        <w:keepLines w:val="0"/>
        <w:pageBreakBefore w:val="0"/>
        <w:wordWrap/>
        <w:overflowPunct/>
        <w:topLinePunct w:val="0"/>
        <w:autoSpaceDE/>
        <w:autoSpaceDN/>
        <w:bidi w:val="0"/>
        <w:adjustRightInd/>
        <w:snapToGrid/>
        <w:spacing w:line="360" w:lineRule="auto"/>
        <w:ind w:firstLine="422" w:firstLineChars="200"/>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十六、其</w:t>
      </w:r>
      <w:r>
        <w:rPr>
          <w:rFonts w:hint="eastAsia" w:ascii="宋体" w:hAnsi="宋体" w:eastAsia="宋体" w:cs="宋体"/>
          <w:b/>
          <w:color w:val="auto"/>
          <w:sz w:val="21"/>
          <w:szCs w:val="21"/>
          <w:highlight w:val="none"/>
          <w:lang w:val="en-US" w:eastAsia="zh-CN"/>
        </w:rPr>
        <w:t>他</w:t>
      </w:r>
    </w:p>
    <w:p w14:paraId="4E5F8596">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本合同乙方不得将本合同全部或部分分包给他人。乙方在任何情况下都不得全部或部分转让其应履行的合同义务。</w:t>
      </w:r>
    </w:p>
    <w:p w14:paraId="01D19018">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合同若有变更须经甲乙双方签字确认。</w:t>
      </w:r>
    </w:p>
    <w:p w14:paraId="6FC14ED1">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3．在执行本合同的过程中，所有经双方签署确认的文件（包括会议纪要、补充协议、合同修改书、往来信函等）均为本合同的有效组成部分，其生效日期为双方签字盖章或确认之日期。</w:t>
      </w:r>
    </w:p>
    <w:p w14:paraId="68979A80">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本合同经甲方、乙方法定代表人或授权代理人签字、盖章后生效，生效日以最后一个签字日为准。</w:t>
      </w:r>
    </w:p>
    <w:p w14:paraId="21200CAD">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5.乙方承诺负责本合同货物的报废回收事宜。</w:t>
      </w:r>
    </w:p>
    <w:p w14:paraId="169FFFAB">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本合同一式</w:t>
      </w:r>
      <w:r>
        <w:rPr>
          <w:rFonts w:hint="eastAsia" w:ascii="宋体" w:hAnsi="宋体" w:eastAsia="宋体" w:cs="宋体"/>
          <w:color w:val="auto"/>
          <w:sz w:val="21"/>
          <w:szCs w:val="21"/>
          <w:highlight w:val="none"/>
          <w:lang w:val="en-US" w:eastAsia="zh-CN"/>
        </w:rPr>
        <w:t>拾</w:t>
      </w:r>
      <w:r>
        <w:rPr>
          <w:rFonts w:hint="eastAsia" w:ascii="宋体" w:hAnsi="宋体" w:eastAsia="宋体" w:cs="宋体"/>
          <w:color w:val="auto"/>
          <w:sz w:val="21"/>
          <w:szCs w:val="21"/>
          <w:highlight w:val="none"/>
        </w:rPr>
        <w:t>份，其中甲方</w:t>
      </w:r>
      <w:r>
        <w:rPr>
          <w:rFonts w:hint="eastAsia" w:ascii="宋体" w:hAnsi="宋体" w:eastAsia="宋体" w:cs="宋体"/>
          <w:color w:val="auto"/>
          <w:sz w:val="21"/>
          <w:szCs w:val="21"/>
          <w:highlight w:val="none"/>
          <w:lang w:val="en-US" w:eastAsia="zh-CN"/>
        </w:rPr>
        <w:t>陆</w:t>
      </w:r>
      <w:r>
        <w:rPr>
          <w:rFonts w:hint="eastAsia" w:ascii="宋体" w:hAnsi="宋体" w:eastAsia="宋体" w:cs="宋体"/>
          <w:color w:val="auto"/>
          <w:sz w:val="21"/>
          <w:szCs w:val="21"/>
          <w:highlight w:val="none"/>
        </w:rPr>
        <w:t>份、乙方</w:t>
      </w:r>
      <w:r>
        <w:rPr>
          <w:rFonts w:hint="eastAsia" w:ascii="宋体" w:hAnsi="宋体" w:eastAsia="宋体" w:cs="宋体"/>
          <w:color w:val="auto"/>
          <w:sz w:val="21"/>
          <w:szCs w:val="21"/>
          <w:highlight w:val="none"/>
          <w:lang w:val="en-US" w:eastAsia="zh-CN"/>
        </w:rPr>
        <w:t>贰</w:t>
      </w:r>
      <w:r>
        <w:rPr>
          <w:rFonts w:hint="eastAsia" w:ascii="宋体" w:hAnsi="宋体" w:eastAsia="宋体" w:cs="宋体"/>
          <w:color w:val="auto"/>
          <w:sz w:val="21"/>
          <w:szCs w:val="21"/>
          <w:highlight w:val="none"/>
        </w:rPr>
        <w:t>份，招标公司</w:t>
      </w:r>
      <w:r>
        <w:rPr>
          <w:rFonts w:hint="eastAsia" w:ascii="宋体" w:hAnsi="宋体" w:eastAsia="宋体" w:cs="宋体"/>
          <w:color w:val="auto"/>
          <w:sz w:val="21"/>
          <w:szCs w:val="21"/>
          <w:highlight w:val="none"/>
          <w:lang w:val="en-US" w:eastAsia="zh-CN"/>
        </w:rPr>
        <w:t>贰</w:t>
      </w:r>
      <w:r>
        <w:rPr>
          <w:rFonts w:hint="eastAsia" w:ascii="宋体" w:hAnsi="宋体" w:eastAsia="宋体" w:cs="宋体"/>
          <w:color w:val="auto"/>
          <w:sz w:val="21"/>
          <w:szCs w:val="21"/>
          <w:highlight w:val="none"/>
        </w:rPr>
        <w:t>份。</w:t>
      </w:r>
    </w:p>
    <w:p w14:paraId="119CA5A9">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本合同合计</w:t>
      </w:r>
      <w:r>
        <w:rPr>
          <w:rFonts w:hint="eastAsia" w:ascii="宋体" w:hAnsi="宋体" w:cs="宋体"/>
          <w:b/>
          <w:bCs/>
          <w:color w:val="auto"/>
          <w:sz w:val="21"/>
          <w:szCs w:val="21"/>
          <w:highlight w:val="none"/>
          <w:u w:val="single"/>
          <w:lang w:val="en-US" w:eastAsia="zh-CN"/>
        </w:rPr>
        <w:t xml:space="preserve"> 38</w:t>
      </w:r>
      <w:r>
        <w:rPr>
          <w:rFonts w:hint="eastAsia" w:ascii="宋体" w:hAnsi="宋体" w:eastAsia="宋体" w:cs="宋体"/>
          <w:color w:val="auto"/>
          <w:sz w:val="21"/>
          <w:szCs w:val="21"/>
          <w:highlight w:val="none"/>
        </w:rPr>
        <w:t>页A4纸张，缺页、缺签字日期之合同为无效合同。</w:t>
      </w:r>
    </w:p>
    <w:p w14:paraId="19AAB19F">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合同正式签订后，乙方应在</w:t>
      </w:r>
      <w:r>
        <w:rPr>
          <w:rFonts w:hint="eastAsia" w:ascii="宋体" w:hAnsi="宋体" w:eastAsia="宋体" w:cs="宋体"/>
          <w:color w:val="auto"/>
          <w:sz w:val="21"/>
          <w:szCs w:val="21"/>
          <w:highlight w:val="none"/>
          <w:lang w:val="en-US" w:eastAsia="zh-CN"/>
        </w:rPr>
        <w:t>两</w:t>
      </w:r>
      <w:r>
        <w:rPr>
          <w:rFonts w:hint="eastAsia" w:ascii="宋体" w:hAnsi="宋体" w:eastAsia="宋体" w:cs="宋体"/>
          <w:color w:val="auto"/>
          <w:sz w:val="21"/>
          <w:szCs w:val="21"/>
          <w:highlight w:val="none"/>
        </w:rPr>
        <w:t>日内向甲方提供合同网络备案所需要的电子和纸质文档资料各一份，否则影响货款支付，</w:t>
      </w:r>
      <w:r>
        <w:rPr>
          <w:rFonts w:hint="eastAsia"/>
          <w:lang w:val="en-US" w:eastAsia="zh-CN"/>
        </w:rPr>
        <w:drawing>
          <wp:anchor distT="0" distB="0" distL="114300" distR="114300" simplePos="0" relativeHeight="251660288" behindDoc="0" locked="0" layoutInCell="1" allowOverlap="1">
            <wp:simplePos x="0" y="0"/>
            <wp:positionH relativeFrom="column">
              <wp:posOffset>0</wp:posOffset>
            </wp:positionH>
            <wp:positionV relativeFrom="paragraph">
              <wp:posOffset>-585470</wp:posOffset>
            </wp:positionV>
            <wp:extent cx="5669280" cy="8849360"/>
            <wp:effectExtent l="0" t="0" r="7620" b="8890"/>
            <wp:wrapNone/>
            <wp:docPr id="6" name="图片 6" descr="22b7956adb634e82501684d694c58a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2b7956adb634e82501684d694c58a24"/>
                    <pic:cNvPicPr>
                      <a:picLocks noChangeAspect="1"/>
                    </pic:cNvPicPr>
                  </pic:nvPicPr>
                  <pic:blipFill>
                    <a:blip r:embed="rId6"/>
                    <a:stretch>
                      <a:fillRect/>
                    </a:stretch>
                  </pic:blipFill>
                  <pic:spPr>
                    <a:xfrm>
                      <a:off x="0" y="0"/>
                      <a:ext cx="5669280" cy="8849360"/>
                    </a:xfrm>
                    <a:prstGeom prst="rect">
                      <a:avLst/>
                    </a:prstGeom>
                  </pic:spPr>
                </pic:pic>
              </a:graphicData>
            </a:graphic>
          </wp:anchor>
        </w:drawing>
      </w:r>
      <w:r>
        <w:rPr>
          <w:rFonts w:hint="eastAsia" w:ascii="宋体" w:hAnsi="宋体" w:eastAsia="宋体" w:cs="宋体"/>
          <w:color w:val="auto"/>
          <w:sz w:val="21"/>
          <w:szCs w:val="21"/>
          <w:highlight w:val="none"/>
        </w:rPr>
        <w:t>后果自负。</w:t>
      </w:r>
    </w:p>
    <w:p w14:paraId="4D519A0E">
      <w:pPr>
        <w:keepNext w:val="0"/>
        <w:keepLines w:val="0"/>
        <w:pageBreakBefore w:val="0"/>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 未详尽之处双方协商解决。</w:t>
      </w:r>
    </w:p>
    <w:p w14:paraId="4D98314B">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p>
    <w:p w14:paraId="7610B7D2">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甲方：河南中医药大学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乙方：河南新时达科技有限公司</w:t>
      </w:r>
    </w:p>
    <w:p w14:paraId="34A4600E">
      <w:pPr>
        <w:keepNext w:val="0"/>
        <w:keepLines w:val="0"/>
        <w:pageBreakBefore w:val="0"/>
        <w:wordWrap/>
        <w:overflowPunct/>
        <w:topLinePunct w:val="0"/>
        <w:autoSpaceDE/>
        <w:autoSpaceDN/>
        <w:bidi w:val="0"/>
        <w:adjustRightInd/>
        <w:snapToGrid/>
        <w:spacing w:line="360" w:lineRule="auto"/>
        <w:ind w:left="5670" w:hanging="5670" w:hangingChars="27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河南省郑州市郑东新区金水东路156号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地址:河南省郑州市金水区国泰北路北、黄家庵北路西1号楼1单元1104号</w:t>
      </w:r>
    </w:p>
    <w:p w14:paraId="3136B380">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01470136">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项目组织实施单位负责人签字：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企业法人签字：</w:t>
      </w:r>
    </w:p>
    <w:p w14:paraId="732A3256">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09F6F013">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项目主管校领导签字：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被授权人签字：</w:t>
      </w:r>
    </w:p>
    <w:p w14:paraId="5924B58B">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421B02E2">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学校印章: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单位印章:</w:t>
      </w:r>
    </w:p>
    <w:p w14:paraId="23F2059A">
      <w:pPr>
        <w:keepNext w:val="0"/>
        <w:keepLines w:val="0"/>
        <w:pageBreakBefore w:val="0"/>
        <w:wordWrap/>
        <w:overflowPunct/>
        <w:topLinePunct w:val="0"/>
        <w:autoSpaceDE/>
        <w:autoSpaceDN/>
        <w:bidi w:val="0"/>
        <w:adjustRightInd/>
        <w:snapToGrid/>
        <w:spacing w:line="360" w:lineRule="auto"/>
        <w:ind w:left="6090" w:hanging="6090" w:hangingChars="29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开户银行:招商银行股份有限公司郑州分行营业部</w:t>
      </w:r>
    </w:p>
    <w:p w14:paraId="5A163039">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帐    号:371908502710802</w:t>
      </w:r>
    </w:p>
    <w:p w14:paraId="1F6C2010">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名    称：河南新时达科技有限公司</w:t>
      </w:r>
    </w:p>
    <w:p w14:paraId="07ECF202">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电</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话：</w:t>
      </w:r>
      <w:r>
        <w:rPr>
          <w:rFonts w:hint="eastAsia" w:ascii="宋体" w:hAnsi="宋体" w:cs="宋体"/>
          <w:color w:val="auto"/>
          <w:sz w:val="21"/>
          <w:szCs w:val="21"/>
          <w:highlight w:val="none"/>
          <w:lang w:val="en-US" w:eastAsia="zh-CN"/>
        </w:rPr>
        <w:t>18100337157</w:t>
      </w:r>
      <w:r>
        <w:rPr>
          <w:rFonts w:hint="eastAsia" w:ascii="宋体" w:hAnsi="宋体" w:eastAsia="宋体" w:cs="宋体"/>
          <w:color w:val="auto"/>
          <w:sz w:val="21"/>
          <w:szCs w:val="21"/>
          <w:highlight w:val="none"/>
        </w:rPr>
        <w:t xml:space="preserve">            </w:t>
      </w:r>
    </w:p>
    <w:p w14:paraId="63CC27E9">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真：</w:t>
      </w:r>
      <w:r>
        <w:rPr>
          <w:rFonts w:hint="eastAsia" w:ascii="宋体" w:hAnsi="宋体" w:cs="宋体"/>
          <w:color w:val="auto"/>
          <w:sz w:val="21"/>
          <w:szCs w:val="21"/>
          <w:highlight w:val="none"/>
          <w:lang w:val="en-US" w:eastAsia="zh-CN"/>
        </w:rPr>
        <w:t>无</w:t>
      </w:r>
    </w:p>
    <w:p w14:paraId="108EF094">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联系人手机：</w:t>
      </w:r>
      <w:r>
        <w:rPr>
          <w:rFonts w:hint="eastAsia" w:ascii="宋体" w:hAnsi="宋体" w:cs="宋体"/>
          <w:color w:val="auto"/>
          <w:sz w:val="21"/>
          <w:szCs w:val="21"/>
          <w:highlight w:val="none"/>
          <w:lang w:val="en-US" w:eastAsia="zh-CN"/>
        </w:rPr>
        <w:t>18100337157</w:t>
      </w:r>
      <w:r>
        <w:rPr>
          <w:rFonts w:hint="eastAsia" w:ascii="宋体" w:hAnsi="宋体" w:eastAsia="宋体" w:cs="宋体"/>
          <w:color w:val="auto"/>
          <w:sz w:val="21"/>
          <w:szCs w:val="21"/>
          <w:highlight w:val="none"/>
        </w:rPr>
        <w:t xml:space="preserve">                             </w:t>
      </w:r>
    </w:p>
    <w:p w14:paraId="2D2785A6">
      <w:pPr>
        <w:keepNext w:val="0"/>
        <w:keepLines w:val="0"/>
        <w:pageBreakBefore w:val="0"/>
        <w:wordWrap/>
        <w:overflowPunct/>
        <w:topLinePunct w:val="0"/>
        <w:autoSpaceDE/>
        <w:autoSpaceDN/>
        <w:bidi w:val="0"/>
        <w:adjustRightInd/>
        <w:snapToGrid/>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签字日期：</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签字日期：</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  </w:t>
      </w:r>
    </w:p>
    <w:p w14:paraId="0F47E01F">
      <w:pPr>
        <w:rPr>
          <w:rFonts w:hint="eastAsia" w:ascii="宋体" w:hAnsi="宋体" w:eastAsia="宋体" w:cs="宋体"/>
          <w:color w:val="auto"/>
          <w:sz w:val="21"/>
          <w:szCs w:val="21"/>
          <w:highlight w:val="none"/>
        </w:rPr>
      </w:pPr>
    </w:p>
    <w:p w14:paraId="29DB2215">
      <w:pPr>
        <w:spacing w:line="360" w:lineRule="auto"/>
        <w:rPr>
          <w:rFonts w:hint="eastAsia" w:ascii="宋体" w:hAnsi="宋体" w:eastAsia="宋体" w:cs="宋体"/>
          <w:b/>
          <w:color w:val="auto"/>
          <w:szCs w:val="21"/>
          <w:highlight w:val="none"/>
        </w:rPr>
      </w:pPr>
    </w:p>
    <w:p w14:paraId="70C62852">
      <w:pPr>
        <w:spacing w:line="360" w:lineRule="auto"/>
        <w:rPr>
          <w:rFonts w:hint="eastAsia" w:ascii="宋体" w:hAnsi="宋体" w:eastAsia="宋体" w:cs="宋体"/>
          <w:b/>
          <w:color w:val="auto"/>
          <w:szCs w:val="21"/>
          <w:highlight w:val="none"/>
        </w:rPr>
      </w:pPr>
    </w:p>
    <w:p w14:paraId="482B7151">
      <w:pPr>
        <w:spacing w:line="360" w:lineRule="auto"/>
        <w:rPr>
          <w:rFonts w:hint="eastAsia" w:ascii="宋体" w:hAnsi="宋体" w:eastAsia="宋体" w:cs="宋体"/>
          <w:b/>
          <w:color w:val="auto"/>
          <w:szCs w:val="21"/>
          <w:highlight w:val="none"/>
        </w:rPr>
      </w:pPr>
    </w:p>
    <w:p w14:paraId="454F18D7">
      <w:pPr>
        <w:spacing w:line="360" w:lineRule="auto"/>
        <w:rPr>
          <w:rFonts w:hint="eastAsia" w:ascii="宋体" w:hAnsi="宋体" w:eastAsia="宋体" w:cs="宋体"/>
          <w:b/>
          <w:color w:val="auto"/>
          <w:szCs w:val="21"/>
          <w:highlight w:val="none"/>
        </w:rPr>
      </w:pPr>
    </w:p>
    <w:p w14:paraId="4A3DF9AF">
      <w:pPr>
        <w:spacing w:line="360" w:lineRule="auto"/>
        <w:rPr>
          <w:rFonts w:hint="eastAsia" w:ascii="宋体" w:hAnsi="宋体"/>
          <w:b/>
          <w:color w:val="auto"/>
          <w:sz w:val="24"/>
          <w:szCs w:val="24"/>
          <w:highlight w:val="none"/>
        </w:rPr>
      </w:pPr>
    </w:p>
    <w:p w14:paraId="67713119">
      <w:pPr>
        <w:spacing w:line="360" w:lineRule="auto"/>
        <w:rPr>
          <w:rFonts w:hint="eastAsia" w:ascii="宋体" w:hAnsi="宋体"/>
          <w:b/>
          <w:color w:val="auto"/>
          <w:sz w:val="24"/>
          <w:szCs w:val="24"/>
          <w:highlight w:val="none"/>
        </w:rPr>
      </w:pPr>
    </w:p>
    <w:p w14:paraId="542715F5">
      <w:pPr>
        <w:spacing w:line="360" w:lineRule="auto"/>
        <w:rPr>
          <w:rFonts w:hint="eastAsia" w:ascii="宋体" w:hAnsi="宋体"/>
          <w:b/>
          <w:color w:val="auto"/>
          <w:sz w:val="24"/>
          <w:szCs w:val="24"/>
          <w:highlight w:val="none"/>
        </w:rPr>
      </w:pPr>
    </w:p>
    <w:p w14:paraId="5FA023C9">
      <w:pPr>
        <w:spacing w:line="360" w:lineRule="auto"/>
        <w:rPr>
          <w:rFonts w:hint="eastAsia" w:ascii="宋体" w:hAnsi="宋体"/>
          <w:b/>
          <w:color w:val="auto"/>
          <w:sz w:val="24"/>
          <w:szCs w:val="24"/>
          <w:highlight w:val="none"/>
        </w:rPr>
      </w:pPr>
    </w:p>
    <w:p w14:paraId="41864DC8">
      <w:pPr>
        <w:spacing w:line="360" w:lineRule="auto"/>
        <w:rPr>
          <w:rFonts w:hint="eastAsia" w:ascii="宋体" w:hAnsi="宋体"/>
          <w:b/>
          <w:color w:val="auto"/>
          <w:sz w:val="24"/>
          <w:szCs w:val="24"/>
          <w:highlight w:val="none"/>
        </w:rPr>
      </w:pPr>
    </w:p>
    <w:p w14:paraId="73BF695B">
      <w:pPr>
        <w:spacing w:line="360" w:lineRule="auto"/>
        <w:rPr>
          <w:rFonts w:hint="eastAsia" w:ascii="宋体" w:hAnsi="宋体"/>
          <w:b/>
          <w:color w:val="auto"/>
          <w:sz w:val="30"/>
          <w:szCs w:val="30"/>
          <w:highlight w:val="none"/>
        </w:rPr>
      </w:pPr>
      <w:r>
        <w:rPr>
          <w:rFonts w:hint="eastAsia" w:ascii="宋体" w:hAnsi="宋体"/>
          <w:b/>
          <w:color w:val="auto"/>
          <w:sz w:val="24"/>
          <w:szCs w:val="24"/>
          <w:highlight w:val="none"/>
        </w:rPr>
        <w:t>附件</w:t>
      </w:r>
      <w:r>
        <w:rPr>
          <w:rFonts w:hint="eastAsia"/>
          <w:b/>
          <w:color w:val="auto"/>
          <w:sz w:val="24"/>
          <w:szCs w:val="24"/>
          <w:highlight w:val="none"/>
        </w:rPr>
        <w:t>1</w:t>
      </w:r>
      <w:r>
        <w:rPr>
          <w:rFonts w:hint="eastAsia" w:ascii="宋体" w:hAnsi="宋体"/>
          <w:b/>
          <w:color w:val="auto"/>
          <w:sz w:val="24"/>
          <w:szCs w:val="24"/>
          <w:highlight w:val="none"/>
        </w:rPr>
        <w:t>：</w:t>
      </w:r>
      <w:r>
        <w:rPr>
          <w:rFonts w:hint="eastAsia" w:ascii="宋体" w:hAnsi="宋体"/>
          <w:b/>
          <w:color w:val="auto"/>
          <w:sz w:val="30"/>
          <w:szCs w:val="30"/>
          <w:highlight w:val="none"/>
        </w:rPr>
        <w:t xml:space="preserve"> </w:t>
      </w:r>
    </w:p>
    <w:p w14:paraId="51C0B247">
      <w:pPr>
        <w:spacing w:line="360" w:lineRule="auto"/>
        <w:rPr>
          <w:rFonts w:hint="eastAsia" w:ascii="宋体" w:hAnsi="宋体" w:eastAsia="宋体"/>
          <w:b/>
          <w:color w:val="auto"/>
          <w:sz w:val="30"/>
          <w:szCs w:val="30"/>
          <w:highlight w:val="none"/>
          <w:lang w:eastAsia="zh-CN"/>
        </w:rPr>
      </w:pPr>
      <w:r>
        <w:rPr>
          <w:rFonts w:hint="eastAsia" w:ascii="宋体" w:hAnsi="宋体" w:eastAsia="宋体"/>
          <w:b/>
          <w:color w:val="auto"/>
          <w:sz w:val="30"/>
          <w:szCs w:val="30"/>
          <w:highlight w:val="none"/>
          <w:lang w:eastAsia="zh-CN"/>
        </w:rPr>
        <w:drawing>
          <wp:inline distT="0" distB="0" distL="114300" distR="114300">
            <wp:extent cx="6104890" cy="8629650"/>
            <wp:effectExtent l="0" t="0" r="10160" b="0"/>
            <wp:docPr id="1" name="图片 1" descr="中标通知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中标通知书"/>
                    <pic:cNvPicPr>
                      <a:picLocks noChangeAspect="1"/>
                    </pic:cNvPicPr>
                  </pic:nvPicPr>
                  <pic:blipFill>
                    <a:blip r:embed="rId7"/>
                    <a:stretch>
                      <a:fillRect/>
                    </a:stretch>
                  </pic:blipFill>
                  <pic:spPr>
                    <a:xfrm>
                      <a:off x="0" y="0"/>
                      <a:ext cx="6104890" cy="8629650"/>
                    </a:xfrm>
                    <a:prstGeom prst="rect">
                      <a:avLst/>
                    </a:prstGeom>
                  </pic:spPr>
                </pic:pic>
              </a:graphicData>
            </a:graphic>
          </wp:inline>
        </w:drawing>
      </w:r>
    </w:p>
    <w:p w14:paraId="032172D7">
      <w:pPr>
        <w:spacing w:line="440" w:lineRule="exact"/>
        <w:rPr>
          <w:rFonts w:hint="eastAsia" w:ascii="宋体" w:hAnsi="宋体" w:cs="宋体"/>
          <w:b/>
          <w:color w:val="auto"/>
          <w:sz w:val="24"/>
          <w:szCs w:val="24"/>
          <w:highlight w:val="none"/>
        </w:rPr>
        <w:sectPr>
          <w:footerReference r:id="rId3" w:type="default"/>
          <w:pgSz w:w="11906" w:h="16838"/>
          <w:pgMar w:top="851" w:right="1134" w:bottom="851" w:left="1134" w:header="851" w:footer="992" w:gutter="0"/>
          <w:pgNumType w:fmt="decimal"/>
          <w:cols w:space="720" w:num="1"/>
          <w:docGrid w:type="lines" w:linePitch="312" w:charSpace="0"/>
        </w:sectPr>
      </w:pPr>
    </w:p>
    <w:p w14:paraId="1D6A773D">
      <w:pP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附件2</w:t>
      </w:r>
    </w:p>
    <w:p w14:paraId="4E22FD81">
      <w:pPr>
        <w:keepNext w:val="0"/>
        <w:keepLines w:val="0"/>
        <w:pageBreakBefore w:val="0"/>
        <w:kinsoku/>
        <w:wordWrap/>
        <w:overflowPunct/>
        <w:topLinePunct w:val="0"/>
        <w:autoSpaceDE/>
        <w:autoSpaceDN/>
        <w:bidi w:val="0"/>
        <w:adjustRightInd/>
        <w:snapToGrid/>
        <w:spacing w:line="360" w:lineRule="auto"/>
        <w:ind w:right="0" w:rightChars="0"/>
        <w:textAlignment w:val="auto"/>
        <w:rPr>
          <w:rFonts w:hint="eastAsia" w:ascii="楷体_GB2312" w:hAnsi="宋体" w:cs="宋体"/>
          <w:color w:val="auto"/>
          <w:sz w:val="24"/>
          <w:szCs w:val="24"/>
          <w:highlight w:val="none"/>
        </w:rPr>
      </w:pPr>
      <w:r>
        <w:rPr>
          <w:rFonts w:hint="eastAsia" w:ascii="宋体" w:hAnsi="宋体" w:cs="宋体"/>
          <w:b/>
          <w:bCs/>
          <w:color w:val="auto"/>
          <w:sz w:val="24"/>
          <w:szCs w:val="24"/>
          <w:highlight w:val="none"/>
        </w:rPr>
        <w:t>投标货物分项报价一览表</w:t>
      </w:r>
    </w:p>
    <w:tbl>
      <w:tblPr>
        <w:tblStyle w:val="7"/>
        <w:tblW w:w="15470" w:type="dxa"/>
        <w:tblInd w:w="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573"/>
        <w:gridCol w:w="1056"/>
        <w:gridCol w:w="2116"/>
        <w:gridCol w:w="1097"/>
        <w:gridCol w:w="467"/>
        <w:gridCol w:w="533"/>
        <w:gridCol w:w="1177"/>
        <w:gridCol w:w="1188"/>
        <w:gridCol w:w="812"/>
        <w:gridCol w:w="812"/>
        <w:gridCol w:w="691"/>
        <w:gridCol w:w="1314"/>
        <w:gridCol w:w="1241"/>
        <w:gridCol w:w="606"/>
      </w:tblGrid>
      <w:tr w14:paraId="3007E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87" w:type="dxa"/>
            <w:tcBorders>
              <w:top w:val="single" w:color="auto" w:sz="4" w:space="0"/>
              <w:left w:val="single" w:color="auto" w:sz="4" w:space="0"/>
              <w:bottom w:val="single" w:color="auto" w:sz="4" w:space="0"/>
              <w:right w:val="single" w:color="auto" w:sz="4" w:space="0"/>
            </w:tcBorders>
            <w:noWrap w:val="0"/>
            <w:vAlign w:val="center"/>
          </w:tcPr>
          <w:p w14:paraId="35E60305">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序号</w:t>
            </w:r>
          </w:p>
        </w:tc>
        <w:tc>
          <w:tcPr>
            <w:tcW w:w="1573" w:type="dxa"/>
            <w:tcBorders>
              <w:top w:val="single" w:color="auto" w:sz="4" w:space="0"/>
              <w:left w:val="single" w:color="auto" w:sz="4" w:space="0"/>
              <w:bottom w:val="single" w:color="auto" w:sz="4" w:space="0"/>
              <w:right w:val="single" w:color="auto" w:sz="4" w:space="0"/>
            </w:tcBorders>
            <w:noWrap w:val="0"/>
            <w:vAlign w:val="center"/>
          </w:tcPr>
          <w:p w14:paraId="5F558629">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货物名称</w:t>
            </w:r>
          </w:p>
        </w:tc>
        <w:tc>
          <w:tcPr>
            <w:tcW w:w="1056" w:type="dxa"/>
            <w:tcBorders>
              <w:top w:val="single" w:color="auto" w:sz="4" w:space="0"/>
              <w:left w:val="single" w:color="auto" w:sz="4" w:space="0"/>
              <w:bottom w:val="single" w:color="auto" w:sz="4" w:space="0"/>
              <w:right w:val="single" w:color="auto" w:sz="4" w:space="0"/>
            </w:tcBorders>
            <w:noWrap w:val="0"/>
            <w:vAlign w:val="center"/>
          </w:tcPr>
          <w:p w14:paraId="2F8D41B7">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kern w:val="0"/>
                <w:szCs w:val="21"/>
                <w:highlight w:val="none"/>
              </w:rPr>
            </w:pPr>
            <w:r>
              <w:rPr>
                <w:rFonts w:hint="eastAsia" w:ascii="宋体" w:hAnsi="宋体" w:cs="宋体"/>
                <w:b w:val="0"/>
                <w:bCs w:val="0"/>
                <w:color w:val="auto"/>
                <w:szCs w:val="21"/>
                <w:highlight w:val="none"/>
              </w:rPr>
              <w:t>型号规格</w:t>
            </w:r>
          </w:p>
        </w:tc>
        <w:tc>
          <w:tcPr>
            <w:tcW w:w="2116" w:type="dxa"/>
            <w:tcBorders>
              <w:top w:val="single" w:color="auto" w:sz="4" w:space="0"/>
              <w:left w:val="single" w:color="auto" w:sz="4" w:space="0"/>
              <w:bottom w:val="single" w:color="auto" w:sz="4" w:space="0"/>
              <w:right w:val="single" w:color="auto" w:sz="4" w:space="0"/>
            </w:tcBorders>
            <w:noWrap w:val="0"/>
            <w:vAlign w:val="center"/>
          </w:tcPr>
          <w:p w14:paraId="4C48F568">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kern w:val="0"/>
                <w:szCs w:val="21"/>
                <w:highlight w:val="none"/>
              </w:rPr>
            </w:pPr>
            <w:r>
              <w:rPr>
                <w:rFonts w:hint="eastAsia" w:ascii="宋体" w:hAnsi="宋体" w:cs="宋体"/>
                <w:b w:val="0"/>
                <w:bCs w:val="0"/>
                <w:color w:val="auto"/>
                <w:kern w:val="0"/>
                <w:szCs w:val="21"/>
                <w:highlight w:val="none"/>
              </w:rPr>
              <w:t>制造商</w:t>
            </w:r>
          </w:p>
        </w:tc>
        <w:tc>
          <w:tcPr>
            <w:tcW w:w="1097" w:type="dxa"/>
            <w:tcBorders>
              <w:top w:val="single" w:color="auto" w:sz="4" w:space="0"/>
              <w:left w:val="single" w:color="auto" w:sz="4" w:space="0"/>
              <w:bottom w:val="single" w:color="auto" w:sz="4" w:space="0"/>
              <w:right w:val="single" w:color="auto" w:sz="4" w:space="0"/>
            </w:tcBorders>
            <w:noWrap w:val="0"/>
            <w:vAlign w:val="center"/>
          </w:tcPr>
          <w:p w14:paraId="7B070313">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kern w:val="0"/>
                <w:szCs w:val="21"/>
                <w:highlight w:val="none"/>
              </w:rPr>
            </w:pPr>
            <w:r>
              <w:rPr>
                <w:rFonts w:hint="eastAsia" w:ascii="宋体" w:hAnsi="宋体" w:cs="宋体"/>
                <w:b w:val="0"/>
                <w:bCs w:val="0"/>
                <w:color w:val="auto"/>
                <w:kern w:val="0"/>
                <w:szCs w:val="21"/>
                <w:highlight w:val="none"/>
              </w:rPr>
              <w:t>产地</w:t>
            </w:r>
          </w:p>
        </w:tc>
        <w:tc>
          <w:tcPr>
            <w:tcW w:w="467" w:type="dxa"/>
            <w:tcBorders>
              <w:top w:val="single" w:color="auto" w:sz="4" w:space="0"/>
              <w:left w:val="single" w:color="auto" w:sz="4" w:space="0"/>
              <w:bottom w:val="single" w:color="auto" w:sz="4" w:space="0"/>
              <w:right w:val="single" w:color="auto" w:sz="4" w:space="0"/>
            </w:tcBorders>
            <w:noWrap w:val="0"/>
            <w:vAlign w:val="center"/>
          </w:tcPr>
          <w:p w14:paraId="30506DF0">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单</w:t>
            </w:r>
          </w:p>
          <w:p w14:paraId="44A44450">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位</w:t>
            </w:r>
          </w:p>
        </w:tc>
        <w:tc>
          <w:tcPr>
            <w:tcW w:w="533" w:type="dxa"/>
            <w:tcBorders>
              <w:top w:val="single" w:color="auto" w:sz="4" w:space="0"/>
              <w:left w:val="single" w:color="auto" w:sz="4" w:space="0"/>
              <w:bottom w:val="single" w:color="auto" w:sz="4" w:space="0"/>
              <w:right w:val="single" w:color="auto" w:sz="4" w:space="0"/>
            </w:tcBorders>
            <w:noWrap w:val="0"/>
            <w:vAlign w:val="center"/>
          </w:tcPr>
          <w:p w14:paraId="5F7F16F0">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数量</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3ECC639D">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单价（RMB）</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336F2528">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小计（RMB）</w:t>
            </w:r>
          </w:p>
        </w:tc>
        <w:tc>
          <w:tcPr>
            <w:tcW w:w="812" w:type="dxa"/>
            <w:tcBorders>
              <w:top w:val="single" w:color="auto" w:sz="4" w:space="0"/>
              <w:left w:val="single" w:color="auto" w:sz="4" w:space="0"/>
              <w:bottom w:val="single" w:color="auto" w:sz="4" w:space="0"/>
              <w:right w:val="single" w:color="auto" w:sz="4" w:space="0"/>
            </w:tcBorders>
            <w:noWrap w:val="0"/>
            <w:vAlign w:val="center"/>
          </w:tcPr>
          <w:p w14:paraId="13631A2B">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运输及</w:t>
            </w:r>
          </w:p>
          <w:p w14:paraId="2AE17202">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保险费</w:t>
            </w:r>
          </w:p>
        </w:tc>
        <w:tc>
          <w:tcPr>
            <w:tcW w:w="812" w:type="dxa"/>
            <w:tcBorders>
              <w:top w:val="single" w:color="auto" w:sz="4" w:space="0"/>
              <w:left w:val="single" w:color="auto" w:sz="4" w:space="0"/>
              <w:bottom w:val="single" w:color="auto" w:sz="4" w:space="0"/>
              <w:right w:val="single" w:color="auto" w:sz="4" w:space="0"/>
            </w:tcBorders>
            <w:noWrap w:val="0"/>
            <w:vAlign w:val="center"/>
          </w:tcPr>
          <w:p w14:paraId="0FA2EA2E">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技术</w:t>
            </w:r>
          </w:p>
          <w:p w14:paraId="739DB145">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服务费</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059189B7">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税费</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7E4072D5">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交货日期</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3193FA24">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交货地（港）</w:t>
            </w:r>
          </w:p>
        </w:tc>
        <w:tc>
          <w:tcPr>
            <w:tcW w:w="606" w:type="dxa"/>
            <w:tcBorders>
              <w:top w:val="single" w:color="auto" w:sz="4" w:space="0"/>
              <w:left w:val="single" w:color="auto" w:sz="4" w:space="0"/>
              <w:bottom w:val="single" w:color="auto" w:sz="4" w:space="0"/>
              <w:right w:val="single" w:color="auto" w:sz="4" w:space="0"/>
            </w:tcBorders>
            <w:noWrap w:val="0"/>
            <w:vAlign w:val="center"/>
          </w:tcPr>
          <w:p w14:paraId="56005D1A">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备</w:t>
            </w:r>
          </w:p>
          <w:p w14:paraId="3FA47867">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注</w:t>
            </w:r>
          </w:p>
        </w:tc>
      </w:tr>
      <w:tr w14:paraId="022AC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87" w:type="dxa"/>
            <w:tcBorders>
              <w:top w:val="single" w:color="auto" w:sz="4" w:space="0"/>
              <w:left w:val="single" w:color="auto" w:sz="4" w:space="0"/>
              <w:bottom w:val="single" w:color="auto" w:sz="4" w:space="0"/>
              <w:right w:val="single" w:color="auto" w:sz="4" w:space="0"/>
            </w:tcBorders>
            <w:noWrap w:val="0"/>
            <w:vAlign w:val="center"/>
          </w:tcPr>
          <w:p w14:paraId="2D7764F1">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w:t>
            </w:r>
          </w:p>
        </w:tc>
        <w:tc>
          <w:tcPr>
            <w:tcW w:w="1573" w:type="dxa"/>
            <w:tcBorders>
              <w:top w:val="single" w:color="auto" w:sz="4" w:space="0"/>
              <w:left w:val="single" w:color="auto" w:sz="4" w:space="0"/>
              <w:bottom w:val="single" w:color="auto" w:sz="4" w:space="0"/>
              <w:right w:val="single" w:color="auto" w:sz="4" w:space="0"/>
            </w:tcBorders>
            <w:noWrap w:val="0"/>
            <w:vAlign w:val="center"/>
          </w:tcPr>
          <w:p w14:paraId="39C6E9E9">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气相色谱三重四极杆质谱仪</w:t>
            </w:r>
          </w:p>
        </w:tc>
        <w:tc>
          <w:tcPr>
            <w:tcW w:w="1056" w:type="dxa"/>
            <w:tcBorders>
              <w:top w:val="single" w:color="auto" w:sz="4" w:space="0"/>
              <w:left w:val="single" w:color="auto" w:sz="4" w:space="0"/>
              <w:bottom w:val="single" w:color="auto" w:sz="4" w:space="0"/>
              <w:right w:val="single" w:color="auto" w:sz="4" w:space="0"/>
            </w:tcBorders>
            <w:noWrap w:val="0"/>
            <w:vAlign w:val="center"/>
          </w:tcPr>
          <w:p w14:paraId="21B388EE">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kern w:val="0"/>
                <w:szCs w:val="21"/>
                <w:highlight w:val="none"/>
              </w:rPr>
            </w:pPr>
            <w:r>
              <w:rPr>
                <w:rFonts w:hint="eastAsia" w:ascii="宋体" w:hAnsi="宋体" w:cs="宋体"/>
                <w:b w:val="0"/>
                <w:bCs w:val="0"/>
                <w:color w:val="auto"/>
                <w:szCs w:val="21"/>
                <w:highlight w:val="none"/>
              </w:rPr>
              <w:t>8890-7000E</w:t>
            </w:r>
          </w:p>
        </w:tc>
        <w:tc>
          <w:tcPr>
            <w:tcW w:w="2116" w:type="dxa"/>
            <w:tcBorders>
              <w:top w:val="single" w:color="auto" w:sz="4" w:space="0"/>
              <w:left w:val="single" w:color="auto" w:sz="4" w:space="0"/>
              <w:bottom w:val="single" w:color="auto" w:sz="4" w:space="0"/>
              <w:right w:val="single" w:color="auto" w:sz="4" w:space="0"/>
            </w:tcBorders>
            <w:noWrap w:val="0"/>
            <w:vAlign w:val="center"/>
          </w:tcPr>
          <w:p w14:paraId="22499170">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Agilent Technologies, INC</w:t>
            </w:r>
          </w:p>
        </w:tc>
        <w:tc>
          <w:tcPr>
            <w:tcW w:w="1097" w:type="dxa"/>
            <w:tcBorders>
              <w:top w:val="single" w:color="auto" w:sz="4" w:space="0"/>
              <w:left w:val="single" w:color="auto" w:sz="4" w:space="0"/>
              <w:bottom w:val="single" w:color="auto" w:sz="4" w:space="0"/>
              <w:right w:val="single" w:color="auto" w:sz="4" w:space="0"/>
            </w:tcBorders>
            <w:noWrap w:val="0"/>
            <w:vAlign w:val="center"/>
          </w:tcPr>
          <w:p w14:paraId="5AA0BD8D">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新加坡</w:t>
            </w:r>
          </w:p>
        </w:tc>
        <w:tc>
          <w:tcPr>
            <w:tcW w:w="467" w:type="dxa"/>
            <w:tcBorders>
              <w:top w:val="single" w:color="auto" w:sz="4" w:space="0"/>
              <w:left w:val="single" w:color="auto" w:sz="4" w:space="0"/>
              <w:bottom w:val="single" w:color="auto" w:sz="4" w:space="0"/>
              <w:right w:val="single" w:color="auto" w:sz="4" w:space="0"/>
            </w:tcBorders>
            <w:noWrap w:val="0"/>
            <w:vAlign w:val="center"/>
          </w:tcPr>
          <w:p w14:paraId="51A65428">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台</w:t>
            </w:r>
          </w:p>
        </w:tc>
        <w:tc>
          <w:tcPr>
            <w:tcW w:w="533" w:type="dxa"/>
            <w:tcBorders>
              <w:top w:val="single" w:color="auto" w:sz="4" w:space="0"/>
              <w:left w:val="single" w:color="auto" w:sz="4" w:space="0"/>
              <w:bottom w:val="single" w:color="auto" w:sz="4" w:space="0"/>
              <w:right w:val="single" w:color="auto" w:sz="4" w:space="0"/>
            </w:tcBorders>
            <w:noWrap w:val="0"/>
            <w:vAlign w:val="center"/>
          </w:tcPr>
          <w:p w14:paraId="7F73BB90">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27F26907">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kern w:val="0"/>
                <w:szCs w:val="21"/>
                <w:highlight w:val="none"/>
              </w:rPr>
            </w:pPr>
            <w:r>
              <w:rPr>
                <w:rFonts w:hint="eastAsia" w:ascii="宋体" w:hAnsi="宋体" w:cs="宋体"/>
                <w:b w:val="0"/>
                <w:bCs w:val="0"/>
                <w:color w:val="auto"/>
                <w:szCs w:val="21"/>
                <w:highlight w:val="none"/>
              </w:rPr>
              <w:t>1478800</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47D77B63">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1478800</w:t>
            </w:r>
          </w:p>
        </w:tc>
        <w:tc>
          <w:tcPr>
            <w:tcW w:w="812" w:type="dxa"/>
            <w:tcBorders>
              <w:top w:val="single" w:color="auto" w:sz="4" w:space="0"/>
              <w:left w:val="single" w:color="auto" w:sz="4" w:space="0"/>
              <w:bottom w:val="single" w:color="auto" w:sz="4" w:space="0"/>
              <w:right w:val="single" w:color="auto" w:sz="4" w:space="0"/>
            </w:tcBorders>
            <w:noWrap w:val="0"/>
            <w:vAlign w:val="center"/>
          </w:tcPr>
          <w:p w14:paraId="59893788">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已含</w:t>
            </w:r>
          </w:p>
        </w:tc>
        <w:tc>
          <w:tcPr>
            <w:tcW w:w="812" w:type="dxa"/>
            <w:tcBorders>
              <w:top w:val="single" w:color="auto" w:sz="4" w:space="0"/>
              <w:left w:val="single" w:color="auto" w:sz="4" w:space="0"/>
              <w:bottom w:val="single" w:color="auto" w:sz="4" w:space="0"/>
              <w:right w:val="single" w:color="auto" w:sz="4" w:space="0"/>
            </w:tcBorders>
            <w:noWrap w:val="0"/>
            <w:vAlign w:val="center"/>
          </w:tcPr>
          <w:p w14:paraId="1972CA9B">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已含</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2AF9971D">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免税</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44676FC0">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合同签订后</w:t>
            </w:r>
          </w:p>
          <w:p w14:paraId="363A946C">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60</w:t>
            </w:r>
            <w:r>
              <w:rPr>
                <w:rFonts w:hint="eastAsia" w:ascii="宋体" w:hAnsi="宋体" w:cs="宋体"/>
                <w:b w:val="0"/>
                <w:bCs w:val="0"/>
                <w:color w:val="auto"/>
                <w:szCs w:val="21"/>
                <w:highlight w:val="none"/>
              </w:rPr>
              <w:t>日内</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1D6ABF1D">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郑东新区河南中医药大学</w:t>
            </w:r>
          </w:p>
        </w:tc>
        <w:tc>
          <w:tcPr>
            <w:tcW w:w="606" w:type="dxa"/>
            <w:tcBorders>
              <w:top w:val="single" w:color="auto" w:sz="4" w:space="0"/>
              <w:left w:val="single" w:color="auto" w:sz="4" w:space="0"/>
              <w:bottom w:val="single" w:color="auto" w:sz="4" w:space="0"/>
              <w:right w:val="single" w:color="auto" w:sz="4" w:space="0"/>
            </w:tcBorders>
            <w:noWrap w:val="0"/>
            <w:vAlign w:val="center"/>
          </w:tcPr>
          <w:p w14:paraId="1B0C7023">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无</w:t>
            </w:r>
          </w:p>
        </w:tc>
      </w:tr>
      <w:tr w14:paraId="55704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787" w:type="dxa"/>
            <w:tcBorders>
              <w:top w:val="single" w:color="auto" w:sz="4" w:space="0"/>
              <w:left w:val="single" w:color="auto" w:sz="4" w:space="0"/>
              <w:bottom w:val="single" w:color="auto" w:sz="4" w:space="0"/>
              <w:right w:val="single" w:color="auto" w:sz="4" w:space="0"/>
            </w:tcBorders>
            <w:noWrap w:val="0"/>
            <w:vAlign w:val="center"/>
          </w:tcPr>
          <w:p w14:paraId="6972046B">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2</w:t>
            </w:r>
          </w:p>
        </w:tc>
        <w:tc>
          <w:tcPr>
            <w:tcW w:w="1573" w:type="dxa"/>
            <w:tcBorders>
              <w:top w:val="single" w:color="auto" w:sz="4" w:space="0"/>
              <w:left w:val="single" w:color="auto" w:sz="4" w:space="0"/>
              <w:bottom w:val="single" w:color="auto" w:sz="4" w:space="0"/>
              <w:right w:val="single" w:color="auto" w:sz="4" w:space="0"/>
            </w:tcBorders>
            <w:noWrap w:val="0"/>
            <w:vAlign w:val="center"/>
          </w:tcPr>
          <w:p w14:paraId="5BF2E419">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高光谱成像光谱仪</w:t>
            </w:r>
          </w:p>
        </w:tc>
        <w:tc>
          <w:tcPr>
            <w:tcW w:w="1056" w:type="dxa"/>
            <w:tcBorders>
              <w:top w:val="single" w:color="auto" w:sz="4" w:space="0"/>
              <w:left w:val="single" w:color="auto" w:sz="4" w:space="0"/>
              <w:bottom w:val="single" w:color="auto" w:sz="4" w:space="0"/>
              <w:right w:val="single" w:color="auto" w:sz="4" w:space="0"/>
            </w:tcBorders>
            <w:noWrap w:val="0"/>
            <w:vAlign w:val="center"/>
          </w:tcPr>
          <w:p w14:paraId="0E611BA5">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kern w:val="0"/>
                <w:szCs w:val="21"/>
                <w:highlight w:val="none"/>
              </w:rPr>
            </w:pPr>
            <w:r>
              <w:rPr>
                <w:rFonts w:hint="eastAsia" w:ascii="宋体" w:hAnsi="宋体" w:cs="宋体"/>
                <w:b w:val="0"/>
                <w:bCs w:val="0"/>
                <w:color w:val="auto"/>
                <w:szCs w:val="21"/>
                <w:highlight w:val="none"/>
              </w:rPr>
              <w:t>FX10&amp;FX17</w:t>
            </w:r>
          </w:p>
        </w:tc>
        <w:tc>
          <w:tcPr>
            <w:tcW w:w="2116" w:type="dxa"/>
            <w:tcBorders>
              <w:top w:val="single" w:color="auto" w:sz="4" w:space="0"/>
              <w:left w:val="single" w:color="auto" w:sz="4" w:space="0"/>
              <w:bottom w:val="single" w:color="auto" w:sz="4" w:space="0"/>
              <w:right w:val="single" w:color="auto" w:sz="4" w:space="0"/>
            </w:tcBorders>
            <w:noWrap w:val="0"/>
            <w:vAlign w:val="center"/>
          </w:tcPr>
          <w:p w14:paraId="4A1E9562">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SPECIM, Spectral Imaging Oy Ltd.</w:t>
            </w:r>
          </w:p>
        </w:tc>
        <w:tc>
          <w:tcPr>
            <w:tcW w:w="1097" w:type="dxa"/>
            <w:tcBorders>
              <w:top w:val="single" w:color="auto" w:sz="4" w:space="0"/>
              <w:left w:val="single" w:color="auto" w:sz="4" w:space="0"/>
              <w:bottom w:val="single" w:color="auto" w:sz="4" w:space="0"/>
              <w:right w:val="single" w:color="auto" w:sz="4" w:space="0"/>
            </w:tcBorders>
            <w:noWrap w:val="0"/>
            <w:vAlign w:val="center"/>
          </w:tcPr>
          <w:p w14:paraId="6C02D12F">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芬兰</w:t>
            </w:r>
          </w:p>
        </w:tc>
        <w:tc>
          <w:tcPr>
            <w:tcW w:w="467" w:type="dxa"/>
            <w:tcBorders>
              <w:top w:val="single" w:color="auto" w:sz="4" w:space="0"/>
              <w:left w:val="single" w:color="auto" w:sz="4" w:space="0"/>
              <w:bottom w:val="single" w:color="auto" w:sz="4" w:space="0"/>
              <w:right w:val="single" w:color="auto" w:sz="4" w:space="0"/>
            </w:tcBorders>
            <w:noWrap w:val="0"/>
            <w:vAlign w:val="center"/>
          </w:tcPr>
          <w:p w14:paraId="4C0B43F4">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台</w:t>
            </w:r>
          </w:p>
        </w:tc>
        <w:tc>
          <w:tcPr>
            <w:tcW w:w="533" w:type="dxa"/>
            <w:tcBorders>
              <w:top w:val="single" w:color="auto" w:sz="4" w:space="0"/>
              <w:left w:val="single" w:color="auto" w:sz="4" w:space="0"/>
              <w:bottom w:val="single" w:color="auto" w:sz="4" w:space="0"/>
              <w:right w:val="single" w:color="auto" w:sz="4" w:space="0"/>
            </w:tcBorders>
            <w:noWrap w:val="0"/>
            <w:vAlign w:val="center"/>
          </w:tcPr>
          <w:p w14:paraId="26512C12">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0CFE2EBB">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730000</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49FCA100">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730000</w:t>
            </w:r>
          </w:p>
        </w:tc>
        <w:tc>
          <w:tcPr>
            <w:tcW w:w="812" w:type="dxa"/>
            <w:tcBorders>
              <w:top w:val="single" w:color="auto" w:sz="4" w:space="0"/>
              <w:left w:val="single" w:color="auto" w:sz="4" w:space="0"/>
              <w:bottom w:val="single" w:color="auto" w:sz="4" w:space="0"/>
              <w:right w:val="single" w:color="auto" w:sz="4" w:space="0"/>
            </w:tcBorders>
            <w:noWrap w:val="0"/>
            <w:vAlign w:val="center"/>
          </w:tcPr>
          <w:p w14:paraId="75904C28">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已含</w:t>
            </w:r>
          </w:p>
        </w:tc>
        <w:tc>
          <w:tcPr>
            <w:tcW w:w="812" w:type="dxa"/>
            <w:tcBorders>
              <w:top w:val="single" w:color="auto" w:sz="4" w:space="0"/>
              <w:left w:val="single" w:color="auto" w:sz="4" w:space="0"/>
              <w:bottom w:val="single" w:color="auto" w:sz="4" w:space="0"/>
              <w:right w:val="single" w:color="auto" w:sz="4" w:space="0"/>
            </w:tcBorders>
            <w:noWrap w:val="0"/>
            <w:vAlign w:val="center"/>
          </w:tcPr>
          <w:p w14:paraId="6A22A918">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已含</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35CB7918">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免税</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3A44C2C2">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合同签订后</w:t>
            </w:r>
          </w:p>
          <w:p w14:paraId="4D16711B">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60</w:t>
            </w:r>
            <w:r>
              <w:rPr>
                <w:rFonts w:hint="eastAsia" w:ascii="宋体" w:hAnsi="宋体" w:cs="宋体"/>
                <w:b w:val="0"/>
                <w:bCs w:val="0"/>
                <w:color w:val="auto"/>
                <w:szCs w:val="21"/>
                <w:highlight w:val="none"/>
              </w:rPr>
              <w:t>日内</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2985330C">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郑东新区河南中医药大学</w:t>
            </w:r>
          </w:p>
        </w:tc>
        <w:tc>
          <w:tcPr>
            <w:tcW w:w="60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6B3D8C">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szCs w:val="21"/>
                <w:highlight w:val="none"/>
                <w:lang w:val="en-US" w:eastAsia="zh-CN"/>
              </w:rPr>
              <w:t>无</w:t>
            </w:r>
          </w:p>
        </w:tc>
      </w:tr>
      <w:tr w14:paraId="66681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87" w:type="dxa"/>
            <w:tcBorders>
              <w:top w:val="single" w:color="auto" w:sz="4" w:space="0"/>
              <w:left w:val="single" w:color="auto" w:sz="4" w:space="0"/>
              <w:bottom w:val="single" w:color="auto" w:sz="4" w:space="0"/>
              <w:right w:val="single" w:color="auto" w:sz="4" w:space="0"/>
            </w:tcBorders>
            <w:noWrap w:val="0"/>
            <w:vAlign w:val="center"/>
          </w:tcPr>
          <w:p w14:paraId="0F524546">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c>
          <w:tcPr>
            <w:tcW w:w="1573" w:type="dxa"/>
            <w:tcBorders>
              <w:top w:val="single" w:color="auto" w:sz="4" w:space="0"/>
              <w:left w:val="single" w:color="auto" w:sz="4" w:space="0"/>
              <w:bottom w:val="single" w:color="auto" w:sz="4" w:space="0"/>
              <w:right w:val="single" w:color="auto" w:sz="4" w:space="0"/>
            </w:tcBorders>
            <w:noWrap w:val="0"/>
            <w:vAlign w:val="center"/>
          </w:tcPr>
          <w:p w14:paraId="3D427476">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合计</w:t>
            </w:r>
          </w:p>
        </w:tc>
        <w:tc>
          <w:tcPr>
            <w:tcW w:w="3172" w:type="dxa"/>
            <w:gridSpan w:val="2"/>
            <w:tcBorders>
              <w:top w:val="single" w:color="auto" w:sz="4" w:space="0"/>
              <w:left w:val="single" w:color="auto" w:sz="4" w:space="0"/>
              <w:bottom w:val="single" w:color="auto" w:sz="4" w:space="0"/>
              <w:right w:val="single" w:color="auto" w:sz="4" w:space="0"/>
            </w:tcBorders>
            <w:noWrap w:val="0"/>
            <w:vAlign w:val="center"/>
          </w:tcPr>
          <w:p w14:paraId="673BDF09">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lang w:val="en-US" w:eastAsia="zh-CN"/>
              </w:rPr>
              <w:t>--</w:t>
            </w:r>
          </w:p>
        </w:tc>
        <w:tc>
          <w:tcPr>
            <w:tcW w:w="1097" w:type="dxa"/>
            <w:tcBorders>
              <w:top w:val="single" w:color="auto" w:sz="4" w:space="0"/>
              <w:left w:val="single" w:color="auto" w:sz="4" w:space="0"/>
              <w:bottom w:val="single" w:color="auto" w:sz="4" w:space="0"/>
              <w:right w:val="single" w:color="auto" w:sz="4" w:space="0"/>
            </w:tcBorders>
            <w:noWrap w:val="0"/>
            <w:vAlign w:val="center"/>
          </w:tcPr>
          <w:p w14:paraId="48784E19">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w:t>
            </w:r>
          </w:p>
        </w:tc>
        <w:tc>
          <w:tcPr>
            <w:tcW w:w="467" w:type="dxa"/>
            <w:tcBorders>
              <w:top w:val="single" w:color="auto" w:sz="4" w:space="0"/>
              <w:left w:val="single" w:color="auto" w:sz="4" w:space="0"/>
              <w:bottom w:val="single" w:color="auto" w:sz="4" w:space="0"/>
              <w:right w:val="single" w:color="auto" w:sz="4" w:space="0"/>
            </w:tcBorders>
            <w:noWrap w:val="0"/>
            <w:vAlign w:val="center"/>
          </w:tcPr>
          <w:p w14:paraId="136162D1">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c>
          <w:tcPr>
            <w:tcW w:w="533" w:type="dxa"/>
            <w:tcBorders>
              <w:top w:val="single" w:color="auto" w:sz="4" w:space="0"/>
              <w:left w:val="single" w:color="auto" w:sz="4" w:space="0"/>
              <w:bottom w:val="single" w:color="auto" w:sz="4" w:space="0"/>
              <w:right w:val="single" w:color="auto" w:sz="4" w:space="0"/>
            </w:tcBorders>
            <w:noWrap w:val="0"/>
            <w:vAlign w:val="center"/>
          </w:tcPr>
          <w:p w14:paraId="26BE69DE">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1647E7B1">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c>
          <w:tcPr>
            <w:tcW w:w="1188" w:type="dxa"/>
            <w:tcBorders>
              <w:top w:val="single" w:color="auto" w:sz="4" w:space="0"/>
              <w:left w:val="single" w:color="auto" w:sz="4" w:space="0"/>
              <w:bottom w:val="single" w:color="auto" w:sz="4" w:space="0"/>
              <w:right w:val="single" w:color="auto" w:sz="4" w:space="0"/>
            </w:tcBorders>
            <w:noWrap w:val="0"/>
            <w:vAlign w:val="center"/>
          </w:tcPr>
          <w:p w14:paraId="078A5602">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2208800</w:t>
            </w:r>
          </w:p>
        </w:tc>
        <w:tc>
          <w:tcPr>
            <w:tcW w:w="812" w:type="dxa"/>
            <w:tcBorders>
              <w:top w:val="single" w:color="auto" w:sz="4" w:space="0"/>
              <w:left w:val="single" w:color="auto" w:sz="4" w:space="0"/>
              <w:bottom w:val="single" w:color="auto" w:sz="4" w:space="0"/>
              <w:right w:val="single" w:color="auto" w:sz="4" w:space="0"/>
            </w:tcBorders>
            <w:noWrap w:val="0"/>
            <w:vAlign w:val="center"/>
          </w:tcPr>
          <w:p w14:paraId="49A362B0">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w:t>
            </w:r>
          </w:p>
        </w:tc>
        <w:tc>
          <w:tcPr>
            <w:tcW w:w="812" w:type="dxa"/>
            <w:tcBorders>
              <w:top w:val="single" w:color="auto" w:sz="4" w:space="0"/>
              <w:left w:val="single" w:color="auto" w:sz="4" w:space="0"/>
              <w:bottom w:val="single" w:color="auto" w:sz="4" w:space="0"/>
              <w:right w:val="single" w:color="auto" w:sz="4" w:space="0"/>
            </w:tcBorders>
            <w:noWrap w:val="0"/>
            <w:vAlign w:val="center"/>
          </w:tcPr>
          <w:p w14:paraId="7B2EB993">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2F378159">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4DBEA875">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5CBEDCE9">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c>
          <w:tcPr>
            <w:tcW w:w="606" w:type="dxa"/>
            <w:tcBorders>
              <w:top w:val="single" w:color="auto" w:sz="4" w:space="0"/>
              <w:left w:val="single" w:color="auto" w:sz="4" w:space="0"/>
              <w:bottom w:val="single" w:color="auto" w:sz="4" w:space="0"/>
              <w:right w:val="single" w:color="auto" w:sz="4" w:space="0"/>
            </w:tcBorders>
            <w:noWrap w:val="0"/>
            <w:vAlign w:val="center"/>
          </w:tcPr>
          <w:p w14:paraId="3F4D3048">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30625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360" w:type="dxa"/>
            <w:gridSpan w:val="2"/>
            <w:tcBorders>
              <w:top w:val="single" w:color="auto" w:sz="4" w:space="0"/>
              <w:left w:val="single" w:color="auto" w:sz="4" w:space="0"/>
              <w:bottom w:val="single" w:color="auto" w:sz="4" w:space="0"/>
              <w:right w:val="single" w:color="auto" w:sz="4" w:space="0"/>
            </w:tcBorders>
            <w:noWrap w:val="0"/>
            <w:vAlign w:val="top"/>
          </w:tcPr>
          <w:p w14:paraId="6A8EC0B0">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人民币总价</w:t>
            </w:r>
          </w:p>
        </w:tc>
        <w:tc>
          <w:tcPr>
            <w:tcW w:w="13110" w:type="dxa"/>
            <w:gridSpan w:val="13"/>
            <w:tcBorders>
              <w:top w:val="single" w:color="auto" w:sz="4" w:space="0"/>
              <w:left w:val="single" w:color="auto" w:sz="4" w:space="0"/>
              <w:bottom w:val="single" w:color="auto" w:sz="4" w:space="0"/>
              <w:right w:val="single" w:color="auto" w:sz="4" w:space="0"/>
            </w:tcBorders>
            <w:noWrap w:val="0"/>
            <w:vAlign w:val="center"/>
          </w:tcPr>
          <w:p w14:paraId="26A36F31">
            <w:pPr>
              <w:keepNext w:val="0"/>
              <w:keepLines w:val="0"/>
              <w:pageBreakBefore w:val="0"/>
              <w:kinsoku/>
              <w:wordWrap/>
              <w:overflowPunct/>
              <w:topLinePunct w:val="0"/>
              <w:autoSpaceDE/>
              <w:autoSpaceDN/>
              <w:bidi w:val="0"/>
              <w:adjustRightInd/>
              <w:snapToGrid/>
              <w:spacing w:line="360" w:lineRule="auto"/>
              <w:ind w:right="0" w:rightChars="0"/>
              <w:textAlignment w:val="auto"/>
              <w:rPr>
                <w:rFonts w:hint="eastAsia" w:ascii="宋体" w:hAnsi="宋体" w:cs="宋体"/>
                <w:color w:val="auto"/>
                <w:szCs w:val="21"/>
                <w:highlight w:val="none"/>
              </w:rPr>
            </w:pPr>
            <w:r>
              <w:rPr>
                <w:rFonts w:hint="eastAsia" w:ascii="宋体" w:hAnsi="宋体" w:cs="宋体"/>
                <w:color w:val="auto"/>
                <w:szCs w:val="21"/>
                <w:highlight w:val="none"/>
              </w:rPr>
              <w:t>贰佰贰拾万零捌仟捌佰元整（￥：2208800.00）</w:t>
            </w:r>
          </w:p>
        </w:tc>
      </w:tr>
      <w:tr w14:paraId="4F752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360" w:type="dxa"/>
            <w:gridSpan w:val="2"/>
            <w:tcBorders>
              <w:top w:val="single" w:color="auto" w:sz="4" w:space="0"/>
              <w:left w:val="single" w:color="auto" w:sz="4" w:space="0"/>
              <w:bottom w:val="single" w:color="auto" w:sz="4" w:space="0"/>
              <w:right w:val="single" w:color="auto" w:sz="4" w:space="0"/>
            </w:tcBorders>
            <w:noWrap w:val="0"/>
            <w:vAlign w:val="top"/>
          </w:tcPr>
          <w:p w14:paraId="7C6E814A">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备注</w:t>
            </w:r>
          </w:p>
        </w:tc>
        <w:tc>
          <w:tcPr>
            <w:tcW w:w="13110" w:type="dxa"/>
            <w:gridSpan w:val="13"/>
            <w:tcBorders>
              <w:top w:val="single" w:color="auto" w:sz="4" w:space="0"/>
              <w:left w:val="single" w:color="auto" w:sz="4" w:space="0"/>
              <w:bottom w:val="single" w:color="auto" w:sz="4" w:space="0"/>
              <w:right w:val="single" w:color="auto" w:sz="4" w:space="0"/>
            </w:tcBorders>
            <w:noWrap w:val="0"/>
            <w:vAlign w:val="center"/>
          </w:tcPr>
          <w:p w14:paraId="4C6B058B">
            <w:pPr>
              <w:keepNext w:val="0"/>
              <w:keepLines w:val="0"/>
              <w:pageBreakBefore w:val="0"/>
              <w:kinsoku/>
              <w:wordWrap/>
              <w:overflowPunct/>
              <w:topLinePunct w:val="0"/>
              <w:autoSpaceDE/>
              <w:autoSpaceDN/>
              <w:bidi w:val="0"/>
              <w:adjustRightInd/>
              <w:snapToGrid/>
              <w:spacing w:line="360" w:lineRule="auto"/>
              <w:ind w:right="0" w:rightChars="0"/>
              <w:textAlignment w:val="auto"/>
              <w:rPr>
                <w:rFonts w:hint="eastAsia" w:ascii="宋体" w:hAnsi="宋体" w:cs="宋体"/>
                <w:color w:val="auto"/>
                <w:szCs w:val="21"/>
                <w:highlight w:val="none"/>
              </w:rPr>
            </w:pPr>
            <w:r>
              <w:rPr>
                <w:rFonts w:hint="eastAsia" w:ascii="宋体" w:hAnsi="宋体" w:cs="宋体"/>
                <w:color w:val="auto"/>
                <w:szCs w:val="21"/>
                <w:highlight w:val="none"/>
              </w:rPr>
              <w:t>另附</w:t>
            </w:r>
            <w:r>
              <w:rPr>
                <w:rFonts w:hint="eastAsia" w:ascii="宋体" w:hAnsi="宋体" w:cs="宋体"/>
                <w:color w:val="auto"/>
                <w:kern w:val="0"/>
                <w:szCs w:val="21"/>
                <w:highlight w:val="none"/>
              </w:rPr>
              <w:t>制造商</w:t>
            </w:r>
            <w:r>
              <w:rPr>
                <w:rFonts w:hint="eastAsia" w:ascii="宋体" w:hAnsi="宋体" w:cs="宋体"/>
                <w:color w:val="auto"/>
                <w:szCs w:val="21"/>
                <w:highlight w:val="none"/>
              </w:rPr>
              <w:t>：</w:t>
            </w:r>
            <w:r>
              <w:rPr>
                <w:rFonts w:hint="eastAsia" w:ascii="宋体" w:hAnsi="宋体" w:cs="宋体"/>
                <w:bCs/>
                <w:color w:val="auto"/>
                <w:szCs w:val="21"/>
                <w:highlight w:val="none"/>
              </w:rPr>
              <w:t>气相色谱三重四极杆质谱仪</w:t>
            </w:r>
            <w:r>
              <w:rPr>
                <w:rFonts w:hint="eastAsia" w:ascii="宋体" w:hAnsi="宋体" w:cs="宋体"/>
                <w:bCs/>
                <w:color w:val="auto"/>
                <w:szCs w:val="21"/>
                <w:highlight w:val="none"/>
                <w:lang w:val="en-US" w:eastAsia="zh-CN"/>
              </w:rPr>
              <w:t>/高光谱成像光谱仪</w:t>
            </w:r>
            <w:r>
              <w:rPr>
                <w:rFonts w:hint="eastAsia" w:ascii="宋体" w:hAnsi="宋体" w:cs="宋体"/>
                <w:bCs/>
                <w:color w:val="auto"/>
                <w:szCs w:val="21"/>
                <w:highlight w:val="none"/>
              </w:rPr>
              <w:t>配置清单</w:t>
            </w:r>
          </w:p>
        </w:tc>
      </w:tr>
    </w:tbl>
    <w:p w14:paraId="05F7F25C">
      <w:pPr>
        <w:keepNext w:val="0"/>
        <w:keepLines w:val="0"/>
        <w:pageBreakBefore w:val="0"/>
        <w:kinsoku/>
        <w:wordWrap/>
        <w:overflowPunct/>
        <w:topLinePunct w:val="0"/>
        <w:autoSpaceDE/>
        <w:autoSpaceDN/>
        <w:bidi w:val="0"/>
        <w:adjustRightInd/>
        <w:snapToGrid/>
        <w:spacing w:line="360" w:lineRule="auto"/>
        <w:ind w:right="0" w:rightChars="0"/>
        <w:textAlignment w:val="auto"/>
        <w:rPr>
          <w:rFonts w:hint="eastAsia" w:ascii="宋体" w:hAnsi="宋体"/>
          <w:b/>
          <w:color w:val="auto"/>
          <w:sz w:val="24"/>
          <w:szCs w:val="24"/>
          <w:highlight w:val="none"/>
        </w:rPr>
      </w:pPr>
      <w:r>
        <w:rPr>
          <w:rFonts w:hint="eastAsia" w:ascii="宋体" w:hAnsi="宋体"/>
          <w:b/>
          <w:color w:val="auto"/>
          <w:sz w:val="24"/>
          <w:szCs w:val="24"/>
          <w:highlight w:val="none"/>
        </w:rPr>
        <w:t xml:space="preserve"> </w:t>
      </w:r>
    </w:p>
    <w:p w14:paraId="6313C836">
      <w:pPr>
        <w:keepNext w:val="0"/>
        <w:keepLines w:val="0"/>
        <w:pageBreakBefore w:val="0"/>
        <w:kinsoku/>
        <w:wordWrap/>
        <w:overflowPunct/>
        <w:topLinePunct w:val="0"/>
        <w:autoSpaceDE/>
        <w:autoSpaceDN/>
        <w:bidi w:val="0"/>
        <w:adjustRightInd/>
        <w:snapToGrid/>
        <w:spacing w:line="360" w:lineRule="auto"/>
        <w:ind w:right="0" w:rightChars="0"/>
        <w:textAlignment w:val="auto"/>
        <w:rPr>
          <w:rFonts w:hint="eastAsia" w:ascii="宋体" w:hAnsi="宋体"/>
          <w:b/>
          <w:color w:val="auto"/>
          <w:szCs w:val="21"/>
          <w:highlight w:val="none"/>
        </w:rPr>
      </w:pPr>
      <w:r>
        <w:rPr>
          <w:rFonts w:hint="eastAsia" w:ascii="宋体" w:hAnsi="宋体"/>
          <w:b/>
          <w:color w:val="auto"/>
          <w:szCs w:val="21"/>
          <w:highlight w:val="none"/>
        </w:rPr>
        <w:t>甲方货物负责人签字：</w:t>
      </w:r>
    </w:p>
    <w:p w14:paraId="22E80078">
      <w:pPr>
        <w:rPr>
          <w:rFonts w:hint="eastAsia" w:ascii="宋体" w:hAnsi="宋体"/>
          <w:b/>
          <w:color w:val="auto"/>
          <w:sz w:val="24"/>
          <w:szCs w:val="24"/>
          <w:highlight w:val="none"/>
        </w:rPr>
      </w:pPr>
      <w:r>
        <w:rPr>
          <w:rFonts w:hint="eastAsia" w:ascii="宋体" w:hAnsi="宋体"/>
          <w:b/>
          <w:color w:val="auto"/>
          <w:sz w:val="24"/>
          <w:szCs w:val="24"/>
          <w:highlight w:val="none"/>
        </w:rPr>
        <w:t xml:space="preserve"> </w:t>
      </w:r>
    </w:p>
    <w:p w14:paraId="447B871E">
      <w:pPr>
        <w:rPr>
          <w:rFonts w:hint="eastAsia" w:ascii="宋体" w:hAnsi="宋体"/>
          <w:b/>
          <w:color w:val="auto"/>
          <w:kern w:val="0"/>
          <w:sz w:val="24"/>
          <w:szCs w:val="24"/>
          <w:highlight w:val="none"/>
        </w:rPr>
      </w:pPr>
      <w:r>
        <w:rPr>
          <w:rFonts w:hint="eastAsia" w:ascii="宋体" w:hAnsi="宋体"/>
          <w:b/>
          <w:color w:val="auto"/>
          <w:sz w:val="24"/>
          <w:szCs w:val="24"/>
          <w:highlight w:val="none"/>
        </w:rPr>
        <w:t xml:space="preserve"> </w:t>
      </w:r>
    </w:p>
    <w:p w14:paraId="6BA6E874">
      <w:pPr>
        <w:rPr>
          <w:rFonts w:hint="eastAsia" w:ascii="宋体" w:hAnsi="宋体"/>
          <w:b/>
          <w:color w:val="auto"/>
          <w:kern w:val="0"/>
          <w:sz w:val="24"/>
          <w:szCs w:val="24"/>
          <w:highlight w:val="none"/>
        </w:rPr>
      </w:pPr>
    </w:p>
    <w:p w14:paraId="443332AE">
      <w:pPr>
        <w:rPr>
          <w:rFonts w:hint="eastAsia" w:ascii="宋体" w:hAnsi="宋体"/>
          <w:b/>
          <w:color w:val="auto"/>
          <w:kern w:val="0"/>
          <w:sz w:val="24"/>
          <w:szCs w:val="24"/>
          <w:highlight w:val="none"/>
        </w:rPr>
      </w:pPr>
    </w:p>
    <w:p w14:paraId="2A535369">
      <w:pPr>
        <w:rPr>
          <w:rFonts w:hint="eastAsia" w:ascii="宋体" w:hAnsi="宋体"/>
          <w:b/>
          <w:color w:val="auto"/>
          <w:sz w:val="28"/>
          <w:szCs w:val="28"/>
          <w:highlight w:val="none"/>
        </w:rPr>
      </w:pPr>
      <w:r>
        <w:rPr>
          <w:rFonts w:hint="eastAsia" w:ascii="宋体" w:hAnsi="宋体"/>
          <w:b/>
          <w:color w:val="auto"/>
          <w:kern w:val="0"/>
          <w:sz w:val="24"/>
          <w:szCs w:val="24"/>
          <w:highlight w:val="none"/>
        </w:rPr>
        <w:t>附件3：</w:t>
      </w:r>
      <w:r>
        <w:rPr>
          <w:rFonts w:hint="eastAsia" w:ascii="宋体" w:hAnsi="宋体"/>
          <w:b/>
          <w:color w:val="auto"/>
          <w:kern w:val="0"/>
          <w:sz w:val="28"/>
          <w:szCs w:val="28"/>
          <w:highlight w:val="none"/>
        </w:rPr>
        <w:t>制造商</w:t>
      </w:r>
      <w:r>
        <w:rPr>
          <w:rFonts w:hint="eastAsia" w:ascii="宋体" w:hAnsi="宋体"/>
          <w:b/>
          <w:color w:val="auto"/>
          <w:sz w:val="28"/>
          <w:szCs w:val="28"/>
          <w:highlight w:val="none"/>
        </w:rPr>
        <w:t>：</w:t>
      </w:r>
    </w:p>
    <w:p w14:paraId="57EE01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r>
        <w:rPr>
          <w:rFonts w:hint="eastAsia" w:ascii="宋体" w:hAnsi="宋体"/>
          <w:bCs/>
          <w:color w:val="auto"/>
          <w:sz w:val="21"/>
          <w:szCs w:val="21"/>
          <w:highlight w:val="none"/>
        </w:rPr>
        <w:t>气相色谱三重四极杆质谱仪/高光谱成像光谱仪配置清单</w:t>
      </w:r>
      <w:r>
        <w:rPr>
          <w:rFonts w:hint="eastAsia" w:ascii="宋体" w:hAnsi="宋体"/>
          <w:b/>
          <w:color w:val="auto"/>
          <w:sz w:val="21"/>
          <w:szCs w:val="21"/>
          <w:highlight w:val="none"/>
        </w:rPr>
        <w:t xml:space="preserve"> </w:t>
      </w:r>
    </w:p>
    <w:tbl>
      <w:tblPr>
        <w:tblStyle w:val="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2"/>
        <w:gridCol w:w="2088"/>
        <w:gridCol w:w="12128"/>
      </w:tblGrid>
      <w:tr w14:paraId="1F64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0"/>
            <w:vAlign w:val="center"/>
          </w:tcPr>
          <w:p w14:paraId="5FB6AE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1"/>
                <w:szCs w:val="21"/>
                <w:lang w:val="en-US" w:eastAsia="zh-CN"/>
              </w:rPr>
            </w:pPr>
            <w:r>
              <w:rPr>
                <w:rFonts w:hint="eastAsia"/>
                <w:sz w:val="21"/>
                <w:szCs w:val="21"/>
                <w:lang w:val="en-US" w:eastAsia="zh-CN"/>
              </w:rPr>
              <w:t>序号</w:t>
            </w:r>
          </w:p>
        </w:tc>
        <w:tc>
          <w:tcPr>
            <w:tcW w:w="688" w:type="pct"/>
            <w:noWrap w:val="0"/>
            <w:vAlign w:val="center"/>
          </w:tcPr>
          <w:p w14:paraId="43E0BE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1"/>
                <w:szCs w:val="21"/>
                <w:lang w:val="en-US" w:eastAsia="zh-CN"/>
              </w:rPr>
            </w:pPr>
            <w:r>
              <w:rPr>
                <w:rFonts w:hint="eastAsia"/>
                <w:sz w:val="21"/>
                <w:szCs w:val="21"/>
                <w:lang w:val="en-US" w:eastAsia="zh-CN"/>
              </w:rPr>
              <w:t>产品名称</w:t>
            </w:r>
          </w:p>
        </w:tc>
        <w:tc>
          <w:tcPr>
            <w:tcW w:w="3997" w:type="pct"/>
            <w:noWrap w:val="0"/>
            <w:vAlign w:val="center"/>
          </w:tcPr>
          <w:p w14:paraId="1969DAE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1"/>
                <w:szCs w:val="21"/>
                <w:lang w:val="en-US" w:eastAsia="zh-CN"/>
              </w:rPr>
            </w:pPr>
            <w:r>
              <w:rPr>
                <w:rFonts w:hint="eastAsia"/>
                <w:sz w:val="21"/>
                <w:szCs w:val="21"/>
                <w:lang w:val="en-US" w:eastAsia="zh-CN"/>
              </w:rPr>
              <w:t>产品配置</w:t>
            </w:r>
          </w:p>
        </w:tc>
      </w:tr>
      <w:tr w14:paraId="48CBC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noWrap w:val="0"/>
            <w:vAlign w:val="center"/>
          </w:tcPr>
          <w:p w14:paraId="094AB01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1"/>
                <w:szCs w:val="21"/>
                <w:lang w:val="en-US" w:eastAsia="zh-CN"/>
              </w:rPr>
            </w:pPr>
            <w:r>
              <w:rPr>
                <w:rFonts w:hint="eastAsia"/>
                <w:sz w:val="21"/>
                <w:szCs w:val="21"/>
                <w:lang w:val="en-US" w:eastAsia="zh-CN"/>
              </w:rPr>
              <w:t>1</w:t>
            </w:r>
          </w:p>
        </w:tc>
        <w:tc>
          <w:tcPr>
            <w:tcW w:w="688" w:type="pct"/>
            <w:noWrap w:val="0"/>
            <w:vAlign w:val="center"/>
          </w:tcPr>
          <w:p w14:paraId="6C6361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1"/>
                <w:szCs w:val="21"/>
                <w:lang w:val="en-US" w:eastAsia="zh-CN"/>
              </w:rPr>
            </w:pPr>
            <w:r>
              <w:rPr>
                <w:rFonts w:hint="eastAsia"/>
                <w:sz w:val="21"/>
                <w:szCs w:val="21"/>
                <w:lang w:val="en-US" w:eastAsia="zh-CN"/>
              </w:rPr>
              <w:t>气相色谱三重四极杆质谱仪</w:t>
            </w:r>
          </w:p>
        </w:tc>
        <w:tc>
          <w:tcPr>
            <w:tcW w:w="3997" w:type="pct"/>
            <w:noWrap w:val="0"/>
            <w:vAlign w:val="top"/>
          </w:tcPr>
          <w:p w14:paraId="4AABE0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*配置</w:t>
            </w:r>
          </w:p>
          <w:p w14:paraId="221024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1. 三重四极杆质谱仪主机             数量 1台</w:t>
            </w:r>
          </w:p>
          <w:p w14:paraId="6D57A6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2. 气相色谱仪主机                   数量 1台</w:t>
            </w:r>
          </w:p>
          <w:p w14:paraId="1DC123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3. 柱温箱                           数量 1套</w:t>
            </w:r>
          </w:p>
          <w:p w14:paraId="4658E4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4．惰性化分流/不分流进样口          数量 2套</w:t>
            </w:r>
          </w:p>
          <w:p w14:paraId="19A817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5. 氢火焰离子化检测器（FID）         数量1个</w:t>
            </w:r>
          </w:p>
          <w:p w14:paraId="0BBD10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6. 色谱反吹组件（包括反吹硬件、独立的电子流量控制和阻尼柱等） 数量1个</w:t>
            </w:r>
          </w:p>
          <w:p w14:paraId="4F939A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7. 不卸真空更换色谱柱组件            数量 1个</w:t>
            </w:r>
          </w:p>
          <w:p w14:paraId="604D4A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8．自动进样器                        数量 1台</w:t>
            </w:r>
          </w:p>
          <w:p w14:paraId="1DD48A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9．工作站                            数量 1台</w:t>
            </w:r>
          </w:p>
          <w:p w14:paraId="16C164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10．NIST 20检索谱库</w:t>
            </w:r>
            <w:r>
              <w:rPr>
                <w:rFonts w:hint="eastAsia"/>
                <w:sz w:val="21"/>
                <w:szCs w:val="21"/>
                <w:lang w:val="en-US" w:eastAsia="zh-CN"/>
              </w:rPr>
              <w:tab/>
            </w:r>
            <w:r>
              <w:rPr>
                <w:rFonts w:hint="eastAsia"/>
                <w:sz w:val="21"/>
                <w:szCs w:val="21"/>
                <w:lang w:val="en-US" w:eastAsia="zh-CN"/>
              </w:rPr>
              <w:t xml:space="preserve">                数量 1套</w:t>
            </w:r>
          </w:p>
          <w:p w14:paraId="4B7547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11. 未知物分析软件                   数量 1套</w:t>
            </w:r>
          </w:p>
          <w:p w14:paraId="3D8EED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12．色谱柱：HP-5MS色谱柱（30m × 0.25mm × 0.25µm），数量 3根；VF-624色谱柱（30m × 0.25mm × 0.25µm），数量 2根；DB-FFAP色谱柱(30m × 0.25mm × 0.25µm)，数量2根</w:t>
            </w:r>
          </w:p>
          <w:p w14:paraId="26FF78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13．备件耗材包：安装工具包（包括螺帽接头、管线和工具等）1套；色谱0.25 um石墨垫50个；0.4mm质谱密封垫50个；泵油4L；色谱柱接头6个；质谱柱接头6个；死堵2个；衬管密封圈10个；备用灯丝5个；测试标样1个；大容量整合式捕集阱1个；10μL自动进样针8根；低流失进样隔垫200个；2mL样品瓶包含瓶盖和瓶垫1000套；SPME专用衬管（0.75mm内径和2mm内径）各5个；分流/不分流衬管10个；进样口分流平板2个</w:t>
            </w:r>
          </w:p>
          <w:p w14:paraId="05A4CA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14．高纯氦气钢瓶、高纯氮气钢瓶各1瓶，减压阀4个，配套钢瓶柜1套；精密移液器一套</w:t>
            </w:r>
          </w:p>
          <w:p w14:paraId="024A73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15. UPS稳压电源一套，功率10KVA，蓄电工作时间不小于1小时，数量2套</w:t>
            </w:r>
          </w:p>
        </w:tc>
      </w:tr>
      <w:tr w14:paraId="156C9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trPr>
        <w:tc>
          <w:tcPr>
            <w:tcW w:w="314" w:type="pct"/>
            <w:noWrap w:val="0"/>
            <w:vAlign w:val="center"/>
          </w:tcPr>
          <w:p w14:paraId="2E8A668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1"/>
                <w:szCs w:val="21"/>
                <w:lang w:val="en-US" w:eastAsia="zh-CN"/>
              </w:rPr>
            </w:pPr>
            <w:r>
              <w:rPr>
                <w:rFonts w:hint="eastAsia"/>
                <w:sz w:val="21"/>
                <w:szCs w:val="21"/>
                <w:lang w:val="en-US" w:eastAsia="zh-CN"/>
              </w:rPr>
              <w:t>2</w:t>
            </w:r>
          </w:p>
        </w:tc>
        <w:tc>
          <w:tcPr>
            <w:tcW w:w="688" w:type="pct"/>
            <w:noWrap w:val="0"/>
            <w:vAlign w:val="center"/>
          </w:tcPr>
          <w:p w14:paraId="3D0914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1"/>
                <w:szCs w:val="21"/>
                <w:lang w:val="en-US" w:eastAsia="zh-CN"/>
              </w:rPr>
            </w:pPr>
            <w:r>
              <w:rPr>
                <w:rFonts w:hint="eastAsia"/>
                <w:sz w:val="21"/>
                <w:szCs w:val="21"/>
                <w:lang w:val="en-US" w:eastAsia="zh-CN"/>
              </w:rPr>
              <w:t>高光谱成像光谱仪</w:t>
            </w:r>
          </w:p>
        </w:tc>
        <w:tc>
          <w:tcPr>
            <w:tcW w:w="3997" w:type="pct"/>
            <w:noWrap w:val="0"/>
            <w:vAlign w:val="center"/>
          </w:tcPr>
          <w:p w14:paraId="45E104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*主要配置</w:t>
            </w:r>
          </w:p>
          <w:p w14:paraId="48164F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（1）高光谱相机主机包括可见光近红外（400-1000nm）和近红外（900-1700nm）高光谱相机</w:t>
            </w:r>
          </w:p>
          <w:p w14:paraId="77619A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 xml:space="preserve">（2）实验室线性扫描平台，包含采集软件、反射光源白板等 </w:t>
            </w:r>
          </w:p>
        </w:tc>
      </w:tr>
    </w:tbl>
    <w:p w14:paraId="3DC161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p>
    <w:p w14:paraId="464989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r>
        <w:rPr>
          <w:rFonts w:hint="eastAsia" w:ascii="宋体" w:hAnsi="宋体"/>
          <w:b/>
          <w:color w:val="auto"/>
          <w:sz w:val="21"/>
          <w:szCs w:val="21"/>
          <w:highlight w:val="none"/>
        </w:rPr>
        <w:t>甲方货物负责人签字：</w:t>
      </w:r>
    </w:p>
    <w:p w14:paraId="79AC18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p>
    <w:p w14:paraId="1AFC9D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p>
    <w:p w14:paraId="721595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p>
    <w:p w14:paraId="42FFDA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p>
    <w:p w14:paraId="7AE95F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p>
    <w:p w14:paraId="3C8EFC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p>
    <w:p w14:paraId="6BEE8C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p>
    <w:p w14:paraId="2E54A4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p>
    <w:p w14:paraId="70B3AE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p>
    <w:p w14:paraId="3C1DB9F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p>
    <w:p w14:paraId="74D49B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p>
    <w:p w14:paraId="6C2174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1"/>
          <w:szCs w:val="21"/>
          <w:highlight w:val="none"/>
        </w:rPr>
      </w:pPr>
    </w:p>
    <w:p w14:paraId="79CAAA26">
      <w:pPr>
        <w:keepNext w:val="0"/>
        <w:keepLines w:val="0"/>
        <w:pageBreakBefore w:val="0"/>
        <w:kinsoku/>
        <w:overflowPunct/>
        <w:topLinePunct w:val="0"/>
        <w:autoSpaceDE/>
        <w:autoSpaceDN/>
        <w:bidi w:val="0"/>
        <w:adjustRightInd/>
        <w:spacing w:line="360" w:lineRule="auto"/>
        <w:ind w:right="0" w:rightChars="0"/>
        <w:rPr>
          <w:rFonts w:hint="eastAsia" w:ascii="宋体" w:hAnsi="宋体"/>
          <w:b/>
          <w:color w:val="auto"/>
          <w:sz w:val="24"/>
          <w:szCs w:val="24"/>
          <w:highlight w:val="none"/>
        </w:rPr>
      </w:pPr>
      <w:r>
        <w:rPr>
          <w:rFonts w:hint="eastAsia" w:ascii="宋体" w:hAnsi="宋体"/>
          <w:b/>
          <w:color w:val="auto"/>
          <w:sz w:val="24"/>
          <w:szCs w:val="24"/>
          <w:highlight w:val="none"/>
        </w:rPr>
        <w:t xml:space="preserve"> 附件4：                                         货物</w:t>
      </w:r>
      <w:r>
        <w:rPr>
          <w:rFonts w:ascii="宋体" w:hAnsi="宋体"/>
          <w:b/>
          <w:color w:val="auto"/>
          <w:sz w:val="24"/>
          <w:szCs w:val="24"/>
          <w:highlight w:val="none"/>
        </w:rPr>
        <w:t>技术</w:t>
      </w:r>
      <w:r>
        <w:rPr>
          <w:rFonts w:hint="eastAsia" w:ascii="宋体" w:hAnsi="宋体"/>
          <w:b/>
          <w:color w:val="auto"/>
          <w:sz w:val="24"/>
          <w:szCs w:val="24"/>
          <w:highlight w:val="none"/>
        </w:rPr>
        <w:t>参数及配置表</w:t>
      </w:r>
    </w:p>
    <w:tbl>
      <w:tblPr>
        <w:tblStyle w:val="7"/>
        <w:tblW w:w="0" w:type="auto"/>
        <w:tblInd w:w="-7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1088"/>
        <w:gridCol w:w="1952"/>
        <w:gridCol w:w="1209"/>
        <w:gridCol w:w="6253"/>
        <w:gridCol w:w="532"/>
        <w:gridCol w:w="1101"/>
        <w:gridCol w:w="958"/>
        <w:gridCol w:w="1432"/>
      </w:tblGrid>
      <w:tr w14:paraId="15250C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0"/>
            <w:vAlign w:val="center"/>
          </w:tcPr>
          <w:p w14:paraId="386D106D">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088" w:type="dxa"/>
            <w:tcBorders>
              <w:top w:val="single" w:color="auto" w:sz="4" w:space="0"/>
              <w:left w:val="nil"/>
              <w:bottom w:val="single" w:color="auto" w:sz="4" w:space="0"/>
              <w:right w:val="single" w:color="auto" w:sz="4" w:space="0"/>
            </w:tcBorders>
            <w:noWrap w:val="0"/>
            <w:vAlign w:val="center"/>
          </w:tcPr>
          <w:p w14:paraId="4DB53D43">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b/>
                <w:color w:val="auto"/>
                <w:szCs w:val="21"/>
                <w:highlight w:val="none"/>
              </w:rPr>
            </w:pPr>
            <w:r>
              <w:rPr>
                <w:rFonts w:hint="eastAsia" w:ascii="宋体" w:hAnsi="宋体" w:cs="宋体"/>
                <w:b/>
                <w:color w:val="auto"/>
                <w:szCs w:val="21"/>
                <w:highlight w:val="none"/>
              </w:rPr>
              <w:t>货物或配置名称</w:t>
            </w:r>
          </w:p>
        </w:tc>
        <w:tc>
          <w:tcPr>
            <w:tcW w:w="1952" w:type="dxa"/>
            <w:tcBorders>
              <w:top w:val="single" w:color="auto" w:sz="4" w:space="0"/>
              <w:left w:val="nil"/>
              <w:bottom w:val="single" w:color="auto" w:sz="4" w:space="0"/>
              <w:right w:val="single" w:color="auto" w:sz="4" w:space="0"/>
            </w:tcBorders>
            <w:noWrap w:val="0"/>
            <w:vAlign w:val="center"/>
          </w:tcPr>
          <w:p w14:paraId="4E283C97">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b/>
                <w:color w:val="auto"/>
                <w:szCs w:val="21"/>
                <w:highlight w:val="none"/>
              </w:rPr>
            </w:pPr>
            <w:r>
              <w:rPr>
                <w:rFonts w:hint="eastAsia" w:ascii="宋体" w:hAnsi="宋体" w:cs="宋体"/>
                <w:b/>
                <w:color w:val="auto"/>
                <w:szCs w:val="21"/>
                <w:highlight w:val="none"/>
              </w:rPr>
              <w:t>图片</w:t>
            </w:r>
          </w:p>
        </w:tc>
        <w:tc>
          <w:tcPr>
            <w:tcW w:w="1209" w:type="dxa"/>
            <w:tcBorders>
              <w:top w:val="single" w:color="auto" w:sz="4" w:space="0"/>
              <w:left w:val="nil"/>
              <w:bottom w:val="single" w:color="auto" w:sz="4" w:space="0"/>
              <w:right w:val="single" w:color="auto" w:sz="4" w:space="0"/>
            </w:tcBorders>
            <w:noWrap w:val="0"/>
            <w:vAlign w:val="center"/>
          </w:tcPr>
          <w:p w14:paraId="5C5A6BE6">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b/>
                <w:color w:val="auto"/>
                <w:szCs w:val="21"/>
                <w:highlight w:val="none"/>
              </w:rPr>
            </w:pPr>
            <w:r>
              <w:rPr>
                <w:rFonts w:hint="eastAsia" w:ascii="宋体" w:hAnsi="宋体" w:cs="宋体"/>
                <w:b/>
                <w:color w:val="auto"/>
                <w:szCs w:val="21"/>
                <w:highlight w:val="none"/>
              </w:rPr>
              <w:t>型号规格</w:t>
            </w:r>
          </w:p>
        </w:tc>
        <w:tc>
          <w:tcPr>
            <w:tcW w:w="6253" w:type="dxa"/>
            <w:tcBorders>
              <w:top w:val="single" w:color="auto" w:sz="4" w:space="0"/>
              <w:left w:val="nil"/>
              <w:bottom w:val="single" w:color="auto" w:sz="4" w:space="0"/>
              <w:right w:val="single" w:color="auto" w:sz="4" w:space="0"/>
            </w:tcBorders>
            <w:noWrap w:val="0"/>
            <w:vAlign w:val="center"/>
          </w:tcPr>
          <w:p w14:paraId="0D9A0013">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b/>
                <w:color w:val="auto"/>
                <w:szCs w:val="21"/>
                <w:highlight w:val="none"/>
              </w:rPr>
            </w:pPr>
            <w:r>
              <w:rPr>
                <w:rFonts w:hint="eastAsia" w:ascii="宋体" w:hAnsi="宋体" w:cs="宋体"/>
                <w:b/>
                <w:color w:val="auto"/>
                <w:szCs w:val="21"/>
                <w:highlight w:val="none"/>
              </w:rPr>
              <w:t>规格参数</w:t>
            </w:r>
          </w:p>
        </w:tc>
        <w:tc>
          <w:tcPr>
            <w:tcW w:w="532" w:type="dxa"/>
            <w:tcBorders>
              <w:top w:val="single" w:color="auto" w:sz="4" w:space="0"/>
              <w:left w:val="nil"/>
              <w:bottom w:val="single" w:color="auto" w:sz="4" w:space="0"/>
              <w:right w:val="single" w:color="auto" w:sz="4" w:space="0"/>
            </w:tcBorders>
            <w:noWrap w:val="0"/>
            <w:vAlign w:val="center"/>
          </w:tcPr>
          <w:p w14:paraId="7D35E5EE">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b/>
                <w:color w:val="auto"/>
                <w:szCs w:val="21"/>
                <w:highlight w:val="none"/>
              </w:rPr>
            </w:pPr>
            <w:r>
              <w:rPr>
                <w:rFonts w:hint="eastAsia" w:ascii="宋体" w:hAnsi="宋体" w:cs="宋体"/>
                <w:b/>
                <w:color w:val="auto"/>
                <w:szCs w:val="21"/>
                <w:highlight w:val="none"/>
              </w:rPr>
              <w:t>数量</w:t>
            </w:r>
          </w:p>
        </w:tc>
        <w:tc>
          <w:tcPr>
            <w:tcW w:w="1101" w:type="dxa"/>
            <w:tcBorders>
              <w:top w:val="single" w:color="auto" w:sz="4" w:space="0"/>
              <w:left w:val="nil"/>
              <w:bottom w:val="single" w:color="auto" w:sz="4" w:space="0"/>
              <w:right w:val="single" w:color="auto" w:sz="4" w:space="0"/>
            </w:tcBorders>
            <w:noWrap w:val="0"/>
            <w:vAlign w:val="center"/>
          </w:tcPr>
          <w:p w14:paraId="25C4DFA0">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b/>
                <w:color w:val="auto"/>
                <w:szCs w:val="21"/>
                <w:highlight w:val="none"/>
              </w:rPr>
            </w:pPr>
            <w:r>
              <w:rPr>
                <w:rFonts w:hint="eastAsia" w:ascii="宋体" w:hAnsi="宋体" w:cs="宋体"/>
                <w:b/>
                <w:color w:val="auto"/>
                <w:szCs w:val="21"/>
                <w:highlight w:val="none"/>
              </w:rPr>
              <w:t>制造厂(商)</w:t>
            </w:r>
          </w:p>
        </w:tc>
        <w:tc>
          <w:tcPr>
            <w:tcW w:w="958" w:type="dxa"/>
            <w:tcBorders>
              <w:top w:val="single" w:color="auto" w:sz="4" w:space="0"/>
              <w:left w:val="nil"/>
              <w:bottom w:val="single" w:color="auto" w:sz="4" w:space="0"/>
              <w:right w:val="single" w:color="auto" w:sz="4" w:space="0"/>
            </w:tcBorders>
            <w:noWrap w:val="0"/>
            <w:vAlign w:val="center"/>
          </w:tcPr>
          <w:p w14:paraId="19783E13">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b/>
                <w:color w:val="auto"/>
                <w:szCs w:val="21"/>
                <w:highlight w:val="none"/>
              </w:rPr>
            </w:pPr>
            <w:r>
              <w:rPr>
                <w:rFonts w:hint="eastAsia" w:ascii="宋体" w:hAnsi="宋体" w:cs="宋体"/>
                <w:b/>
                <w:color w:val="auto"/>
                <w:szCs w:val="21"/>
                <w:highlight w:val="none"/>
              </w:rPr>
              <w:t>原产地</w:t>
            </w:r>
          </w:p>
          <w:p w14:paraId="521390B9">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b/>
                <w:color w:val="auto"/>
                <w:szCs w:val="21"/>
                <w:highlight w:val="none"/>
              </w:rPr>
            </w:pPr>
            <w:r>
              <w:rPr>
                <w:rFonts w:hint="eastAsia" w:ascii="宋体" w:hAnsi="宋体" w:cs="宋体"/>
                <w:b/>
                <w:color w:val="auto"/>
                <w:szCs w:val="21"/>
                <w:highlight w:val="none"/>
              </w:rPr>
              <w:t>(国)</w:t>
            </w:r>
          </w:p>
        </w:tc>
        <w:tc>
          <w:tcPr>
            <w:tcW w:w="1432" w:type="dxa"/>
            <w:tcBorders>
              <w:top w:val="single" w:color="auto" w:sz="4" w:space="0"/>
              <w:left w:val="nil"/>
              <w:bottom w:val="single" w:color="auto" w:sz="4" w:space="0"/>
              <w:right w:val="single" w:color="auto" w:sz="4" w:space="0"/>
            </w:tcBorders>
            <w:noWrap w:val="0"/>
            <w:vAlign w:val="top"/>
          </w:tcPr>
          <w:p w14:paraId="77850F8F">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b/>
                <w:color w:val="auto"/>
                <w:szCs w:val="21"/>
                <w:highlight w:val="none"/>
              </w:rPr>
            </w:pPr>
            <w:r>
              <w:rPr>
                <w:rFonts w:hint="eastAsia" w:ascii="宋体" w:hAnsi="宋体" w:cs="宋体"/>
                <w:b/>
                <w:color w:val="auto"/>
                <w:szCs w:val="21"/>
                <w:highlight w:val="none"/>
              </w:rPr>
              <w:t>甲方货物负责人签字确认</w:t>
            </w:r>
          </w:p>
        </w:tc>
      </w:tr>
      <w:tr w14:paraId="24596A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auto" w:sz="4" w:space="0"/>
              <w:left w:val="single" w:color="auto" w:sz="4" w:space="0"/>
              <w:right w:val="single" w:color="auto" w:sz="4" w:space="0"/>
            </w:tcBorders>
            <w:noWrap w:val="0"/>
            <w:vAlign w:val="center"/>
          </w:tcPr>
          <w:p w14:paraId="029E7339">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088" w:type="dxa"/>
            <w:tcBorders>
              <w:top w:val="single" w:color="auto" w:sz="4" w:space="0"/>
              <w:left w:val="nil"/>
              <w:right w:val="single" w:color="auto" w:sz="4" w:space="0"/>
            </w:tcBorders>
            <w:noWrap w:val="0"/>
            <w:vAlign w:val="center"/>
          </w:tcPr>
          <w:p w14:paraId="10CF5713">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color w:val="auto"/>
                <w:szCs w:val="21"/>
                <w:highlight w:val="none"/>
              </w:rPr>
            </w:pPr>
            <w:r>
              <w:rPr>
                <w:rFonts w:hint="eastAsia" w:ascii="宋体" w:hAnsi="宋体" w:cs="宋体"/>
                <w:color w:val="auto"/>
                <w:szCs w:val="21"/>
                <w:highlight w:val="none"/>
              </w:rPr>
              <w:t>气相色谱三重四极杆质谱仪</w:t>
            </w:r>
          </w:p>
        </w:tc>
        <w:tc>
          <w:tcPr>
            <w:tcW w:w="1952" w:type="dxa"/>
            <w:tcBorders>
              <w:top w:val="single" w:color="auto" w:sz="4" w:space="0"/>
              <w:left w:val="nil"/>
              <w:right w:val="single" w:color="auto" w:sz="4" w:space="0"/>
            </w:tcBorders>
            <w:noWrap w:val="0"/>
            <w:vAlign w:val="center"/>
          </w:tcPr>
          <w:p w14:paraId="0E73874C">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color w:val="auto"/>
                <w:szCs w:val="21"/>
                <w:highlight w:val="none"/>
              </w:rPr>
            </w:pPr>
            <w:r>
              <w:drawing>
                <wp:inline distT="0" distB="0" distL="114300" distR="114300">
                  <wp:extent cx="1100455" cy="1003935"/>
                  <wp:effectExtent l="0" t="0" r="4445" b="571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8"/>
                          <a:stretch>
                            <a:fillRect/>
                          </a:stretch>
                        </pic:blipFill>
                        <pic:spPr>
                          <a:xfrm>
                            <a:off x="0" y="0"/>
                            <a:ext cx="1100455" cy="1003935"/>
                          </a:xfrm>
                          <a:prstGeom prst="rect">
                            <a:avLst/>
                          </a:prstGeom>
                          <a:noFill/>
                          <a:ln>
                            <a:noFill/>
                          </a:ln>
                        </pic:spPr>
                      </pic:pic>
                    </a:graphicData>
                  </a:graphic>
                </wp:inline>
              </w:drawing>
            </w:r>
          </w:p>
        </w:tc>
        <w:tc>
          <w:tcPr>
            <w:tcW w:w="1209" w:type="dxa"/>
            <w:tcBorders>
              <w:top w:val="single" w:color="auto" w:sz="4" w:space="0"/>
              <w:left w:val="nil"/>
              <w:right w:val="single" w:color="auto" w:sz="4" w:space="0"/>
            </w:tcBorders>
            <w:noWrap w:val="0"/>
            <w:vAlign w:val="center"/>
          </w:tcPr>
          <w:p w14:paraId="01C431FD">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color w:val="auto"/>
                <w:szCs w:val="21"/>
                <w:highlight w:val="none"/>
              </w:rPr>
            </w:pPr>
            <w:r>
              <w:rPr>
                <w:rFonts w:hint="eastAsia"/>
              </w:rPr>
              <w:t>890-7000E</w:t>
            </w:r>
          </w:p>
          <w:p w14:paraId="19FB8F27">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color w:val="auto"/>
                <w:szCs w:val="21"/>
                <w:highlight w:val="none"/>
              </w:rPr>
            </w:pPr>
          </w:p>
        </w:tc>
        <w:tc>
          <w:tcPr>
            <w:tcW w:w="6253" w:type="dxa"/>
            <w:tcBorders>
              <w:top w:val="single" w:color="auto" w:sz="4" w:space="0"/>
              <w:left w:val="nil"/>
              <w:bottom w:val="single" w:color="auto" w:sz="4" w:space="0"/>
              <w:right w:val="single" w:color="auto" w:sz="4" w:space="0"/>
            </w:tcBorders>
            <w:shd w:val="clear" w:color="auto" w:fill="auto"/>
            <w:noWrap w:val="0"/>
            <w:vAlign w:val="center"/>
          </w:tcPr>
          <w:p w14:paraId="3D035975">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rPr>
            </w:pPr>
            <w:r>
              <w:rPr>
                <w:rFonts w:hint="eastAsia"/>
              </w:rPr>
              <w:t>一、主要性能参数</w:t>
            </w:r>
          </w:p>
          <w:p w14:paraId="13B05F3F">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1. 三重四极杆质谱部分：</w:t>
            </w:r>
          </w:p>
          <w:p w14:paraId="3CB0CA15">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1.1 基本性能</w:t>
            </w:r>
          </w:p>
          <w:p w14:paraId="4B93E043">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1.1.1灵敏度：EI MRM模式：100fg八氟奈, 信/噪比≥16000:1(272—222 )；仪器检测限指标 (为仪器安装指标)：(测试的柱子规格为5ms柱子，30mx0.25mmx0.25um)仪器检测限指标(EI MRM IDL)：小于4.0fg八氟奈 (OFN)，10fg OFN连续进样8次；</w:t>
            </w:r>
          </w:p>
          <w:p w14:paraId="4E1163B5">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1.1.2 质量数范围: 10～1050amu；分辨率：0.4-4amu可调；扫描速度：20000 Da/秒；MRM扫描速率：800个MRM/秒；最小SRM扫描时间：0.5ms；</w:t>
            </w:r>
          </w:p>
          <w:p w14:paraId="3B91CBAE">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1.2 离子源</w:t>
            </w:r>
          </w:p>
          <w:p w14:paraId="3E22BDD6">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 xml:space="preserve">1.2.1离子源电子能量：10-300eV，已提供工作站截屏文件证明文件。 </w:t>
            </w:r>
          </w:p>
          <w:p w14:paraId="132E08D0">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1.2.2离子源和接口传输线温度：均可独立加热，最大温度可达350℃；采用无损双灯丝设计，且具有灯丝透镜，保护灯丝，提高灯丝寿命，灯丝电流：0-300uA；</w:t>
            </w:r>
          </w:p>
          <w:p w14:paraId="2A0DBC0B">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1.2.3 可升级自清洁离子源功能，已提供智清洁离子源中文彩页和官网链接；</w:t>
            </w:r>
          </w:p>
          <w:p w14:paraId="4BAE954B">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1.3质量分析器</w:t>
            </w:r>
          </w:p>
          <w:p w14:paraId="5247CEB5">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1.3.1质量分析器：石英镀金共轭双曲面四极杆，能独立温控，最高可达200</w:t>
            </w:r>
            <w:r>
              <w:rPr>
                <w:rFonts w:hint="eastAsia" w:ascii="宋体" w:hAnsi="宋体" w:eastAsia="宋体" w:cs="宋体"/>
              </w:rPr>
              <w:t>℃</w:t>
            </w:r>
            <w:r>
              <w:t>(非预四极杆加热)，保证四极杆终身免维护，大大减少售后维护费用。已提供工作站中四极杆温度参数设置界面证明文件；</w:t>
            </w:r>
          </w:p>
          <w:p w14:paraId="3673C90C">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1.3.2碰撞池具有氦气消除功能，氦气淬灭消除中性噪音的六极杆碰撞池装置设计，消除“记忆效应”和“交叉污染”；氦气消除气体流量范围在0~5.0 ml/min可调。</w:t>
            </w:r>
          </w:p>
          <w:p w14:paraId="2CB44BF4">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1.4扫描功能：提供全扫描(Full Scan)、子离子扫描( Product Ion Scan)、母离子扫描(Precursor Ion Scan)、中性丢失扫描(Neutral Loss Scan)、选择离子扫描模式(SIM)、选择反应扫描模式(SRM)、多反应扫描模式（MRM）等多种模式；</w:t>
            </w:r>
          </w:p>
          <w:p w14:paraId="5C48D974">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2. 气相主机</w:t>
            </w:r>
          </w:p>
          <w:p w14:paraId="43A86C23">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2.1色谱性能：保留时间重现性&lt;0.008%或0.0008min，峰面积重现性&lt;0.5% RSD；</w:t>
            </w:r>
          </w:p>
          <w:p w14:paraId="2E43265A">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2.2 7英寸电容式触摸屏，具有浏览器界面，可实现智能移动访问功能使用最广泛的界面，已提供彩页证明材料。</w:t>
            </w:r>
          </w:p>
          <w:p w14:paraId="2B48BBBB">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2.3 气相主机操作系统包含五种不同操作语言，适合不同客户需求，已提供语言选择界面证明。</w:t>
            </w:r>
          </w:p>
          <w:p w14:paraId="34A19379">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2.4仪器主机标配六个气相色谱柱的智能钥匙端口，以便于实验室色谱柱管理，已提供智能钥匙端口实物照片证明和公开彩页证明；</w:t>
            </w:r>
          </w:p>
          <w:p w14:paraId="5F575D5F">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2.5具备智能的气体净化传感器，全自动监测气体净化状态并触发仪器触摸屏上的报警诊断功能（已提供气体净化传感器全自动监测的实物图片及软件报警截图说明证明文件）；</w:t>
            </w:r>
          </w:p>
          <w:p w14:paraId="1ADEF37E">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3 柱温箱</w:t>
            </w:r>
          </w:p>
          <w:p w14:paraId="1F182619">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3.1 温度范围：室温以上4 ℃~450 ℃；</w:t>
            </w:r>
          </w:p>
          <w:p w14:paraId="0C13F314">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3.2主机最多可同时安装检测器数目（质谱检测器除外）：4个。</w:t>
            </w:r>
          </w:p>
          <w:p w14:paraId="2974E125">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4 毛细柱分流/不分流进样口（具有EPC功能）；</w:t>
            </w:r>
          </w:p>
          <w:p w14:paraId="79D7D4A8">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4.1 分流比最高12500:1；总流速设定范围：0-500 mL/min N2，0-1250 mL/min H2或He，0-200 mL/min氩气/甲烷；</w:t>
            </w:r>
          </w:p>
          <w:p w14:paraId="0C941276">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4.2 扳转式顶盖进样口密封系统，有助于快速、轻松地更换进样器衬管；</w:t>
            </w:r>
          </w:p>
          <w:p w14:paraId="1B1AC3F3">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4.3进样口为全惰性化处理，有助于痕量组分的分析，已提供彩页证明；</w:t>
            </w:r>
          </w:p>
          <w:p w14:paraId="47EC33B6">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5.氢火焰检测器（FID）</w:t>
            </w:r>
          </w:p>
          <w:p w14:paraId="1BE1971C">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5.1最高使用温度：450℃；</w:t>
            </w:r>
          </w:p>
          <w:p w14:paraId="57EA7206">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5.2最低检测限：&lt;1.2pg碳/秒(对十三烷)；</w:t>
            </w:r>
          </w:p>
          <w:p w14:paraId="1AAF692B">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5.3 数据采集频率：1000Hz，已提供软件截图证明</w:t>
            </w:r>
          </w:p>
          <w:p w14:paraId="1C41A52A">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6反吹和保留时间锁定功能：具有不卸真空更换色谱柱功能和保留时间锁定功能，且反吹功能大大缩短运行时间，确保系统的减少污染、增加稳定性和延长色谱柱使用寿命。</w:t>
            </w:r>
          </w:p>
          <w:p w14:paraId="7DD30CB5">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7液体自动进样器</w:t>
            </w:r>
          </w:p>
          <w:p w14:paraId="0214AB59">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7.1 液体进样量范围：通常介于0.1-50μL之间；面积重现性：&lt; 0.3% RSD。</w:t>
            </w:r>
          </w:p>
          <w:p w14:paraId="23CDCFC3">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7.2 样品瓶位数：165位（2mL样品瓶）</w:t>
            </w:r>
          </w:p>
          <w:p w14:paraId="60271CB0">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7.3 支持双塔同时进样，完全程序设置的抽取速率和分配速率。自定位“即插即用”式进样器无需工具即可在几秒钟内完成安装。</w:t>
            </w:r>
          </w:p>
          <w:p w14:paraId="1408160F">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8 工作站系统</w:t>
            </w:r>
          </w:p>
          <w:p w14:paraId="1D8EF333">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8.1气相色谱，质谱，质谱工作站之间的数据传输全部由内置的网卡实现；</w:t>
            </w:r>
          </w:p>
          <w:p w14:paraId="0977265C">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8.2软件可同时控制气相FID检测器和质谱部分。</w:t>
            </w:r>
          </w:p>
          <w:p w14:paraId="56C30515">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8.3 软件：气质串接软件同时包含中文和英文两种软件，用户可根据自己需要安装不同语言版本的软件（已提供中文工作站的控制界面和定量界面截面图证明文件）；</w:t>
            </w:r>
          </w:p>
          <w:p w14:paraId="34870E57">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Times New Roman" w:hAnsi="Times New Roman" w:eastAsia="宋体" w:cs="Times New Roman"/>
                <w:kern w:val="2"/>
                <w:sz w:val="21"/>
                <w:szCs w:val="22"/>
                <w:lang w:val="en-US" w:eastAsia="zh-CN" w:bidi="ar-SA"/>
              </w:rPr>
            </w:pPr>
            <w:r>
              <w:t>8.4 数据处理系统（配置14代i7处理器，32GB内存, 2T 硬盘，</w:t>
            </w:r>
            <w:r>
              <w:rPr>
                <w:rFonts w:hint="eastAsia"/>
              </w:rPr>
              <w:t>27英寸以上</w:t>
            </w:r>
            <w:r>
              <w:rPr>
                <w:highlight w:val="none"/>
              </w:rPr>
              <w:t>显示器</w:t>
            </w:r>
            <w:r>
              <w:t>）2套；数据转移设备2套（固态，4TB）；及多功能（打印、扫描复印）彩色数据输出系统1套。</w:t>
            </w:r>
          </w:p>
          <w:p w14:paraId="1416909E">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*配置</w:t>
            </w:r>
          </w:p>
          <w:p w14:paraId="6C292FA1">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 xml:space="preserve">1. 三重四极杆质谱仪主机 </w:t>
            </w:r>
            <w:r>
              <w:rPr>
                <w:rStyle w:val="10"/>
                <w:rFonts w:hint="eastAsia" w:ascii="宋体" w:hAnsi="宋体" w:eastAsia="宋体" w:cs="宋体"/>
                <w:snapToGrid w:val="0"/>
                <w:color w:val="000000"/>
                <w:sz w:val="21"/>
                <w:szCs w:val="21"/>
                <w:lang w:val="en-US" w:eastAsia="zh-CN" w:bidi="ar"/>
              </w:rPr>
              <w:t xml:space="preserve">            数量 1台</w:t>
            </w:r>
          </w:p>
          <w:p w14:paraId="43E47ADF">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 xml:space="preserve">2. 气相色谱仪主机 </w:t>
            </w:r>
            <w:r>
              <w:rPr>
                <w:rStyle w:val="10"/>
                <w:rFonts w:hint="eastAsia" w:ascii="宋体" w:hAnsi="宋体" w:eastAsia="宋体" w:cs="宋体"/>
                <w:snapToGrid w:val="0"/>
                <w:color w:val="000000"/>
                <w:sz w:val="21"/>
                <w:szCs w:val="21"/>
                <w:lang w:val="en-US" w:eastAsia="zh-CN" w:bidi="ar"/>
              </w:rPr>
              <w:t xml:space="preserve">                  数量 1台</w:t>
            </w:r>
          </w:p>
          <w:p w14:paraId="485EAB9E">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 xml:space="preserve">3. 柱温箱 </w:t>
            </w:r>
            <w:r>
              <w:rPr>
                <w:rStyle w:val="10"/>
                <w:rFonts w:hint="eastAsia" w:ascii="宋体" w:hAnsi="宋体" w:eastAsia="宋体" w:cs="宋体"/>
                <w:snapToGrid w:val="0"/>
                <w:color w:val="000000"/>
                <w:sz w:val="21"/>
                <w:szCs w:val="21"/>
                <w:lang w:val="en-US" w:eastAsia="zh-CN" w:bidi="ar"/>
              </w:rPr>
              <w:t xml:space="preserve">                          数量 1套</w:t>
            </w:r>
          </w:p>
          <w:p w14:paraId="6D75CB14">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 xml:space="preserve">4．惰性化分流/不分流进样口 </w:t>
            </w:r>
            <w:r>
              <w:rPr>
                <w:rStyle w:val="10"/>
                <w:rFonts w:hint="eastAsia" w:ascii="宋体" w:hAnsi="宋体" w:eastAsia="宋体" w:cs="宋体"/>
                <w:snapToGrid w:val="0"/>
                <w:color w:val="000000"/>
                <w:sz w:val="21"/>
                <w:szCs w:val="21"/>
                <w:lang w:val="en-US" w:eastAsia="zh-CN" w:bidi="ar"/>
              </w:rPr>
              <w:t xml:space="preserve">         数量 2套</w:t>
            </w:r>
          </w:p>
          <w:p w14:paraId="71505A13">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 xml:space="preserve">5. 氢火焰离子化检测器（FID） </w:t>
            </w:r>
            <w:r>
              <w:rPr>
                <w:rStyle w:val="10"/>
                <w:rFonts w:hint="eastAsia" w:ascii="宋体" w:hAnsi="宋体" w:eastAsia="宋体" w:cs="宋体"/>
                <w:snapToGrid w:val="0"/>
                <w:color w:val="000000"/>
                <w:sz w:val="21"/>
                <w:szCs w:val="21"/>
                <w:lang w:val="en-US" w:eastAsia="zh-CN" w:bidi="ar"/>
              </w:rPr>
              <w:t xml:space="preserve">       数量1个</w:t>
            </w:r>
          </w:p>
          <w:p w14:paraId="27A2041B">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6. 色谱反吹组件（包括反吹硬件、独立的电子流量控制和阻尼柱等） 数量1个</w:t>
            </w:r>
          </w:p>
          <w:p w14:paraId="0F03EA4D">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 xml:space="preserve">7. 不卸真空更换色谱柱组件 </w:t>
            </w:r>
            <w:r>
              <w:rPr>
                <w:rStyle w:val="10"/>
                <w:rFonts w:hint="eastAsia" w:ascii="宋体" w:hAnsi="宋体" w:eastAsia="宋体" w:cs="宋体"/>
                <w:snapToGrid w:val="0"/>
                <w:color w:val="000000"/>
                <w:sz w:val="21"/>
                <w:szCs w:val="21"/>
                <w:lang w:val="en-US" w:eastAsia="zh-CN" w:bidi="ar"/>
              </w:rPr>
              <w:t xml:space="preserve">          数量 1个</w:t>
            </w:r>
          </w:p>
          <w:p w14:paraId="067B8DDC">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 xml:space="preserve">8．自动进样器 </w:t>
            </w:r>
            <w:r>
              <w:rPr>
                <w:rStyle w:val="10"/>
                <w:rFonts w:hint="eastAsia" w:ascii="宋体" w:hAnsi="宋体" w:eastAsia="宋体" w:cs="宋体"/>
                <w:snapToGrid w:val="0"/>
                <w:color w:val="000000"/>
                <w:sz w:val="21"/>
                <w:szCs w:val="21"/>
                <w:lang w:val="en-US" w:eastAsia="zh-CN" w:bidi="ar"/>
              </w:rPr>
              <w:t xml:space="preserve">                       数量 1台</w:t>
            </w:r>
          </w:p>
          <w:p w14:paraId="5CA315B3">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 xml:space="preserve">9．工作站 </w:t>
            </w:r>
            <w:r>
              <w:rPr>
                <w:rStyle w:val="10"/>
                <w:rFonts w:hint="eastAsia" w:ascii="宋体" w:hAnsi="宋体" w:eastAsia="宋体" w:cs="宋体"/>
                <w:snapToGrid w:val="0"/>
                <w:color w:val="000000"/>
                <w:sz w:val="21"/>
                <w:szCs w:val="21"/>
                <w:lang w:val="en-US" w:eastAsia="zh-CN" w:bidi="ar"/>
              </w:rPr>
              <w:t xml:space="preserve">                           数量 1台</w:t>
            </w:r>
          </w:p>
          <w:p w14:paraId="497BDA4B">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10．NIST 20检索谱库</w:t>
            </w:r>
            <w:r>
              <w:rPr>
                <w:rStyle w:val="10"/>
                <w:rFonts w:hint="eastAsia" w:ascii="宋体" w:hAnsi="宋体" w:eastAsia="宋体" w:cs="宋体"/>
                <w:snapToGrid w:val="0"/>
                <w:color w:val="000000"/>
                <w:sz w:val="21"/>
                <w:szCs w:val="21"/>
                <w:lang w:val="en-US" w:eastAsia="zh-CN" w:bidi="ar"/>
              </w:rPr>
              <w:t xml:space="preserve">                 数量 1套</w:t>
            </w:r>
          </w:p>
          <w:p w14:paraId="4FA4A283">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 xml:space="preserve">11. 未知物分析软件 </w:t>
            </w:r>
            <w:r>
              <w:rPr>
                <w:rStyle w:val="10"/>
                <w:rFonts w:hint="eastAsia" w:ascii="宋体" w:hAnsi="宋体" w:eastAsia="宋体" w:cs="宋体"/>
                <w:snapToGrid w:val="0"/>
                <w:color w:val="000000"/>
                <w:sz w:val="21"/>
                <w:szCs w:val="21"/>
                <w:lang w:val="en-US" w:eastAsia="zh-CN" w:bidi="ar"/>
              </w:rPr>
              <w:t xml:space="preserve">                 数量 1套</w:t>
            </w:r>
          </w:p>
          <w:p w14:paraId="5F539E4F">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12．色谱柱：HP-5MS色谱柱（30m × 0.25mm × 0.25µm），数量 3根；VF-624色谱柱（30m × 0.25mm × 0.25µm），数量 2根；DB-FFAP色谱柱(30m × 0.25mm × 0.25µm)，数量2根</w:t>
            </w:r>
          </w:p>
          <w:p w14:paraId="58610938">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13．备件耗材包：安装工具包（包括螺帽接头、管线和工具等）1套；色谱0.25 um石墨垫50个；0.4mm质谱密封垫50个；泵油4L；色谱柱接头6个；质谱柱接头6个；死堵2个；衬管密封圈10个；备用灯丝5个；测试标样1个；大容量整合式捕集阱1个；10μL自动进样针8根；低流失进样隔垫200个；2mL样品瓶包含瓶盖和瓶垫1000套；SPME专用衬管（0.75mm内径和2mm内径）各5个；分流/不分流衬管10个；进样口分流平板2个</w:t>
            </w:r>
          </w:p>
          <w:p w14:paraId="5956AB72">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14．高纯氦气钢瓶、高纯氮气钢瓶各1瓶，减压阀4个，配套钢瓶柜1套；精密移液器一套</w:t>
            </w:r>
          </w:p>
          <w:p w14:paraId="4C2EA569">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snapToGrid w:val="0"/>
                <w:color w:val="000000"/>
                <w:kern w:val="0"/>
                <w:sz w:val="21"/>
                <w:szCs w:val="21"/>
                <w:u w:val="none"/>
                <w:lang w:val="en-US" w:eastAsia="zh-CN" w:bidi="ar"/>
              </w:rPr>
              <w:t>15. UPS稳压电源一套，功率10KVA，蓄电工作时间不小于1小时，数量2套</w:t>
            </w:r>
          </w:p>
        </w:tc>
        <w:tc>
          <w:tcPr>
            <w:tcW w:w="532" w:type="dxa"/>
            <w:tcBorders>
              <w:top w:val="single" w:color="auto" w:sz="4" w:space="0"/>
              <w:left w:val="nil"/>
              <w:right w:val="single" w:color="auto" w:sz="4" w:space="0"/>
            </w:tcBorders>
            <w:noWrap w:val="0"/>
            <w:vAlign w:val="center"/>
          </w:tcPr>
          <w:p w14:paraId="2AA26CD1">
            <w:pPr>
              <w:keepNext w:val="0"/>
              <w:keepLines w:val="0"/>
              <w:pageBreakBefore w:val="0"/>
              <w:kinsoku/>
              <w:overflowPunct/>
              <w:topLinePunct w:val="0"/>
              <w:autoSpaceDE/>
              <w:autoSpaceDN/>
              <w:bidi w:val="0"/>
              <w:adjustRightInd/>
              <w:snapToGrid w:val="0"/>
              <w:spacing w:line="360" w:lineRule="auto"/>
              <w:ind w:right="0" w:rightChars="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1101" w:type="dxa"/>
            <w:tcBorders>
              <w:top w:val="single" w:color="auto" w:sz="4" w:space="0"/>
              <w:left w:val="nil"/>
              <w:right w:val="single" w:color="auto" w:sz="4" w:space="0"/>
            </w:tcBorders>
            <w:noWrap w:val="0"/>
            <w:vAlign w:val="center"/>
          </w:tcPr>
          <w:p w14:paraId="164BCC68">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bCs/>
                <w:color w:val="auto"/>
                <w:kern w:val="0"/>
                <w:szCs w:val="21"/>
                <w:highlight w:val="none"/>
              </w:rPr>
            </w:pPr>
            <w:r>
              <w:rPr>
                <w:rFonts w:hint="eastAsia" w:ascii="宋体" w:hAnsi="宋体" w:cs="宋体"/>
                <w:bCs/>
                <w:color w:val="auto"/>
                <w:kern w:val="0"/>
                <w:szCs w:val="21"/>
                <w:highlight w:val="none"/>
              </w:rPr>
              <w:t>Agilent Technologies, INC</w:t>
            </w:r>
          </w:p>
        </w:tc>
        <w:tc>
          <w:tcPr>
            <w:tcW w:w="958" w:type="dxa"/>
            <w:tcBorders>
              <w:top w:val="single" w:color="auto" w:sz="4" w:space="0"/>
              <w:left w:val="nil"/>
              <w:right w:val="single" w:color="auto" w:sz="4" w:space="0"/>
            </w:tcBorders>
            <w:noWrap w:val="0"/>
            <w:vAlign w:val="center"/>
          </w:tcPr>
          <w:p w14:paraId="691FE36A">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新加坡</w:t>
            </w:r>
          </w:p>
        </w:tc>
        <w:tc>
          <w:tcPr>
            <w:tcW w:w="1432" w:type="dxa"/>
            <w:tcBorders>
              <w:top w:val="single" w:color="auto" w:sz="4" w:space="0"/>
              <w:left w:val="nil"/>
              <w:right w:val="single" w:color="auto" w:sz="4" w:space="0"/>
            </w:tcBorders>
            <w:noWrap w:val="0"/>
            <w:vAlign w:val="top"/>
          </w:tcPr>
          <w:p w14:paraId="5BBA48BD">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color w:val="auto"/>
                <w:szCs w:val="21"/>
                <w:highlight w:val="none"/>
              </w:rPr>
            </w:pPr>
          </w:p>
        </w:tc>
      </w:tr>
      <w:tr w14:paraId="6E6C6E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20" w:type="dxa"/>
            <w:tcBorders>
              <w:top w:val="single" w:color="auto" w:sz="4" w:space="0"/>
              <w:left w:val="single" w:color="auto" w:sz="4" w:space="0"/>
              <w:right w:val="single" w:color="auto" w:sz="4" w:space="0"/>
            </w:tcBorders>
            <w:shd w:val="clear" w:color="auto" w:fill="auto"/>
            <w:noWrap w:val="0"/>
            <w:vAlign w:val="center"/>
          </w:tcPr>
          <w:p w14:paraId="703B1E32">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2</w:t>
            </w:r>
          </w:p>
        </w:tc>
        <w:tc>
          <w:tcPr>
            <w:tcW w:w="1088" w:type="dxa"/>
            <w:tcBorders>
              <w:top w:val="single" w:color="auto" w:sz="4" w:space="0"/>
              <w:left w:val="nil"/>
              <w:right w:val="single" w:color="auto" w:sz="4" w:space="0"/>
            </w:tcBorders>
            <w:shd w:val="clear" w:color="auto" w:fill="auto"/>
            <w:noWrap w:val="0"/>
            <w:vAlign w:val="center"/>
          </w:tcPr>
          <w:p w14:paraId="6F66E527">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高光谱成像光谱仪</w:t>
            </w:r>
          </w:p>
        </w:tc>
        <w:tc>
          <w:tcPr>
            <w:tcW w:w="1952" w:type="dxa"/>
            <w:tcBorders>
              <w:top w:val="single" w:color="auto" w:sz="4" w:space="0"/>
              <w:left w:val="nil"/>
              <w:right w:val="single" w:color="auto" w:sz="4" w:space="0"/>
            </w:tcBorders>
            <w:noWrap w:val="0"/>
            <w:vAlign w:val="center"/>
          </w:tcPr>
          <w:p w14:paraId="38BA933F">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drawing>
                <wp:inline distT="0" distB="0" distL="114300" distR="114300">
                  <wp:extent cx="1003300" cy="669290"/>
                  <wp:effectExtent l="0" t="0" r="6350" b="16510"/>
                  <wp:docPr id="2" name="图片 2" descr="850ea3c4d10af912d386c717b08a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50ea3c4d10af912d386c717b08a3740"/>
                          <pic:cNvPicPr>
                            <a:picLocks noChangeAspect="1"/>
                          </pic:cNvPicPr>
                        </pic:nvPicPr>
                        <pic:blipFill>
                          <a:blip r:embed="rId9"/>
                          <a:stretch>
                            <a:fillRect/>
                          </a:stretch>
                        </pic:blipFill>
                        <pic:spPr>
                          <a:xfrm>
                            <a:off x="0" y="0"/>
                            <a:ext cx="1003300" cy="669290"/>
                          </a:xfrm>
                          <a:prstGeom prst="rect">
                            <a:avLst/>
                          </a:prstGeom>
                        </pic:spPr>
                      </pic:pic>
                    </a:graphicData>
                  </a:graphic>
                </wp:inline>
              </w:drawing>
            </w:r>
          </w:p>
        </w:tc>
        <w:tc>
          <w:tcPr>
            <w:tcW w:w="1209" w:type="dxa"/>
            <w:tcBorders>
              <w:top w:val="single" w:color="auto" w:sz="4" w:space="0"/>
              <w:left w:val="nil"/>
              <w:right w:val="single" w:color="auto" w:sz="4" w:space="0"/>
            </w:tcBorders>
            <w:noWrap w:val="0"/>
            <w:vAlign w:val="center"/>
          </w:tcPr>
          <w:p w14:paraId="35D1235E">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color w:val="auto"/>
                <w:szCs w:val="21"/>
                <w:highlight w:val="none"/>
              </w:rPr>
            </w:pPr>
            <w:r>
              <w:rPr>
                <w:rFonts w:hint="eastAsia" w:ascii="宋体" w:hAnsi="宋体" w:cs="宋体"/>
                <w:color w:val="auto"/>
                <w:szCs w:val="21"/>
                <w:highlight w:val="none"/>
              </w:rPr>
              <w:t>FX10&amp;FX17</w:t>
            </w:r>
          </w:p>
        </w:tc>
        <w:tc>
          <w:tcPr>
            <w:tcW w:w="6253" w:type="dxa"/>
            <w:tcBorders>
              <w:top w:val="single" w:color="auto" w:sz="4" w:space="0"/>
              <w:left w:val="nil"/>
              <w:bottom w:val="single" w:color="auto" w:sz="4" w:space="0"/>
              <w:right w:val="single" w:color="auto" w:sz="4" w:space="0"/>
            </w:tcBorders>
            <w:noWrap w:val="0"/>
            <w:vAlign w:val="center"/>
          </w:tcPr>
          <w:p w14:paraId="4696A70D">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rPr>
            </w:pPr>
            <w:r>
              <w:rPr>
                <w:rFonts w:hint="eastAsia"/>
              </w:rPr>
              <w:t>1. FX10可见光近红外高光谱相机</w:t>
            </w:r>
          </w:p>
          <w:p w14:paraId="7A122783">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1.1光谱范围：400-1000 nm</w:t>
            </w:r>
          </w:p>
          <w:p w14:paraId="777CBBE6">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1.2光谱波段：224，透射光栅推扫式成像方式</w:t>
            </w:r>
          </w:p>
          <w:p w14:paraId="7F91D8A0">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1.3空间像素：1024个</w:t>
            </w:r>
          </w:p>
          <w:p w14:paraId="06D04B5A">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1.4光谱采样：1.4 nm</w:t>
            </w:r>
          </w:p>
          <w:p w14:paraId="73B78D37">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1.5视场角FOV：38°</w:t>
            </w:r>
          </w:p>
          <w:p w14:paraId="4ECA8894">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1.6光圈F/#：F/1.7</w:t>
            </w:r>
          </w:p>
          <w:p w14:paraId="3BB6F4A3">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1.7 成像速度：全谱段采集为327 Hz，可灵活进行采集波段选择</w:t>
            </w:r>
          </w:p>
          <w:p w14:paraId="2CB35B9B">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1.8相机接口：GigE，配备12芯触点连接器</w:t>
            </w:r>
          </w:p>
          <w:p w14:paraId="5B027CD5">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1.9重量：1.26 kg</w:t>
            </w:r>
          </w:p>
          <w:p w14:paraId="555E8086">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1.10尺寸：150 × 85 × 75 mm，相机内部集成电子机械开关</w:t>
            </w:r>
          </w:p>
          <w:p w14:paraId="59060249">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2.FX17近红外高光谱相机</w:t>
            </w:r>
          </w:p>
          <w:p w14:paraId="7341F95A">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2.1光谱范围：900-1700 nm</w:t>
            </w:r>
          </w:p>
          <w:p w14:paraId="0B696FD9">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2.2光谱波段：224，透射光栅推扫式成像方式</w:t>
            </w:r>
          </w:p>
          <w:p w14:paraId="7DC55597">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2.3空间像素：640个</w:t>
            </w:r>
          </w:p>
          <w:p w14:paraId="681A2B5C">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2.4光谱采样：3.6 nm</w:t>
            </w:r>
          </w:p>
          <w:p w14:paraId="605F6825">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2.5成像速度：全谱段采集527Hz，可灵活进行采集波段选择</w:t>
            </w:r>
          </w:p>
          <w:p w14:paraId="7758A621">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2.6视场角FOV：38°</w:t>
            </w:r>
          </w:p>
          <w:p w14:paraId="5C043D58">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2.7光圈F/#：F/1.7</w:t>
            </w:r>
          </w:p>
          <w:p w14:paraId="321D84EB">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2.8相机接口：GigE，配备12芯触点连接器，相机内部集成电子机械开关</w:t>
            </w:r>
          </w:p>
          <w:p w14:paraId="1186B0C5">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2.9相机尺寸：150 ×85× 75 mm，相机内部集成电子机械开关</w:t>
            </w:r>
          </w:p>
          <w:p w14:paraId="66D89CCD">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cs="宋体"/>
                <w:color w:val="auto"/>
                <w:szCs w:val="21"/>
                <w:highlight w:val="none"/>
              </w:rPr>
            </w:pPr>
            <w:r>
              <w:rPr>
                <w:rFonts w:hint="eastAsia"/>
              </w:rPr>
              <w:t>2.10相机重量：1.56 kg</w:t>
            </w:r>
          </w:p>
          <w:p w14:paraId="0FBF9D9B">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eastAsia="宋体" w:cs="宋体"/>
                <w:color w:val="auto"/>
                <w:szCs w:val="21"/>
                <w:highlight w:val="none"/>
              </w:rPr>
            </w:pPr>
            <w:r>
              <w:rPr>
                <w:rFonts w:hint="eastAsia" w:ascii="宋体" w:hAnsi="宋体" w:eastAsia="宋体" w:cs="宋体"/>
              </w:rPr>
              <w:t>3.LabScanner线性扫描平台</w:t>
            </w:r>
          </w:p>
          <w:p w14:paraId="26B8507D">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eastAsia="宋体" w:cs="宋体"/>
                <w:color w:val="auto"/>
                <w:szCs w:val="21"/>
                <w:highlight w:val="none"/>
              </w:rPr>
            </w:pPr>
            <w:r>
              <w:rPr>
                <w:rFonts w:hint="eastAsia" w:ascii="宋体" w:hAnsi="宋体" w:eastAsia="宋体" w:cs="宋体"/>
              </w:rPr>
              <w:t>3.1铝制框架平台尺寸703 x 335 x 710 mm（长宽高），样品台40 × 20 cm (L × W)</w:t>
            </w:r>
          </w:p>
          <w:p w14:paraId="409F5AA3">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eastAsia="宋体" w:cs="宋体"/>
                <w:color w:val="auto"/>
                <w:szCs w:val="21"/>
                <w:highlight w:val="none"/>
              </w:rPr>
            </w:pPr>
            <w:r>
              <w:rPr>
                <w:rFonts w:hint="eastAsia" w:ascii="宋体" w:hAnsi="宋体" w:eastAsia="宋体" w:cs="宋体"/>
              </w:rPr>
              <w:t>3.2搭配参考白板和卤素灯光源（400-2500 nm）</w:t>
            </w:r>
          </w:p>
          <w:p w14:paraId="4C29C079">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eastAsia="宋体" w:cs="宋体"/>
                <w:color w:val="auto"/>
                <w:szCs w:val="21"/>
                <w:highlight w:val="none"/>
              </w:rPr>
            </w:pPr>
            <w:r>
              <w:rPr>
                <w:rFonts w:hint="eastAsia" w:ascii="宋体" w:hAnsi="宋体" w:eastAsia="宋体" w:cs="宋体"/>
              </w:rPr>
              <w:t>3.3扫描速度：90 mm/s</w:t>
            </w:r>
          </w:p>
          <w:p w14:paraId="37B5A6B4">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eastAsia="宋体" w:cs="宋体"/>
                <w:color w:val="auto"/>
                <w:szCs w:val="21"/>
                <w:highlight w:val="none"/>
              </w:rPr>
            </w:pPr>
            <w:r>
              <w:rPr>
                <w:rFonts w:hint="eastAsia" w:ascii="宋体" w:hAnsi="宋体" w:eastAsia="宋体" w:cs="宋体"/>
              </w:rPr>
              <w:t>3.4控制接口：通过相机控制或者利用USB、RS232控制</w:t>
            </w:r>
          </w:p>
          <w:p w14:paraId="1EB9078D">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eastAsia="宋体" w:cs="宋体"/>
                <w:color w:val="auto"/>
                <w:szCs w:val="21"/>
                <w:highlight w:val="none"/>
              </w:rPr>
            </w:pPr>
            <w:r>
              <w:rPr>
                <w:rFonts w:hint="eastAsia" w:ascii="宋体" w:hAnsi="宋体" w:eastAsia="宋体" w:cs="宋体"/>
              </w:rPr>
              <w:t>4.LUMOScanner数据采集控制软件</w:t>
            </w:r>
          </w:p>
          <w:p w14:paraId="246D38B0">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eastAsia="宋体" w:cs="宋体"/>
                <w:color w:val="auto"/>
                <w:szCs w:val="21"/>
                <w:highlight w:val="none"/>
              </w:rPr>
            </w:pPr>
            <w:r>
              <w:rPr>
                <w:rFonts w:hint="eastAsia" w:ascii="宋体" w:hAnsi="宋体" w:eastAsia="宋体" w:cs="宋体"/>
              </w:rPr>
              <w:t>4.1可实时控制高光谱相机的采集速度、曝光时间以及扫描平台起始和终止位置，以及自动控制相机电子机械开关等参数</w:t>
            </w:r>
          </w:p>
          <w:p w14:paraId="337658DA">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eastAsia="宋体" w:cs="宋体"/>
                <w:color w:val="auto"/>
                <w:szCs w:val="21"/>
                <w:highlight w:val="none"/>
              </w:rPr>
            </w:pPr>
            <w:r>
              <w:rPr>
                <w:rFonts w:hint="eastAsia" w:ascii="宋体" w:hAnsi="宋体" w:eastAsia="宋体" w:cs="宋体"/>
              </w:rPr>
              <w:t>4.2 可自动化完成数据标定白板和暗电流采集等工作流程,且每组高光谱数据都会完成白板和暗噪声数据采集</w:t>
            </w:r>
          </w:p>
          <w:p w14:paraId="2EDA3F0B">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eastAsia="宋体" w:cs="宋体"/>
                <w:color w:val="auto"/>
                <w:szCs w:val="21"/>
                <w:highlight w:val="none"/>
              </w:rPr>
            </w:pPr>
            <w:r>
              <w:rPr>
                <w:rFonts w:hint="eastAsia" w:ascii="宋体" w:hAnsi="宋体" w:eastAsia="宋体" w:cs="宋体"/>
              </w:rPr>
              <w:t>4.3 采集界面包含探测器窗口，成像窗口，灰度直方图以及光谱曲线窗口等，可实时显示图像信息和光谱信息</w:t>
            </w:r>
          </w:p>
          <w:p w14:paraId="302C711C">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eastAsia="宋体" w:cs="宋体"/>
                <w:color w:val="auto"/>
                <w:szCs w:val="21"/>
                <w:highlight w:val="none"/>
              </w:rPr>
            </w:pPr>
            <w:r>
              <w:rPr>
                <w:rFonts w:hint="eastAsia" w:ascii="宋体" w:hAnsi="宋体" w:eastAsia="宋体" w:cs="宋体"/>
              </w:rPr>
              <w:t>4.4可得到raw格式原始数据和DAT格式反射率数据，支持主流遥感数据分析软件如ENVI等软件分析。</w:t>
            </w:r>
          </w:p>
          <w:p w14:paraId="3C30E44F">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eastAsia="宋体" w:cs="宋体"/>
                <w:color w:val="auto"/>
                <w:szCs w:val="21"/>
                <w:highlight w:val="none"/>
              </w:rPr>
            </w:pPr>
            <w:r>
              <w:rPr>
                <w:rFonts w:hint="eastAsia" w:ascii="宋体" w:hAnsi="宋体" w:eastAsia="宋体" w:cs="宋体"/>
              </w:rPr>
              <w:t>5. 数据采集及处理工作站</w:t>
            </w:r>
          </w:p>
          <w:p w14:paraId="446B5D61">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baseline"/>
              <w:rPr>
                <w:rFonts w:hint="eastAsia" w:ascii="宋体" w:hAnsi="宋体" w:eastAsia="宋体" w:cs="宋体"/>
                <w:color w:val="auto"/>
                <w:szCs w:val="21"/>
                <w:highlight w:val="none"/>
              </w:rPr>
            </w:pPr>
            <w:r>
              <w:rPr>
                <w:rFonts w:hint="eastAsia" w:ascii="宋体" w:hAnsi="宋体" w:eastAsia="宋体" w:cs="宋体"/>
              </w:rPr>
              <w:t>数据采集及处理工作站2套，配置不低于酷睿14 代i7以上，内存32GB，2TB以上硬盘，8GB以上显卡，27英寸显示器；多功能（双面打印、扫描、彩色）数据图像输出设备1套</w:t>
            </w:r>
          </w:p>
          <w:p w14:paraId="23D6EB80">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snapToGrid w:val="0"/>
                <w:color w:val="000000"/>
                <w:kern w:val="0"/>
                <w:sz w:val="21"/>
                <w:szCs w:val="21"/>
                <w:u w:val="none"/>
                <w:lang w:val="en-US" w:eastAsia="zh-CN" w:bidi="ar"/>
              </w:rPr>
              <w:t>*主要配置</w:t>
            </w:r>
          </w:p>
          <w:p w14:paraId="74439171">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snapToGrid w:val="0"/>
                <w:color w:val="000000"/>
                <w:kern w:val="0"/>
                <w:sz w:val="21"/>
                <w:szCs w:val="21"/>
                <w:u w:val="none"/>
                <w:lang w:val="en-US" w:eastAsia="zh-CN" w:bidi="ar"/>
              </w:rPr>
              <w:t>（1）高光谱相机主机包括可见光近红外（400-1000nm）和近红外（900-1700nm）高光谱相机</w:t>
            </w:r>
          </w:p>
          <w:p w14:paraId="1605AE75">
            <w:pPr>
              <w:keepNext w:val="0"/>
              <w:keepLines w:val="0"/>
              <w:pageBreakBefore w:val="0"/>
              <w:widowControl/>
              <w:suppressLineNumbers w:val="0"/>
              <w:kinsoku/>
              <w:overflowPunct/>
              <w:topLinePunct w:val="0"/>
              <w:autoSpaceDE/>
              <w:autoSpaceDN/>
              <w:bidi w:val="0"/>
              <w:adjustRightInd/>
              <w:spacing w:line="360" w:lineRule="auto"/>
              <w:ind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snapToGrid w:val="0"/>
                <w:color w:val="000000"/>
                <w:kern w:val="0"/>
                <w:sz w:val="21"/>
                <w:szCs w:val="21"/>
                <w:u w:val="none"/>
                <w:lang w:val="en-US" w:eastAsia="zh-CN" w:bidi="ar"/>
              </w:rPr>
              <w:t>（2）实验室线性扫描平台，包含采集软件、反射光源白板等</w:t>
            </w:r>
          </w:p>
        </w:tc>
        <w:tc>
          <w:tcPr>
            <w:tcW w:w="532" w:type="dxa"/>
            <w:tcBorders>
              <w:top w:val="single" w:color="auto" w:sz="4" w:space="0"/>
              <w:left w:val="nil"/>
              <w:right w:val="single" w:color="auto" w:sz="4" w:space="0"/>
            </w:tcBorders>
            <w:noWrap w:val="0"/>
            <w:vAlign w:val="center"/>
          </w:tcPr>
          <w:p w14:paraId="4D4E7554">
            <w:pPr>
              <w:keepNext w:val="0"/>
              <w:keepLines w:val="0"/>
              <w:pageBreakBefore w:val="0"/>
              <w:kinsoku/>
              <w:overflowPunct/>
              <w:topLinePunct w:val="0"/>
              <w:autoSpaceDE/>
              <w:autoSpaceDN/>
              <w:bidi w:val="0"/>
              <w:adjustRightInd/>
              <w:snapToGrid w:val="0"/>
              <w:spacing w:line="360" w:lineRule="auto"/>
              <w:ind w:right="0" w:rightChars="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1101" w:type="dxa"/>
            <w:tcBorders>
              <w:top w:val="single" w:color="auto" w:sz="4" w:space="0"/>
              <w:left w:val="nil"/>
              <w:right w:val="single" w:color="auto" w:sz="4" w:space="0"/>
            </w:tcBorders>
            <w:noWrap w:val="0"/>
            <w:vAlign w:val="center"/>
          </w:tcPr>
          <w:p w14:paraId="690F132E">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bCs/>
                <w:color w:val="auto"/>
                <w:kern w:val="0"/>
                <w:szCs w:val="21"/>
                <w:highlight w:val="none"/>
              </w:rPr>
            </w:pPr>
            <w:r>
              <w:rPr>
                <w:rFonts w:hint="eastAsia" w:ascii="宋体" w:hAnsi="宋体" w:cs="宋体"/>
                <w:bCs/>
                <w:color w:val="auto"/>
                <w:kern w:val="0"/>
                <w:szCs w:val="21"/>
                <w:highlight w:val="none"/>
              </w:rPr>
              <w:t>SPECIM, Spectral Imaging Oy Ltd.</w:t>
            </w:r>
          </w:p>
        </w:tc>
        <w:tc>
          <w:tcPr>
            <w:tcW w:w="958" w:type="dxa"/>
            <w:tcBorders>
              <w:top w:val="single" w:color="auto" w:sz="4" w:space="0"/>
              <w:left w:val="nil"/>
              <w:right w:val="single" w:color="auto" w:sz="4" w:space="0"/>
            </w:tcBorders>
            <w:noWrap w:val="0"/>
            <w:vAlign w:val="center"/>
          </w:tcPr>
          <w:p w14:paraId="24112534">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芬兰</w:t>
            </w:r>
          </w:p>
        </w:tc>
        <w:tc>
          <w:tcPr>
            <w:tcW w:w="1432" w:type="dxa"/>
            <w:tcBorders>
              <w:top w:val="single" w:color="auto" w:sz="4" w:space="0"/>
              <w:left w:val="nil"/>
              <w:right w:val="single" w:color="auto" w:sz="4" w:space="0"/>
            </w:tcBorders>
            <w:noWrap w:val="0"/>
            <w:vAlign w:val="top"/>
          </w:tcPr>
          <w:p w14:paraId="66339D45">
            <w:pPr>
              <w:keepNext w:val="0"/>
              <w:keepLines w:val="0"/>
              <w:pageBreakBefore w:val="0"/>
              <w:kinsoku/>
              <w:overflowPunct/>
              <w:topLinePunct w:val="0"/>
              <w:autoSpaceDE/>
              <w:autoSpaceDN/>
              <w:bidi w:val="0"/>
              <w:adjustRightInd/>
              <w:spacing w:line="360" w:lineRule="auto"/>
              <w:ind w:right="0" w:rightChars="0"/>
              <w:jc w:val="center"/>
              <w:rPr>
                <w:rFonts w:hint="eastAsia" w:ascii="宋体" w:hAnsi="宋体" w:cs="宋体"/>
                <w:color w:val="auto"/>
                <w:szCs w:val="21"/>
                <w:highlight w:val="none"/>
              </w:rPr>
            </w:pPr>
          </w:p>
        </w:tc>
      </w:tr>
    </w:tbl>
    <w:p w14:paraId="6BBCC137">
      <w:pPr>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24E72740">
      <w:pPr>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4B18B118">
      <w:pPr>
        <w:rPr>
          <w:b/>
          <w:color w:val="auto"/>
          <w:szCs w:val="21"/>
          <w:highlight w:val="none"/>
        </w:rPr>
      </w:pPr>
      <w:r>
        <w:rPr>
          <w:rFonts w:hint="eastAsia" w:ascii="宋体" w:hAnsi="宋体"/>
          <w:b/>
          <w:color w:val="auto"/>
          <w:szCs w:val="21"/>
          <w:highlight w:val="none"/>
        </w:rPr>
        <w:t>甲方货物负责人签字：</w:t>
      </w:r>
    </w:p>
    <w:p w14:paraId="38F716EE">
      <w:pPr>
        <w:widowControl/>
        <w:jc w:val="left"/>
        <w:rPr>
          <w:rFonts w:hint="eastAsia" w:ascii="宋体" w:hAnsi="宋体" w:cs="宋体"/>
          <w:b/>
          <w:color w:val="auto"/>
          <w:sz w:val="24"/>
          <w:szCs w:val="24"/>
          <w:highlight w:val="none"/>
        </w:rPr>
        <w:sectPr>
          <w:pgSz w:w="16838" w:h="11906" w:orient="landscape"/>
          <w:pgMar w:top="1134" w:right="1077" w:bottom="1134" w:left="794" w:header="851" w:footer="992" w:gutter="0"/>
          <w:pgNumType w:fmt="decimal"/>
          <w:cols w:space="720" w:num="1"/>
          <w:docGrid w:type="lines" w:linePitch="312" w:charSpace="0"/>
        </w:sectPr>
      </w:pPr>
    </w:p>
    <w:p w14:paraId="493C36FE">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附件5：            </w:t>
      </w:r>
    </w:p>
    <w:p w14:paraId="3AE37A60">
      <w:pPr>
        <w:spacing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供货商：</w:t>
      </w:r>
      <w:r>
        <w:rPr>
          <w:rFonts w:hint="eastAsia" w:ascii="宋体" w:hAnsi="宋体"/>
          <w:b/>
          <w:color w:val="auto"/>
          <w:sz w:val="32"/>
          <w:szCs w:val="32"/>
          <w:highlight w:val="none"/>
          <w:lang w:val="en-US" w:eastAsia="zh-CN"/>
        </w:rPr>
        <w:t>河南新时达科技有限</w:t>
      </w:r>
      <w:r>
        <w:rPr>
          <w:rFonts w:hint="eastAsia" w:ascii="宋体" w:hAnsi="宋体"/>
          <w:b/>
          <w:color w:val="auto"/>
          <w:sz w:val="32"/>
          <w:szCs w:val="32"/>
          <w:highlight w:val="none"/>
        </w:rPr>
        <w:t>公司质量保障及服务表</w:t>
      </w:r>
    </w:p>
    <w:p w14:paraId="63ADA088">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致：河南中医药大学： </w:t>
      </w:r>
    </w:p>
    <w:p w14:paraId="45577994">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根据贵方招标编号为豫财招标采购-2026-868的货物（具体货物见附件3），我公司对该项目售后产品做出如下质保及售后服务承诺：</w:t>
      </w:r>
    </w:p>
    <w:tbl>
      <w:tblPr>
        <w:tblStyle w:val="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758"/>
        <w:gridCol w:w="4197"/>
        <w:gridCol w:w="697"/>
      </w:tblGrid>
      <w:tr w14:paraId="3F301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BD848AD">
            <w:pPr>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1069B56A">
            <w:pPr>
              <w:jc w:val="center"/>
              <w:rPr>
                <w:rFonts w:hint="eastAsia" w:ascii="宋体" w:hAnsi="宋体" w:cs="宋体"/>
                <w:b/>
                <w:color w:val="auto"/>
                <w:szCs w:val="21"/>
                <w:highlight w:val="none"/>
              </w:rPr>
            </w:pPr>
            <w:r>
              <w:rPr>
                <w:rFonts w:hint="eastAsia" w:ascii="宋体" w:hAnsi="宋体" w:cs="宋体"/>
                <w:b/>
                <w:color w:val="auto"/>
                <w:szCs w:val="21"/>
                <w:highlight w:val="none"/>
              </w:rPr>
              <w:t>质量保障措施及服务内容</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02AE777C">
            <w:pPr>
              <w:jc w:val="center"/>
              <w:rPr>
                <w:rFonts w:hint="eastAsia" w:ascii="宋体" w:hAnsi="宋体" w:cs="宋体"/>
                <w:b/>
                <w:color w:val="auto"/>
                <w:szCs w:val="21"/>
                <w:highlight w:val="none"/>
              </w:rPr>
            </w:pPr>
            <w:r>
              <w:rPr>
                <w:rFonts w:hint="eastAsia" w:ascii="宋体" w:hAnsi="宋体" w:cs="宋体"/>
                <w:b/>
                <w:color w:val="auto"/>
                <w:szCs w:val="21"/>
                <w:highlight w:val="none"/>
              </w:rPr>
              <w:t>承诺</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69D5092D">
            <w:pPr>
              <w:jc w:val="center"/>
              <w:rPr>
                <w:rFonts w:hint="eastAsia" w:ascii="宋体" w:hAnsi="宋体" w:cs="宋体"/>
                <w:b/>
                <w:color w:val="auto"/>
                <w:szCs w:val="21"/>
                <w:highlight w:val="none"/>
              </w:rPr>
            </w:pPr>
            <w:r>
              <w:rPr>
                <w:rFonts w:hint="eastAsia" w:ascii="宋体" w:hAnsi="宋体" w:cs="宋体"/>
                <w:b/>
                <w:color w:val="auto"/>
                <w:szCs w:val="21"/>
                <w:highlight w:val="none"/>
              </w:rPr>
              <w:t>备注</w:t>
            </w:r>
          </w:p>
        </w:tc>
      </w:tr>
      <w:tr w14:paraId="5F743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54A0630">
            <w:pPr>
              <w:rPr>
                <w:rFonts w:hint="eastAsia" w:ascii="宋体" w:hAnsi="宋体" w:cs="宋体"/>
                <w:color w:val="auto"/>
                <w:szCs w:val="21"/>
                <w:highlight w:val="none"/>
              </w:rPr>
            </w:pPr>
            <w:r>
              <w:rPr>
                <w:rFonts w:hint="eastAsia" w:ascii="宋体" w:hAnsi="宋体" w:cs="宋体"/>
                <w:color w:val="auto"/>
                <w:szCs w:val="21"/>
                <w:highlight w:val="none"/>
              </w:rPr>
              <w:t>1</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45B70EE0">
            <w:pPr>
              <w:rPr>
                <w:rFonts w:hint="eastAsia" w:ascii="宋体" w:hAnsi="宋体" w:cs="宋体"/>
                <w:color w:val="auto"/>
                <w:szCs w:val="21"/>
                <w:highlight w:val="none"/>
              </w:rPr>
            </w:pPr>
            <w:r>
              <w:rPr>
                <w:rFonts w:hint="eastAsia" w:ascii="宋体" w:hAnsi="宋体" w:cs="宋体"/>
                <w:color w:val="auto"/>
                <w:szCs w:val="21"/>
                <w:highlight w:val="none"/>
              </w:rPr>
              <w:t>整机保修</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09812B16">
            <w:pPr>
              <w:rPr>
                <w:rFonts w:hint="eastAsia" w:ascii="宋体" w:hAnsi="宋体" w:cs="宋体"/>
                <w:color w:val="auto"/>
                <w:szCs w:val="21"/>
                <w:highlight w:val="none"/>
              </w:rPr>
            </w:pPr>
            <w:r>
              <w:rPr>
                <w:rFonts w:hint="eastAsia" w:ascii="宋体" w:hAnsi="宋体" w:cs="宋体"/>
                <w:color w:val="auto"/>
                <w:szCs w:val="21"/>
                <w:highlight w:val="none"/>
              </w:rPr>
              <w:t>三年</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5AC444F0">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无</w:t>
            </w:r>
          </w:p>
        </w:tc>
      </w:tr>
      <w:tr w14:paraId="1E052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D2F2D39">
            <w:pPr>
              <w:rPr>
                <w:rFonts w:hint="eastAsia" w:ascii="宋体" w:hAnsi="宋体" w:cs="宋体"/>
                <w:color w:val="auto"/>
                <w:szCs w:val="21"/>
                <w:highlight w:val="none"/>
              </w:rPr>
            </w:pPr>
            <w:r>
              <w:rPr>
                <w:rFonts w:hint="eastAsia" w:ascii="宋体" w:hAnsi="宋体" w:cs="宋体"/>
                <w:color w:val="auto"/>
                <w:szCs w:val="21"/>
                <w:highlight w:val="none"/>
              </w:rPr>
              <w:t>2</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373CCFB3">
            <w:pPr>
              <w:rPr>
                <w:rFonts w:hint="eastAsia" w:ascii="宋体" w:hAnsi="宋体" w:cs="宋体"/>
                <w:color w:val="auto"/>
                <w:szCs w:val="21"/>
                <w:highlight w:val="none"/>
              </w:rPr>
            </w:pPr>
            <w:r>
              <w:rPr>
                <w:rFonts w:hint="eastAsia" w:ascii="宋体" w:hAnsi="宋体" w:cs="宋体"/>
                <w:color w:val="auto"/>
                <w:szCs w:val="21"/>
                <w:highlight w:val="none"/>
              </w:rPr>
              <w:t>随机标准配件</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17693E3C">
            <w:pPr>
              <w:rPr>
                <w:rFonts w:hint="eastAsia" w:ascii="宋体" w:hAnsi="宋体" w:cs="宋体"/>
                <w:color w:val="auto"/>
                <w:szCs w:val="21"/>
                <w:highlight w:val="none"/>
              </w:rPr>
            </w:pPr>
            <w:r>
              <w:rPr>
                <w:rFonts w:hint="eastAsia" w:ascii="宋体" w:hAnsi="宋体" w:cs="宋体"/>
                <w:color w:val="auto"/>
                <w:szCs w:val="21"/>
                <w:highlight w:val="none"/>
              </w:rPr>
              <w:t>三年</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30F9880B">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44E7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4034DCB">
            <w:pPr>
              <w:rPr>
                <w:rFonts w:hint="eastAsia" w:ascii="宋体" w:hAnsi="宋体" w:cs="宋体"/>
                <w:color w:val="auto"/>
                <w:szCs w:val="21"/>
                <w:highlight w:val="none"/>
              </w:rPr>
            </w:pPr>
            <w:r>
              <w:rPr>
                <w:rFonts w:hint="eastAsia" w:ascii="宋体" w:hAnsi="宋体" w:cs="宋体"/>
                <w:color w:val="auto"/>
                <w:szCs w:val="21"/>
                <w:highlight w:val="none"/>
              </w:rPr>
              <w:t>3</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65ABFDCB">
            <w:pPr>
              <w:rPr>
                <w:rFonts w:hint="eastAsia" w:ascii="宋体" w:hAnsi="宋体" w:cs="宋体"/>
                <w:color w:val="auto"/>
                <w:szCs w:val="21"/>
                <w:highlight w:val="none"/>
              </w:rPr>
            </w:pPr>
            <w:r>
              <w:rPr>
                <w:rFonts w:hint="eastAsia" w:ascii="宋体" w:hAnsi="宋体" w:cs="宋体"/>
                <w:color w:val="auto"/>
                <w:szCs w:val="21"/>
                <w:highlight w:val="none"/>
              </w:rPr>
              <w:t>加购选配件</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2B045A72">
            <w:pPr>
              <w:rPr>
                <w:rFonts w:hint="eastAsia" w:ascii="宋体" w:hAnsi="宋体" w:cs="宋体"/>
                <w:color w:val="auto"/>
                <w:szCs w:val="21"/>
                <w:highlight w:val="none"/>
              </w:rPr>
            </w:pPr>
            <w:r>
              <w:rPr>
                <w:rFonts w:hint="eastAsia" w:ascii="宋体" w:hAnsi="宋体" w:cs="宋体"/>
                <w:color w:val="auto"/>
                <w:szCs w:val="21"/>
                <w:highlight w:val="none"/>
              </w:rPr>
              <w:t>三年</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0E550DAF">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1F57A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0A741FD">
            <w:pPr>
              <w:rPr>
                <w:rFonts w:hint="eastAsia" w:ascii="宋体" w:hAnsi="宋体" w:cs="宋体"/>
                <w:color w:val="auto"/>
                <w:szCs w:val="21"/>
                <w:highlight w:val="none"/>
              </w:rPr>
            </w:pPr>
            <w:r>
              <w:rPr>
                <w:rFonts w:hint="eastAsia" w:ascii="宋体" w:hAnsi="宋体" w:cs="宋体"/>
                <w:color w:val="auto"/>
                <w:szCs w:val="21"/>
                <w:highlight w:val="none"/>
              </w:rPr>
              <w:t>4</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75BBA404">
            <w:pPr>
              <w:rPr>
                <w:rFonts w:hint="eastAsia" w:ascii="宋体" w:hAnsi="宋体" w:cs="宋体"/>
                <w:color w:val="auto"/>
                <w:szCs w:val="21"/>
                <w:highlight w:val="none"/>
              </w:rPr>
            </w:pPr>
            <w:r>
              <w:rPr>
                <w:rFonts w:hint="eastAsia" w:ascii="宋体" w:hAnsi="宋体" w:cs="宋体"/>
                <w:color w:val="auto"/>
                <w:szCs w:val="21"/>
                <w:highlight w:val="none"/>
              </w:rPr>
              <w:t>随机资料、光盘介质、软盘介质、连接线、指示灯、电源线、随机工具等。</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5E53FD52">
            <w:pPr>
              <w:rPr>
                <w:rFonts w:hint="eastAsia" w:ascii="宋体" w:hAnsi="宋体" w:cs="宋体"/>
                <w:color w:val="auto"/>
                <w:szCs w:val="21"/>
                <w:highlight w:val="none"/>
              </w:rPr>
            </w:pPr>
            <w:r>
              <w:rPr>
                <w:rFonts w:hint="eastAsia" w:ascii="宋体" w:hAnsi="宋体" w:cs="宋体"/>
                <w:color w:val="auto"/>
                <w:szCs w:val="21"/>
                <w:highlight w:val="none"/>
              </w:rPr>
              <w:t>随机配置见随机装箱清单</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082E1CDE">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734A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B7FD916">
            <w:pPr>
              <w:rPr>
                <w:rFonts w:hint="eastAsia" w:ascii="宋体" w:hAnsi="宋体" w:cs="宋体"/>
                <w:color w:val="auto"/>
                <w:szCs w:val="21"/>
                <w:highlight w:val="none"/>
              </w:rPr>
            </w:pPr>
            <w:r>
              <w:rPr>
                <w:rFonts w:hint="eastAsia" w:ascii="宋体" w:hAnsi="宋体" w:cs="宋体"/>
                <w:color w:val="auto"/>
                <w:szCs w:val="21"/>
                <w:highlight w:val="none"/>
              </w:rPr>
              <w:t>5</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24E9D8EE">
            <w:pPr>
              <w:rPr>
                <w:rFonts w:hint="eastAsia" w:ascii="宋体" w:hAnsi="宋体" w:cs="宋体"/>
                <w:color w:val="auto"/>
                <w:szCs w:val="21"/>
                <w:highlight w:val="none"/>
              </w:rPr>
            </w:pPr>
            <w:r>
              <w:rPr>
                <w:rFonts w:hint="eastAsia" w:ascii="宋体" w:hAnsi="宋体" w:cs="宋体"/>
                <w:color w:val="auto"/>
                <w:szCs w:val="21"/>
                <w:highlight w:val="none"/>
              </w:rPr>
              <w:t>运输方式</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51C427DF">
            <w:pPr>
              <w:rPr>
                <w:rFonts w:hint="eastAsia" w:ascii="宋体" w:hAnsi="宋体" w:cs="宋体"/>
                <w:color w:val="auto"/>
                <w:szCs w:val="21"/>
                <w:highlight w:val="none"/>
              </w:rPr>
            </w:pPr>
            <w:r>
              <w:rPr>
                <w:rFonts w:hint="eastAsia" w:ascii="宋体" w:hAnsi="宋体" w:cs="宋体"/>
                <w:color w:val="auto"/>
                <w:szCs w:val="21"/>
                <w:highlight w:val="none"/>
              </w:rPr>
              <w:t>免费送货上门</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71D08E70">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62EA4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CCDA23A">
            <w:pPr>
              <w:rPr>
                <w:rFonts w:hint="eastAsia" w:ascii="宋体" w:hAnsi="宋体" w:cs="宋体"/>
                <w:color w:val="auto"/>
                <w:szCs w:val="21"/>
                <w:highlight w:val="none"/>
              </w:rPr>
            </w:pPr>
            <w:r>
              <w:rPr>
                <w:rFonts w:hint="eastAsia" w:ascii="宋体" w:hAnsi="宋体" w:cs="宋体"/>
                <w:color w:val="auto"/>
                <w:szCs w:val="21"/>
                <w:highlight w:val="none"/>
              </w:rPr>
              <w:t>6</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697AC0A4">
            <w:pPr>
              <w:rPr>
                <w:rFonts w:hint="eastAsia" w:ascii="宋体" w:hAnsi="宋体" w:cs="宋体"/>
                <w:color w:val="auto"/>
                <w:szCs w:val="21"/>
                <w:highlight w:val="none"/>
              </w:rPr>
            </w:pPr>
            <w:r>
              <w:rPr>
                <w:rFonts w:hint="eastAsia" w:ascii="宋体" w:hAnsi="宋体" w:cs="宋体"/>
                <w:color w:val="auto"/>
                <w:szCs w:val="21"/>
                <w:highlight w:val="none"/>
              </w:rPr>
              <w:t>交货时间</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669C7A44">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2026 </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日前交货完毕</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17820031">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47175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288A28F">
            <w:pPr>
              <w:rPr>
                <w:rFonts w:hint="eastAsia" w:ascii="宋体" w:hAnsi="宋体" w:cs="宋体"/>
                <w:color w:val="auto"/>
                <w:szCs w:val="21"/>
                <w:highlight w:val="none"/>
              </w:rPr>
            </w:pPr>
            <w:r>
              <w:rPr>
                <w:rFonts w:hint="eastAsia" w:ascii="宋体" w:hAnsi="宋体" w:cs="宋体"/>
                <w:color w:val="auto"/>
                <w:szCs w:val="21"/>
                <w:highlight w:val="none"/>
              </w:rPr>
              <w:t>7</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58FADC95">
            <w:pPr>
              <w:rPr>
                <w:rFonts w:hint="eastAsia" w:ascii="宋体" w:hAnsi="宋体" w:cs="宋体"/>
                <w:color w:val="auto"/>
                <w:szCs w:val="21"/>
                <w:highlight w:val="none"/>
              </w:rPr>
            </w:pPr>
            <w:r>
              <w:rPr>
                <w:rFonts w:hint="eastAsia" w:ascii="宋体" w:hAnsi="宋体" w:cs="宋体"/>
                <w:color w:val="auto"/>
                <w:szCs w:val="21"/>
                <w:highlight w:val="none"/>
              </w:rPr>
              <w:t xml:space="preserve">安装、调试服务 </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4A50F1A1">
            <w:pPr>
              <w:rPr>
                <w:rFonts w:hint="eastAsia" w:ascii="宋体" w:hAnsi="宋体" w:cs="宋体"/>
                <w:color w:val="auto"/>
                <w:szCs w:val="21"/>
                <w:highlight w:val="none"/>
              </w:rPr>
            </w:pPr>
            <w:r>
              <w:rPr>
                <w:rFonts w:hint="eastAsia" w:ascii="宋体" w:hAnsi="宋体" w:cs="宋体"/>
                <w:color w:val="auto"/>
                <w:szCs w:val="21"/>
                <w:highlight w:val="none"/>
              </w:rPr>
              <w:t>免费安装调试</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632C4D20">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6F4C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CA308AC">
            <w:pPr>
              <w:rPr>
                <w:rFonts w:hint="eastAsia" w:ascii="宋体" w:hAnsi="宋体" w:cs="宋体"/>
                <w:color w:val="auto"/>
                <w:szCs w:val="21"/>
                <w:highlight w:val="none"/>
              </w:rPr>
            </w:pPr>
            <w:r>
              <w:rPr>
                <w:rFonts w:hint="eastAsia" w:ascii="宋体" w:hAnsi="宋体" w:cs="宋体"/>
                <w:color w:val="auto"/>
                <w:szCs w:val="21"/>
                <w:highlight w:val="none"/>
              </w:rPr>
              <w:t>8</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6BDA048F">
            <w:pPr>
              <w:rPr>
                <w:rFonts w:hint="eastAsia" w:ascii="宋体" w:hAnsi="宋体" w:cs="宋体"/>
                <w:color w:val="auto"/>
                <w:szCs w:val="21"/>
                <w:highlight w:val="none"/>
              </w:rPr>
            </w:pPr>
            <w:r>
              <w:rPr>
                <w:rFonts w:hint="eastAsia" w:ascii="宋体" w:hAnsi="宋体" w:cs="宋体"/>
                <w:color w:val="auto"/>
                <w:szCs w:val="21"/>
                <w:highlight w:val="none"/>
              </w:rPr>
              <w:t>整机免费换货期限</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3A32C1FA">
            <w:pPr>
              <w:rPr>
                <w:rFonts w:hint="eastAsia" w:ascii="宋体" w:hAnsi="宋体" w:cs="宋体"/>
                <w:color w:val="auto"/>
                <w:szCs w:val="21"/>
                <w:highlight w:val="none"/>
              </w:rPr>
            </w:pPr>
            <w:r>
              <w:rPr>
                <w:rFonts w:hint="eastAsia" w:ascii="宋体" w:hAnsi="宋体" w:cs="宋体"/>
                <w:color w:val="auto"/>
                <w:szCs w:val="21"/>
                <w:highlight w:val="none"/>
              </w:rPr>
              <w:t>12个月</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1E14F627">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0CA52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6D28305">
            <w:pPr>
              <w:rPr>
                <w:rFonts w:hint="eastAsia" w:ascii="宋体" w:hAnsi="宋体" w:cs="宋体"/>
                <w:color w:val="auto"/>
                <w:szCs w:val="21"/>
                <w:highlight w:val="none"/>
              </w:rPr>
            </w:pPr>
            <w:r>
              <w:rPr>
                <w:rFonts w:hint="eastAsia" w:ascii="宋体" w:hAnsi="宋体" w:cs="宋体"/>
                <w:color w:val="auto"/>
                <w:szCs w:val="21"/>
                <w:highlight w:val="none"/>
              </w:rPr>
              <w:t>9</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0C57E2BD">
            <w:pPr>
              <w:rPr>
                <w:rFonts w:hint="eastAsia" w:ascii="宋体" w:hAnsi="宋体" w:cs="宋体"/>
                <w:color w:val="auto"/>
                <w:szCs w:val="21"/>
                <w:highlight w:val="none"/>
              </w:rPr>
            </w:pPr>
            <w:r>
              <w:rPr>
                <w:rFonts w:hint="eastAsia" w:ascii="宋体" w:hAnsi="宋体" w:cs="宋体"/>
                <w:color w:val="auto"/>
                <w:szCs w:val="21"/>
                <w:highlight w:val="none"/>
              </w:rPr>
              <w:t>免费上门服务期</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11F5ACEE">
            <w:pPr>
              <w:rPr>
                <w:rFonts w:hint="eastAsia" w:ascii="宋体" w:hAnsi="宋体" w:cs="宋体"/>
                <w:color w:val="auto"/>
                <w:szCs w:val="21"/>
                <w:highlight w:val="none"/>
              </w:rPr>
            </w:pPr>
            <w:r>
              <w:rPr>
                <w:rFonts w:hint="eastAsia" w:ascii="宋体" w:hAnsi="宋体" w:cs="宋体"/>
                <w:color w:val="auto"/>
                <w:szCs w:val="21"/>
                <w:highlight w:val="none"/>
              </w:rPr>
              <w:t>终身。提供随叫随到上门服务，全天候24小时响应（包括节假日如春节、国庆节、五一节等），</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46404261">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68697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24088B9D">
            <w:pPr>
              <w:rPr>
                <w:rFonts w:hint="eastAsia" w:ascii="宋体" w:hAnsi="宋体" w:cs="宋体"/>
                <w:color w:val="auto"/>
                <w:szCs w:val="21"/>
                <w:highlight w:val="none"/>
              </w:rPr>
            </w:pPr>
            <w:r>
              <w:rPr>
                <w:rFonts w:hint="eastAsia" w:ascii="宋体" w:hAnsi="宋体" w:cs="宋体"/>
                <w:color w:val="auto"/>
                <w:szCs w:val="21"/>
                <w:highlight w:val="none"/>
              </w:rPr>
              <w:t>10</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7D857F9D">
            <w:pPr>
              <w:rPr>
                <w:rFonts w:hint="eastAsia" w:ascii="宋体" w:hAnsi="宋体" w:cs="宋体"/>
                <w:color w:val="auto"/>
                <w:szCs w:val="21"/>
                <w:highlight w:val="none"/>
              </w:rPr>
            </w:pPr>
            <w:r>
              <w:rPr>
                <w:rFonts w:hint="eastAsia" w:ascii="宋体" w:hAnsi="宋体" w:cs="宋体"/>
                <w:color w:val="auto"/>
                <w:szCs w:val="21"/>
                <w:highlight w:val="none"/>
              </w:rPr>
              <w:t>质保期内产品故障服务响应时限</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2C2E43A2">
            <w:pPr>
              <w:rPr>
                <w:rFonts w:hint="eastAsia" w:ascii="宋体" w:hAnsi="宋体" w:cs="宋体"/>
                <w:color w:val="auto"/>
                <w:szCs w:val="21"/>
                <w:highlight w:val="none"/>
              </w:rPr>
            </w:pPr>
            <w:r>
              <w:rPr>
                <w:rFonts w:hint="eastAsia" w:ascii="宋体" w:hAnsi="宋体" w:cs="宋体"/>
                <w:color w:val="auto"/>
                <w:szCs w:val="21"/>
                <w:highlight w:val="none"/>
              </w:rPr>
              <w:t>2个小时内响应</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1C94F7CE">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6E705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56D23A8">
            <w:pPr>
              <w:rPr>
                <w:rFonts w:hint="eastAsia" w:ascii="宋体" w:hAnsi="宋体" w:cs="宋体"/>
                <w:color w:val="auto"/>
                <w:szCs w:val="21"/>
                <w:highlight w:val="none"/>
              </w:rPr>
            </w:pPr>
            <w:r>
              <w:rPr>
                <w:rFonts w:hint="eastAsia" w:ascii="宋体" w:hAnsi="宋体" w:cs="宋体"/>
                <w:color w:val="auto"/>
                <w:szCs w:val="21"/>
                <w:highlight w:val="none"/>
              </w:rPr>
              <w:t>11</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3B2917FD">
            <w:pPr>
              <w:rPr>
                <w:rFonts w:hint="eastAsia" w:ascii="宋体" w:hAnsi="宋体" w:cs="宋体"/>
                <w:color w:val="auto"/>
                <w:szCs w:val="21"/>
                <w:highlight w:val="none"/>
              </w:rPr>
            </w:pPr>
            <w:r>
              <w:rPr>
                <w:rFonts w:hint="eastAsia" w:ascii="宋体" w:hAnsi="宋体" w:cs="宋体"/>
                <w:color w:val="auto"/>
                <w:szCs w:val="21"/>
                <w:highlight w:val="none"/>
              </w:rPr>
              <w:t>服务时间</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14A1CED9">
            <w:pPr>
              <w:rPr>
                <w:rFonts w:hint="eastAsia" w:ascii="宋体" w:hAnsi="宋体" w:cs="宋体"/>
                <w:color w:val="auto"/>
                <w:szCs w:val="21"/>
                <w:highlight w:val="none"/>
              </w:rPr>
            </w:pPr>
            <w:r>
              <w:rPr>
                <w:rFonts w:hint="eastAsia" w:ascii="宋体" w:hAnsi="宋体" w:cs="宋体"/>
                <w:color w:val="auto"/>
                <w:szCs w:val="21"/>
                <w:highlight w:val="none"/>
              </w:rPr>
              <w:t>24小时（包括节假日如春节、国庆节、五一节等）</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718A2433">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27280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C6318BD">
            <w:pPr>
              <w:rPr>
                <w:rFonts w:hint="eastAsia" w:ascii="宋体" w:hAnsi="宋体" w:cs="宋体"/>
                <w:color w:val="auto"/>
                <w:szCs w:val="21"/>
                <w:highlight w:val="none"/>
              </w:rPr>
            </w:pPr>
            <w:r>
              <w:rPr>
                <w:rFonts w:hint="eastAsia" w:ascii="宋体" w:hAnsi="宋体" w:cs="宋体"/>
                <w:color w:val="auto"/>
                <w:szCs w:val="21"/>
                <w:highlight w:val="none"/>
              </w:rPr>
              <w:t>12</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5B3C654C">
            <w:pPr>
              <w:rPr>
                <w:rFonts w:hint="eastAsia" w:ascii="宋体" w:hAnsi="宋体" w:cs="宋体"/>
                <w:color w:val="auto"/>
                <w:szCs w:val="21"/>
                <w:highlight w:val="none"/>
              </w:rPr>
            </w:pPr>
            <w:r>
              <w:rPr>
                <w:rFonts w:hint="eastAsia" w:ascii="宋体" w:hAnsi="宋体" w:cs="宋体"/>
                <w:color w:val="auto"/>
                <w:szCs w:val="21"/>
                <w:highlight w:val="none"/>
              </w:rPr>
              <w:t>上门时间</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4D119CAB">
            <w:pPr>
              <w:rPr>
                <w:rFonts w:hint="eastAsia" w:ascii="宋体" w:hAnsi="宋体" w:cs="宋体"/>
                <w:color w:val="auto"/>
                <w:szCs w:val="21"/>
                <w:highlight w:val="none"/>
              </w:rPr>
            </w:pPr>
            <w:r>
              <w:rPr>
                <w:rFonts w:hint="eastAsia" w:ascii="宋体" w:hAnsi="宋体" w:cs="宋体"/>
                <w:color w:val="auto"/>
                <w:szCs w:val="21"/>
                <w:highlight w:val="none"/>
              </w:rPr>
              <w:t>2小时内响应及时上门</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76E09D66">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0B70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03FB389C">
            <w:pPr>
              <w:rPr>
                <w:rFonts w:hint="eastAsia" w:ascii="宋体" w:hAnsi="宋体" w:cs="宋体"/>
                <w:color w:val="auto"/>
                <w:szCs w:val="21"/>
                <w:highlight w:val="none"/>
              </w:rPr>
            </w:pPr>
            <w:r>
              <w:rPr>
                <w:rFonts w:hint="eastAsia" w:ascii="宋体" w:hAnsi="宋体" w:cs="宋体"/>
                <w:color w:val="auto"/>
                <w:szCs w:val="21"/>
                <w:highlight w:val="none"/>
              </w:rPr>
              <w:t>13</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6BDA96D3">
            <w:pPr>
              <w:rPr>
                <w:rFonts w:hint="eastAsia" w:ascii="宋体" w:hAnsi="宋体" w:cs="宋体"/>
                <w:color w:val="auto"/>
                <w:szCs w:val="21"/>
                <w:highlight w:val="none"/>
              </w:rPr>
            </w:pPr>
            <w:r>
              <w:rPr>
                <w:rFonts w:hint="eastAsia" w:ascii="宋体" w:hAnsi="宋体" w:cs="宋体"/>
                <w:color w:val="auto"/>
                <w:szCs w:val="21"/>
                <w:highlight w:val="none"/>
              </w:rPr>
              <w:t>故障修复时限</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783272CB">
            <w:pPr>
              <w:rPr>
                <w:rFonts w:hint="eastAsia" w:ascii="宋体" w:hAnsi="宋体" w:cs="宋体"/>
                <w:color w:val="auto"/>
                <w:szCs w:val="21"/>
                <w:highlight w:val="none"/>
              </w:rPr>
            </w:pPr>
            <w:r>
              <w:rPr>
                <w:rFonts w:hint="eastAsia" w:ascii="宋体" w:hAnsi="宋体" w:cs="宋体"/>
                <w:color w:val="auto"/>
                <w:szCs w:val="21"/>
                <w:highlight w:val="none"/>
              </w:rPr>
              <w:t>8个小时内修复</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2066B30F">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00B3A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2A69C1A2">
            <w:pPr>
              <w:rPr>
                <w:rFonts w:hint="eastAsia" w:ascii="宋体" w:hAnsi="宋体" w:cs="宋体"/>
                <w:color w:val="auto"/>
                <w:szCs w:val="21"/>
                <w:highlight w:val="none"/>
              </w:rPr>
            </w:pPr>
            <w:r>
              <w:rPr>
                <w:rFonts w:hint="eastAsia" w:ascii="宋体" w:hAnsi="宋体" w:cs="宋体"/>
                <w:color w:val="auto"/>
                <w:szCs w:val="21"/>
                <w:highlight w:val="none"/>
              </w:rPr>
              <w:t>14</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1A361453">
            <w:pPr>
              <w:rPr>
                <w:rFonts w:hint="eastAsia" w:ascii="宋体" w:hAnsi="宋体" w:cs="宋体"/>
                <w:color w:val="auto"/>
                <w:szCs w:val="21"/>
                <w:highlight w:val="none"/>
              </w:rPr>
            </w:pPr>
            <w:r>
              <w:rPr>
                <w:rFonts w:hint="eastAsia" w:ascii="宋体" w:hAnsi="宋体" w:cs="宋体"/>
                <w:color w:val="auto"/>
                <w:szCs w:val="21"/>
                <w:highlight w:val="none"/>
              </w:rPr>
              <w:t>备品配件供应响应时限</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79379965">
            <w:pPr>
              <w:rPr>
                <w:rFonts w:hint="eastAsia" w:ascii="宋体" w:hAnsi="宋体" w:cs="宋体"/>
                <w:color w:val="auto"/>
                <w:szCs w:val="21"/>
                <w:highlight w:val="none"/>
              </w:rPr>
            </w:pPr>
            <w:r>
              <w:rPr>
                <w:rFonts w:hint="eastAsia" w:ascii="宋体" w:hAnsi="宋体" w:cs="宋体"/>
                <w:color w:val="auto"/>
                <w:szCs w:val="21"/>
                <w:highlight w:val="none"/>
              </w:rPr>
              <w:t>1个工作日内</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03E651A3">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23504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81CE716">
            <w:pPr>
              <w:rPr>
                <w:rFonts w:hint="eastAsia" w:ascii="宋体" w:hAnsi="宋体" w:cs="宋体"/>
                <w:color w:val="auto"/>
                <w:szCs w:val="21"/>
                <w:highlight w:val="none"/>
              </w:rPr>
            </w:pPr>
            <w:r>
              <w:rPr>
                <w:rFonts w:hint="eastAsia" w:ascii="宋体" w:hAnsi="宋体" w:cs="宋体"/>
                <w:color w:val="auto"/>
                <w:szCs w:val="21"/>
                <w:highlight w:val="none"/>
              </w:rPr>
              <w:t>15</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2E0CADD3">
            <w:pPr>
              <w:rPr>
                <w:rFonts w:hint="eastAsia" w:ascii="宋体" w:hAnsi="宋体" w:cs="宋体"/>
                <w:color w:val="auto"/>
                <w:szCs w:val="21"/>
                <w:highlight w:val="none"/>
              </w:rPr>
            </w:pPr>
            <w:r>
              <w:rPr>
                <w:rFonts w:hint="eastAsia" w:ascii="宋体" w:hAnsi="宋体" w:cs="宋体"/>
                <w:color w:val="auto"/>
                <w:szCs w:val="21"/>
                <w:highlight w:val="none"/>
              </w:rPr>
              <w:t>保质期满后的保修服务费用</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471CF0B8">
            <w:pPr>
              <w:rPr>
                <w:rFonts w:hint="eastAsia" w:ascii="宋体" w:hAnsi="宋体" w:cs="宋体"/>
                <w:color w:val="auto"/>
                <w:szCs w:val="21"/>
                <w:highlight w:val="none"/>
              </w:rPr>
            </w:pPr>
            <w:r>
              <w:rPr>
                <w:rFonts w:hint="eastAsia" w:ascii="宋体" w:hAnsi="宋体" w:cs="宋体"/>
                <w:color w:val="auto"/>
                <w:szCs w:val="21"/>
                <w:highlight w:val="none"/>
              </w:rPr>
              <w:t>详见开标一览表</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0AE797B9">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30650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537B107">
            <w:pPr>
              <w:rPr>
                <w:rFonts w:hint="eastAsia" w:ascii="宋体" w:hAnsi="宋体" w:cs="宋体"/>
                <w:color w:val="auto"/>
                <w:szCs w:val="21"/>
                <w:highlight w:val="none"/>
              </w:rPr>
            </w:pPr>
            <w:r>
              <w:rPr>
                <w:rFonts w:hint="eastAsia" w:ascii="宋体" w:hAnsi="宋体" w:cs="宋体"/>
                <w:color w:val="auto"/>
                <w:szCs w:val="21"/>
                <w:highlight w:val="none"/>
              </w:rPr>
              <w:t>16</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0E1CC158">
            <w:pPr>
              <w:rPr>
                <w:rFonts w:hint="eastAsia" w:ascii="宋体" w:hAnsi="宋体" w:cs="宋体"/>
                <w:color w:val="auto"/>
                <w:szCs w:val="21"/>
                <w:highlight w:val="none"/>
              </w:rPr>
            </w:pPr>
            <w:r>
              <w:rPr>
                <w:rFonts w:hint="eastAsia" w:ascii="宋体" w:hAnsi="宋体" w:cs="宋体"/>
                <w:color w:val="auto"/>
                <w:szCs w:val="21"/>
                <w:highlight w:val="none"/>
              </w:rPr>
              <w:t>免费技术支持</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6FA2192D">
            <w:pPr>
              <w:rPr>
                <w:rFonts w:hint="eastAsia" w:ascii="宋体" w:hAnsi="宋体" w:cs="宋体"/>
                <w:color w:val="auto"/>
                <w:szCs w:val="21"/>
                <w:highlight w:val="none"/>
              </w:rPr>
            </w:pPr>
            <w:r>
              <w:rPr>
                <w:rFonts w:hint="eastAsia" w:ascii="宋体" w:hAnsi="宋体" w:cs="宋体"/>
                <w:color w:val="auto"/>
                <w:szCs w:val="21"/>
                <w:highlight w:val="none"/>
              </w:rPr>
              <w:t>终身</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3259A433">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6BC0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7B73C72">
            <w:pPr>
              <w:rPr>
                <w:rFonts w:hint="eastAsia" w:ascii="宋体" w:hAnsi="宋体" w:cs="宋体"/>
                <w:color w:val="auto"/>
                <w:szCs w:val="21"/>
                <w:highlight w:val="none"/>
              </w:rPr>
            </w:pPr>
            <w:r>
              <w:rPr>
                <w:rFonts w:hint="eastAsia" w:ascii="宋体" w:hAnsi="宋体" w:cs="宋体"/>
                <w:color w:val="auto"/>
                <w:szCs w:val="21"/>
                <w:highlight w:val="none"/>
              </w:rPr>
              <w:t>17</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69B63AB4">
            <w:pPr>
              <w:rPr>
                <w:rFonts w:hint="eastAsia" w:ascii="宋体" w:hAnsi="宋体" w:cs="宋体"/>
                <w:color w:val="auto"/>
                <w:szCs w:val="21"/>
                <w:highlight w:val="none"/>
              </w:rPr>
            </w:pPr>
            <w:r>
              <w:rPr>
                <w:rFonts w:hint="eastAsia" w:ascii="宋体" w:hAnsi="宋体" w:cs="宋体"/>
                <w:color w:val="auto"/>
                <w:szCs w:val="21"/>
                <w:highlight w:val="none"/>
              </w:rPr>
              <w:t>客户操作人员技术培训</w:t>
            </w:r>
          </w:p>
        </w:tc>
        <w:tc>
          <w:tcPr>
            <w:tcW w:w="4197" w:type="dxa"/>
            <w:tcBorders>
              <w:top w:val="single" w:color="auto" w:sz="4" w:space="0"/>
              <w:left w:val="single" w:color="auto" w:sz="4" w:space="0"/>
              <w:bottom w:val="single" w:color="auto" w:sz="4" w:space="0"/>
              <w:right w:val="single" w:color="auto" w:sz="4" w:space="0"/>
            </w:tcBorders>
            <w:noWrap w:val="0"/>
            <w:vAlign w:val="center"/>
          </w:tcPr>
          <w:p w14:paraId="6A3E7249">
            <w:pPr>
              <w:rPr>
                <w:rFonts w:hint="eastAsia" w:ascii="宋体" w:hAnsi="宋体" w:cs="宋体"/>
                <w:color w:val="auto"/>
                <w:szCs w:val="21"/>
                <w:highlight w:val="none"/>
              </w:rPr>
            </w:pPr>
            <w:r>
              <w:rPr>
                <w:rFonts w:hint="eastAsia" w:ascii="宋体" w:hAnsi="宋体" w:cs="宋体"/>
                <w:color w:val="auto"/>
                <w:szCs w:val="21"/>
                <w:highlight w:val="none"/>
              </w:rPr>
              <w:t>免费技术培训至少</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名操作人员，操作和简单故障处理。</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38F8992A">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31DFF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307AFE2">
            <w:pPr>
              <w:rPr>
                <w:rFonts w:hint="eastAsia" w:ascii="宋体" w:hAnsi="宋体" w:cs="宋体"/>
                <w:color w:val="auto"/>
                <w:szCs w:val="21"/>
                <w:highlight w:val="none"/>
              </w:rPr>
            </w:pPr>
            <w:r>
              <w:rPr>
                <w:rFonts w:hint="eastAsia" w:ascii="宋体" w:hAnsi="宋体" w:cs="宋体"/>
                <w:color w:val="auto"/>
                <w:szCs w:val="21"/>
                <w:highlight w:val="none"/>
              </w:rPr>
              <w:t>18</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77949392">
            <w:pPr>
              <w:rPr>
                <w:rFonts w:hint="eastAsia" w:ascii="宋体" w:hAnsi="宋体" w:cs="宋体"/>
                <w:color w:val="auto"/>
                <w:szCs w:val="21"/>
                <w:highlight w:val="none"/>
              </w:rPr>
            </w:pPr>
            <w:r>
              <w:rPr>
                <w:rFonts w:hint="eastAsia" w:ascii="宋体" w:hAnsi="宋体" w:cs="宋体"/>
                <w:color w:val="auto"/>
                <w:szCs w:val="21"/>
                <w:highlight w:val="none"/>
              </w:rPr>
              <w:t>郑州维修部地址</w:t>
            </w:r>
          </w:p>
        </w:tc>
        <w:tc>
          <w:tcPr>
            <w:tcW w:w="41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3AFE29">
            <w:pPr>
              <w:rPr>
                <w:rFonts w:hint="eastAsia" w:ascii="宋体" w:hAnsi="宋体" w:eastAsia="宋体" w:cs="Times New Roman"/>
                <w:kern w:val="2"/>
                <w:sz w:val="21"/>
                <w:szCs w:val="21"/>
                <w:lang w:val="en-US" w:eastAsia="zh-CN" w:bidi="ar-SA"/>
              </w:rPr>
            </w:pPr>
            <w:r>
              <w:rPr>
                <w:rFonts w:hint="eastAsia" w:ascii="宋体" w:hAnsi="宋体" w:eastAsia="宋体" w:cs="Times New Roman"/>
                <w:szCs w:val="21"/>
                <w:lang w:val="en-US" w:eastAsia="zh-CN"/>
              </w:rPr>
              <w:t>河南省郑州市金水区国泰北路北、黄家庵北路西1号楼1单元1104号</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38A8C91D">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4CCE5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3E8B080">
            <w:pPr>
              <w:rPr>
                <w:rFonts w:hint="eastAsia" w:ascii="宋体" w:hAnsi="宋体" w:cs="宋体"/>
                <w:color w:val="auto"/>
                <w:szCs w:val="21"/>
                <w:highlight w:val="none"/>
              </w:rPr>
            </w:pPr>
            <w:r>
              <w:rPr>
                <w:rFonts w:hint="eastAsia" w:ascii="宋体" w:hAnsi="宋体" w:cs="宋体"/>
                <w:color w:val="auto"/>
                <w:szCs w:val="21"/>
                <w:highlight w:val="none"/>
              </w:rPr>
              <w:t>19</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4CAFAEC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联系人</w:t>
            </w:r>
          </w:p>
        </w:tc>
        <w:tc>
          <w:tcPr>
            <w:tcW w:w="41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7392D4">
            <w:pPr>
              <w:rPr>
                <w:rFonts w:hint="eastAsia" w:ascii="宋体" w:hAnsi="宋体" w:eastAsia="宋体" w:cs="Times New Roman"/>
                <w:kern w:val="2"/>
                <w:sz w:val="21"/>
                <w:szCs w:val="21"/>
                <w:lang w:val="en-US" w:eastAsia="zh-CN" w:bidi="ar-SA"/>
              </w:rPr>
            </w:pPr>
            <w:r>
              <w:rPr>
                <w:rFonts w:hint="eastAsia" w:ascii="宋体" w:hAnsi="宋体" w:eastAsia="宋体" w:cs="Times New Roman"/>
                <w:szCs w:val="21"/>
                <w:lang w:eastAsia="zh-CN"/>
              </w:rPr>
              <w:t>申晓冰</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59844286">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62DF7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B22150B">
            <w:pPr>
              <w:rPr>
                <w:rFonts w:hint="eastAsia" w:ascii="宋体" w:hAnsi="宋体" w:cs="宋体"/>
                <w:color w:val="auto"/>
                <w:szCs w:val="21"/>
                <w:highlight w:val="none"/>
              </w:rPr>
            </w:pPr>
            <w:r>
              <w:rPr>
                <w:rFonts w:hint="eastAsia" w:ascii="宋体" w:hAnsi="宋体" w:cs="宋体"/>
                <w:color w:val="auto"/>
                <w:szCs w:val="21"/>
                <w:highlight w:val="none"/>
              </w:rPr>
              <w:t>20</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13F2E4F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联系电话</w:t>
            </w:r>
          </w:p>
        </w:tc>
        <w:tc>
          <w:tcPr>
            <w:tcW w:w="41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ECE275">
            <w:pPr>
              <w:rPr>
                <w:rFonts w:hint="eastAsia" w:ascii="宋体" w:hAnsi="宋体" w:eastAsia="宋体" w:cs="Times New Roman"/>
                <w:kern w:val="2"/>
                <w:sz w:val="21"/>
                <w:szCs w:val="21"/>
                <w:lang w:val="en-US" w:eastAsia="zh-CN" w:bidi="ar-SA"/>
              </w:rPr>
            </w:pPr>
            <w:r>
              <w:rPr>
                <w:rFonts w:hint="eastAsia" w:ascii="宋体" w:hAnsi="宋体" w:eastAsia="宋体" w:cs="Times New Roman"/>
                <w:szCs w:val="21"/>
                <w:lang w:val="en-US" w:eastAsia="zh-CN"/>
              </w:rPr>
              <w:t>18100337157</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220BC5F6">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7EC2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4E84FA5">
            <w:pPr>
              <w:rPr>
                <w:rFonts w:hint="eastAsia" w:ascii="宋体" w:hAnsi="宋体" w:cs="宋体"/>
                <w:color w:val="auto"/>
                <w:szCs w:val="21"/>
                <w:highlight w:val="none"/>
              </w:rPr>
            </w:pPr>
            <w:r>
              <w:rPr>
                <w:rFonts w:hint="eastAsia" w:ascii="宋体" w:hAnsi="宋体" w:cs="宋体"/>
                <w:color w:val="auto"/>
                <w:szCs w:val="21"/>
                <w:highlight w:val="none"/>
              </w:rPr>
              <w:t>21</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18D4379C">
            <w:pPr>
              <w:rPr>
                <w:rFonts w:hint="eastAsia" w:ascii="宋体" w:hAnsi="宋体" w:cs="宋体"/>
                <w:color w:val="auto"/>
                <w:szCs w:val="21"/>
                <w:highlight w:val="none"/>
              </w:rPr>
            </w:pPr>
            <w:r>
              <w:rPr>
                <w:rFonts w:hint="eastAsia" w:ascii="宋体" w:hAnsi="宋体" w:cs="宋体"/>
                <w:color w:val="auto"/>
                <w:szCs w:val="21"/>
                <w:highlight w:val="none"/>
              </w:rPr>
              <w:t>维修服务热线</w:t>
            </w:r>
          </w:p>
        </w:tc>
        <w:tc>
          <w:tcPr>
            <w:tcW w:w="41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DEB5B6">
            <w:pPr>
              <w:rPr>
                <w:rFonts w:hint="eastAsia" w:ascii="宋体" w:hAnsi="宋体" w:eastAsia="宋体" w:cs="Times New Roman"/>
                <w:kern w:val="2"/>
                <w:sz w:val="21"/>
                <w:szCs w:val="21"/>
                <w:lang w:val="en-US" w:eastAsia="zh-CN" w:bidi="ar-SA"/>
              </w:rPr>
            </w:pPr>
            <w:r>
              <w:rPr>
                <w:rFonts w:hint="eastAsia" w:ascii="宋体" w:hAnsi="宋体" w:eastAsia="宋体" w:cs="Times New Roman"/>
                <w:szCs w:val="21"/>
                <w:lang w:val="en-US" w:eastAsia="zh-CN"/>
              </w:rPr>
              <w:t>18100337157</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39071351">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r w14:paraId="35DEB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775761B">
            <w:pPr>
              <w:rPr>
                <w:rFonts w:hint="eastAsia" w:ascii="宋体" w:hAnsi="宋体" w:cs="宋体"/>
                <w:color w:val="auto"/>
                <w:szCs w:val="21"/>
                <w:highlight w:val="none"/>
              </w:rPr>
            </w:pPr>
            <w:r>
              <w:rPr>
                <w:rFonts w:hint="eastAsia" w:ascii="宋体" w:hAnsi="宋体" w:cs="宋体"/>
                <w:color w:val="auto"/>
                <w:szCs w:val="21"/>
                <w:highlight w:val="none"/>
              </w:rPr>
              <w:t>22</w:t>
            </w:r>
          </w:p>
        </w:tc>
        <w:tc>
          <w:tcPr>
            <w:tcW w:w="3758" w:type="dxa"/>
            <w:tcBorders>
              <w:top w:val="single" w:color="auto" w:sz="4" w:space="0"/>
              <w:left w:val="single" w:color="auto" w:sz="4" w:space="0"/>
              <w:bottom w:val="single" w:color="auto" w:sz="4" w:space="0"/>
              <w:right w:val="single" w:color="auto" w:sz="4" w:space="0"/>
            </w:tcBorders>
            <w:noWrap w:val="0"/>
            <w:vAlign w:val="center"/>
          </w:tcPr>
          <w:p w14:paraId="2AF1C2A8">
            <w:pPr>
              <w:rPr>
                <w:rFonts w:hint="eastAsia" w:ascii="宋体" w:hAnsi="宋体" w:cs="宋体"/>
                <w:color w:val="auto"/>
                <w:szCs w:val="21"/>
                <w:highlight w:val="none"/>
              </w:rPr>
            </w:pPr>
            <w:r>
              <w:rPr>
                <w:rFonts w:hint="eastAsia" w:ascii="宋体" w:hAnsi="宋体" w:cs="宋体"/>
                <w:color w:val="auto"/>
                <w:szCs w:val="21"/>
                <w:highlight w:val="none"/>
              </w:rPr>
              <w:t>其他承诺</w:t>
            </w:r>
          </w:p>
        </w:tc>
        <w:tc>
          <w:tcPr>
            <w:tcW w:w="41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AF722B">
            <w:pPr>
              <w:rPr>
                <w:rFonts w:hint="eastAsia" w:ascii="宋体" w:hAnsi="宋体" w:eastAsia="宋体" w:cs="Times New Roman"/>
                <w:kern w:val="2"/>
                <w:sz w:val="21"/>
                <w:szCs w:val="21"/>
                <w:lang w:val="en-US" w:eastAsia="zh-CN" w:bidi="ar-SA"/>
              </w:rPr>
            </w:pPr>
            <w:r>
              <w:rPr>
                <w:rFonts w:hint="eastAsia" w:ascii="宋体" w:hAnsi="宋体" w:eastAsia="宋体" w:cs="Times New Roman"/>
                <w:szCs w:val="21"/>
                <w:lang w:eastAsia="zh-CN"/>
              </w:rPr>
              <w:t>无</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006C4F51">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无</w:t>
            </w:r>
          </w:p>
        </w:tc>
      </w:tr>
    </w:tbl>
    <w:p w14:paraId="1C6E7F9D">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承诺公司签字（盖章）：</w:t>
      </w:r>
      <w:r>
        <w:rPr>
          <w:rFonts w:hint="eastAsia" w:ascii="宋体" w:hAnsi="宋体"/>
          <w:b/>
          <w:color w:val="auto"/>
          <w:sz w:val="24"/>
          <w:szCs w:val="24"/>
          <w:highlight w:val="none"/>
        </w:rPr>
        <w:br w:type="page"/>
      </w:r>
      <w:r>
        <w:rPr>
          <w:rFonts w:hint="eastAsia" w:ascii="宋体" w:hAnsi="宋体"/>
          <w:b/>
          <w:color w:val="auto"/>
          <w:sz w:val="24"/>
          <w:szCs w:val="24"/>
          <w:highlight w:val="none"/>
        </w:rPr>
        <w:t>附件6：</w:t>
      </w:r>
    </w:p>
    <w:p w14:paraId="27F1244C">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b/>
          <w:color w:val="auto"/>
          <w:szCs w:val="21"/>
          <w:highlight w:val="none"/>
        </w:rPr>
      </w:pPr>
      <w:r>
        <w:rPr>
          <w:rFonts w:hint="eastAsia" w:ascii="宋体" w:hAnsi="宋体"/>
          <w:b/>
          <w:color w:val="auto"/>
          <w:sz w:val="36"/>
          <w:szCs w:val="36"/>
          <w:highlight w:val="none"/>
          <w:lang w:val="en-US" w:eastAsia="zh-CN"/>
        </w:rPr>
        <w:t>豫财招标采购-2026-868-A包</w:t>
      </w:r>
      <w:r>
        <w:rPr>
          <w:rFonts w:hint="eastAsia" w:ascii="宋体" w:hAnsi="宋体"/>
          <w:b/>
          <w:color w:val="auto"/>
          <w:sz w:val="36"/>
          <w:szCs w:val="36"/>
          <w:highlight w:val="none"/>
        </w:rPr>
        <w:t>号合同安装培训计划表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230"/>
        <w:gridCol w:w="7826"/>
      </w:tblGrid>
      <w:tr w14:paraId="4B741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89" w:type="dxa"/>
            <w:tcBorders>
              <w:top w:val="single" w:color="auto" w:sz="4" w:space="0"/>
              <w:left w:val="single" w:color="auto" w:sz="4" w:space="0"/>
              <w:bottom w:val="single" w:color="auto" w:sz="4" w:space="0"/>
              <w:right w:val="single" w:color="auto" w:sz="4" w:space="0"/>
            </w:tcBorders>
            <w:noWrap w:val="0"/>
            <w:vAlign w:val="center"/>
          </w:tcPr>
          <w:p w14:paraId="34F39462">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序号</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20D8A29C">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项目</w:t>
            </w:r>
          </w:p>
        </w:tc>
        <w:tc>
          <w:tcPr>
            <w:tcW w:w="7826" w:type="dxa"/>
            <w:tcBorders>
              <w:top w:val="single" w:color="auto" w:sz="4" w:space="0"/>
              <w:left w:val="single" w:color="auto" w:sz="4" w:space="0"/>
              <w:bottom w:val="single" w:color="auto" w:sz="4" w:space="0"/>
              <w:right w:val="single" w:color="auto" w:sz="4" w:space="0"/>
            </w:tcBorders>
            <w:noWrap w:val="0"/>
            <w:vAlign w:val="center"/>
          </w:tcPr>
          <w:p w14:paraId="4CCA12F3">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具体内容</w:t>
            </w:r>
          </w:p>
        </w:tc>
      </w:tr>
      <w:tr w14:paraId="71061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789" w:type="dxa"/>
            <w:tcBorders>
              <w:top w:val="single" w:color="auto" w:sz="4" w:space="0"/>
              <w:left w:val="single" w:color="auto" w:sz="4" w:space="0"/>
              <w:bottom w:val="single" w:color="auto" w:sz="4" w:space="0"/>
              <w:right w:val="single" w:color="auto" w:sz="4" w:space="0"/>
            </w:tcBorders>
            <w:noWrap w:val="0"/>
            <w:vAlign w:val="center"/>
          </w:tcPr>
          <w:p w14:paraId="6A0490B6">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一</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5C5773B6">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培训所要达到的目标</w:t>
            </w:r>
          </w:p>
        </w:tc>
        <w:tc>
          <w:tcPr>
            <w:tcW w:w="7826" w:type="dxa"/>
            <w:tcBorders>
              <w:top w:val="single" w:color="auto" w:sz="4" w:space="0"/>
              <w:left w:val="single" w:color="auto" w:sz="4" w:space="0"/>
              <w:bottom w:val="single" w:color="auto" w:sz="4" w:space="0"/>
              <w:right w:val="single" w:color="auto" w:sz="4" w:space="0"/>
            </w:tcBorders>
            <w:noWrap w:val="0"/>
            <w:vAlign w:val="center"/>
          </w:tcPr>
          <w:p w14:paraId="14F5469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（1）理论知识目标</w:t>
            </w:r>
          </w:p>
          <w:p w14:paraId="7EB60886">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1.1、深入理解仪器的基本原理，包括但不限于物理、化学、生物检测原理，能阐述其核心技术概念及在所属领域的应用基础。</w:t>
            </w:r>
          </w:p>
          <w:p w14:paraId="60316DF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1.2、熟悉仪器的结构组成，准确识别各主要部件、配件及其功能，了解它们之间的协同运作机制。</w:t>
            </w:r>
          </w:p>
          <w:p w14:paraId="7E81D40B">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1.3、掌握仪器相关的基础数据知识，如量程范围、分辨率、精度、检测限等关键参数的含义与实际影响。</w:t>
            </w:r>
          </w:p>
          <w:p w14:paraId="1C36F41F">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（2）操作技能目标</w:t>
            </w:r>
          </w:p>
          <w:p w14:paraId="2AB4AEF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2.1、熟练掌握仪器的标准操作流程，从开机预热、初始化设置、样品处理与装载，到运行检测、数据采集与存储，再到关机后整理，均能精准、流畅操作，无错误步骤或遗漏环节。</w:t>
            </w:r>
          </w:p>
          <w:p w14:paraId="3AC704EF">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2.2、能够依据不同的实验需求与样品特性，独立、正确地调整仪器的各项参数，如温度、压力等，确保检测条件的优化与结果的准确性。</w:t>
            </w:r>
          </w:p>
          <w:p w14:paraId="51D8658D">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2.3、精通仪器配套软件或控制系统的使用，熟练进行数据录入、编辑、分析处理，能运用软件功能生成规范的实验报告与数据图表。</w:t>
            </w:r>
          </w:p>
          <w:p w14:paraId="042F015D">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（3）维护保养目标</w:t>
            </w:r>
          </w:p>
          <w:p w14:paraId="2971E4C3">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3.1、熟悉仪器的日常清洁与保养规程，包括外观清洁、内部关键部件的除尘、防潮、防腐蚀处理等，确保仪器处于良好的卫生与运行环境。</w:t>
            </w:r>
          </w:p>
          <w:p w14:paraId="0141D390">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3.2、掌握仪器的定期校准与校验方法，了解校准周期与标准物质的使用，能按照规定流程进行校准操作并判断校准结果的有效性。</w:t>
            </w:r>
          </w:p>
          <w:p w14:paraId="6BC277D3">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rPr>
            </w:pPr>
            <w:r>
              <w:rPr>
                <w:rFonts w:hint="eastAsia" w:ascii="宋体" w:hAnsi="宋体"/>
                <w:color w:val="auto"/>
                <w:szCs w:val="21"/>
                <w:highlight w:val="none"/>
                <w:lang w:val="en-US" w:eastAsia="zh-CN"/>
              </w:rPr>
              <w:t>3.3、具备初步的仪器故障排查与诊断能力，能够识别常见故障报警信息，运用简单工具与方法对故障进行初步判断与定位，及时采取相应的应急处理措施。</w:t>
            </w:r>
          </w:p>
        </w:tc>
      </w:tr>
      <w:tr w14:paraId="1812E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789" w:type="dxa"/>
            <w:tcBorders>
              <w:top w:val="single" w:color="auto" w:sz="4" w:space="0"/>
              <w:left w:val="single" w:color="auto" w:sz="4" w:space="0"/>
              <w:bottom w:val="single" w:color="auto" w:sz="4" w:space="0"/>
              <w:right w:val="single" w:color="auto" w:sz="4" w:space="0"/>
            </w:tcBorders>
            <w:noWrap w:val="0"/>
            <w:vAlign w:val="center"/>
          </w:tcPr>
          <w:p w14:paraId="3092285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二</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50E63CC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培训内容</w:t>
            </w:r>
          </w:p>
        </w:tc>
        <w:tc>
          <w:tcPr>
            <w:tcW w:w="7826" w:type="dxa"/>
            <w:tcBorders>
              <w:top w:val="single" w:color="auto" w:sz="4" w:space="0"/>
              <w:left w:val="single" w:color="auto" w:sz="4" w:space="0"/>
              <w:bottom w:val="single" w:color="auto" w:sz="4" w:space="0"/>
              <w:right w:val="single" w:color="auto" w:sz="4" w:space="0"/>
            </w:tcBorders>
            <w:noWrap w:val="0"/>
            <w:vAlign w:val="center"/>
          </w:tcPr>
          <w:p w14:paraId="4355219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（1）气相色谱三重四极杆质谱仪专项培训内容</w:t>
            </w:r>
          </w:p>
          <w:p w14:paraId="1F91024C">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1.1 设备基础理论专项培训</w:t>
            </w:r>
          </w:p>
          <w:p w14:paraId="0C5BBDF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基础理论是规范操作、精准运维、故障判断的核心前提，本次理论培训深度贴合设备结构与工作原理，全面覆盖设备核心知识点。首先开展设备整体认知培训，详细讲解气相色谱三重四极杆质谱仪的整体架构、五大核心单元功能、设备技术参数、核心优势、适用检测范围，重点阐述设备在微量有机污染物、农残、兽药残留、挥发性有机物、环境污染物检测中的应用原理，让参训人员明确设备检测逻辑与技术特性。其次分项讲解各模块工作原理，色谱模块重点讲解气路分离原理、柱温箱升温控制原理、进样口汽化分离原理、色谱组分分离机制；质谱模块重点讲解真空系统工作原理、离子源电离原理、三重四极杆质量筛选原理、MRM多反应监测模式工作机制、检测器信号转化原理，让参训人员理解组分分离、离子筛选、信号采集、定量计算的完整技术逻辑。</w:t>
            </w:r>
          </w:p>
          <w:p w14:paraId="0AA508F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同时开展设备配件与耗材理论培训，详细讲解毛细管色谱柱、进样衬管、隔垫、离子源、灯丝、过滤器等核心耗材的作用、适配型号、损耗周期、更换标准，让操作人员能够自主判断耗材损耗状态，提前做好耗材更换储备。最后开展检测理论基础培训，讲解保留时间、峰面积、峰高、分离度、信噪比、检出限、重复性、线性相关系数等核心检测参数含义，解释标准曲线建立、定性匹配、定量计算的基础理论，为后续实操检测与数据分析奠定扎实理论基础。</w:t>
            </w:r>
          </w:p>
          <w:p w14:paraId="1EA8E223">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1.2 设备标准化实操操作培训</w:t>
            </w:r>
          </w:p>
          <w:p w14:paraId="3185FE40">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实操培训为本次培训核心重点，我方工程师现场手把手教学，全程演示标准化操作流程，指导参训人员独立实操，纠正不规范操作习惯，确保全员熟练掌握设备全流程操作。</w:t>
            </w:r>
          </w:p>
          <w:p w14:paraId="7EDD2455">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一是设备开机前检查实操培训，详细教学实验室环境核查、温湿度确认、气源压力检查、气体纯度核查、UPS电源状态检查、设备线路检查、真空系统前置检查等开机前置操作，明确开机前各项检查标准与异常判定方式，杜绝带故障开机。</w:t>
            </w:r>
          </w:p>
          <w:p w14:paraId="13FB862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二是设备标准化开机流程培训，教学设备分步开机顺序、系统自检查看方式、真空度爬升观察、设备状态监测方法，指导参训人员识别设备开机正常状态与异常报警提示。</w:t>
            </w:r>
          </w:p>
          <w:p w14:paraId="7C221B28">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三是参数设置实操培训，现场教学柱温箱升温程序编辑、初始温度、升温速率、恒温时间参数设置，进样口温度、分流比、吹扫流量调节，载气压力与流量参数校准，质谱离子源温度、传输线温度、四级杆温度设置，MRM离子对参数、碰撞能量、驻留时间等核心检测参数的编辑与保存方法，指导人员根据不同检测样品优化匹配参数。</w:t>
            </w:r>
          </w:p>
          <w:p w14:paraId="1FBC280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四是样品检测实操培训，涵盖样品前处理注意事项、进样针清洗、样品装填、自动进样器点位设置、批量样品序列建立、自动进样检测启动、检测过程实时状态监控等全流程实操，重点规范进样操作细节，杜绝交叉污染、进样误差等问题。</w:t>
            </w:r>
          </w:p>
          <w:p w14:paraId="296C53F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五是设备标准化关机流程培训，教学检测结束后数据保存、方法存档、降温待机、真空系统延时关闭、气路关闭、设备断电、电源复位的标准关机流程，明确不同工况下的关机规范，杜绝直接断电、强制关机等违规操作，保护设备精密组件。</w:t>
            </w:r>
          </w:p>
          <w:p w14:paraId="45E6C19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六是应急停机操作培训，讲解设备突发故障、漏气、报警异常情况下的紧急停机、气源切断、电源处置方法，提升操作人员应急处置能力。</w:t>
            </w:r>
          </w:p>
          <w:p w14:paraId="46D4C5D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1.3 配套工作站软件操作培训</w:t>
            </w:r>
          </w:p>
          <w:p w14:paraId="19915E7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软件系统是设备数据采集、谱图分析、结果核算、数据归档的核心工具，本次培训全面覆盖软件全功能操作。首先开展软件基础操作培训，讲解工作站软件启动、账号登录、设备通讯连接、端口匹配、软件界面功能分区、参数面板认知、设备状态实时查看功能，指导人员熟练掌握软件基础操控。其次讲解检测方法建立与保存，教学新建检测方法、导入标准方法、编辑色谱升温方法、质谱扫描方法、离子参数方法，实现不同检测项目方法一键调用，提升检测效率。</w:t>
            </w:r>
          </w:p>
          <w:p w14:paraId="63A1B81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重点开展谱图分析与数据处理实操培训，讲解基线校正、峰积分参数优化、杂峰剔除、目标峰识别、保留时间校准、峰面积统计等基础操作，教学NIST谱库检索、物质定性匹配、相似度判别等定性分析操作，同时培训梯度标准曲线建立、线性拟合、回归方程生成、样品浓度自动计算等定量分析功能。最后开展数据管理培训，详细教学检测数据、谱图文件、方法文件的保存、命名、分类归档、批量导出、报表生成、打印输出操作，规范实验室数据溯源管理，满足检测数据存档、审核、上报的标准化要求。同时讲解软件权限管理、日志查询、系统备份操作，保障软件系统长期稳定运行。</w:t>
            </w:r>
          </w:p>
          <w:p w14:paraId="27F87334">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1.4 设备日常维护与定期保养培训</w:t>
            </w:r>
          </w:p>
          <w:p w14:paraId="3F6DB255">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精密质谱色谱设备的使用寿命与检测稳定性高度依赖常态化维护保养，本次培训细化分级制定日常、每周、每月、季度、年度保养规范，指导参训人员建立标准化运维体系。日常维护主要培训设备表面清洁、进样口清洁、进样针清洗、实验室环境整理、气源压力日常巡检、设备运行状态记录、检测结束后系统待机维护等基础工作，杜绝粉尘、污渍、残留样品污染设备核心组件。每周保养重点培训气路系统排查、管路气密性目视检查、气体净化装置状态核查、工作站系统垃圾清理、设备运行日志整理归档。</w:t>
            </w:r>
          </w:p>
          <w:p w14:paraId="51B2982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每月保养专项培训耗材检查与更换，包括进样隔垫、衬管、过滤滤芯、气体干燥剂等易损耗材的损耗判断与标准化更换流程，教学色谱柱拆卸、清洁、保存、安装规范，讲解色谱柱老化处理方法，避免色谱柱污染导致检测基线异常、峰型畸变。季度保养重点培训离子源拆解、清洁、安装复位标准化流程，四级杆腔体清洁、真空系统状态核查、检漏处理、线路紧固检查，全面排查设备隐性故障。同时培训设备长期停机保养规范、开机复用核查流程，保障设备闲置后可快速恢复标准工况。所有保养流程均现场实操演示，指导人员独立完成基础保养作业，建立设备运维台账，实现保养工作可记录、可追溯、可管控。</w:t>
            </w:r>
          </w:p>
          <w:p w14:paraId="59A575E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1.5 常见故障识别与基础处置培训</w:t>
            </w:r>
          </w:p>
          <w:p w14:paraId="703E6D1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为降低设备停机率，提升实验室自主处置能力，本次培训汇总设备高频常见故障，开展专项故障处置教学。</w:t>
            </w:r>
          </w:p>
          <w:p w14:paraId="6CFD87D8">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一是开机故障，讲解设备无法开机、通讯连接失败、自检报错、真空度爬升缓慢等常见问题的故障原因、排查点位、基础处置方法；</w:t>
            </w:r>
          </w:p>
          <w:p w14:paraId="021E412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二是气路故障，针对气路漏气、气压不稳、气源报警、净化装置失效等问题，教学快速检漏、管路排查、配件更换的实操方法；</w:t>
            </w:r>
          </w:p>
          <w:p w14:paraId="33E442E2">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三是色谱故障，重点讲解基线漂移、基线噪声过高、杂峰干扰、峰型拖尾、保留时间偏移、分离度不足等检测常见问题的溯源分析与参数优化、设备整改方案。</w:t>
            </w:r>
          </w:p>
          <w:p w14:paraId="2133B5F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四是质谱故障，涵盖离子化效率不足、检测器响应偏低、质量轴偏移、分辨率不达标、MRM响应异常等质谱常见故障，指导人员通过参数校准、组件清洁、耗材更换完成基础修复；</w:t>
            </w:r>
          </w:p>
          <w:p w14:paraId="7A033480">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五是软件故障，讲解软件闪退、数据采集中断、谱图保存失败、参数无法保存、设备断连等软件问题的重启修复、系统重置、端口调试方法。培训过程中结合真实故障案例复盘讲解，让参训人员精准区分故障类型、定位故障点位、掌握处置流程，轻微故障可独立快速处置，复杂故障可精准上报、配合工程师维修，大幅提升设备运维效率。</w:t>
            </w:r>
          </w:p>
          <w:p w14:paraId="481DE526">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（2）高光谱成像光谱仪专项培训内容</w:t>
            </w:r>
          </w:p>
          <w:p w14:paraId="6CA460D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2.1 设备基础理论与应用体系培训</w:t>
            </w:r>
          </w:p>
          <w:p w14:paraId="46A25FA6">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高光谱成像光谱仪属于高精度光学无损检测设备，光学原理复杂、环境要求严苛、操作精度要求高，本次理论培训从光学基础、设备结构、成像原理、应用场景全方位开展教学。首先开展设备整体认知培训，讲解高光谱成像光谱仪的整机结构、光学组件、扫描系统、光源系统、传感系统、控制系统的组成与核心功能，解读设备核心技术参数，包含光谱波段范围、光谱分辨率、成像分辨率、扫描精度、曝光参数、响应灵敏度等关键指标，让参训人员全面掌握设备性能边界与使用规范。</w:t>
            </w:r>
          </w:p>
          <w:p w14:paraId="4CD35FEC">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其次开展核心原理培训，重点讲解光谱分光原理、光栅衍射机制、CCD光电传感原理、空间成像与光谱信息耦合原理、无损检测技术逻辑，通俗化解释设备“图像成像+光谱采集”一体化检测的技术优势，区分传统检测设备与高光谱设备的应用差异。同时详细讲解光谱特征波段、反射率特征、物质光谱指纹图谱等核心理论，让参训人员理解样品成分识别、品质判别、溯源分析的底层逻辑，为后续数据分析、特征建模、样品检测提供理论支撑。最后开展应用场景专项培训，结合实验室科研与检测需求，讲解设备在样品无损筛查、成分分析、缺陷检测、品质分级、溯源判别等场景的应用方法，帮助参训人员建立设备应用思维。</w:t>
            </w:r>
          </w:p>
          <w:p w14:paraId="40FAF32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2.2 设备标准化实操全流程培训</w:t>
            </w:r>
          </w:p>
          <w:p w14:paraId="36745BEF">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高光谱设备光学组件精密、光路敏感、操作容错率低，我方开展精细化、标准化实操培训，全程一对一指导，杜绝不规范操作损伤光学组件、影响检测精度。</w:t>
            </w:r>
          </w:p>
          <w:p w14:paraId="448D577D">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一是开机前环境与设备检查培训，重点教学避光环境核查、杂散光隔离检查、台面防震核查、光源状态检查、线路连接检查、传感器清洁状态检查，明确光学设备专属前置检查标准，杜绝光线干扰、粉尘污染、震动干扰导致的检测误差。</w:t>
            </w:r>
          </w:p>
          <w:p w14:paraId="52887FA0">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二是设备标准化开机与自检培训，讲解设备开机顺序、光源预热流程、系统自检、光路初始化、像素校正、基线自检流程，指导人员识别设备正常预热状态与异常报错提示。</w:t>
            </w:r>
          </w:p>
          <w:p w14:paraId="3841928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三是设备参数实操设置培训，现场教学光谱采集波段选择、扫描速度调节、曝光时长设置、信号增益调整、采样频率配置、成像分辨率参数设置，针对高精度检测、快速筛查、大面积扫描、微小样品检测等不同场景，教学专属参数匹配方法，让参训人员可根据检测需求自主优化设备工况。</w:t>
            </w:r>
          </w:p>
          <w:p w14:paraId="4907E0D3">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四是样品检测实操培训，规范样品摆放、定位固定、水平调整操作，教学扫描轨迹设置、区域选取、批量扫描启动、实时成像观测、光谱数据实时监测等全流程操作，重点强调检测过程中严禁震动设备、严禁遮挡光路、严禁触碰光学组件，保障检测数据精准稳定。</w:t>
            </w:r>
          </w:p>
          <w:p w14:paraId="73CC2E9F">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五是设备标准化关机与待机操作培训，讲解检测结束后光源延时关闭、系统参数保存、软件退出、设备断电、设备防尘防护、遮光系统复位的标准流程，规范设备待机、临时停机、长期停机的操作规范，有效保护精密光学镜片、光栅与传感器组件，延长设备使用寿命。</w:t>
            </w:r>
          </w:p>
          <w:p w14:paraId="330E7DBC">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2.3 高光谱专业软件数据分析培训</w:t>
            </w:r>
          </w:p>
          <w:p w14:paraId="5D242D16">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高光谱设备的核心价值体现在数据解析与智能分析，本次软件培训重点突破成像处理、光谱分析、数据建模三大核心能力，全面适配科研与检测需求。首先开展软件基础操控培训，讲解软件启动、设备通讯匹配、光路联动控制、扫描任务新建、参数模板保存、批量任务设置等基础功能操作，实现设备智能化操控。其次开展图像数据处理培训，教学图像降噪、畸变校正、像素校准、图像拼接、区域裁剪、特征区域提取、成像清晰度优化等图像处理操作，解决成像模糊、图像畸变、噪点过多等数据问题。</w:t>
            </w:r>
          </w:p>
          <w:p w14:paraId="5A41D2CB">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重点开展光谱数据精细化分析培训，讲解光谱曲线提取、基线校正、光谱降噪、波段筛选、特征峰提取、反射率计算、光谱归一化处理等核心操作，指导参训人员精准识别不同样品的光谱特征差异，掌握物质光谱指纹判别方法。同时开展高级应用培训，教学多批次样品光谱数据对比分析、数据分类统计、特征建模、趋势分析、差异溯源等科研级数据分析功能，满足实验室科研创新、样品溯源、品质分析的高阶应用需求。最后规范数据导出、归档、报表生成操作，统一数据存储格式与归档标准，实现检测数据完整溯源、规范管理。</w:t>
            </w:r>
          </w:p>
          <w:p w14:paraId="2E2D867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2.4 光学设备专项维护保养培训</w:t>
            </w:r>
          </w:p>
          <w:p w14:paraId="3512E69B">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高光谱成像光谱仪光学组件精密脆弱，对粉尘、震动、光线、温湿度极度敏感，专属维护保养是保障设备精度的关键，本次培训针对性制定光学设备专属运维规范。</w:t>
            </w:r>
          </w:p>
          <w:p w14:paraId="087EADFF">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日常维护重点培训光学系统防尘、防光、防震管理，每日检测结束后完成镜头防尘遮盖、遮光系统复位、设备台面清洁、实验室温湿度管控，严禁粉尘、油污沾染光学镜片与传感组件。</w:t>
            </w:r>
          </w:p>
          <w:p w14:paraId="48F63BF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每周保养重点核查光源运行状态、光斑均匀性、扫描平台运行平稳性、线路屏蔽完整性，清理设备表面灰尘与周边杂物，排查环境杂散光干扰隐患。</w:t>
            </w:r>
          </w:p>
          <w:p w14:paraId="4F881B2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每月专项保养开展光学系统精细化清洁培训，采用专业无尘工具、专用清洁试剂，规范镜头、光栅、传感器外表面的清洁流程，严禁违规擦拭导致镜片划伤、镀膜损伤。同时校准扫描平台水平度、定位精度，紧固设备固定组件，排查线路老化、屏蔽失效等隐患。</w:t>
            </w:r>
          </w:p>
          <w:p w14:paraId="18491909">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季度保养重点开展光路状态复核、光源性能检测、光谱精度核查，配合设备校准完成整机性能复检，及时修正轻微光路偏移、参数漂移问题。同时培训设备长期防尘封存、避光保护、防震防护的标准化流程，保障设备长期精度稳定，杜绝光学组件老化、精度衰减。</w:t>
            </w:r>
          </w:p>
          <w:p w14:paraId="35644E6D">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2.5 设备常见异常与基础故障处置培训</w:t>
            </w:r>
          </w:p>
          <w:p w14:paraId="3DD8DB6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结合高光谱设备运行特性，针对性开展光学故障、成像故障、数据故障、通讯故障专项培训。</w:t>
            </w:r>
          </w:p>
          <w:p w14:paraId="3AB66B3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一是通讯故障，讲解设备与电脑断连、控制指令失效、数据传输卡顿、图像实时显示异常等问题的排查与修复方法；</w:t>
            </w:r>
          </w:p>
          <w:p w14:paraId="56B1A42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二是光源故障，针对光源亮度不均、光斑畸变、光源闪烁、预热异常等问题，教学基础排查、参数重置、工况优化方法；</w:t>
            </w:r>
          </w:p>
          <w:p w14:paraId="3A29DFE4">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三是光路与成像故障，重点讲解成像模糊、图像畸变、像素噪点过高、画面明暗不均、成像偏移等常见问题的诱因与整改方案，指导人员通过光路微调、参数优化、环境整改恢复成像精度。</w:t>
            </w:r>
          </w:p>
          <w:p w14:paraId="2C4CF16F">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四是光谱数据故障，针对光谱曲线噪声大、特征峰不明显、数据重复性差、反射率偏移等问题，教学基线校正、参数重置、环境优化、重新采集的处置流程；</w:t>
            </w:r>
          </w:p>
          <w:p w14:paraId="5F1E9F8D">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五是机械故障，讲解扫描平台卡顿、位移偏差、定位不准等基础机械异常的排查与复位方法。</w:t>
            </w:r>
          </w:p>
          <w:p w14:paraId="4CA5225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rPr>
            </w:pPr>
            <w:r>
              <w:rPr>
                <w:rFonts w:hint="eastAsia" w:ascii="宋体" w:hAnsi="宋体"/>
                <w:color w:val="auto"/>
                <w:szCs w:val="21"/>
                <w:highlight w:val="none"/>
                <w:lang w:val="en-US" w:eastAsia="zh-CN"/>
              </w:rPr>
              <w:t>培训过程中通过实景演示、故障模拟、现场实操的方式，让参训人员快速掌握异常判别标准与处置方式，轻微问题自主处理，复杂问题精准报备，保障设备快速恢复正常工况。</w:t>
            </w:r>
          </w:p>
        </w:tc>
      </w:tr>
      <w:tr w14:paraId="4575C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7" w:hRule="atLeast"/>
          <w:jc w:val="center"/>
        </w:trPr>
        <w:tc>
          <w:tcPr>
            <w:tcW w:w="789" w:type="dxa"/>
            <w:tcBorders>
              <w:top w:val="single" w:color="auto" w:sz="4" w:space="0"/>
              <w:left w:val="single" w:color="auto" w:sz="4" w:space="0"/>
              <w:bottom w:val="single" w:color="auto" w:sz="4" w:space="0"/>
              <w:right w:val="single" w:color="auto" w:sz="4" w:space="0"/>
            </w:tcBorders>
            <w:noWrap w:val="0"/>
            <w:vAlign w:val="center"/>
          </w:tcPr>
          <w:p w14:paraId="5F1F4CB3">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三</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39A4C7AD">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培训标准</w:t>
            </w:r>
          </w:p>
        </w:tc>
        <w:tc>
          <w:tcPr>
            <w:tcW w:w="7826" w:type="dxa"/>
            <w:tcBorders>
              <w:top w:val="single" w:color="auto" w:sz="4" w:space="0"/>
              <w:left w:val="single" w:color="auto" w:sz="4" w:space="0"/>
              <w:bottom w:val="single" w:color="auto" w:sz="4" w:space="0"/>
              <w:right w:val="single" w:color="auto" w:sz="4" w:space="0"/>
            </w:tcBorders>
            <w:noWrap w:val="0"/>
            <w:vAlign w:val="center"/>
          </w:tcPr>
          <w:p w14:paraId="32B5771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1.针对性标准</w:t>
            </w:r>
          </w:p>
          <w:p w14:paraId="3125AEFC">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1.1、与学员工作需求匹配：根据实验室人员的工作需求及学员的专业背景等，设计具有针对性的培训课程。</w:t>
            </w:r>
          </w:p>
          <w:p w14:paraId="3A01C52F">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1.2、分层培训：针对不同层次的学员，如新手、有一定经验的操作人员、技术骨干等，制定不同难度和深度的培训内容。新手侧重于基础操作和安全知识培训，而技术骨干则可深入学习仪器的高级功能、故障排除及优化维护等内容。</w:t>
            </w:r>
          </w:p>
          <w:p w14:paraId="42E114B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2.系统性标准</w:t>
            </w:r>
          </w:p>
          <w:p w14:paraId="1026308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2.1、内容系统全面：培训内容涵盖仪器的基本原理、构造、操作流程、维护保养、故障排除等各个方面，形成一个完整的知识体系。</w:t>
            </w:r>
          </w:p>
          <w:p w14:paraId="38E8B4C0">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2.2、循序渐进：培训过程按照由浅入深、由易到难的顺序进行。先介绍仪器的基本概念和简单操作，让学员逐步熟悉仪器，再深入讲解复杂的原理和高级功能。</w:t>
            </w:r>
          </w:p>
          <w:p w14:paraId="2B2FEBC9">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3.实用性标准</w:t>
            </w:r>
          </w:p>
          <w:p w14:paraId="3C1EC24D">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3.1、紧密联系实际工作：培训内容紧密结合实验室的实际工作需求，注重培养学员解决实际问题的能力。通过实际案例分析让学员在培训中掌握如何运用仪器进行准确的实验测量、数据分析和结果处理。</w:t>
            </w:r>
          </w:p>
          <w:p w14:paraId="4F7315BC">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3.2、现场实操演练：强调实践操作，为学员提供充足的时间在真实仪器上进行练习。培训师在现场进行指导和纠正，确保学员能够熟练掌握仪器的操作技能，养成良好的操作习惯。</w:t>
            </w:r>
          </w:p>
          <w:p w14:paraId="23013E66">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4.规范性标准</w:t>
            </w:r>
          </w:p>
          <w:p w14:paraId="7ACD2EB3">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4.1、操作规范：严格按照仪器的操作规程和相关标准规范进行培训，确保学员的操作符合安全、准确、高效的要求。在培训中，明确仪器的开机、关机顺序，参数设置范围，样品处理方法等操作规范，并要求学员严格遵守。</w:t>
            </w:r>
          </w:p>
          <w:p w14:paraId="1E1566DB">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4.2、考核规范：建立科学合理的考核制度，对学员的培训效果进行全面、客观的评价。考核内容包括理论知识、操作技能、安全意识等方面，通过考试、实际操作考核、实验报告撰写等多种形式进行综合评估。</w:t>
            </w:r>
          </w:p>
          <w:p w14:paraId="01DF3065">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5.安全性标准</w:t>
            </w:r>
          </w:p>
          <w:p w14:paraId="6310774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5.1、安全意识培养：将安全知识和安全操作规范贯穿于整个培训过程，培养学员的安全意识。培训中详细介绍仪器可能存在的安全隐患，如电气安全、化学试剂安全、辐射安全等，并讲解相应的防护措施和应急处理方法。</w:t>
            </w:r>
          </w:p>
          <w:p w14:paraId="17D96043">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auto"/>
                <w:szCs w:val="21"/>
                <w:highlight w:val="none"/>
              </w:rPr>
            </w:pPr>
            <w:r>
              <w:rPr>
                <w:rFonts w:hint="eastAsia" w:ascii="宋体" w:hAnsi="宋体"/>
                <w:color w:val="auto"/>
                <w:szCs w:val="21"/>
                <w:highlight w:val="none"/>
                <w:lang w:val="en-US" w:eastAsia="zh-CN"/>
              </w:rPr>
              <w:t>5.2、安全操作演示：在实操培训中，培训师要以身作则，严格按照安全操作规程进行操作演示，并强调关键的安全注意事项。同时，对学员的操作进行严格监督，确保学员在安全的前提下进行仪器操作。</w:t>
            </w:r>
          </w:p>
        </w:tc>
      </w:tr>
      <w:tr w14:paraId="5D1AA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789" w:type="dxa"/>
            <w:tcBorders>
              <w:top w:val="single" w:color="auto" w:sz="4" w:space="0"/>
              <w:left w:val="single" w:color="auto" w:sz="4" w:space="0"/>
              <w:bottom w:val="single" w:color="auto" w:sz="4" w:space="0"/>
              <w:right w:val="single" w:color="auto" w:sz="4" w:space="0"/>
            </w:tcBorders>
            <w:noWrap w:val="0"/>
            <w:vAlign w:val="center"/>
          </w:tcPr>
          <w:p w14:paraId="14559EE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四</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46673EA7">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培训时间</w:t>
            </w:r>
          </w:p>
        </w:tc>
        <w:tc>
          <w:tcPr>
            <w:tcW w:w="78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2254B8">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Times New Roman"/>
                <w:kern w:val="2"/>
                <w:sz w:val="21"/>
                <w:szCs w:val="21"/>
                <w:lang w:val="en-US" w:eastAsia="zh-CN" w:bidi="ar-SA"/>
              </w:rPr>
            </w:pPr>
            <w:r>
              <w:rPr>
                <w:rFonts w:hint="eastAsia" w:ascii="宋体" w:hAnsi="宋体" w:eastAsia="宋体" w:cs="宋体"/>
                <w:sz w:val="24"/>
                <w:szCs w:val="24"/>
                <w:lang w:val="en-US" w:eastAsia="zh-CN"/>
              </w:rPr>
              <w:t>现场培训时间不限，直到招标人熟练掌握为止。</w:t>
            </w:r>
          </w:p>
        </w:tc>
      </w:tr>
      <w:tr w14:paraId="49C6D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789" w:type="dxa"/>
            <w:tcBorders>
              <w:top w:val="single" w:color="auto" w:sz="4" w:space="0"/>
              <w:left w:val="single" w:color="auto" w:sz="4" w:space="0"/>
              <w:bottom w:val="single" w:color="auto" w:sz="4" w:space="0"/>
              <w:right w:val="single" w:color="auto" w:sz="4" w:space="0"/>
            </w:tcBorders>
            <w:noWrap w:val="0"/>
            <w:vAlign w:val="center"/>
          </w:tcPr>
          <w:p w14:paraId="4EB96311">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五</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4ECAC57E">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培训人数</w:t>
            </w:r>
          </w:p>
        </w:tc>
        <w:tc>
          <w:tcPr>
            <w:tcW w:w="78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340328">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Times New Roman"/>
                <w:kern w:val="2"/>
                <w:sz w:val="21"/>
                <w:szCs w:val="21"/>
                <w:lang w:val="en-US" w:eastAsia="zh-CN" w:bidi="ar-SA"/>
              </w:rPr>
            </w:pPr>
            <w:r>
              <w:rPr>
                <w:rFonts w:hint="eastAsia" w:ascii="宋体" w:hAnsi="宋体" w:eastAsia="宋体" w:cs="宋体"/>
                <w:sz w:val="24"/>
                <w:szCs w:val="24"/>
                <w:lang w:eastAsia="zh-CN"/>
              </w:rPr>
              <w:t>现场培训人数不限。</w:t>
            </w:r>
          </w:p>
        </w:tc>
      </w:tr>
      <w:tr w14:paraId="648ED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789" w:type="dxa"/>
            <w:tcBorders>
              <w:top w:val="single" w:color="auto" w:sz="4" w:space="0"/>
              <w:left w:val="single" w:color="auto" w:sz="4" w:space="0"/>
              <w:bottom w:val="single" w:color="auto" w:sz="4" w:space="0"/>
              <w:right w:val="single" w:color="auto" w:sz="4" w:space="0"/>
            </w:tcBorders>
            <w:noWrap w:val="0"/>
            <w:vAlign w:val="center"/>
          </w:tcPr>
          <w:p w14:paraId="2687B3D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六</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11377F90">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培训费用</w:t>
            </w:r>
          </w:p>
        </w:tc>
        <w:tc>
          <w:tcPr>
            <w:tcW w:w="78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DF6F3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Times New Roman"/>
                <w:kern w:val="2"/>
                <w:sz w:val="21"/>
                <w:szCs w:val="21"/>
                <w:lang w:val="en-US" w:eastAsia="zh-CN" w:bidi="ar-SA"/>
              </w:rPr>
            </w:pPr>
            <w:r>
              <w:rPr>
                <w:rFonts w:hint="eastAsia" w:ascii="宋体" w:hAnsi="宋体" w:eastAsia="宋体" w:cs="宋体"/>
                <w:color w:val="auto"/>
                <w:szCs w:val="21"/>
                <w:highlight w:val="none"/>
                <w:lang w:val="en-US" w:eastAsia="zh-CN"/>
              </w:rPr>
              <w:t>合同价款已包含。</w:t>
            </w:r>
          </w:p>
        </w:tc>
      </w:tr>
      <w:tr w14:paraId="2ECAF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789" w:type="dxa"/>
            <w:tcBorders>
              <w:top w:val="single" w:color="auto" w:sz="4" w:space="0"/>
              <w:left w:val="single" w:color="auto" w:sz="4" w:space="0"/>
              <w:bottom w:val="single" w:color="auto" w:sz="4" w:space="0"/>
              <w:right w:val="single" w:color="auto" w:sz="4" w:space="0"/>
            </w:tcBorders>
            <w:noWrap w:val="0"/>
            <w:vAlign w:val="center"/>
          </w:tcPr>
          <w:p w14:paraId="14505127">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七</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5FEE7DF6">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培训地点</w:t>
            </w:r>
          </w:p>
        </w:tc>
        <w:tc>
          <w:tcPr>
            <w:tcW w:w="78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DA4CB9">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szCs w:val="21"/>
                <w:lang w:eastAsia="zh-CN"/>
              </w:rPr>
              <w:t>安装调试现场</w:t>
            </w:r>
          </w:p>
        </w:tc>
      </w:tr>
      <w:tr w14:paraId="49514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789" w:type="dxa"/>
            <w:tcBorders>
              <w:top w:val="single" w:color="auto" w:sz="4" w:space="0"/>
              <w:left w:val="single" w:color="auto" w:sz="4" w:space="0"/>
              <w:bottom w:val="single" w:color="auto" w:sz="4" w:space="0"/>
              <w:right w:val="single" w:color="auto" w:sz="4" w:space="0"/>
            </w:tcBorders>
            <w:noWrap w:val="0"/>
            <w:vAlign w:val="center"/>
          </w:tcPr>
          <w:p w14:paraId="171C3A7A">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八</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4ADB1DFA">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其他优惠政策</w:t>
            </w:r>
          </w:p>
        </w:tc>
        <w:tc>
          <w:tcPr>
            <w:tcW w:w="78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02476B">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szCs w:val="21"/>
                <w:lang w:eastAsia="zh-CN"/>
              </w:rPr>
              <w:t>无</w:t>
            </w:r>
          </w:p>
        </w:tc>
      </w:tr>
    </w:tbl>
    <w:p w14:paraId="6189D21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b/>
          <w:color w:val="auto"/>
          <w:szCs w:val="21"/>
          <w:highlight w:val="none"/>
        </w:rPr>
      </w:pPr>
      <w:r>
        <w:rPr>
          <w:rFonts w:hint="eastAsia" w:ascii="宋体" w:hAnsi="宋体"/>
          <w:b/>
          <w:color w:val="auto"/>
          <w:szCs w:val="21"/>
          <w:highlight w:val="none"/>
        </w:rPr>
        <w:t xml:space="preserve"> </w:t>
      </w:r>
    </w:p>
    <w:p w14:paraId="0B57B476">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Times New Roman"/>
          <w:b/>
          <w:sz w:val="24"/>
          <w:szCs w:val="24"/>
        </w:rPr>
      </w:pPr>
      <w:r>
        <w:rPr>
          <w:rFonts w:hint="eastAsia" w:ascii="宋体" w:hAnsi="宋体" w:eastAsia="宋体" w:cs="Times New Roman"/>
          <w:b/>
          <w:sz w:val="24"/>
          <w:szCs w:val="24"/>
        </w:rPr>
        <w:t xml:space="preserve">承诺公司签字（盖章）： </w:t>
      </w:r>
    </w:p>
    <w:p w14:paraId="72A3AE98">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Times New Roman"/>
          <w:b/>
          <w:szCs w:val="21"/>
          <w:lang w:eastAsia="zh-CN"/>
        </w:rPr>
      </w:pPr>
      <w:r>
        <w:rPr>
          <w:rFonts w:hint="eastAsia" w:ascii="宋体" w:hAnsi="宋体" w:eastAsia="宋体" w:cs="Times New Roman"/>
          <w:b/>
          <w:sz w:val="24"/>
          <w:szCs w:val="24"/>
        </w:rPr>
        <w:t>联系人：</w:t>
      </w:r>
      <w:r>
        <w:rPr>
          <w:rFonts w:hint="eastAsia" w:ascii="宋体" w:hAnsi="宋体" w:eastAsia="宋体" w:cs="Times New Roman"/>
          <w:b/>
          <w:szCs w:val="21"/>
        </w:rPr>
        <w:t xml:space="preserve"> </w:t>
      </w:r>
      <w:r>
        <w:rPr>
          <w:rFonts w:hint="eastAsia" w:ascii="宋体" w:hAnsi="宋体" w:eastAsia="宋体" w:cs="Times New Roman"/>
          <w:b/>
          <w:szCs w:val="21"/>
          <w:lang w:eastAsia="zh-CN"/>
        </w:rPr>
        <w:t>申晓冰</w:t>
      </w:r>
    </w:p>
    <w:p w14:paraId="08C48AB8">
      <w:pPr>
        <w:keepNext w:val="0"/>
        <w:keepLines w:val="0"/>
        <w:pageBreakBefore w:val="0"/>
        <w:widowControl w:val="0"/>
        <w:kinsoku/>
        <w:wordWrap/>
        <w:overflowPunct/>
        <w:topLinePunct w:val="0"/>
        <w:autoSpaceDE/>
        <w:autoSpaceDN/>
        <w:bidi w:val="0"/>
        <w:spacing w:line="360" w:lineRule="auto"/>
        <w:textAlignment w:val="auto"/>
        <w:rPr>
          <w:rFonts w:hint="default" w:ascii="宋体" w:hAnsi="宋体" w:eastAsia="宋体" w:cs="Times New Roman"/>
          <w:b/>
          <w:szCs w:val="21"/>
          <w:lang w:val="en-US" w:eastAsia="zh-CN"/>
        </w:rPr>
      </w:pPr>
      <w:r>
        <w:rPr>
          <w:rFonts w:hint="eastAsia" w:ascii="宋体" w:hAnsi="宋体" w:eastAsia="宋体" w:cs="Times New Roman"/>
          <w:b/>
          <w:sz w:val="24"/>
          <w:szCs w:val="24"/>
        </w:rPr>
        <w:t>联系电话：</w:t>
      </w:r>
      <w:r>
        <w:rPr>
          <w:rFonts w:hint="eastAsia" w:ascii="宋体" w:hAnsi="宋体" w:eastAsia="宋体" w:cs="Times New Roman"/>
          <w:b/>
          <w:sz w:val="24"/>
          <w:szCs w:val="24"/>
          <w:lang w:val="en-US" w:eastAsia="zh-CN"/>
        </w:rPr>
        <w:t>18100337157</w:t>
      </w:r>
    </w:p>
    <w:p w14:paraId="5A25736A">
      <w:pPr>
        <w:keepNext w:val="0"/>
        <w:keepLines w:val="0"/>
        <w:pageBreakBefore w:val="0"/>
        <w:widowControl w:val="0"/>
        <w:kinsoku/>
        <w:wordWrap/>
        <w:overflowPunct/>
        <w:topLinePunct w:val="0"/>
        <w:autoSpaceDE/>
        <w:autoSpaceDN/>
        <w:bidi w:val="0"/>
        <w:spacing w:line="360" w:lineRule="auto"/>
        <w:textAlignment w:val="auto"/>
        <w:rPr>
          <w:rFonts w:hint="default" w:ascii="宋体" w:hAnsi="宋体" w:eastAsia="宋体" w:cs="Times New Roman"/>
          <w:b/>
          <w:szCs w:val="21"/>
          <w:lang w:val="en-US" w:eastAsia="zh-CN"/>
        </w:rPr>
      </w:pPr>
      <w:r>
        <w:rPr>
          <w:rFonts w:hint="eastAsia" w:ascii="宋体" w:hAnsi="宋体" w:eastAsia="宋体" w:cs="Times New Roman"/>
          <w:b/>
          <w:sz w:val="24"/>
          <w:szCs w:val="24"/>
        </w:rPr>
        <w:t>维修服务热线：</w:t>
      </w:r>
      <w:r>
        <w:rPr>
          <w:rFonts w:hint="eastAsia" w:ascii="宋体" w:hAnsi="宋体" w:eastAsia="宋体" w:cs="Times New Roman"/>
          <w:b/>
          <w:sz w:val="24"/>
          <w:szCs w:val="24"/>
          <w:lang w:val="en-US" w:eastAsia="zh-CN"/>
        </w:rPr>
        <w:t>18100337157</w:t>
      </w:r>
    </w:p>
    <w:p w14:paraId="1CD06647">
      <w:pPr>
        <w:spacing w:line="360" w:lineRule="auto"/>
        <w:rPr>
          <w:rFonts w:hint="eastAsia" w:ascii="宋体" w:hAnsi="宋体"/>
          <w:b/>
          <w:color w:val="auto"/>
          <w:sz w:val="24"/>
          <w:szCs w:val="24"/>
          <w:highlight w:val="none"/>
        </w:rPr>
      </w:pPr>
    </w:p>
    <w:p w14:paraId="76D6D20B">
      <w:pPr>
        <w:spacing w:line="360" w:lineRule="auto"/>
        <w:rPr>
          <w:rFonts w:hint="eastAsia" w:ascii="宋体" w:hAnsi="宋体"/>
          <w:b/>
          <w:color w:val="auto"/>
          <w:sz w:val="24"/>
          <w:szCs w:val="24"/>
          <w:highlight w:val="none"/>
        </w:rPr>
      </w:pPr>
    </w:p>
    <w:p w14:paraId="21C5EF88">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br w:type="page"/>
      </w:r>
      <w:r>
        <w:rPr>
          <w:rFonts w:hint="eastAsia" w:ascii="宋体" w:hAnsi="宋体"/>
          <w:b/>
          <w:color w:val="auto"/>
          <w:sz w:val="24"/>
          <w:szCs w:val="24"/>
          <w:highlight w:val="none"/>
        </w:rPr>
        <w:t xml:space="preserve">附件7：  </w:t>
      </w:r>
      <w:r>
        <w:rPr>
          <w:rFonts w:hint="eastAsia" w:ascii="宋体" w:hAnsi="宋体"/>
          <w:b/>
          <w:color w:val="auto"/>
          <w:sz w:val="28"/>
          <w:szCs w:val="28"/>
          <w:highlight w:val="none"/>
        </w:rPr>
        <w:t xml:space="preserve">            制造商售后其它服务承诺</w:t>
      </w:r>
    </w:p>
    <w:p w14:paraId="2C020D6C">
      <w:pPr>
        <w:jc w:val="center"/>
        <w:rPr>
          <w:rFonts w:hint="eastAsia"/>
          <w:lang w:val="en-US" w:eastAsia="zh-CN"/>
        </w:rPr>
      </w:pPr>
      <w:r>
        <w:rPr>
          <w:rFonts w:hint="eastAsia" w:ascii="宋体" w:hAnsi="宋体"/>
          <w:b/>
          <w:color w:val="auto"/>
          <w:sz w:val="24"/>
          <w:szCs w:val="24"/>
          <w:highlight w:val="none"/>
        </w:rPr>
        <w:t xml:space="preserve"> </w:t>
      </w:r>
      <w:r>
        <w:rPr>
          <w:rFonts w:hint="eastAsia"/>
          <w:lang w:val="en-US" w:eastAsia="zh-CN"/>
        </w:rPr>
        <w:drawing>
          <wp:inline distT="0" distB="0" distL="114300" distR="114300">
            <wp:extent cx="5855335" cy="8279765"/>
            <wp:effectExtent l="0" t="0" r="12065" b="6985"/>
            <wp:docPr id="276" name="图片 276" descr="授权资料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276" descr="授权资料_32"/>
                    <pic:cNvPicPr>
                      <a:picLocks noChangeAspect="1"/>
                    </pic:cNvPicPr>
                  </pic:nvPicPr>
                  <pic:blipFill>
                    <a:blip r:embed="rId10"/>
                    <a:stretch>
                      <a:fillRect/>
                    </a:stretch>
                  </pic:blipFill>
                  <pic:spPr>
                    <a:xfrm>
                      <a:off x="0" y="0"/>
                      <a:ext cx="5855335" cy="8279765"/>
                    </a:xfrm>
                    <a:prstGeom prst="rect">
                      <a:avLst/>
                    </a:prstGeom>
                  </pic:spPr>
                </pic:pic>
              </a:graphicData>
            </a:graphic>
          </wp:inline>
        </w:drawing>
      </w:r>
    </w:p>
    <w:p w14:paraId="1EF0FC7A">
      <w:pPr>
        <w:jc w:val="center"/>
        <w:rPr>
          <w:rFonts w:hint="eastAsia"/>
          <w:lang w:val="en-US" w:eastAsia="zh-CN"/>
        </w:rPr>
        <w:sectPr>
          <w:pgSz w:w="11906" w:h="16838"/>
          <w:pgMar w:top="1440" w:right="1080" w:bottom="1440" w:left="1080" w:header="851" w:footer="992" w:gutter="0"/>
          <w:pgNumType w:fmt="decimal"/>
          <w:cols w:space="425" w:num="1"/>
          <w:docGrid w:type="lines" w:linePitch="312" w:charSpace="0"/>
        </w:sectPr>
      </w:pPr>
      <w:r>
        <w:rPr>
          <w:rFonts w:hint="eastAsia"/>
          <w:lang w:val="en-US" w:eastAsia="zh-CN"/>
        </w:rPr>
        <w:drawing>
          <wp:inline distT="0" distB="0" distL="114300" distR="114300">
            <wp:extent cx="6169660" cy="8724265"/>
            <wp:effectExtent l="0" t="0" r="2540" b="635"/>
            <wp:docPr id="275" name="图片 275" descr="授权资料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275" descr="授权资料_33"/>
                    <pic:cNvPicPr>
                      <a:picLocks noChangeAspect="1"/>
                    </pic:cNvPicPr>
                  </pic:nvPicPr>
                  <pic:blipFill>
                    <a:blip r:embed="rId11"/>
                    <a:stretch>
                      <a:fillRect/>
                    </a:stretch>
                  </pic:blipFill>
                  <pic:spPr>
                    <a:xfrm>
                      <a:off x="0" y="0"/>
                      <a:ext cx="6169660" cy="8724265"/>
                    </a:xfrm>
                    <a:prstGeom prst="rect">
                      <a:avLst/>
                    </a:prstGeom>
                  </pic:spPr>
                </pic:pic>
              </a:graphicData>
            </a:graphic>
          </wp:inline>
        </w:drawing>
      </w:r>
      <w:r>
        <w:rPr>
          <w:rFonts w:hint="eastAsia"/>
          <w:lang w:val="en-US" w:eastAsia="zh-CN"/>
        </w:rPr>
        <w:drawing>
          <wp:inline distT="0" distB="0" distL="114300" distR="114300">
            <wp:extent cx="6169660" cy="8724265"/>
            <wp:effectExtent l="0" t="0" r="2540" b="635"/>
            <wp:docPr id="274" name="图片 274" descr="授权资料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274" descr="授权资料_34"/>
                    <pic:cNvPicPr>
                      <a:picLocks noChangeAspect="1"/>
                    </pic:cNvPicPr>
                  </pic:nvPicPr>
                  <pic:blipFill>
                    <a:blip r:embed="rId12"/>
                    <a:stretch>
                      <a:fillRect/>
                    </a:stretch>
                  </pic:blipFill>
                  <pic:spPr>
                    <a:xfrm>
                      <a:off x="0" y="0"/>
                      <a:ext cx="6169660" cy="8724265"/>
                    </a:xfrm>
                    <a:prstGeom prst="rect">
                      <a:avLst/>
                    </a:prstGeom>
                  </pic:spPr>
                </pic:pic>
              </a:graphicData>
            </a:graphic>
          </wp:inline>
        </w:drawing>
      </w:r>
    </w:p>
    <w:p w14:paraId="1B35BBAD">
      <w:pPr>
        <w:jc w:val="center"/>
        <w:rPr>
          <w:rFonts w:hint="default" w:ascii="宋体" w:hAnsi="宋体" w:eastAsia="宋体" w:cs="宋体"/>
          <w:lang w:val="en-US" w:eastAsia="zh-CN"/>
        </w:rPr>
      </w:pPr>
      <w:r>
        <w:rPr>
          <w:rFonts w:hint="default" w:ascii="宋体" w:hAnsi="宋体" w:eastAsia="宋体" w:cs="宋体"/>
          <w:lang w:val="en-US" w:eastAsia="zh-CN"/>
        </w:rPr>
        <w:drawing>
          <wp:inline distT="0" distB="0" distL="114300" distR="114300">
            <wp:extent cx="6169660" cy="8724265"/>
            <wp:effectExtent l="0" t="0" r="2540" b="635"/>
            <wp:docPr id="249" name="图片 249" descr="售后服务网点及客户满意度第一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249" descr="售后服务网点及客户满意度第一_01"/>
                    <pic:cNvPicPr>
                      <a:picLocks noChangeAspect="1"/>
                    </pic:cNvPicPr>
                  </pic:nvPicPr>
                  <pic:blipFill>
                    <a:blip r:embed="rId13"/>
                    <a:stretch>
                      <a:fillRect/>
                    </a:stretch>
                  </pic:blipFill>
                  <pic:spPr>
                    <a:xfrm>
                      <a:off x="0" y="0"/>
                      <a:ext cx="6169660" cy="8724265"/>
                    </a:xfrm>
                    <a:prstGeom prst="rect">
                      <a:avLst/>
                    </a:prstGeom>
                  </pic:spPr>
                </pic:pic>
              </a:graphicData>
            </a:graphic>
          </wp:inline>
        </w:drawing>
      </w:r>
      <w:r>
        <w:rPr>
          <w:rFonts w:hint="default" w:ascii="宋体" w:hAnsi="宋体" w:eastAsia="宋体" w:cs="宋体"/>
          <w:lang w:val="en-US" w:eastAsia="zh-CN"/>
        </w:rPr>
        <w:drawing>
          <wp:inline distT="0" distB="0" distL="114300" distR="114300">
            <wp:extent cx="6169660" cy="8724265"/>
            <wp:effectExtent l="0" t="0" r="2540" b="635"/>
            <wp:docPr id="248" name="图片 248" descr="售后服务网点及客户满意度第一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248" descr="售后服务网点及客户满意度第一_02"/>
                    <pic:cNvPicPr>
                      <a:picLocks noChangeAspect="1"/>
                    </pic:cNvPicPr>
                  </pic:nvPicPr>
                  <pic:blipFill>
                    <a:blip r:embed="rId14"/>
                    <a:stretch>
                      <a:fillRect/>
                    </a:stretch>
                  </pic:blipFill>
                  <pic:spPr>
                    <a:xfrm>
                      <a:off x="0" y="0"/>
                      <a:ext cx="6169660" cy="8724265"/>
                    </a:xfrm>
                    <a:prstGeom prst="rect">
                      <a:avLst/>
                    </a:prstGeom>
                  </pic:spPr>
                </pic:pic>
              </a:graphicData>
            </a:graphic>
          </wp:inline>
        </w:drawing>
      </w:r>
    </w:p>
    <w:p w14:paraId="3DA4C4DF">
      <w:pPr>
        <w:jc w:val="center"/>
        <w:rPr>
          <w:rFonts w:hint="eastAsia"/>
          <w:lang w:val="en-US" w:eastAsia="zh-CN"/>
        </w:rPr>
        <w:sectPr>
          <w:pgSz w:w="11906" w:h="16838"/>
          <w:pgMar w:top="1440" w:right="1080" w:bottom="1440" w:left="1080" w:header="851" w:footer="992" w:gutter="0"/>
          <w:pgNumType w:fmt="decimal"/>
          <w:cols w:space="425" w:num="1"/>
          <w:docGrid w:type="lines" w:linePitch="312" w:charSpace="0"/>
        </w:sectPr>
      </w:pPr>
    </w:p>
    <w:p w14:paraId="4E4EEEB7">
      <w:pPr>
        <w:spacing w:line="360" w:lineRule="auto"/>
        <w:rPr>
          <w:rFonts w:hint="eastAsia" w:ascii="宋体" w:hAnsi="宋体"/>
          <w:b/>
          <w:color w:val="auto"/>
          <w:sz w:val="24"/>
          <w:szCs w:val="24"/>
          <w:highlight w:val="none"/>
        </w:rPr>
      </w:pPr>
      <w:r>
        <w:rPr>
          <w:rFonts w:hint="eastAsia"/>
          <w:lang w:val="en-US" w:eastAsia="zh-CN"/>
        </w:rPr>
        <w:drawing>
          <wp:anchor distT="0" distB="0" distL="114300" distR="114300" simplePos="0" relativeHeight="251661312" behindDoc="0" locked="0" layoutInCell="1" allowOverlap="1">
            <wp:simplePos x="0" y="0"/>
            <wp:positionH relativeFrom="column">
              <wp:posOffset>0</wp:posOffset>
            </wp:positionH>
            <wp:positionV relativeFrom="paragraph">
              <wp:posOffset>38100</wp:posOffset>
            </wp:positionV>
            <wp:extent cx="6181090" cy="8827770"/>
            <wp:effectExtent l="0" t="0" r="10160" b="11430"/>
            <wp:wrapNone/>
            <wp:docPr id="7" name="图片 7" descr="e0e93d3951ec3f7ee717635f0c05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e0e93d3951ec3f7ee717635f0c053983"/>
                    <pic:cNvPicPr>
                      <a:picLocks noChangeAspect="1"/>
                    </pic:cNvPicPr>
                  </pic:nvPicPr>
                  <pic:blipFill>
                    <a:blip r:embed="rId15"/>
                    <a:stretch>
                      <a:fillRect/>
                    </a:stretch>
                  </pic:blipFill>
                  <pic:spPr>
                    <a:xfrm>
                      <a:off x="0" y="0"/>
                      <a:ext cx="6181090" cy="8827770"/>
                    </a:xfrm>
                    <a:prstGeom prst="rect">
                      <a:avLst/>
                    </a:prstGeom>
                  </pic:spPr>
                </pic:pic>
              </a:graphicData>
            </a:graphic>
          </wp:anchor>
        </w:drawing>
      </w:r>
      <w:r>
        <w:rPr>
          <w:rFonts w:hint="eastAsia"/>
          <w:lang w:val="en-US" w:eastAsia="zh-CN"/>
        </w:rPr>
        <w:drawing>
          <wp:inline distT="0" distB="0" distL="114300" distR="114300">
            <wp:extent cx="5600065" cy="7919720"/>
            <wp:effectExtent l="0" t="0" r="635" b="5080"/>
            <wp:docPr id="358" name="图片 358" descr="3-售后服务方案-芬兰SPECIM(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358" descr="3-售后服务方案-芬兰SPECIM(1)_01"/>
                    <pic:cNvPicPr>
                      <a:picLocks noChangeAspect="1"/>
                    </pic:cNvPicPr>
                  </pic:nvPicPr>
                  <pic:blipFill>
                    <a:blip r:embed="rId16"/>
                    <a:stretch>
                      <a:fillRect/>
                    </a:stretch>
                  </pic:blipFill>
                  <pic:spPr>
                    <a:xfrm>
                      <a:off x="0" y="0"/>
                      <a:ext cx="5600065" cy="7919720"/>
                    </a:xfrm>
                    <a:prstGeom prst="rect">
                      <a:avLst/>
                    </a:prstGeom>
                  </pic:spPr>
                </pic:pic>
              </a:graphicData>
            </a:graphic>
          </wp:inline>
        </w:drawing>
      </w:r>
    </w:p>
    <w:p w14:paraId="6EF893AC">
      <w:pPr>
        <w:keepNext w:val="0"/>
        <w:keepLines w:val="0"/>
        <w:pageBreakBefore w:val="0"/>
        <w:widowControl w:val="0"/>
        <w:kinsoku/>
        <w:wordWrap w:val="0"/>
        <w:overflowPunct/>
        <w:topLinePunct w:val="0"/>
        <w:autoSpaceDE/>
        <w:autoSpaceDN/>
        <w:bidi w:val="0"/>
        <w:adjustRightInd/>
        <w:snapToGrid/>
        <w:textAlignment w:val="baseline"/>
        <w:rPr>
          <w:rFonts w:hint="eastAsia"/>
          <w:lang w:val="en-US" w:eastAsia="zh-CN"/>
        </w:rPr>
      </w:pPr>
    </w:p>
    <w:p w14:paraId="27A9DFB3">
      <w:pPr>
        <w:keepNext w:val="0"/>
        <w:keepLines w:val="0"/>
        <w:pageBreakBefore w:val="0"/>
        <w:widowControl w:val="0"/>
        <w:kinsoku/>
        <w:wordWrap w:val="0"/>
        <w:overflowPunct/>
        <w:topLinePunct w:val="0"/>
        <w:autoSpaceDE/>
        <w:autoSpaceDN/>
        <w:bidi w:val="0"/>
        <w:adjustRightInd/>
        <w:snapToGrid/>
        <w:ind w:firstLine="562" w:firstLineChars="200"/>
        <w:textAlignment w:val="baseline"/>
        <w:rPr>
          <w:b/>
          <w:bCs/>
        </w:rPr>
      </w:pPr>
      <w:r>
        <w:rPr>
          <w:rFonts w:hint="eastAsia"/>
          <w:b/>
          <w:bCs/>
          <w:sz w:val="28"/>
          <w:szCs w:val="28"/>
          <w:u w:val="none"/>
        </w:rPr>
        <w:t>河南新时达科技有限公司</w:t>
      </w:r>
      <w:r>
        <w:rPr>
          <w:rFonts w:hint="eastAsia"/>
          <w:b/>
          <w:bCs/>
          <w:sz w:val="28"/>
          <w:szCs w:val="28"/>
          <w:u w:val="none"/>
          <w:lang w:val="en-US" w:eastAsia="zh-CN"/>
        </w:rPr>
        <w:t>（盖章）</w:t>
      </w: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03134">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B4231D">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AB4231D">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402F31"/>
    <w:rsid w:val="11BD6C89"/>
    <w:rsid w:val="13985C26"/>
    <w:rsid w:val="14FF54CE"/>
    <w:rsid w:val="16C55B66"/>
    <w:rsid w:val="1C5D3D03"/>
    <w:rsid w:val="1C7308C6"/>
    <w:rsid w:val="233C481F"/>
    <w:rsid w:val="26D2747D"/>
    <w:rsid w:val="2A8D5FDF"/>
    <w:rsid w:val="3C9C4497"/>
    <w:rsid w:val="474927B8"/>
    <w:rsid w:val="4E5B13E0"/>
    <w:rsid w:val="5196484B"/>
    <w:rsid w:val="56BA6DAF"/>
    <w:rsid w:val="58A46E38"/>
    <w:rsid w:val="5AB01E3B"/>
    <w:rsid w:val="5D867E6A"/>
    <w:rsid w:val="5DA85B91"/>
    <w:rsid w:val="5E380094"/>
    <w:rsid w:val="67033BA4"/>
    <w:rsid w:val="6B9D4CFC"/>
    <w:rsid w:val="6C7F56C5"/>
    <w:rsid w:val="6D0B1D99"/>
    <w:rsid w:val="7088676E"/>
    <w:rsid w:val="746D6A46"/>
    <w:rsid w:val="7EA679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Calibri" w:hAnsi="Calibri" w:eastAsia="仿宋"/>
      <w:b/>
      <w:kern w:val="44"/>
      <w:sz w:val="36"/>
      <w:szCs w:val="22"/>
    </w:rPr>
  </w:style>
  <w:style w:type="paragraph" w:styleId="3">
    <w:name w:val="heading 2"/>
    <w:basedOn w:val="1"/>
    <w:next w:val="1"/>
    <w:semiHidden/>
    <w:unhideWhenUsed/>
    <w:qFormat/>
    <w:uiPriority w:val="0"/>
    <w:pPr>
      <w:keepNext/>
      <w:keepLines/>
      <w:spacing w:beforeLines="0" w:beforeAutospacing="0" w:afterLines="0" w:afterAutospacing="0" w:line="360" w:lineRule="auto"/>
      <w:jc w:val="center"/>
      <w:outlineLvl w:val="1"/>
    </w:pPr>
    <w:rPr>
      <w:rFonts w:ascii="Arial" w:hAnsi="Arial" w:eastAsia="仿宋"/>
      <w:b/>
      <w:sz w:val="30"/>
      <w:szCs w:val="22"/>
    </w:rPr>
  </w:style>
  <w:style w:type="paragraph" w:styleId="4">
    <w:name w:val="heading 3"/>
    <w:basedOn w:val="1"/>
    <w:next w:val="1"/>
    <w:semiHidden/>
    <w:unhideWhenUsed/>
    <w:qFormat/>
    <w:uiPriority w:val="0"/>
    <w:pPr>
      <w:keepNext/>
      <w:keepLines/>
      <w:spacing w:beforeLines="0" w:beforeAutospacing="0" w:afterLines="0" w:afterAutospacing="0" w:line="360" w:lineRule="auto"/>
      <w:jc w:val="center"/>
      <w:outlineLvl w:val="2"/>
    </w:pPr>
    <w:rPr>
      <w:rFonts w:ascii="Calibri" w:hAnsi="Calibri" w:eastAsia="仿宋"/>
      <w:b/>
      <w:sz w:val="28"/>
      <w:szCs w:val="2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nt1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12.png"/><Relationship Id="rId15" Type="http://schemas.openxmlformats.org/officeDocument/2006/relationships/image" Target="media/image11.jpe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38</Pages>
  <Words>17562</Words>
  <Characters>19960</Characters>
  <Lines>0</Lines>
  <Paragraphs>0</Paragraphs>
  <TotalTime>5</TotalTime>
  <ScaleCrop>false</ScaleCrop>
  <LinksUpToDate>false</LinksUpToDate>
  <CharactersWithSpaces>21331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2026-04-15T00:51:00Z</dcterms:created>
  <dc:creator>hp</dc:creator>
  <cp:lastModifiedBy>难得用心</cp:lastModifiedBy>
  <cp:lastPrinted>2026-09-03T02:51:00Z</cp:lastPrinted>
  <dcterms:modified xsi:type="dcterms:W3CDTF">2026-09-23T01:59:25Z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E2F51A22E23D47A9BEC902AD557F0AE1_12</vt:lpwstr>
  </property>
  <property fmtid="{D5CDD505-2E9C-101B-9397-08002B2CF9AE}" pid="4" name="KSOTemplateDocerSaveRecord">
    <vt:lpwstr>eyJoZGlkIjoiZGNjZWZiNjg3OGZkZWU4YWQ0MjhlZTZmMjliZTUwZTEiLCJ1c2VySWQiOiIxNDcxNzY3ODcxIn0=</vt:lpwstr>
  </property>
</Properties>
</file>