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B4FD46A">
      <w:pPr>
        <w:rPr>
          <w:rFonts w:hint="eastAsia" w:ascii="宋体" w:hAnsi="宋体"/>
          <w:color w:val="auto"/>
          <w:highlight w:val="none"/>
        </w:rPr>
      </w:pPr>
      <w:bookmarkStart w:id="0" w:name="_Toc2324"/>
    </w:p>
    <w:p w14:paraId="0094C30D">
      <w:pPr>
        <w:pStyle w:val="2"/>
        <w:rPr>
          <w:rFonts w:hint="eastAsia" w:ascii="宋体" w:hAnsi="宋体" w:eastAsia="宋体" w:cs="宋体"/>
          <w:color w:val="auto"/>
          <w:highlight w:val="none"/>
        </w:rPr>
      </w:pPr>
    </w:p>
    <w:p w14:paraId="660B6ECF">
      <w:pPr>
        <w:pStyle w:val="2"/>
        <w:rPr>
          <w:rFonts w:hint="eastAsia" w:ascii="宋体" w:hAnsi="宋体" w:eastAsia="宋体" w:cs="宋体"/>
          <w:color w:val="auto"/>
          <w:highlight w:val="none"/>
        </w:rPr>
      </w:pPr>
      <w:r>
        <w:rPr>
          <w:rFonts w:hint="eastAsia" w:ascii="宋体" w:hAnsi="宋体" w:eastAsia="宋体" w:cs="宋体"/>
          <w:color w:val="auto"/>
          <w:highlight w:val="none"/>
        </w:rPr>
        <w:t xml:space="preserve">第五章 </w:t>
      </w:r>
      <w:bookmarkEnd w:id="0"/>
      <w:r>
        <w:rPr>
          <w:rFonts w:hint="eastAsia" w:ascii="宋体" w:hAnsi="宋体" w:eastAsia="宋体" w:cs="宋体"/>
          <w:color w:val="auto"/>
          <w:highlight w:val="none"/>
        </w:rPr>
        <w:t>采购需求</w:t>
      </w:r>
    </w:p>
    <w:p w14:paraId="5FA6F808">
      <w:pPr>
        <w:spacing w:line="360" w:lineRule="auto"/>
        <w:rPr>
          <w:rFonts w:hint="eastAsia" w:ascii="宋体" w:hAnsi="宋体"/>
          <w:b/>
          <w:bCs/>
          <w:color w:val="auto"/>
          <w:sz w:val="24"/>
          <w:highlight w:val="none"/>
        </w:rPr>
      </w:pPr>
      <w:r>
        <w:rPr>
          <w:rFonts w:hint="eastAsia" w:ascii="宋体" w:hAnsi="宋体"/>
          <w:b/>
          <w:bCs/>
          <w:color w:val="auto"/>
          <w:sz w:val="24"/>
          <w:highlight w:val="none"/>
        </w:rPr>
        <w:t>一、技术要求</w:t>
      </w:r>
    </w:p>
    <w:p w14:paraId="23862160">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1、项目实施要求</w:t>
      </w:r>
    </w:p>
    <w:p w14:paraId="6BBB2AE0">
      <w:pPr>
        <w:spacing w:line="360" w:lineRule="auto"/>
        <w:ind w:firstLine="420" w:firstLineChars="200"/>
        <w:rPr>
          <w:rFonts w:hint="eastAsia" w:ascii="宋体" w:hAnsi="宋体"/>
          <w:color w:val="auto"/>
          <w:szCs w:val="21"/>
          <w:highlight w:val="none"/>
        </w:rPr>
      </w:pPr>
      <w:r>
        <w:rPr>
          <w:rFonts w:ascii="宋体" w:hAnsi="宋体"/>
          <w:color w:val="auto"/>
          <w:szCs w:val="21"/>
          <w:highlight w:val="none"/>
        </w:rPr>
        <w:t>项目实施方案应贴合现场实际情况，统筹项目全流程工作安排，方案需包含但不限于</w:t>
      </w:r>
      <w:r>
        <w:rPr>
          <w:rFonts w:ascii="宋体" w:hAnsi="宋体"/>
          <w:color w:val="auto"/>
          <w:szCs w:val="21"/>
          <w:highlight w:val="none"/>
          <w:lang w:val="zh-CN"/>
        </w:rPr>
        <w:t>分阶段实施流程、全过程管控、风险预判处置、品质管理、资金保障、技术及工期保障</w:t>
      </w:r>
      <w:r>
        <w:rPr>
          <w:rFonts w:ascii="宋体" w:hAnsi="宋体"/>
          <w:color w:val="auto"/>
          <w:szCs w:val="21"/>
          <w:highlight w:val="none"/>
        </w:rPr>
        <w:t>等核心内容，整体规划具备可落地性，能够保障项目有序、按期、高质量完成。</w:t>
      </w:r>
    </w:p>
    <w:p w14:paraId="0668CCC3">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2、供货进度保障要求</w:t>
      </w:r>
    </w:p>
    <w:p w14:paraId="7D841234">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供货及进度保障方案应覆盖产品排产、包装防护、运输装卸、现场仓储、分批到货、工期节点管控、供货延误应急处置等全部相关内容。明确各批次供货时间、运输防护手段、到货验收衔接流程，针对供货延迟、货物磕碰损毁等突发情况制定切实可行的补救预案，确保所有货物按期完好送达指定地点，满足项目整体施工安装时序需求。</w:t>
      </w:r>
    </w:p>
    <w:p w14:paraId="4EBB4C07">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3、产品质量要求</w:t>
      </w:r>
    </w:p>
    <w:p w14:paraId="02607B31">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全链条产品质量保证措施应从原材料入库、生产过程管控、出厂检验、第三方检测、到货现场验收、不合格品处置、质保售后、产品溯源等各环节作出完整管控安排。明确质量检验标准、检测流程、缺陷产品退换整改机制，所有管控内容需匹配本项目采购技术参数与质量标准，质量管控体系完整闭环。</w:t>
      </w:r>
    </w:p>
    <w:p w14:paraId="4A62C7B0">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4、安装、调试要求</w:t>
      </w:r>
      <w:r>
        <w:rPr>
          <w:rFonts w:ascii="宋体" w:hAnsi="宋体"/>
          <w:color w:val="auto"/>
          <w:szCs w:val="21"/>
          <w:highlight w:val="none"/>
        </w:rPr>
        <w:t xml:space="preserve"> </w:t>
      </w:r>
    </w:p>
    <w:p w14:paraId="4A939051">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4.1安装调试专项方案应贴合本项目场地及设备实际，覆盖设备安装、系统联调、现场培训、完工自检全流程内容。方案需细化人员配置、时序安排、成品保护、安全管控、系统调试标准、故障整改措施等关键内容，结合各类设备参数与现场环境制定标准化作业流程，所有安装、调试环节内容详实具备落地性，确保所有设备、整套系统安装到位、各项功能指标均达到采购技术要求。</w:t>
      </w:r>
    </w:p>
    <w:p w14:paraId="1A145B0E">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4.2</w:t>
      </w:r>
      <w:r>
        <w:rPr>
          <w:rFonts w:ascii="宋体" w:hAnsi="宋体"/>
          <w:color w:val="auto"/>
          <w:szCs w:val="21"/>
          <w:highlight w:val="none"/>
        </w:rPr>
        <w:t>中标人应及时向采购人提供设备及服务，并承诺与采购人进行积极主动的合作，中标人必须服从采购人的统一协调，在设备供货、技术支持、运行维护等方面相互配合；</w:t>
      </w:r>
    </w:p>
    <w:p w14:paraId="19F5E395">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4.3</w:t>
      </w:r>
      <w:r>
        <w:rPr>
          <w:rFonts w:ascii="宋体" w:hAnsi="宋体"/>
          <w:color w:val="auto"/>
          <w:szCs w:val="21"/>
          <w:highlight w:val="none"/>
        </w:rPr>
        <w:t>中标人负责本次招标内容的安装、调试</w:t>
      </w:r>
      <w:r>
        <w:rPr>
          <w:rFonts w:hint="eastAsia" w:ascii="宋体" w:hAnsi="宋体"/>
          <w:color w:val="auto"/>
          <w:szCs w:val="21"/>
          <w:highlight w:val="none"/>
        </w:rPr>
        <w:t>（餐厅设备中标人负责餐厅内水、电、燃气的安装到位），</w:t>
      </w:r>
      <w:r>
        <w:rPr>
          <w:rFonts w:ascii="宋体" w:hAnsi="宋体"/>
          <w:color w:val="auto"/>
          <w:szCs w:val="21"/>
          <w:highlight w:val="none"/>
        </w:rPr>
        <w:t>以达到系统应具有的功能和技术指标，并负责相关技术支持和维护。同时中标人必须提供设备制造厂商承诺的全部售后服务条款(如质保期、现场维修等)，不得擅自缩小售后服务范围；</w:t>
      </w:r>
    </w:p>
    <w:p w14:paraId="09288726">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4.4</w:t>
      </w:r>
      <w:r>
        <w:rPr>
          <w:rFonts w:ascii="宋体" w:hAnsi="宋体"/>
          <w:color w:val="auto"/>
          <w:szCs w:val="21"/>
          <w:highlight w:val="none"/>
        </w:rPr>
        <w:t xml:space="preserve">产品未经验收时，由中标人负责保管至采购项目交货结束，其间发生的损坏、遗失由中标人负责； </w:t>
      </w:r>
    </w:p>
    <w:p w14:paraId="72D5833C">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4.5</w:t>
      </w:r>
      <w:r>
        <w:rPr>
          <w:rFonts w:ascii="宋体" w:hAnsi="宋体"/>
          <w:color w:val="auto"/>
          <w:szCs w:val="21"/>
          <w:highlight w:val="none"/>
        </w:rPr>
        <w:t xml:space="preserve">设备到货后中标人应免费派技术人员在现场安装、调试； </w:t>
      </w:r>
    </w:p>
    <w:p w14:paraId="04188B1D">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4.6</w:t>
      </w:r>
      <w:r>
        <w:rPr>
          <w:rFonts w:ascii="宋体" w:hAnsi="宋体"/>
          <w:color w:val="auto"/>
          <w:szCs w:val="21"/>
          <w:highlight w:val="none"/>
        </w:rPr>
        <w:t xml:space="preserve">中标人应遵守采购单位安装现场的一切规章制度； </w:t>
      </w:r>
    </w:p>
    <w:p w14:paraId="3C9D83D1">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4.7</w:t>
      </w:r>
      <w:r>
        <w:rPr>
          <w:rFonts w:ascii="宋体" w:hAnsi="宋体"/>
          <w:color w:val="auto"/>
          <w:szCs w:val="21"/>
          <w:highlight w:val="none"/>
        </w:rPr>
        <w:t xml:space="preserve">中标人在设备全部安装完工并通过采购方的验收之前应对安装好的设备及设备的安装工具等提供适当的保护、包装或覆盖等处理，直至验收合格，以免设备受损； </w:t>
      </w:r>
    </w:p>
    <w:p w14:paraId="01D6D02E">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4.8</w:t>
      </w:r>
      <w:r>
        <w:rPr>
          <w:rFonts w:ascii="宋体" w:hAnsi="宋体"/>
          <w:color w:val="auto"/>
          <w:szCs w:val="21"/>
          <w:highlight w:val="none"/>
        </w:rPr>
        <w:t>安装调试人员在安装中对其他邻近设备、管线等造成损坏，应负责修复及承担一切费用；</w:t>
      </w:r>
    </w:p>
    <w:p w14:paraId="28FD33BA">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4.9</w:t>
      </w:r>
      <w:r>
        <w:rPr>
          <w:rFonts w:ascii="宋体" w:hAnsi="宋体"/>
          <w:color w:val="auto"/>
          <w:szCs w:val="21"/>
          <w:highlight w:val="none"/>
        </w:rPr>
        <w:t>调试期间或保修过程中，中标人负责及时清理垃圾，并将包装物及垃圾堆放至采购人指</w:t>
      </w:r>
      <w:r>
        <w:rPr>
          <w:rFonts w:hint="eastAsia" w:ascii="宋体" w:hAnsi="宋体"/>
          <w:color w:val="auto"/>
          <w:szCs w:val="21"/>
          <w:highlight w:val="none"/>
        </w:rPr>
        <w:t xml:space="preserve">定地点。 </w:t>
      </w:r>
    </w:p>
    <w:p w14:paraId="14B63733">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5、履约验收</w:t>
      </w:r>
    </w:p>
    <w:p w14:paraId="2D7054BA">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采购人根据国家有关规定、招标文件、中标人的投标文件以及合同约定的内容和验收标准进行验收。中标人所供货物必须经具有法定资质的第三方质量监督检验机构到交货地点进行抽检（费用由中标人承担），并提供检验报告。</w:t>
      </w:r>
    </w:p>
    <w:p w14:paraId="496F3C0F">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如检测不合格，则采购人有权拒绝收货及支付货款，直至中标人提供完全符合采购要求的货物为止</w:t>
      </w:r>
      <w:r>
        <w:rPr>
          <w:rFonts w:ascii="宋体" w:hAnsi="宋体"/>
          <w:color w:val="auto"/>
          <w:szCs w:val="21"/>
          <w:highlight w:val="none"/>
        </w:rPr>
        <w:t>。</w:t>
      </w:r>
    </w:p>
    <w:p w14:paraId="4B5FF925">
      <w:pPr>
        <w:numPr>
          <w:ilvl w:val="255"/>
          <w:numId w:val="0"/>
        </w:num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6、货物技术规格需求</w:t>
      </w:r>
    </w:p>
    <w:p w14:paraId="3BE5D749">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6.1</w:t>
      </w:r>
      <w:r>
        <w:rPr>
          <w:rFonts w:ascii="宋体" w:hAnsi="宋体"/>
          <w:color w:val="auto"/>
          <w:szCs w:val="21"/>
          <w:highlight w:val="none"/>
        </w:rPr>
        <w:t xml:space="preserve">如果投标人在中标并签署合同后，在供货时出现软、硬件的任何遗漏，均由中标人免费提供，采购人将不再支付任何费用。 </w:t>
      </w:r>
    </w:p>
    <w:p w14:paraId="7B80D2FF">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6.2</w:t>
      </w:r>
      <w:r>
        <w:rPr>
          <w:rFonts w:ascii="宋体" w:hAnsi="宋体"/>
          <w:color w:val="auto"/>
          <w:szCs w:val="21"/>
          <w:highlight w:val="none"/>
        </w:rPr>
        <w:t xml:space="preserve">运行要求：产品安装后能够接通并正常运转、如涉及到软件产品的须能够在采购人相应平台上正常运行，并达到招标文件要求的性能和产品技术规格中的性能。 </w:t>
      </w:r>
    </w:p>
    <w:p w14:paraId="182B8BC8">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6.3</w:t>
      </w:r>
      <w:r>
        <w:rPr>
          <w:rFonts w:ascii="宋体" w:hAnsi="宋体"/>
          <w:color w:val="auto"/>
          <w:szCs w:val="21"/>
          <w:highlight w:val="none"/>
        </w:rPr>
        <w:t>投标人必须按照招标文件格式提供投标产品的分项报价及详细的配置清单。</w:t>
      </w:r>
    </w:p>
    <w:p w14:paraId="599E36F8">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6.4</w:t>
      </w:r>
      <w:r>
        <w:rPr>
          <w:rFonts w:ascii="宋体" w:hAnsi="宋体"/>
          <w:color w:val="auto"/>
          <w:szCs w:val="21"/>
          <w:highlight w:val="none"/>
        </w:rPr>
        <w:t>对项目中涉及软件产品的基本要求</w:t>
      </w:r>
      <w:r>
        <w:rPr>
          <w:rFonts w:hint="eastAsia" w:ascii="宋体" w:hAnsi="宋体"/>
          <w:color w:val="auto"/>
          <w:szCs w:val="21"/>
          <w:highlight w:val="none"/>
        </w:rPr>
        <w:t>：</w:t>
      </w:r>
      <w:r>
        <w:rPr>
          <w:rFonts w:ascii="宋体" w:hAnsi="宋体"/>
          <w:color w:val="auto"/>
          <w:szCs w:val="21"/>
          <w:highlight w:val="none"/>
        </w:rPr>
        <w:t>投标人必须保证提供的软件产品为正版软件</w:t>
      </w:r>
      <w:r>
        <w:rPr>
          <w:rFonts w:hint="eastAsia" w:ascii="宋体" w:hAnsi="宋体"/>
          <w:color w:val="auto"/>
          <w:szCs w:val="21"/>
          <w:highlight w:val="none"/>
        </w:rPr>
        <w:t>，且</w:t>
      </w:r>
      <w:r>
        <w:rPr>
          <w:rFonts w:ascii="宋体" w:hAnsi="宋体"/>
          <w:color w:val="auto"/>
          <w:szCs w:val="21"/>
          <w:highlight w:val="none"/>
        </w:rPr>
        <w:t>具有在中国境内的合法使用权。</w:t>
      </w:r>
    </w:p>
    <w:p w14:paraId="25AFB498">
      <w:pPr>
        <w:spacing w:line="360" w:lineRule="auto"/>
        <w:rPr>
          <w:rFonts w:hint="eastAsia" w:ascii="宋体" w:hAnsi="宋体"/>
          <w:b/>
          <w:bCs/>
          <w:color w:val="auto"/>
          <w:sz w:val="24"/>
          <w:highlight w:val="none"/>
        </w:rPr>
      </w:pPr>
      <w:r>
        <w:rPr>
          <w:rFonts w:hint="eastAsia" w:ascii="宋体" w:hAnsi="宋体"/>
          <w:b/>
          <w:bCs/>
          <w:color w:val="auto"/>
          <w:sz w:val="24"/>
          <w:highlight w:val="none"/>
        </w:rPr>
        <w:t>二、商务要求</w:t>
      </w:r>
    </w:p>
    <w:p w14:paraId="60AFDF4B">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1、采购内容：一标段：郑州航空港经济综合实验区教育卫生体育局润泽学校教学办公设备购置（采购标的的名称、数量、简要技术需求详见招标文件“第五章 采购需求”），包含设备的采购、安装、调试、验收、培训、运行维护、质保期服务、与货物有关的运输和保险及其他伴随服务；</w:t>
      </w:r>
    </w:p>
    <w:p w14:paraId="5616234D">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二标段：郑州航空港经济综合实验区教育卫生体育局润泽学校教学办公设备购置（采购标的的名称、数量、简要技术需求详见招标文件“第五章 采购需求”），包含设备的采购、安装、调试、验收、培训、运行维护、质保期服务、与货物有关的运输和保险及其他伴随服务。</w:t>
      </w:r>
    </w:p>
    <w:p w14:paraId="2A551FC2">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三标段：郑州航空港经济综合实验区教育卫生体育局润泽学校教学办公设备购置（采购标的的名称、数量、简要技术需求详见招标文件“第五章 采购需求”），包含设备的采购、安装、调试、验收、培训、运行维护、质保期服务、与货物有关的运输和保险及其他伴随服务。</w:t>
      </w:r>
    </w:p>
    <w:p w14:paraId="1EB026B4">
      <w:pPr>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 xml:space="preserve">2、资金来源：财政资金； </w:t>
      </w:r>
    </w:p>
    <w:p w14:paraId="66C976F8">
      <w:pPr>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3、质量要求：合格，满足采购人要求；</w:t>
      </w:r>
    </w:p>
    <w:p w14:paraId="59E5EF0B">
      <w:pPr>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 xml:space="preserve">4、供货及安装期：合同签订之日起20日历天； </w:t>
      </w:r>
    </w:p>
    <w:p w14:paraId="651068DD">
      <w:pPr>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5、交货地点：采购人指定地点；</w:t>
      </w:r>
    </w:p>
    <w:p w14:paraId="4193C764">
      <w:pPr>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6、质保期：3年；</w:t>
      </w:r>
    </w:p>
    <w:p w14:paraId="5D5530C0">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7、付款方式：详见合同。</w:t>
      </w:r>
    </w:p>
    <w:p w14:paraId="283C2565">
      <w:pPr>
        <w:spacing w:line="360" w:lineRule="auto"/>
        <w:rPr>
          <w:rFonts w:hint="eastAsia" w:ascii="宋体" w:hAnsi="宋体"/>
          <w:b/>
          <w:bCs/>
          <w:color w:val="auto"/>
          <w:sz w:val="24"/>
          <w:highlight w:val="none"/>
        </w:rPr>
      </w:pPr>
      <w:r>
        <w:rPr>
          <w:rFonts w:hint="eastAsia" w:ascii="宋体" w:hAnsi="宋体"/>
          <w:b/>
          <w:bCs/>
          <w:color w:val="auto"/>
          <w:sz w:val="24"/>
          <w:highlight w:val="none"/>
          <w:lang w:val="en-US" w:eastAsia="zh-CN"/>
        </w:rPr>
        <w:t>三</w:t>
      </w:r>
      <w:r>
        <w:rPr>
          <w:rFonts w:hint="eastAsia" w:ascii="宋体" w:hAnsi="宋体"/>
          <w:b/>
          <w:bCs/>
          <w:color w:val="auto"/>
          <w:sz w:val="24"/>
          <w:highlight w:val="none"/>
        </w:rPr>
        <w:t>、技术参数</w:t>
      </w:r>
    </w:p>
    <w:p w14:paraId="26735FE5">
      <w:pPr>
        <w:spacing w:line="360" w:lineRule="auto"/>
        <w:rPr>
          <w:rFonts w:hint="eastAsia" w:ascii="宋体" w:hAnsi="宋体"/>
          <w:b/>
          <w:bCs/>
          <w:color w:val="auto"/>
          <w:szCs w:val="21"/>
          <w:highlight w:val="none"/>
        </w:rPr>
      </w:pPr>
      <w:r>
        <w:rPr>
          <w:rFonts w:hint="eastAsia" w:ascii="宋体" w:hAnsi="宋体"/>
          <w:b/>
          <w:bCs/>
          <w:color w:val="auto"/>
          <w:szCs w:val="21"/>
          <w:highlight w:val="none"/>
        </w:rPr>
        <w:t xml:space="preserve">1.一标段          </w:t>
      </w:r>
    </w:p>
    <w:p w14:paraId="3332A39E">
      <w:pPr>
        <w:spacing w:line="360" w:lineRule="auto"/>
        <w:rPr>
          <w:rFonts w:hint="eastAsia" w:ascii="宋体" w:hAnsi="宋体"/>
          <w:b/>
          <w:bCs/>
          <w:color w:val="auto"/>
          <w:szCs w:val="21"/>
          <w:highlight w:val="none"/>
        </w:rPr>
      </w:pPr>
      <w:r>
        <w:rPr>
          <w:rFonts w:hint="eastAsia" w:ascii="宋体" w:hAnsi="宋体"/>
          <w:b/>
          <w:bCs/>
          <w:color w:val="auto"/>
          <w:szCs w:val="21"/>
          <w:highlight w:val="none"/>
        </w:rPr>
        <w:t xml:space="preserve"> </w:t>
      </w:r>
    </w:p>
    <w:tbl>
      <w:tblPr>
        <w:tblStyle w:val="24"/>
        <w:tblW w:w="931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44"/>
        <w:gridCol w:w="851"/>
        <w:gridCol w:w="6378"/>
        <w:gridCol w:w="567"/>
        <w:gridCol w:w="870"/>
      </w:tblGrid>
      <w:tr w14:paraId="4F1031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0" w:hRule="atLeast"/>
          <w:jc w:val="center"/>
        </w:trPr>
        <w:tc>
          <w:tcPr>
            <w:tcW w:w="644" w:type="dxa"/>
            <w:noWrap/>
            <w:vAlign w:val="center"/>
          </w:tcPr>
          <w:p w14:paraId="38BBAC8E">
            <w:pPr>
              <w:widowControl/>
              <w:jc w:val="center"/>
              <w:textAlignment w:val="center"/>
              <w:rPr>
                <w:rFonts w:hint="eastAsia" w:ascii="宋体" w:hAnsi="宋体"/>
                <w:b/>
                <w:bCs/>
                <w:color w:val="auto"/>
                <w:szCs w:val="21"/>
                <w:highlight w:val="none"/>
              </w:rPr>
            </w:pPr>
            <w:bookmarkStart w:id="1" w:name="_Hlk232070706"/>
            <w:r>
              <w:rPr>
                <w:rFonts w:hint="eastAsia" w:ascii="宋体" w:hAnsi="宋体"/>
                <w:b/>
                <w:bCs/>
                <w:color w:val="auto"/>
                <w:kern w:val="0"/>
                <w:szCs w:val="21"/>
                <w:highlight w:val="none"/>
                <w:lang w:bidi="ar"/>
              </w:rPr>
              <w:t>序号</w:t>
            </w:r>
          </w:p>
        </w:tc>
        <w:tc>
          <w:tcPr>
            <w:tcW w:w="851" w:type="dxa"/>
            <w:noWrap/>
            <w:vAlign w:val="center"/>
          </w:tcPr>
          <w:p w14:paraId="12D79A5B">
            <w:pPr>
              <w:widowControl/>
              <w:jc w:val="center"/>
              <w:textAlignment w:val="center"/>
              <w:rPr>
                <w:rFonts w:hint="eastAsia" w:ascii="宋体" w:hAnsi="宋体"/>
                <w:b/>
                <w:bCs/>
                <w:color w:val="auto"/>
                <w:szCs w:val="21"/>
                <w:highlight w:val="none"/>
              </w:rPr>
            </w:pPr>
            <w:r>
              <w:rPr>
                <w:rFonts w:hint="eastAsia" w:ascii="宋体" w:hAnsi="宋体"/>
                <w:b/>
                <w:bCs/>
                <w:color w:val="auto"/>
                <w:kern w:val="0"/>
                <w:szCs w:val="21"/>
                <w:highlight w:val="none"/>
                <w:lang w:bidi="ar"/>
              </w:rPr>
              <w:t>名称</w:t>
            </w:r>
          </w:p>
        </w:tc>
        <w:tc>
          <w:tcPr>
            <w:tcW w:w="6378" w:type="dxa"/>
            <w:noWrap/>
            <w:vAlign w:val="center"/>
          </w:tcPr>
          <w:p w14:paraId="74495592">
            <w:pPr>
              <w:widowControl/>
              <w:jc w:val="center"/>
              <w:textAlignment w:val="center"/>
              <w:rPr>
                <w:rFonts w:hint="eastAsia" w:ascii="宋体" w:hAnsi="宋体"/>
                <w:b/>
                <w:bCs/>
                <w:color w:val="auto"/>
                <w:szCs w:val="21"/>
                <w:highlight w:val="none"/>
              </w:rPr>
            </w:pPr>
            <w:r>
              <w:rPr>
                <w:rFonts w:hint="eastAsia" w:ascii="宋体" w:hAnsi="宋体"/>
                <w:b/>
                <w:bCs/>
                <w:color w:val="auto"/>
                <w:kern w:val="0"/>
                <w:szCs w:val="21"/>
                <w:highlight w:val="none"/>
                <w:lang w:bidi="ar"/>
              </w:rPr>
              <w:t>规格要求</w:t>
            </w:r>
          </w:p>
        </w:tc>
        <w:tc>
          <w:tcPr>
            <w:tcW w:w="567" w:type="dxa"/>
            <w:vAlign w:val="center"/>
          </w:tcPr>
          <w:p w14:paraId="3C64AAF0">
            <w:pPr>
              <w:widowControl/>
              <w:jc w:val="center"/>
              <w:textAlignment w:val="center"/>
              <w:rPr>
                <w:rFonts w:hint="eastAsia" w:ascii="宋体" w:hAnsi="宋体"/>
                <w:b/>
                <w:bCs/>
                <w:color w:val="auto"/>
                <w:szCs w:val="21"/>
                <w:highlight w:val="none"/>
              </w:rPr>
            </w:pPr>
            <w:r>
              <w:rPr>
                <w:rFonts w:hint="eastAsia" w:ascii="宋体" w:hAnsi="宋体"/>
                <w:b/>
                <w:bCs/>
                <w:color w:val="auto"/>
                <w:kern w:val="0"/>
                <w:szCs w:val="21"/>
                <w:highlight w:val="none"/>
                <w:lang w:bidi="ar"/>
              </w:rPr>
              <w:t>单位</w:t>
            </w:r>
          </w:p>
        </w:tc>
        <w:tc>
          <w:tcPr>
            <w:tcW w:w="870" w:type="dxa"/>
            <w:vAlign w:val="center"/>
          </w:tcPr>
          <w:p w14:paraId="7CFE9E6A">
            <w:pPr>
              <w:widowControl/>
              <w:jc w:val="center"/>
              <w:textAlignment w:val="center"/>
              <w:rPr>
                <w:rFonts w:hint="eastAsia" w:ascii="宋体" w:hAnsi="宋体"/>
                <w:b/>
                <w:bCs/>
                <w:color w:val="auto"/>
                <w:szCs w:val="21"/>
                <w:highlight w:val="none"/>
              </w:rPr>
            </w:pPr>
            <w:r>
              <w:rPr>
                <w:rFonts w:hint="eastAsia" w:ascii="宋体" w:hAnsi="宋体"/>
                <w:b/>
                <w:bCs/>
                <w:color w:val="auto"/>
                <w:kern w:val="0"/>
                <w:szCs w:val="21"/>
                <w:highlight w:val="none"/>
                <w:lang w:bidi="ar"/>
              </w:rPr>
              <w:t>数量</w:t>
            </w:r>
          </w:p>
        </w:tc>
      </w:tr>
      <w:tr w14:paraId="221DF1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0" w:hRule="atLeast"/>
          <w:jc w:val="center"/>
        </w:trPr>
        <w:tc>
          <w:tcPr>
            <w:tcW w:w="9310" w:type="dxa"/>
            <w:gridSpan w:val="5"/>
            <w:noWrap/>
            <w:vAlign w:val="center"/>
          </w:tcPr>
          <w:p w14:paraId="3B4A07E7">
            <w:pPr>
              <w:widowControl/>
              <w:jc w:val="center"/>
              <w:textAlignment w:val="center"/>
              <w:rPr>
                <w:rFonts w:hint="eastAsia" w:ascii="宋体" w:hAnsi="宋体"/>
                <w:b/>
                <w:bCs/>
                <w:color w:val="auto"/>
                <w:kern w:val="0"/>
                <w:szCs w:val="21"/>
                <w:highlight w:val="none"/>
                <w:lang w:bidi="ar"/>
              </w:rPr>
            </w:pPr>
            <w:r>
              <w:rPr>
                <w:rFonts w:hint="eastAsia" w:ascii="宋体" w:hAnsi="宋体"/>
                <w:b/>
                <w:bCs/>
                <w:color w:val="auto"/>
                <w:kern w:val="0"/>
                <w:szCs w:val="21"/>
                <w:highlight w:val="none"/>
                <w:lang w:bidi="ar"/>
              </w:rPr>
              <w:t>一、教室设备</w:t>
            </w:r>
          </w:p>
        </w:tc>
      </w:tr>
      <w:tr w14:paraId="5258DC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0" w:hRule="atLeast"/>
          <w:jc w:val="center"/>
        </w:trPr>
        <w:tc>
          <w:tcPr>
            <w:tcW w:w="644" w:type="dxa"/>
            <w:noWrap/>
            <w:vAlign w:val="center"/>
          </w:tcPr>
          <w:p w14:paraId="71BEDC47">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c>
          <w:tcPr>
            <w:tcW w:w="851" w:type="dxa"/>
            <w:vAlign w:val="center"/>
          </w:tcPr>
          <w:p w14:paraId="421590AB">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学生课桌</w:t>
            </w:r>
            <w:r>
              <w:rPr>
                <w:rFonts w:hint="eastAsia" w:ascii="宋体" w:hAnsi="宋体"/>
                <w:b/>
                <w:bCs/>
                <w:color w:val="auto"/>
                <w:kern w:val="0"/>
                <w:szCs w:val="21"/>
                <w:highlight w:val="none"/>
                <w:lang w:bidi="ar"/>
              </w:rPr>
              <w:t>（核心产品）</w:t>
            </w:r>
          </w:p>
        </w:tc>
        <w:tc>
          <w:tcPr>
            <w:tcW w:w="6378" w:type="dxa"/>
            <w:vAlign w:val="center"/>
          </w:tcPr>
          <w:p w14:paraId="505BDA25">
            <w:pPr>
              <w:widowControl/>
              <w:numPr>
                <w:ilvl w:val="0"/>
                <w:numId w:val="1"/>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 xml:space="preserve">课桌整体规格：≥645mm×435mm×690mm至750mm（长宽高） </w:t>
            </w:r>
          </w:p>
          <w:p w14:paraId="6ECC981A">
            <w:pPr>
              <w:widowControl/>
              <w:numPr>
                <w:ilvl w:val="0"/>
                <w:numId w:val="1"/>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 xml:space="preserve">桌面规格：≥645mm（长）×435mm（宽）×32mm（厚）壁厚≥ 5mm。采用模具成型环保材料全新 ABS 一次性注塑成型，具有高强度、抗氧化、抗酸碱腐蚀性结实耐用等优点。四周及底部完全无毛边，光滑安全，靠胸前处有一内弧造型设计。桌面内凹5mm±1mm设计，无藏污纳垢的凹槽及妨碍双手舒展的凸条，即可达到防止物品掉落的功能。面板底部镶入二根钢制U型槽，规格≥15mm*30mm，与面板底部平齐，增加承重力。 </w:t>
            </w:r>
          </w:p>
          <w:p w14:paraId="39F41568">
            <w:pPr>
              <w:widowControl/>
              <w:numPr>
                <w:ilvl w:val="0"/>
                <w:numId w:val="1"/>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桌斗：材质：采用PP耐冲击塑料一体注塑成型。尺寸：≥长475mm×宽335mm×高（前高≥130mm，后高≥160mm）。功能：大角度内倾式书箱，防止物品滑落，书箱内侧设有排水、通风透气孔，可保持书箱内部干爽清洁。</w:t>
            </w:r>
          </w:p>
          <w:p w14:paraId="63E60947">
            <w:pPr>
              <w:widowControl/>
              <w:numPr>
                <w:ilvl w:val="0"/>
                <w:numId w:val="1"/>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 xml:space="preserve">桌腿规格：桌子上升降管采用≥19mm×39mm×1.5mm 眼睛管。下升降管采用≥29mm×49mm×1.8mm 眼睛管经模具弯曲成型。拉筋管采用≥20mm×50mm×1.5mm 扁圆管。桌面托撑采用≥1.2mm厚的钢板冲制U型卡槽,焊接≥ø6mm 钢筋 U 型书包挂钩。 </w:t>
            </w:r>
          </w:p>
          <w:p w14:paraId="0AFEC21C">
            <w:pPr>
              <w:widowControl/>
              <w:numPr>
                <w:ilvl w:val="0"/>
                <w:numId w:val="1"/>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升降套：采用全新PP工程塑料注塑成型，使上下管之间连接紧密，美观大方。桌架连接采用≥8mm盘头螺栓，自生热熔拉伸攻丝螺母。</w:t>
            </w:r>
          </w:p>
          <w:p w14:paraId="6A69736D">
            <w:pPr>
              <w:widowControl/>
              <w:numPr>
                <w:ilvl w:val="0"/>
                <w:numId w:val="1"/>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脚套：材质采用全新PP工程塑料注塑成型。</w:t>
            </w:r>
          </w:p>
          <w:p w14:paraId="6A7E12D5">
            <w:pPr>
              <w:widowControl/>
              <w:numPr>
                <w:ilvl w:val="0"/>
                <w:numId w:val="1"/>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工艺：钢材焊接采用 CO2 保护焊方式，表面经喷砂抛丸去油除锈，静电 喷涂，附着力为国家一级，焊点光滑平整无虚焊现象，管材和冲压件无 裂缝，焊接无错位和结疤，无夹渣气孔，在接触人体和收藏物的部位光 滑平整、无刺、无刃口棱。</w:t>
            </w:r>
          </w:p>
          <w:p w14:paraId="01A56759">
            <w:pPr>
              <w:widowControl/>
              <w:numPr>
                <w:ilvl w:val="0"/>
                <w:numId w:val="1"/>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整体做工精细，美观、稳定、环保、耐用。符合国家规定的《学校课桌功能尺寸》（GB/T3976）、《课桌椅》（QB/T4701）标准。</w:t>
            </w:r>
          </w:p>
          <w:p w14:paraId="417A7F5F">
            <w:pPr>
              <w:widowControl/>
              <w:numPr>
                <w:ilvl w:val="0"/>
                <w:numId w:val="1"/>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学生课桌及学生课椅参考样式如下（仅供参考）：</w:t>
            </w:r>
          </w:p>
          <w:p w14:paraId="137548A4">
            <w:pPr>
              <w:widowControl/>
              <w:jc w:val="left"/>
              <w:textAlignment w:val="center"/>
              <w:rPr>
                <w:rFonts w:hint="eastAsia" w:ascii="宋体" w:hAnsi="宋体"/>
                <w:color w:val="auto"/>
                <w:szCs w:val="21"/>
                <w:highlight w:val="none"/>
              </w:rPr>
            </w:pPr>
            <w:r>
              <w:rPr>
                <w:rFonts w:ascii="Times New Roman" w:hAnsi="Times New Roman" w:cs="Times New Roman"/>
                <w:color w:val="auto"/>
                <w:highlight w:val="none"/>
              </w:rPr>
              <w:drawing>
                <wp:inline distT="0" distB="0" distL="114300" distR="114300">
                  <wp:extent cx="3933825" cy="3098165"/>
                  <wp:effectExtent l="0" t="0" r="13335" b="10795"/>
                  <wp:docPr id="102741693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416938" name="图片 7"/>
                          <pic:cNvPicPr>
                            <a:picLocks noChangeAspect="1"/>
                          </pic:cNvPicPr>
                        </pic:nvPicPr>
                        <pic:blipFill>
                          <a:blip r:embed="rId5"/>
                          <a:stretch>
                            <a:fillRect/>
                          </a:stretch>
                        </pic:blipFill>
                        <pic:spPr>
                          <a:xfrm>
                            <a:off x="0" y="0"/>
                            <a:ext cx="3975292" cy="3131112"/>
                          </a:xfrm>
                          <a:prstGeom prst="rect">
                            <a:avLst/>
                          </a:prstGeom>
                          <a:noFill/>
                          <a:ln>
                            <a:noFill/>
                          </a:ln>
                        </pic:spPr>
                      </pic:pic>
                    </a:graphicData>
                  </a:graphic>
                </wp:inline>
              </w:drawing>
            </w:r>
          </w:p>
        </w:tc>
        <w:tc>
          <w:tcPr>
            <w:tcW w:w="567" w:type="dxa"/>
            <w:vAlign w:val="center"/>
          </w:tcPr>
          <w:p w14:paraId="15707474">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张</w:t>
            </w:r>
          </w:p>
        </w:tc>
        <w:tc>
          <w:tcPr>
            <w:tcW w:w="870" w:type="dxa"/>
            <w:vAlign w:val="center"/>
          </w:tcPr>
          <w:p w14:paraId="16303473">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3000</w:t>
            </w:r>
          </w:p>
        </w:tc>
      </w:tr>
      <w:tr w14:paraId="78A043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0" w:hRule="atLeast"/>
          <w:jc w:val="center"/>
        </w:trPr>
        <w:tc>
          <w:tcPr>
            <w:tcW w:w="644" w:type="dxa"/>
            <w:noWrap/>
            <w:vAlign w:val="center"/>
          </w:tcPr>
          <w:p w14:paraId="3622E57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w:t>
            </w:r>
          </w:p>
        </w:tc>
        <w:tc>
          <w:tcPr>
            <w:tcW w:w="851" w:type="dxa"/>
            <w:vAlign w:val="center"/>
          </w:tcPr>
          <w:p w14:paraId="73CA2DB1">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学生课椅</w:t>
            </w:r>
            <w:r>
              <w:rPr>
                <w:rFonts w:hint="eastAsia" w:ascii="宋体" w:hAnsi="宋体"/>
                <w:b/>
                <w:bCs/>
                <w:color w:val="auto"/>
                <w:kern w:val="0"/>
                <w:szCs w:val="21"/>
                <w:highlight w:val="none"/>
                <w:lang w:bidi="ar"/>
              </w:rPr>
              <w:t>（核心产品）</w:t>
            </w:r>
          </w:p>
        </w:tc>
        <w:tc>
          <w:tcPr>
            <w:tcW w:w="6378" w:type="dxa"/>
            <w:vAlign w:val="center"/>
          </w:tcPr>
          <w:p w14:paraId="2E47DE3B">
            <w:pPr>
              <w:widowControl/>
              <w:numPr>
                <w:ilvl w:val="0"/>
                <w:numId w:val="2"/>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 xml:space="preserve">整体规格：≥长460mm*宽415mm*380-440mm </w:t>
            </w:r>
          </w:p>
          <w:p w14:paraId="16254BE3">
            <w:pPr>
              <w:widowControl/>
              <w:numPr>
                <w:ilvl w:val="0"/>
                <w:numId w:val="2"/>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椅背： 材质：采用 PP 耐冲击塑料一体注塑成型； 靠背规格：≥340mm*390mm；靠背中间有 50mm 内凹式曲线弧度设计，能很好的支撑着正在成长中学生的背部脊椎，使其免于侧弯，靠背须有有最小直径≥5mm 至≥16mm 椭圆形散热通风孔。</w:t>
            </w:r>
          </w:p>
          <w:p w14:paraId="2FDCFDC3">
            <w:pPr>
              <w:widowControl/>
              <w:numPr>
                <w:ilvl w:val="0"/>
                <w:numId w:val="2"/>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椅座：材质：采用PP耐冲击塑料一体注塑成型。座椅规格：≥415mm×380mm。 椅面采用人体工程学设计，坐垫中间有≥45mm±5mm 内凹式设计，坐垫前端需有波浪形加瀑布型设计，能让学生整个臀部坐在内凹处，借此可分散上半身的所有重量，使学生在学习时更舒服，更健康地成长，椅面需有最小直径≥5mm至最大≥16mm 椭圆形散热通风孔。</w:t>
            </w:r>
          </w:p>
          <w:p w14:paraId="4BFFE174">
            <w:pPr>
              <w:widowControl/>
              <w:numPr>
                <w:ilvl w:val="0"/>
                <w:numId w:val="2"/>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椅腿规格：椅子靠背为≥22mm×32mm×1.5mm 眼睛管经数控弯管机弯曲成型，上升降管采用≥19mm×39mm×1.2mm 眼睛管。下升降管采用≥29mm×49mm×1.8mm 眼睛管经模具弯曲成型，拉筋采用≥20mm×50mm×1.5mm 扁圆管。</w:t>
            </w:r>
          </w:p>
          <w:p w14:paraId="32790126">
            <w:pPr>
              <w:widowControl/>
              <w:numPr>
                <w:ilvl w:val="0"/>
                <w:numId w:val="2"/>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升降套：采用全新PP工程塑料注塑成型，使上下管之间连接紧密，美观大方。椅架连接采用≥8mm盘头螺栓，自生热熔拉伸攻丝螺母。</w:t>
            </w:r>
          </w:p>
          <w:p w14:paraId="672DD8C2">
            <w:pPr>
              <w:widowControl/>
              <w:numPr>
                <w:ilvl w:val="0"/>
                <w:numId w:val="2"/>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脚套：材质采用全新PP工程塑料注塑成型。 功能：椅背背面设计有把手功能部件、方便提拿，同时也有挂钩功能， 可挂书包、衣服等。  工艺：钢材焊接采用 CO2 保护焊方式，表面经喷砂抛丸去油除锈，静电 喷涂，附着力为国家一级，焊点光滑平整无虚焊现象，管材和冲压件无 裂缝，焊接无错位和结疤，无夹渣气孔，在接触人体和收藏物的部位光 滑平整、无刺、无刃口棱。 要求：整体做工精细，美观、稳定、环保、耐用。符合国家规定的《学校课桌功能尺寸》（GB/T3976）、《课桌椅》（QB/T4701）标准。</w:t>
            </w:r>
          </w:p>
        </w:tc>
        <w:tc>
          <w:tcPr>
            <w:tcW w:w="567" w:type="dxa"/>
            <w:vAlign w:val="center"/>
          </w:tcPr>
          <w:p w14:paraId="64E16F07">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把</w:t>
            </w:r>
          </w:p>
        </w:tc>
        <w:tc>
          <w:tcPr>
            <w:tcW w:w="870" w:type="dxa"/>
            <w:vAlign w:val="center"/>
          </w:tcPr>
          <w:p w14:paraId="376D569B">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3000</w:t>
            </w:r>
          </w:p>
        </w:tc>
      </w:tr>
      <w:tr w14:paraId="176B5B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0" w:hRule="atLeast"/>
          <w:jc w:val="center"/>
        </w:trPr>
        <w:tc>
          <w:tcPr>
            <w:tcW w:w="644" w:type="dxa"/>
            <w:noWrap/>
            <w:vAlign w:val="center"/>
          </w:tcPr>
          <w:p w14:paraId="3757462E">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3</w:t>
            </w:r>
          </w:p>
        </w:tc>
        <w:tc>
          <w:tcPr>
            <w:tcW w:w="851" w:type="dxa"/>
            <w:vAlign w:val="center"/>
          </w:tcPr>
          <w:p w14:paraId="2A2C19AB">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讲桌</w:t>
            </w:r>
          </w:p>
        </w:tc>
        <w:tc>
          <w:tcPr>
            <w:tcW w:w="6378" w:type="dxa"/>
            <w:shd w:val="clear" w:color="auto" w:fill="FFFFFF"/>
            <w:vAlign w:val="center"/>
          </w:tcPr>
          <w:p w14:paraId="78E18F7B">
            <w:pPr>
              <w:widowControl/>
              <w:numPr>
                <w:ilvl w:val="0"/>
                <w:numId w:val="3"/>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规格：≥1200*600*900mm。</w:t>
            </w:r>
          </w:p>
          <w:p w14:paraId="004A6423">
            <w:pPr>
              <w:widowControl/>
              <w:numPr>
                <w:ilvl w:val="0"/>
                <w:numId w:val="3"/>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整体采用≥18mm厚优质E0级三聚氰胺饰面实木颗粒板，截面采用优质铝合金山型槽封边。设抽斗1个。优质五金配件。</w:t>
            </w:r>
          </w:p>
        </w:tc>
        <w:tc>
          <w:tcPr>
            <w:tcW w:w="567" w:type="dxa"/>
            <w:noWrap/>
            <w:vAlign w:val="center"/>
          </w:tcPr>
          <w:p w14:paraId="40F04F55">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870" w:type="dxa"/>
            <w:vAlign w:val="center"/>
          </w:tcPr>
          <w:p w14:paraId="5E2047B2">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50</w:t>
            </w:r>
          </w:p>
        </w:tc>
      </w:tr>
      <w:tr w14:paraId="0179D5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0" w:hRule="atLeast"/>
          <w:jc w:val="center"/>
        </w:trPr>
        <w:tc>
          <w:tcPr>
            <w:tcW w:w="644" w:type="dxa"/>
            <w:noWrap/>
            <w:vAlign w:val="center"/>
          </w:tcPr>
          <w:p w14:paraId="0C9E0278">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4</w:t>
            </w:r>
          </w:p>
        </w:tc>
        <w:tc>
          <w:tcPr>
            <w:tcW w:w="851" w:type="dxa"/>
            <w:vAlign w:val="center"/>
          </w:tcPr>
          <w:p w14:paraId="24D161BA">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书包柜</w:t>
            </w:r>
          </w:p>
        </w:tc>
        <w:tc>
          <w:tcPr>
            <w:tcW w:w="6378" w:type="dxa"/>
            <w:shd w:val="clear" w:color="auto" w:fill="FFFFFF"/>
            <w:vAlign w:val="center"/>
          </w:tcPr>
          <w:p w14:paraId="0F9EF5E3">
            <w:pPr>
              <w:widowControl/>
              <w:numPr>
                <w:ilvl w:val="0"/>
                <w:numId w:val="4"/>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一组六个，一柜九门，规格：≥1100×400×1500mm</w:t>
            </w:r>
          </w:p>
          <w:p w14:paraId="604BCCB8">
            <w:pPr>
              <w:widowControl/>
              <w:numPr>
                <w:ilvl w:val="0"/>
                <w:numId w:val="4"/>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单箱尺寸不小于470×400×380mm，每个小格带门，材质冷轧钢板≥1.2mm</w:t>
            </w:r>
          </w:p>
        </w:tc>
        <w:tc>
          <w:tcPr>
            <w:tcW w:w="567" w:type="dxa"/>
            <w:vAlign w:val="center"/>
          </w:tcPr>
          <w:p w14:paraId="56F9A514">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组</w:t>
            </w:r>
          </w:p>
        </w:tc>
        <w:tc>
          <w:tcPr>
            <w:tcW w:w="870" w:type="dxa"/>
            <w:vAlign w:val="center"/>
          </w:tcPr>
          <w:p w14:paraId="423EE23B">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50</w:t>
            </w:r>
          </w:p>
        </w:tc>
      </w:tr>
      <w:tr w14:paraId="44E03A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0" w:hRule="atLeast"/>
          <w:jc w:val="center"/>
        </w:trPr>
        <w:tc>
          <w:tcPr>
            <w:tcW w:w="644" w:type="dxa"/>
            <w:noWrap/>
            <w:vAlign w:val="center"/>
          </w:tcPr>
          <w:p w14:paraId="3A0D5BDE">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5</w:t>
            </w:r>
          </w:p>
        </w:tc>
        <w:tc>
          <w:tcPr>
            <w:tcW w:w="851" w:type="dxa"/>
            <w:vAlign w:val="center"/>
          </w:tcPr>
          <w:p w14:paraId="2D8A276C">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后黑板</w:t>
            </w:r>
          </w:p>
        </w:tc>
        <w:tc>
          <w:tcPr>
            <w:tcW w:w="6378" w:type="dxa"/>
            <w:vAlign w:val="center"/>
          </w:tcPr>
          <w:p w14:paraId="28171C06">
            <w:pPr>
              <w:widowControl/>
              <w:numPr>
                <w:ilvl w:val="0"/>
                <w:numId w:val="5"/>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板面：书写面材质采用进口亚光烤漆钢板，板面为墨绿色基板厚度≥0.4mm，涂膜硬度≥8H（莫氏）易写易擦写后无痕迹坚固耐用，涂层采用丙烯酸树脂漆,表面粗糙度RA1.6-3.2um光泽度不低于6%。</w:t>
            </w:r>
          </w:p>
          <w:p w14:paraId="199AD817">
            <w:pPr>
              <w:widowControl/>
              <w:numPr>
                <w:ilvl w:val="0"/>
                <w:numId w:val="5"/>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绿板内芯材料：绿板内心采用高强度4孔蜂窝板，不变形，不起泡。</w:t>
            </w:r>
          </w:p>
          <w:p w14:paraId="6460AFE3">
            <w:pPr>
              <w:widowControl/>
              <w:numPr>
                <w:ilvl w:val="0"/>
                <w:numId w:val="5"/>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背板：选用优质防锈镀锌钢板。</w:t>
            </w:r>
          </w:p>
          <w:p w14:paraId="6C4886E1">
            <w:pPr>
              <w:widowControl/>
              <w:numPr>
                <w:ilvl w:val="0"/>
                <w:numId w:val="5"/>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规格：绿板1.21*4米为标准尺寸，可根据教室尺寸定制。</w:t>
            </w:r>
          </w:p>
          <w:p w14:paraId="356B69C3">
            <w:pPr>
              <w:widowControl/>
              <w:numPr>
                <w:ilvl w:val="0"/>
                <w:numId w:val="5"/>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边框材料：采用高强度茶色电泳铝合金，耐磨抗拉不变形，宽度为≥40mm， 厚度≥2cm，壁厚≥1.2mm</w:t>
            </w:r>
          </w:p>
          <w:p w14:paraId="74C539C6">
            <w:pPr>
              <w:widowControl/>
              <w:numPr>
                <w:ilvl w:val="0"/>
                <w:numId w:val="5"/>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包角材料：采用抗老化，抗疲劳，壁厚≥2mmABS工程塑料注塑，一次成型模具。</w:t>
            </w:r>
          </w:p>
          <w:p w14:paraId="4D465C43">
            <w:pPr>
              <w:widowControl/>
              <w:numPr>
                <w:ilvl w:val="0"/>
                <w:numId w:val="5"/>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书写面要求：平整，无波纹，龟裂，针孔、无斑痕，及凹凸不平，缺陷，易写性环保书写板，适用普通粉笔，字迹清晰防粉尘，减少污染。书写应手感流畅、充实，笔道均匀。线条明显，书写经过一万次擦拭，磨耗后表面糙度不小RA1.6nm，书写面的颜色应均匀，有良好的耐光性。</w:t>
            </w:r>
          </w:p>
          <w:p w14:paraId="1F4E4F95">
            <w:pPr>
              <w:widowControl/>
              <w:numPr>
                <w:ilvl w:val="0"/>
                <w:numId w:val="5"/>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安装牢固：隐形安装，没有任何安全隐患，美观大方。</w:t>
            </w:r>
          </w:p>
        </w:tc>
        <w:tc>
          <w:tcPr>
            <w:tcW w:w="567" w:type="dxa"/>
            <w:vAlign w:val="center"/>
          </w:tcPr>
          <w:p w14:paraId="1A4FC76C">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块</w:t>
            </w:r>
          </w:p>
        </w:tc>
        <w:tc>
          <w:tcPr>
            <w:tcW w:w="870" w:type="dxa"/>
            <w:noWrap/>
            <w:vAlign w:val="center"/>
          </w:tcPr>
          <w:p w14:paraId="01A227DF">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50</w:t>
            </w:r>
          </w:p>
        </w:tc>
      </w:tr>
      <w:tr w14:paraId="45CFEB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0" w:hRule="atLeast"/>
          <w:jc w:val="center"/>
        </w:trPr>
        <w:tc>
          <w:tcPr>
            <w:tcW w:w="9310" w:type="dxa"/>
            <w:gridSpan w:val="5"/>
            <w:noWrap/>
            <w:vAlign w:val="center"/>
          </w:tcPr>
          <w:p w14:paraId="693F8B4D">
            <w:pPr>
              <w:widowControl/>
              <w:jc w:val="center"/>
              <w:textAlignment w:val="center"/>
              <w:rPr>
                <w:rFonts w:hint="eastAsia" w:ascii="宋体" w:hAnsi="宋体"/>
                <w:b/>
                <w:bCs/>
                <w:color w:val="auto"/>
                <w:kern w:val="0"/>
                <w:szCs w:val="21"/>
                <w:highlight w:val="none"/>
                <w:lang w:bidi="ar"/>
              </w:rPr>
            </w:pPr>
            <w:r>
              <w:rPr>
                <w:rFonts w:hint="eastAsia" w:ascii="宋体" w:hAnsi="宋体"/>
                <w:b/>
                <w:bCs/>
                <w:color w:val="auto"/>
                <w:kern w:val="0"/>
                <w:szCs w:val="21"/>
                <w:highlight w:val="none"/>
                <w:lang w:bidi="ar"/>
              </w:rPr>
              <w:t>二、教师办公设备</w:t>
            </w:r>
          </w:p>
        </w:tc>
      </w:tr>
      <w:tr w14:paraId="0EC47A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0" w:hRule="atLeast"/>
          <w:jc w:val="center"/>
        </w:trPr>
        <w:tc>
          <w:tcPr>
            <w:tcW w:w="644" w:type="dxa"/>
            <w:noWrap/>
            <w:vAlign w:val="center"/>
          </w:tcPr>
          <w:p w14:paraId="549607B7">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c>
          <w:tcPr>
            <w:tcW w:w="851" w:type="dxa"/>
            <w:noWrap/>
            <w:vAlign w:val="center"/>
          </w:tcPr>
          <w:p w14:paraId="1AB2D512">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L型办公桌</w:t>
            </w:r>
          </w:p>
        </w:tc>
        <w:tc>
          <w:tcPr>
            <w:tcW w:w="6378" w:type="dxa"/>
            <w:noWrap/>
            <w:vAlign w:val="center"/>
          </w:tcPr>
          <w:p w14:paraId="59A4C1FE">
            <w:pPr>
              <w:widowControl/>
              <w:numPr>
                <w:ilvl w:val="0"/>
                <w:numId w:val="6"/>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规格：≥1500mm×1200mm×1100mm；</w:t>
            </w:r>
          </w:p>
          <w:p w14:paraId="20B31ECB">
            <w:pPr>
              <w:widowControl/>
              <w:numPr>
                <w:ilvl w:val="0"/>
                <w:numId w:val="6"/>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桌面及立腿采用≥25mm厚优质E1级颗粒板；</w:t>
            </w:r>
          </w:p>
          <w:p w14:paraId="12B10C58">
            <w:pPr>
              <w:widowControl/>
              <w:numPr>
                <w:ilvl w:val="0"/>
                <w:numId w:val="6"/>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柜体板材采用E1级颗粒板，≥厚度18mm；</w:t>
            </w:r>
          </w:p>
          <w:p w14:paraId="2D334118">
            <w:pPr>
              <w:widowControl/>
              <w:numPr>
                <w:ilvl w:val="0"/>
                <w:numId w:val="6"/>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封边：四周采用≥1.5mm厚同色封边条机械封边；</w:t>
            </w:r>
          </w:p>
          <w:p w14:paraId="2255073E">
            <w:pPr>
              <w:widowControl/>
              <w:numPr>
                <w:ilvl w:val="0"/>
                <w:numId w:val="6"/>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采用优质五金配件。</w:t>
            </w:r>
          </w:p>
        </w:tc>
        <w:tc>
          <w:tcPr>
            <w:tcW w:w="567" w:type="dxa"/>
            <w:noWrap/>
            <w:vAlign w:val="center"/>
          </w:tcPr>
          <w:p w14:paraId="3303A0FA">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张</w:t>
            </w:r>
          </w:p>
        </w:tc>
        <w:tc>
          <w:tcPr>
            <w:tcW w:w="870" w:type="dxa"/>
            <w:noWrap/>
            <w:vAlign w:val="center"/>
          </w:tcPr>
          <w:p w14:paraId="2D436D4A">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150</w:t>
            </w:r>
          </w:p>
        </w:tc>
      </w:tr>
      <w:tr w14:paraId="3067DB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0" w:hRule="atLeast"/>
          <w:jc w:val="center"/>
        </w:trPr>
        <w:tc>
          <w:tcPr>
            <w:tcW w:w="644" w:type="dxa"/>
            <w:vAlign w:val="center"/>
          </w:tcPr>
          <w:p w14:paraId="22AB297D">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w:t>
            </w:r>
          </w:p>
        </w:tc>
        <w:tc>
          <w:tcPr>
            <w:tcW w:w="851" w:type="dxa"/>
            <w:vAlign w:val="center"/>
          </w:tcPr>
          <w:p w14:paraId="1B635DC7">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办公椅</w:t>
            </w:r>
          </w:p>
        </w:tc>
        <w:tc>
          <w:tcPr>
            <w:tcW w:w="6378" w:type="dxa"/>
            <w:vAlign w:val="center"/>
          </w:tcPr>
          <w:p w14:paraId="4E116C11">
            <w:pPr>
              <w:widowControl/>
              <w:numPr>
                <w:ilvl w:val="0"/>
                <w:numId w:val="7"/>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黑色全新料加纤背框，透气网布；</w:t>
            </w:r>
          </w:p>
          <w:p w14:paraId="0D6B9AAD">
            <w:pPr>
              <w:widowControl/>
              <w:numPr>
                <w:ilvl w:val="0"/>
                <w:numId w:val="7"/>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黑色pp连体腰靠；</w:t>
            </w:r>
          </w:p>
          <w:p w14:paraId="741991CC">
            <w:pPr>
              <w:widowControl/>
              <w:numPr>
                <w:ilvl w:val="0"/>
                <w:numId w:val="7"/>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黑色全新料加纤连体扶手；</w:t>
            </w:r>
          </w:p>
          <w:p w14:paraId="13FB2CBC">
            <w:pPr>
              <w:widowControl/>
              <w:numPr>
                <w:ilvl w:val="0"/>
                <w:numId w:val="7"/>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座包一体成型定型海绵，永不变形，透气网布；</w:t>
            </w:r>
          </w:p>
          <w:p w14:paraId="25EFD1E2">
            <w:pPr>
              <w:widowControl/>
              <w:numPr>
                <w:ilvl w:val="0"/>
                <w:numId w:val="7"/>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≥2.0mm厚度的镀铬弓形钢架。</w:t>
            </w:r>
          </w:p>
        </w:tc>
        <w:tc>
          <w:tcPr>
            <w:tcW w:w="567" w:type="dxa"/>
            <w:vAlign w:val="center"/>
          </w:tcPr>
          <w:p w14:paraId="7C539DAB">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把</w:t>
            </w:r>
          </w:p>
        </w:tc>
        <w:tc>
          <w:tcPr>
            <w:tcW w:w="870" w:type="dxa"/>
            <w:vAlign w:val="center"/>
          </w:tcPr>
          <w:p w14:paraId="2ED4AFC5">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150</w:t>
            </w:r>
          </w:p>
        </w:tc>
      </w:tr>
      <w:tr w14:paraId="35C729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5" w:hRule="atLeast"/>
          <w:jc w:val="center"/>
        </w:trPr>
        <w:tc>
          <w:tcPr>
            <w:tcW w:w="644" w:type="dxa"/>
            <w:vAlign w:val="center"/>
          </w:tcPr>
          <w:p w14:paraId="1B673883">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3</w:t>
            </w:r>
          </w:p>
        </w:tc>
        <w:tc>
          <w:tcPr>
            <w:tcW w:w="851" w:type="dxa"/>
            <w:vAlign w:val="center"/>
          </w:tcPr>
          <w:p w14:paraId="61EFBD8C">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文件柜</w:t>
            </w:r>
          </w:p>
        </w:tc>
        <w:tc>
          <w:tcPr>
            <w:tcW w:w="6378" w:type="dxa"/>
            <w:vAlign w:val="center"/>
          </w:tcPr>
          <w:p w14:paraId="45479A65">
            <w:pPr>
              <w:widowControl/>
              <w:numPr>
                <w:ilvl w:val="0"/>
                <w:numId w:val="8"/>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规格：≥900mm*450mm*1900mm，采用E1级颗粒板，柜体板材厚度≥18mm，无坚硬棱角及毛刺，整体结构合理，连接牢固，手感柔和，平滑，色泽美观；</w:t>
            </w:r>
          </w:p>
          <w:p w14:paraId="66FAFC2A">
            <w:pPr>
              <w:widowControl/>
              <w:numPr>
                <w:ilvl w:val="0"/>
                <w:numId w:val="8"/>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柜门：上部为专用铝型材对开玻璃门，玻璃门边框规格为≥52mm*18mm*1.2mm，上下框规格为≥18mm*18mm*5mm，柜门内镶透明白玻璃。下部为对开木门，优质五金配件。</w:t>
            </w:r>
          </w:p>
        </w:tc>
        <w:tc>
          <w:tcPr>
            <w:tcW w:w="567" w:type="dxa"/>
            <w:vAlign w:val="center"/>
          </w:tcPr>
          <w:p w14:paraId="45A8D18A">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870" w:type="dxa"/>
            <w:vAlign w:val="center"/>
          </w:tcPr>
          <w:p w14:paraId="787B85C1">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75</w:t>
            </w:r>
          </w:p>
        </w:tc>
      </w:tr>
      <w:tr w14:paraId="776500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0" w:hRule="atLeast"/>
          <w:jc w:val="center"/>
        </w:trPr>
        <w:tc>
          <w:tcPr>
            <w:tcW w:w="644" w:type="dxa"/>
            <w:vAlign w:val="center"/>
          </w:tcPr>
          <w:p w14:paraId="3482E10A">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4</w:t>
            </w:r>
          </w:p>
        </w:tc>
        <w:tc>
          <w:tcPr>
            <w:tcW w:w="851" w:type="dxa"/>
            <w:vAlign w:val="center"/>
          </w:tcPr>
          <w:p w14:paraId="1BFFF9A1">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档案柜</w:t>
            </w:r>
          </w:p>
        </w:tc>
        <w:tc>
          <w:tcPr>
            <w:tcW w:w="6378" w:type="dxa"/>
            <w:vAlign w:val="center"/>
          </w:tcPr>
          <w:p w14:paraId="4618436B">
            <w:pPr>
              <w:widowControl/>
              <w:numPr>
                <w:ilvl w:val="0"/>
                <w:numId w:val="9"/>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规格：≥900mm*450mm*1900mm，采用E1级颗粒板，柜体板材厚度≥18mm，无坚硬棱角及毛刺，整体结构合理，连接牢固，手感柔和，平滑，色泽美观；</w:t>
            </w:r>
          </w:p>
          <w:p w14:paraId="2BDF46F9">
            <w:pPr>
              <w:widowControl/>
              <w:numPr>
                <w:ilvl w:val="0"/>
                <w:numId w:val="9"/>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柜门：上部为专用铝型材对开玻璃门，玻璃门边框规格为≥52mm*18mm*1.2mm，上下框规格为≥18mm*18mm*5mm，柜门内镶透明白玻璃。下部为对开木门，优质五金配件。</w:t>
            </w:r>
          </w:p>
        </w:tc>
        <w:tc>
          <w:tcPr>
            <w:tcW w:w="567" w:type="dxa"/>
            <w:vAlign w:val="center"/>
          </w:tcPr>
          <w:p w14:paraId="2FB295E6">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870" w:type="dxa"/>
            <w:vAlign w:val="center"/>
          </w:tcPr>
          <w:p w14:paraId="712D716B">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75</w:t>
            </w:r>
          </w:p>
        </w:tc>
      </w:tr>
      <w:tr w14:paraId="67D12C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0" w:hRule="atLeast"/>
          <w:jc w:val="center"/>
        </w:trPr>
        <w:tc>
          <w:tcPr>
            <w:tcW w:w="9310" w:type="dxa"/>
            <w:gridSpan w:val="5"/>
            <w:vAlign w:val="center"/>
          </w:tcPr>
          <w:p w14:paraId="78BF8EAB">
            <w:pPr>
              <w:widowControl/>
              <w:jc w:val="center"/>
              <w:textAlignment w:val="center"/>
              <w:rPr>
                <w:rFonts w:hint="eastAsia" w:ascii="宋体" w:hAnsi="宋体"/>
                <w:color w:val="auto"/>
                <w:kern w:val="0"/>
                <w:szCs w:val="21"/>
                <w:highlight w:val="none"/>
                <w:lang w:bidi="ar"/>
              </w:rPr>
            </w:pPr>
            <w:r>
              <w:rPr>
                <w:rFonts w:hint="eastAsia" w:ascii="宋体" w:hAnsi="宋体"/>
                <w:b/>
                <w:bCs/>
                <w:color w:val="auto"/>
                <w:kern w:val="0"/>
                <w:szCs w:val="21"/>
                <w:highlight w:val="none"/>
                <w:lang w:bidi="ar"/>
              </w:rPr>
              <w:t>三、行政办公设备</w:t>
            </w:r>
          </w:p>
        </w:tc>
      </w:tr>
      <w:tr w14:paraId="7BD6C5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0" w:hRule="atLeast"/>
          <w:jc w:val="center"/>
        </w:trPr>
        <w:tc>
          <w:tcPr>
            <w:tcW w:w="644" w:type="dxa"/>
            <w:vAlign w:val="center"/>
          </w:tcPr>
          <w:p w14:paraId="5EB3B031">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c>
          <w:tcPr>
            <w:tcW w:w="851" w:type="dxa"/>
            <w:vAlign w:val="center"/>
          </w:tcPr>
          <w:p w14:paraId="2E7B3CB1">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办公桌椅（含书柜及副台）</w:t>
            </w:r>
          </w:p>
        </w:tc>
        <w:tc>
          <w:tcPr>
            <w:tcW w:w="6378" w:type="dxa"/>
            <w:vAlign w:val="center"/>
          </w:tcPr>
          <w:p w14:paraId="48D41390">
            <w:pPr>
              <w:widowControl/>
              <w:numPr>
                <w:ilvl w:val="0"/>
                <w:numId w:val="10"/>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办公桌颜色：胡桃</w:t>
            </w:r>
          </w:p>
          <w:p w14:paraId="0AFF5D2C">
            <w:pPr>
              <w:widowControl/>
              <w:numPr>
                <w:ilvl w:val="0"/>
                <w:numId w:val="10"/>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办公桌规格：≥1600mm*800mm*760mm；</w:t>
            </w:r>
          </w:p>
          <w:p w14:paraId="01A61D02">
            <w:pPr>
              <w:widowControl/>
              <w:numPr>
                <w:ilvl w:val="0"/>
                <w:numId w:val="10"/>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办公桌基材：高密度E1级中纤板；</w:t>
            </w:r>
          </w:p>
          <w:p w14:paraId="5CB375CB">
            <w:pPr>
              <w:widowControl/>
              <w:numPr>
                <w:ilvl w:val="0"/>
                <w:numId w:val="10"/>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办公桌饰面：所有板材双面贴胡桃木皮贴面，厚度≥0.6mm，木皮宽度≥200mm；</w:t>
            </w:r>
          </w:p>
          <w:p w14:paraId="6BBAE30F">
            <w:pPr>
              <w:widowControl/>
              <w:numPr>
                <w:ilvl w:val="0"/>
                <w:numId w:val="10"/>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 xml:space="preserve">办公桌封边及侧面：与饰面材料一致； </w:t>
            </w:r>
          </w:p>
          <w:p w14:paraId="7BA5947B">
            <w:pPr>
              <w:widowControl/>
              <w:numPr>
                <w:ilvl w:val="0"/>
                <w:numId w:val="10"/>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进口五金配件；</w:t>
            </w:r>
          </w:p>
          <w:p w14:paraId="1A3E3164">
            <w:pPr>
              <w:widowControl/>
              <w:numPr>
                <w:ilvl w:val="0"/>
                <w:numId w:val="10"/>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 xml:space="preserve">办公椅颜色：胡桃+黑牛皮； </w:t>
            </w:r>
          </w:p>
          <w:p w14:paraId="5EF982CC">
            <w:pPr>
              <w:widowControl/>
              <w:numPr>
                <w:ilvl w:val="0"/>
                <w:numId w:val="10"/>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规格规格：≥670mm*750mm*1170mm，</w:t>
            </w:r>
          </w:p>
          <w:p w14:paraId="251BB22A">
            <w:pPr>
              <w:widowControl/>
              <w:numPr>
                <w:ilvl w:val="0"/>
                <w:numId w:val="10"/>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颜色：胡桃+黑牛皮，材质：椅身、座板、框架均采用橡木材质，椅面及靠背采用优质黑牛皮，内包高密度PU气泡海绵。</w:t>
            </w:r>
          </w:p>
          <w:p w14:paraId="328EB7DF">
            <w:pPr>
              <w:widowControl/>
              <w:numPr>
                <w:ilvl w:val="0"/>
                <w:numId w:val="10"/>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 xml:space="preserve">书柜颜色：胡桃  </w:t>
            </w:r>
          </w:p>
          <w:p w14:paraId="2830ABD9">
            <w:pPr>
              <w:widowControl/>
              <w:numPr>
                <w:ilvl w:val="0"/>
                <w:numId w:val="10"/>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 xml:space="preserve">规格：≥1350mm*420mm*2000mm </w:t>
            </w:r>
          </w:p>
          <w:p w14:paraId="6E3D6265">
            <w:pPr>
              <w:widowControl/>
              <w:numPr>
                <w:ilvl w:val="0"/>
                <w:numId w:val="10"/>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基材：同办公桌</w:t>
            </w:r>
          </w:p>
        </w:tc>
        <w:tc>
          <w:tcPr>
            <w:tcW w:w="567" w:type="dxa"/>
            <w:vAlign w:val="center"/>
          </w:tcPr>
          <w:p w14:paraId="43F4B03B">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套</w:t>
            </w:r>
          </w:p>
        </w:tc>
        <w:tc>
          <w:tcPr>
            <w:tcW w:w="870" w:type="dxa"/>
            <w:vAlign w:val="center"/>
          </w:tcPr>
          <w:p w14:paraId="1D19A4DF">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4</w:t>
            </w:r>
          </w:p>
        </w:tc>
      </w:tr>
      <w:tr w14:paraId="1BAC96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0" w:hRule="atLeast"/>
          <w:jc w:val="center"/>
        </w:trPr>
        <w:tc>
          <w:tcPr>
            <w:tcW w:w="644" w:type="dxa"/>
            <w:vAlign w:val="center"/>
          </w:tcPr>
          <w:p w14:paraId="7972B595">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w:t>
            </w:r>
          </w:p>
        </w:tc>
        <w:tc>
          <w:tcPr>
            <w:tcW w:w="851" w:type="dxa"/>
            <w:vAlign w:val="center"/>
          </w:tcPr>
          <w:p w14:paraId="40AD1BC6">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沙发</w:t>
            </w:r>
          </w:p>
        </w:tc>
        <w:tc>
          <w:tcPr>
            <w:tcW w:w="6378" w:type="dxa"/>
            <w:vAlign w:val="center"/>
          </w:tcPr>
          <w:p w14:paraId="4C0F6481">
            <w:pPr>
              <w:widowControl/>
              <w:numPr>
                <w:ilvl w:val="0"/>
                <w:numId w:val="11"/>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单人位2个，三人位1个，材质选用优质帆布或者革皮</w:t>
            </w:r>
          </w:p>
        </w:tc>
        <w:tc>
          <w:tcPr>
            <w:tcW w:w="567" w:type="dxa"/>
            <w:vAlign w:val="center"/>
          </w:tcPr>
          <w:p w14:paraId="058F8015">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套</w:t>
            </w:r>
          </w:p>
        </w:tc>
        <w:tc>
          <w:tcPr>
            <w:tcW w:w="870" w:type="dxa"/>
            <w:vAlign w:val="center"/>
          </w:tcPr>
          <w:p w14:paraId="6D316996">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4</w:t>
            </w:r>
          </w:p>
        </w:tc>
      </w:tr>
      <w:tr w14:paraId="7C40F2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0" w:hRule="atLeast"/>
          <w:jc w:val="center"/>
        </w:trPr>
        <w:tc>
          <w:tcPr>
            <w:tcW w:w="644" w:type="dxa"/>
            <w:vAlign w:val="center"/>
          </w:tcPr>
          <w:p w14:paraId="4704722B">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3</w:t>
            </w:r>
          </w:p>
        </w:tc>
        <w:tc>
          <w:tcPr>
            <w:tcW w:w="851" w:type="dxa"/>
            <w:vAlign w:val="center"/>
          </w:tcPr>
          <w:p w14:paraId="109CBD7B">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茶几</w:t>
            </w:r>
          </w:p>
        </w:tc>
        <w:tc>
          <w:tcPr>
            <w:tcW w:w="6378" w:type="dxa"/>
            <w:vAlign w:val="center"/>
          </w:tcPr>
          <w:p w14:paraId="681DD3B3">
            <w:pPr>
              <w:widowControl/>
              <w:numPr>
                <w:ilvl w:val="0"/>
                <w:numId w:val="12"/>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规格不小于120cm*60cm*44cm</w:t>
            </w:r>
          </w:p>
        </w:tc>
        <w:tc>
          <w:tcPr>
            <w:tcW w:w="567" w:type="dxa"/>
            <w:vAlign w:val="center"/>
          </w:tcPr>
          <w:p w14:paraId="5B4F66D2">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套</w:t>
            </w:r>
          </w:p>
        </w:tc>
        <w:tc>
          <w:tcPr>
            <w:tcW w:w="870" w:type="dxa"/>
            <w:vAlign w:val="center"/>
          </w:tcPr>
          <w:p w14:paraId="10287C9B">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4</w:t>
            </w:r>
          </w:p>
        </w:tc>
      </w:tr>
      <w:tr w14:paraId="6B5E44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0" w:hRule="atLeast"/>
          <w:jc w:val="center"/>
        </w:trPr>
        <w:tc>
          <w:tcPr>
            <w:tcW w:w="644" w:type="dxa"/>
            <w:vAlign w:val="center"/>
          </w:tcPr>
          <w:p w14:paraId="62A4923C">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4</w:t>
            </w:r>
          </w:p>
        </w:tc>
        <w:tc>
          <w:tcPr>
            <w:tcW w:w="851" w:type="dxa"/>
            <w:vAlign w:val="center"/>
          </w:tcPr>
          <w:p w14:paraId="5E8AF15F">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茶水柜</w:t>
            </w:r>
          </w:p>
        </w:tc>
        <w:tc>
          <w:tcPr>
            <w:tcW w:w="6378" w:type="dxa"/>
            <w:vAlign w:val="center"/>
          </w:tcPr>
          <w:p w14:paraId="135AA0BB">
            <w:pPr>
              <w:widowControl/>
              <w:numPr>
                <w:ilvl w:val="0"/>
                <w:numId w:val="13"/>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颜色：胡桃 ；</w:t>
            </w:r>
          </w:p>
          <w:p w14:paraId="16D4E9E5">
            <w:pPr>
              <w:widowControl/>
              <w:numPr>
                <w:ilvl w:val="0"/>
                <w:numId w:val="13"/>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规格：≥1200mm*400mm*750mm ；</w:t>
            </w:r>
          </w:p>
          <w:p w14:paraId="011DC65E">
            <w:pPr>
              <w:widowControl/>
              <w:numPr>
                <w:ilvl w:val="0"/>
                <w:numId w:val="13"/>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基材：高密度 E1 中纤板；</w:t>
            </w:r>
          </w:p>
          <w:p w14:paraId="6E4FC542">
            <w:pPr>
              <w:widowControl/>
              <w:numPr>
                <w:ilvl w:val="0"/>
                <w:numId w:val="13"/>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饰面：所有板材双面贴胡桃木皮贴面，厚度≥0.6mm，木皮宽度≥200mm；</w:t>
            </w:r>
          </w:p>
          <w:p w14:paraId="054F6F44">
            <w:pPr>
              <w:widowControl/>
              <w:numPr>
                <w:ilvl w:val="0"/>
                <w:numId w:val="13"/>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封边及侧面：与饰面材料一致；</w:t>
            </w:r>
          </w:p>
          <w:p w14:paraId="536C2D23">
            <w:pPr>
              <w:widowControl/>
              <w:numPr>
                <w:ilvl w:val="0"/>
                <w:numId w:val="13"/>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进口五金配件。</w:t>
            </w:r>
          </w:p>
        </w:tc>
        <w:tc>
          <w:tcPr>
            <w:tcW w:w="567" w:type="dxa"/>
            <w:vAlign w:val="center"/>
          </w:tcPr>
          <w:p w14:paraId="780C82B6">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套</w:t>
            </w:r>
          </w:p>
        </w:tc>
        <w:tc>
          <w:tcPr>
            <w:tcW w:w="870" w:type="dxa"/>
            <w:vAlign w:val="center"/>
          </w:tcPr>
          <w:p w14:paraId="12FF68A5">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4</w:t>
            </w:r>
          </w:p>
        </w:tc>
      </w:tr>
      <w:tr w14:paraId="491437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9310" w:type="dxa"/>
            <w:gridSpan w:val="5"/>
            <w:tcBorders>
              <w:top w:val="single" w:color="000000" w:sz="4" w:space="0"/>
              <w:left w:val="single" w:color="000000" w:sz="4" w:space="0"/>
              <w:bottom w:val="single" w:color="000000" w:sz="4" w:space="0"/>
              <w:right w:val="single" w:color="000000" w:sz="4" w:space="0"/>
            </w:tcBorders>
            <w:noWrap/>
            <w:vAlign w:val="center"/>
          </w:tcPr>
          <w:p w14:paraId="1A7301AE">
            <w:pPr>
              <w:widowControl/>
              <w:jc w:val="center"/>
              <w:textAlignment w:val="center"/>
              <w:rPr>
                <w:rFonts w:hint="eastAsia" w:ascii="宋体" w:hAnsi="宋体"/>
                <w:b/>
                <w:bCs/>
                <w:color w:val="auto"/>
                <w:szCs w:val="21"/>
                <w:highlight w:val="none"/>
              </w:rPr>
            </w:pPr>
            <w:r>
              <w:rPr>
                <w:rFonts w:hint="eastAsia" w:ascii="宋体" w:hAnsi="宋体"/>
                <w:b/>
                <w:bCs/>
                <w:color w:val="auto"/>
                <w:kern w:val="0"/>
                <w:szCs w:val="21"/>
                <w:highlight w:val="none"/>
                <w:lang w:bidi="ar"/>
              </w:rPr>
              <w:t>四、会议室设备</w:t>
            </w:r>
          </w:p>
        </w:tc>
      </w:tr>
      <w:tr w14:paraId="774CC3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644" w:type="dxa"/>
            <w:tcBorders>
              <w:top w:val="single" w:color="000000" w:sz="4" w:space="0"/>
              <w:left w:val="single" w:color="000000" w:sz="4" w:space="0"/>
              <w:bottom w:val="single" w:color="000000" w:sz="4" w:space="0"/>
              <w:right w:val="single" w:color="000000" w:sz="4" w:space="0"/>
            </w:tcBorders>
            <w:vAlign w:val="center"/>
          </w:tcPr>
          <w:p w14:paraId="279546FD">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c>
          <w:tcPr>
            <w:tcW w:w="851" w:type="dxa"/>
            <w:tcBorders>
              <w:top w:val="single" w:color="000000" w:sz="4" w:space="0"/>
              <w:left w:val="single" w:color="000000" w:sz="4" w:space="0"/>
              <w:bottom w:val="single" w:color="000000" w:sz="4" w:space="0"/>
              <w:right w:val="single" w:color="000000" w:sz="4" w:space="0"/>
            </w:tcBorders>
            <w:vAlign w:val="center"/>
          </w:tcPr>
          <w:p w14:paraId="24D10DA3">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会议桌</w:t>
            </w:r>
          </w:p>
        </w:tc>
        <w:tc>
          <w:tcPr>
            <w:tcW w:w="6378" w:type="dxa"/>
            <w:tcBorders>
              <w:top w:val="single" w:color="000000" w:sz="4" w:space="0"/>
              <w:left w:val="single" w:color="000000" w:sz="4" w:space="0"/>
              <w:bottom w:val="single" w:color="000000" w:sz="4" w:space="0"/>
              <w:right w:val="single" w:color="000000" w:sz="4" w:space="0"/>
            </w:tcBorders>
            <w:vAlign w:val="center"/>
          </w:tcPr>
          <w:p w14:paraId="0304E2C3">
            <w:pPr>
              <w:widowControl/>
              <w:numPr>
                <w:ilvl w:val="0"/>
                <w:numId w:val="14"/>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规格：≥9600mm*2000mm*750mm具体长度根据教室实际尺寸制作，台面采用E1级三聚氰胺饰面颗粒板，优质钢制桌腿</w:t>
            </w:r>
          </w:p>
        </w:tc>
        <w:tc>
          <w:tcPr>
            <w:tcW w:w="567" w:type="dxa"/>
            <w:tcBorders>
              <w:top w:val="single" w:color="000000" w:sz="4" w:space="0"/>
              <w:left w:val="single" w:color="000000" w:sz="4" w:space="0"/>
              <w:bottom w:val="single" w:color="000000" w:sz="4" w:space="0"/>
              <w:right w:val="single" w:color="000000" w:sz="4" w:space="0"/>
            </w:tcBorders>
            <w:vAlign w:val="center"/>
          </w:tcPr>
          <w:p w14:paraId="6D7BFD52">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套</w:t>
            </w:r>
          </w:p>
        </w:tc>
        <w:tc>
          <w:tcPr>
            <w:tcW w:w="870" w:type="dxa"/>
            <w:tcBorders>
              <w:top w:val="single" w:color="000000" w:sz="4" w:space="0"/>
              <w:left w:val="single" w:color="000000" w:sz="4" w:space="0"/>
              <w:bottom w:val="single" w:color="000000" w:sz="4" w:space="0"/>
              <w:right w:val="single" w:color="000000" w:sz="4" w:space="0"/>
            </w:tcBorders>
            <w:vAlign w:val="center"/>
          </w:tcPr>
          <w:p w14:paraId="48B2329E">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3</w:t>
            </w:r>
          </w:p>
        </w:tc>
      </w:tr>
      <w:tr w14:paraId="18F38D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644" w:type="dxa"/>
            <w:tcBorders>
              <w:top w:val="single" w:color="000000" w:sz="4" w:space="0"/>
              <w:left w:val="single" w:color="000000" w:sz="4" w:space="0"/>
              <w:bottom w:val="single" w:color="000000" w:sz="4" w:space="0"/>
              <w:right w:val="single" w:color="000000" w:sz="4" w:space="0"/>
            </w:tcBorders>
            <w:vAlign w:val="center"/>
          </w:tcPr>
          <w:p w14:paraId="56FB6304">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w:t>
            </w:r>
          </w:p>
        </w:tc>
        <w:tc>
          <w:tcPr>
            <w:tcW w:w="851" w:type="dxa"/>
            <w:tcBorders>
              <w:top w:val="single" w:color="000000" w:sz="4" w:space="0"/>
              <w:left w:val="single" w:color="000000" w:sz="4" w:space="0"/>
              <w:bottom w:val="single" w:color="000000" w:sz="4" w:space="0"/>
              <w:right w:val="single" w:color="000000" w:sz="4" w:space="0"/>
            </w:tcBorders>
            <w:vAlign w:val="center"/>
          </w:tcPr>
          <w:p w14:paraId="05127FE0">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会议椅</w:t>
            </w:r>
          </w:p>
        </w:tc>
        <w:tc>
          <w:tcPr>
            <w:tcW w:w="6378" w:type="dxa"/>
            <w:tcBorders>
              <w:top w:val="single" w:color="000000" w:sz="4" w:space="0"/>
              <w:left w:val="single" w:color="000000" w:sz="4" w:space="0"/>
              <w:bottom w:val="single" w:color="000000" w:sz="4" w:space="0"/>
              <w:right w:val="single" w:color="000000" w:sz="4" w:space="0"/>
            </w:tcBorders>
            <w:vAlign w:val="center"/>
          </w:tcPr>
          <w:p w14:paraId="31C06BAC">
            <w:pPr>
              <w:widowControl/>
              <w:numPr>
                <w:ilvl w:val="0"/>
                <w:numId w:val="15"/>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座垫采用高密度海绵，回弹性好，不变形。</w:t>
            </w:r>
          </w:p>
        </w:tc>
        <w:tc>
          <w:tcPr>
            <w:tcW w:w="567" w:type="dxa"/>
            <w:tcBorders>
              <w:top w:val="single" w:color="000000" w:sz="4" w:space="0"/>
              <w:left w:val="single" w:color="000000" w:sz="4" w:space="0"/>
              <w:bottom w:val="single" w:color="000000" w:sz="4" w:space="0"/>
              <w:right w:val="single" w:color="000000" w:sz="4" w:space="0"/>
            </w:tcBorders>
            <w:vAlign w:val="center"/>
          </w:tcPr>
          <w:p w14:paraId="3DEF8146">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把</w:t>
            </w:r>
          </w:p>
        </w:tc>
        <w:tc>
          <w:tcPr>
            <w:tcW w:w="870" w:type="dxa"/>
            <w:tcBorders>
              <w:top w:val="single" w:color="000000" w:sz="4" w:space="0"/>
              <w:left w:val="single" w:color="000000" w:sz="4" w:space="0"/>
              <w:bottom w:val="single" w:color="000000" w:sz="4" w:space="0"/>
              <w:right w:val="single" w:color="000000" w:sz="4" w:space="0"/>
            </w:tcBorders>
            <w:vAlign w:val="center"/>
          </w:tcPr>
          <w:p w14:paraId="283F2177">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90</w:t>
            </w:r>
          </w:p>
        </w:tc>
      </w:tr>
      <w:tr w14:paraId="154B86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9310" w:type="dxa"/>
            <w:gridSpan w:val="5"/>
            <w:tcBorders>
              <w:top w:val="single" w:color="000000" w:sz="4" w:space="0"/>
              <w:left w:val="single" w:color="000000" w:sz="4" w:space="0"/>
              <w:bottom w:val="single" w:color="000000" w:sz="4" w:space="0"/>
              <w:right w:val="single" w:color="000000" w:sz="4" w:space="0"/>
            </w:tcBorders>
            <w:noWrap/>
            <w:vAlign w:val="center"/>
          </w:tcPr>
          <w:p w14:paraId="527CB57E">
            <w:pPr>
              <w:widowControl/>
              <w:jc w:val="center"/>
              <w:textAlignment w:val="center"/>
              <w:rPr>
                <w:rFonts w:hint="eastAsia" w:ascii="宋体" w:hAnsi="宋体"/>
                <w:b/>
                <w:bCs/>
                <w:color w:val="auto"/>
                <w:szCs w:val="21"/>
                <w:highlight w:val="none"/>
              </w:rPr>
            </w:pPr>
            <w:r>
              <w:rPr>
                <w:rFonts w:hint="eastAsia" w:ascii="宋体" w:hAnsi="宋体"/>
                <w:b/>
                <w:bCs/>
                <w:color w:val="auto"/>
                <w:kern w:val="0"/>
                <w:szCs w:val="21"/>
                <w:highlight w:val="none"/>
                <w:lang w:bidi="ar"/>
              </w:rPr>
              <w:t>五、宿舍家具</w:t>
            </w:r>
          </w:p>
        </w:tc>
      </w:tr>
      <w:tr w14:paraId="2F907E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 w:hRule="atLeast"/>
          <w:jc w:val="center"/>
        </w:trPr>
        <w:tc>
          <w:tcPr>
            <w:tcW w:w="644" w:type="dxa"/>
            <w:vMerge w:val="restart"/>
            <w:tcBorders>
              <w:top w:val="single" w:color="000000" w:sz="4" w:space="0"/>
              <w:left w:val="single" w:color="000000" w:sz="4" w:space="0"/>
              <w:bottom w:val="single" w:color="000000" w:sz="4" w:space="0"/>
              <w:right w:val="single" w:color="000000" w:sz="4" w:space="0"/>
            </w:tcBorders>
            <w:noWrap/>
            <w:vAlign w:val="center"/>
          </w:tcPr>
          <w:p w14:paraId="0D62946A">
            <w:pPr>
              <w:widowControl/>
              <w:jc w:val="center"/>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1</w:t>
            </w:r>
          </w:p>
        </w:tc>
        <w:tc>
          <w:tcPr>
            <w:tcW w:w="851" w:type="dxa"/>
            <w:vMerge w:val="restart"/>
            <w:tcBorders>
              <w:top w:val="single" w:color="000000" w:sz="4" w:space="0"/>
              <w:left w:val="single" w:color="000000" w:sz="4" w:space="0"/>
              <w:bottom w:val="single" w:color="000000" w:sz="4" w:space="0"/>
              <w:right w:val="single" w:color="000000" w:sz="4" w:space="0"/>
            </w:tcBorders>
            <w:noWrap/>
            <w:vAlign w:val="center"/>
          </w:tcPr>
          <w:p w14:paraId="19E46B5F">
            <w:pPr>
              <w:widowControl/>
              <w:jc w:val="center"/>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学生公寓床</w:t>
            </w:r>
            <w:r>
              <w:rPr>
                <w:rFonts w:hint="eastAsia" w:ascii="宋体" w:hAnsi="宋体"/>
                <w:b/>
                <w:bCs/>
                <w:color w:val="auto"/>
                <w:kern w:val="0"/>
                <w:szCs w:val="21"/>
                <w:highlight w:val="none"/>
                <w:lang w:bidi="ar"/>
              </w:rPr>
              <w:t>（核心产品）</w:t>
            </w:r>
          </w:p>
        </w:tc>
        <w:tc>
          <w:tcPr>
            <w:tcW w:w="6378" w:type="dxa"/>
            <w:tcBorders>
              <w:top w:val="single" w:color="000000" w:sz="4" w:space="0"/>
              <w:left w:val="single" w:color="000000" w:sz="4" w:space="0"/>
              <w:bottom w:val="single" w:color="000000" w:sz="4" w:space="0"/>
              <w:right w:val="single" w:color="000000" w:sz="4" w:space="0"/>
            </w:tcBorders>
            <w:noWrap/>
            <w:vAlign w:val="center"/>
          </w:tcPr>
          <w:p w14:paraId="6AF7CC36">
            <w:pPr>
              <w:outlineLvl w:val="0"/>
              <w:rPr>
                <w:rFonts w:hint="eastAsia" w:ascii="宋体" w:hAnsi="宋体"/>
                <w:color w:val="auto"/>
                <w:szCs w:val="21"/>
                <w:highlight w:val="none"/>
                <w:lang w:bidi="ar"/>
              </w:rPr>
            </w:pPr>
            <w:r>
              <w:rPr>
                <w:rFonts w:ascii="宋体" w:hAnsi="宋体"/>
                <w:color w:val="auto"/>
                <w:szCs w:val="21"/>
                <w:highlight w:val="none"/>
                <w:lang w:bidi="ar"/>
              </w:rPr>
              <w:t>二连体四人位公寓床</w:t>
            </w:r>
          </w:p>
          <w:p w14:paraId="3F62365E">
            <w:pPr>
              <w:numPr>
                <w:ilvl w:val="0"/>
                <w:numId w:val="16"/>
              </w:numPr>
              <w:outlineLvl w:val="0"/>
              <w:rPr>
                <w:rFonts w:hint="eastAsia" w:ascii="宋体" w:hAnsi="宋体"/>
                <w:bCs/>
                <w:color w:val="auto"/>
                <w:szCs w:val="21"/>
                <w:highlight w:val="none"/>
              </w:rPr>
            </w:pPr>
            <w:r>
              <w:rPr>
                <w:rFonts w:hint="eastAsia" w:ascii="宋体" w:hAnsi="宋体"/>
                <w:color w:val="auto"/>
                <w:szCs w:val="21"/>
                <w:highlight w:val="none"/>
                <w:lang w:bidi="ar"/>
              </w:rPr>
              <w:t>产品整体尺寸：</w:t>
            </w:r>
            <w:r>
              <w:rPr>
                <w:rFonts w:hint="eastAsia" w:ascii="宋体" w:hAnsi="宋体"/>
                <w:color w:val="auto"/>
                <w:kern w:val="0"/>
                <w:szCs w:val="21"/>
                <w:highlight w:val="none"/>
                <w:lang w:bidi="ar"/>
              </w:rPr>
              <w:t>≥</w:t>
            </w:r>
            <w:r>
              <w:rPr>
                <w:rFonts w:hint="eastAsia" w:ascii="宋体" w:hAnsi="宋体"/>
                <w:color w:val="auto"/>
                <w:szCs w:val="21"/>
                <w:highlight w:val="none"/>
                <w:lang w:bidi="ar"/>
              </w:rPr>
              <w:t>4680mm×910mm×1900mm</w:t>
            </w:r>
          </w:p>
          <w:p w14:paraId="35CC8CA4">
            <w:pPr>
              <w:numPr>
                <w:ilvl w:val="0"/>
                <w:numId w:val="16"/>
              </w:numPr>
              <w:jc w:val="left"/>
              <w:rPr>
                <w:rFonts w:hint="eastAsia" w:ascii="宋体" w:hAnsi="宋体"/>
                <w:color w:val="auto"/>
                <w:szCs w:val="21"/>
                <w:highlight w:val="none"/>
              </w:rPr>
            </w:pPr>
            <w:r>
              <w:rPr>
                <w:rFonts w:hint="eastAsia" w:ascii="宋体" w:hAnsi="宋体"/>
                <w:bCs/>
                <w:color w:val="auto"/>
                <w:szCs w:val="21"/>
                <w:highlight w:val="none"/>
              </w:rPr>
              <w:t>材质要求：</w:t>
            </w:r>
            <w:r>
              <w:rPr>
                <w:rFonts w:hint="eastAsia" w:ascii="宋体" w:hAnsi="宋体"/>
                <w:color w:val="auto"/>
                <w:szCs w:val="21"/>
                <w:highlight w:val="none"/>
              </w:rPr>
              <w:t xml:space="preserve">床架采用优质冷轧钢材，性能符合国家相关标准,管材无裂缝，表面无毛刺、结疤、错位、压痕或划痕。 </w:t>
            </w:r>
          </w:p>
          <w:p w14:paraId="033C36EA">
            <w:pPr>
              <w:numPr>
                <w:ilvl w:val="0"/>
                <w:numId w:val="16"/>
              </w:numPr>
              <w:jc w:val="left"/>
              <w:rPr>
                <w:rFonts w:hint="eastAsia" w:ascii="宋体" w:hAnsi="宋体"/>
                <w:color w:val="auto"/>
                <w:szCs w:val="21"/>
                <w:highlight w:val="none"/>
              </w:rPr>
            </w:pPr>
            <w:r>
              <w:rPr>
                <w:rFonts w:hint="eastAsia" w:ascii="宋体" w:hAnsi="宋体"/>
                <w:color w:val="auto"/>
                <w:szCs w:val="21"/>
                <w:highlight w:val="none"/>
              </w:rPr>
              <w:t>连接方法：主框架采用卡扣方式连接。</w:t>
            </w:r>
          </w:p>
          <w:p w14:paraId="38135F7D">
            <w:pPr>
              <w:numPr>
                <w:ilvl w:val="0"/>
                <w:numId w:val="16"/>
              </w:numPr>
              <w:jc w:val="left"/>
              <w:rPr>
                <w:rFonts w:hint="eastAsia" w:ascii="宋体" w:hAnsi="宋体"/>
                <w:color w:val="auto"/>
                <w:szCs w:val="21"/>
                <w:highlight w:val="none"/>
              </w:rPr>
            </w:pPr>
            <w:r>
              <w:rPr>
                <w:rFonts w:hint="eastAsia" w:ascii="宋体" w:hAnsi="宋体"/>
                <w:color w:val="auto"/>
                <w:szCs w:val="21"/>
                <w:highlight w:val="none"/>
              </w:rPr>
              <w:t>焊接：采用二氧化碳气体保护焊，焊点应满焊、均匀、牢固、平整，无漏焊、假焊、裂纹、烧穿、毛刺、表面气孔、夹渣、焊疤堆积等缺陷，焊接后打磨、除刺及抛光。</w:t>
            </w:r>
          </w:p>
          <w:p w14:paraId="5A4305E5">
            <w:pPr>
              <w:numPr>
                <w:ilvl w:val="0"/>
                <w:numId w:val="16"/>
              </w:numPr>
              <w:jc w:val="left"/>
              <w:rPr>
                <w:rFonts w:hint="eastAsia" w:ascii="宋体" w:hAnsi="宋体"/>
                <w:bCs/>
                <w:color w:val="auto"/>
                <w:szCs w:val="21"/>
                <w:highlight w:val="none"/>
              </w:rPr>
            </w:pPr>
            <w:r>
              <w:rPr>
                <w:rFonts w:hint="eastAsia" w:ascii="宋体" w:hAnsi="宋体"/>
                <w:color w:val="auto"/>
                <w:szCs w:val="21"/>
                <w:highlight w:val="none"/>
              </w:rPr>
              <w:t>喷涂：</w:t>
            </w:r>
            <w:r>
              <w:rPr>
                <w:rFonts w:hint="eastAsia" w:ascii="宋体" w:hAnsi="宋体"/>
                <w:color w:val="auto"/>
                <w:spacing w:val="6"/>
                <w:szCs w:val="21"/>
                <w:highlight w:val="none"/>
              </w:rPr>
              <w:t>采用优质环保产品环氧聚脂塑粉静电喷塑。</w:t>
            </w:r>
          </w:p>
          <w:p w14:paraId="5845F79C">
            <w:pPr>
              <w:numPr>
                <w:ilvl w:val="0"/>
                <w:numId w:val="16"/>
              </w:numPr>
              <w:jc w:val="left"/>
              <w:rPr>
                <w:rFonts w:hint="eastAsia" w:ascii="宋体" w:hAnsi="宋体"/>
                <w:color w:val="auto"/>
                <w:szCs w:val="21"/>
                <w:highlight w:val="none"/>
              </w:rPr>
            </w:pPr>
            <w:r>
              <w:rPr>
                <w:rFonts w:hint="eastAsia" w:ascii="宋体" w:hAnsi="宋体"/>
                <w:bCs/>
                <w:color w:val="auto"/>
                <w:szCs w:val="21"/>
                <w:highlight w:val="none"/>
              </w:rPr>
              <w:t>边立柱采用</w:t>
            </w:r>
            <w:r>
              <w:rPr>
                <w:rFonts w:hint="eastAsia" w:ascii="宋体" w:hAnsi="宋体"/>
                <w:color w:val="auto"/>
                <w:kern w:val="0"/>
                <w:szCs w:val="21"/>
                <w:highlight w:val="none"/>
                <w:lang w:bidi="ar"/>
              </w:rPr>
              <w:t>≥</w:t>
            </w:r>
            <w:r>
              <w:rPr>
                <w:rFonts w:hint="eastAsia" w:ascii="宋体" w:hAnsi="宋体"/>
                <w:bCs/>
                <w:color w:val="auto"/>
                <w:szCs w:val="21"/>
                <w:highlight w:val="none"/>
              </w:rPr>
              <w:t>68mm*68mm*1.2mmV形管，横梁采用</w:t>
            </w:r>
            <w:r>
              <w:rPr>
                <w:rFonts w:hint="eastAsia" w:ascii="宋体" w:hAnsi="宋体"/>
                <w:color w:val="auto"/>
                <w:kern w:val="0"/>
                <w:szCs w:val="21"/>
                <w:highlight w:val="none"/>
                <w:lang w:bidi="ar"/>
              </w:rPr>
              <w:t>≥</w:t>
            </w:r>
            <w:r>
              <w:rPr>
                <w:rFonts w:hint="eastAsia" w:ascii="宋体" w:hAnsi="宋体"/>
                <w:bCs/>
                <w:color w:val="auto"/>
                <w:szCs w:val="21"/>
                <w:highlight w:val="none"/>
              </w:rPr>
              <w:t>25mm*50mm*1.2mm方管.</w:t>
            </w:r>
            <w:r>
              <w:rPr>
                <w:rFonts w:hint="eastAsia" w:ascii="宋体" w:hAnsi="宋体"/>
                <w:color w:val="auto"/>
                <w:szCs w:val="21"/>
                <w:highlight w:val="none"/>
              </w:rPr>
              <w:t>(不允许开口型材），外观尺寸偏差值不得大于1mm</w:t>
            </w:r>
          </w:p>
          <w:p w14:paraId="0F38F836">
            <w:pPr>
              <w:numPr>
                <w:ilvl w:val="0"/>
                <w:numId w:val="16"/>
              </w:numPr>
              <w:jc w:val="left"/>
              <w:rPr>
                <w:rFonts w:hint="eastAsia" w:ascii="宋体" w:hAnsi="宋体"/>
                <w:bCs/>
                <w:color w:val="auto"/>
                <w:szCs w:val="21"/>
                <w:highlight w:val="none"/>
              </w:rPr>
            </w:pPr>
            <w:r>
              <w:rPr>
                <w:rFonts w:hint="eastAsia" w:ascii="宋体" w:hAnsi="宋体"/>
                <w:color w:val="auto"/>
                <w:szCs w:val="21"/>
                <w:highlight w:val="none"/>
              </w:rPr>
              <w:t>立柱正面外角为R30圆弧形防碰撞设计，表面有</w:t>
            </w:r>
            <w:r>
              <w:rPr>
                <w:rFonts w:hint="eastAsia" w:ascii="宋体" w:hAnsi="宋体"/>
                <w:color w:val="auto"/>
                <w:kern w:val="0"/>
                <w:szCs w:val="21"/>
                <w:highlight w:val="none"/>
                <w:lang w:bidi="ar"/>
              </w:rPr>
              <w:t>≥</w:t>
            </w:r>
            <w:r>
              <w:rPr>
                <w:rFonts w:hint="eastAsia" w:ascii="宋体" w:hAnsi="宋体"/>
                <w:color w:val="auto"/>
                <w:szCs w:val="21"/>
                <w:highlight w:val="none"/>
              </w:rPr>
              <w:t>3条R5加强设计，增加床体强度，床头护栏</w:t>
            </w:r>
            <w:r>
              <w:rPr>
                <w:rFonts w:hint="eastAsia" w:ascii="宋体" w:hAnsi="宋体"/>
                <w:bCs/>
                <w:color w:val="auto"/>
                <w:szCs w:val="21"/>
                <w:highlight w:val="none"/>
              </w:rPr>
              <w:t>采用气辅注塑工艺，护栏长度</w:t>
            </w:r>
            <w:r>
              <w:rPr>
                <w:rFonts w:hint="eastAsia" w:ascii="宋体" w:hAnsi="宋体"/>
                <w:color w:val="auto"/>
                <w:kern w:val="0"/>
                <w:szCs w:val="21"/>
                <w:highlight w:val="none"/>
                <w:lang w:bidi="ar"/>
              </w:rPr>
              <w:t>≥</w:t>
            </w:r>
            <w:r>
              <w:rPr>
                <w:rFonts w:hint="eastAsia" w:ascii="宋体" w:hAnsi="宋体"/>
                <w:bCs/>
                <w:color w:val="auto"/>
                <w:szCs w:val="21"/>
                <w:highlight w:val="none"/>
              </w:rPr>
              <w:t>765mm，高度</w:t>
            </w:r>
            <w:r>
              <w:rPr>
                <w:rFonts w:hint="eastAsia" w:ascii="宋体" w:hAnsi="宋体"/>
                <w:color w:val="auto"/>
                <w:kern w:val="0"/>
                <w:szCs w:val="21"/>
                <w:highlight w:val="none"/>
                <w:lang w:bidi="ar"/>
              </w:rPr>
              <w:t>≥</w:t>
            </w:r>
            <w:r>
              <w:rPr>
                <w:rFonts w:hint="eastAsia" w:ascii="宋体" w:hAnsi="宋体"/>
                <w:bCs/>
                <w:color w:val="auto"/>
                <w:szCs w:val="21"/>
                <w:highlight w:val="none"/>
              </w:rPr>
              <w:t>300mm，上部圆弧形防碰撞设计。</w:t>
            </w:r>
          </w:p>
          <w:p w14:paraId="1796EF9C">
            <w:pPr>
              <w:numPr>
                <w:ilvl w:val="0"/>
                <w:numId w:val="16"/>
              </w:numPr>
              <w:jc w:val="left"/>
              <w:rPr>
                <w:rFonts w:hint="eastAsia" w:ascii="宋体" w:hAnsi="宋体"/>
                <w:bCs/>
                <w:color w:val="auto"/>
                <w:szCs w:val="21"/>
                <w:highlight w:val="none"/>
              </w:rPr>
            </w:pPr>
            <w:r>
              <w:rPr>
                <w:rFonts w:hint="eastAsia" w:ascii="宋体" w:hAnsi="宋体"/>
                <w:bCs/>
                <w:color w:val="auto"/>
                <w:szCs w:val="21"/>
                <w:highlight w:val="none"/>
              </w:rPr>
              <w:t>中立柱采用</w:t>
            </w:r>
            <w:r>
              <w:rPr>
                <w:rFonts w:hint="eastAsia" w:ascii="宋体" w:hAnsi="宋体"/>
                <w:color w:val="auto"/>
                <w:kern w:val="0"/>
                <w:szCs w:val="21"/>
                <w:highlight w:val="none"/>
                <w:lang w:bidi="ar"/>
              </w:rPr>
              <w:t>≥</w:t>
            </w:r>
            <w:r>
              <w:rPr>
                <w:rFonts w:hint="eastAsia" w:ascii="宋体" w:hAnsi="宋体"/>
                <w:bCs/>
                <w:color w:val="auto"/>
                <w:szCs w:val="21"/>
                <w:highlight w:val="none"/>
              </w:rPr>
              <w:t>68mm*68mm*1.2mm方管，横梁为</w:t>
            </w:r>
            <w:r>
              <w:rPr>
                <w:rFonts w:hint="eastAsia" w:ascii="宋体" w:hAnsi="宋体"/>
                <w:color w:val="auto"/>
                <w:kern w:val="0"/>
                <w:szCs w:val="21"/>
                <w:highlight w:val="none"/>
                <w:lang w:bidi="ar"/>
              </w:rPr>
              <w:t>≥</w:t>
            </w:r>
            <w:r>
              <w:rPr>
                <w:rFonts w:hint="eastAsia" w:ascii="宋体" w:hAnsi="宋体"/>
                <w:bCs/>
                <w:color w:val="auto"/>
                <w:szCs w:val="21"/>
                <w:highlight w:val="none"/>
              </w:rPr>
              <w:t>25mm*50mm*1.2mm方管</w:t>
            </w:r>
            <w:r>
              <w:rPr>
                <w:rFonts w:hint="eastAsia" w:ascii="宋体" w:hAnsi="宋体"/>
                <w:color w:val="auto"/>
                <w:szCs w:val="21"/>
                <w:highlight w:val="none"/>
              </w:rPr>
              <w:t>(不允许开口型材）床头护栏</w:t>
            </w:r>
            <w:r>
              <w:rPr>
                <w:rFonts w:hint="eastAsia" w:ascii="宋体" w:hAnsi="宋体"/>
                <w:bCs/>
                <w:color w:val="auto"/>
                <w:szCs w:val="21"/>
                <w:highlight w:val="none"/>
              </w:rPr>
              <w:t>采用气辅注塑工艺，护栏长度</w:t>
            </w:r>
            <w:r>
              <w:rPr>
                <w:rFonts w:hint="eastAsia" w:ascii="宋体" w:hAnsi="宋体"/>
                <w:color w:val="auto"/>
                <w:kern w:val="0"/>
                <w:szCs w:val="21"/>
                <w:highlight w:val="none"/>
                <w:lang w:bidi="ar"/>
              </w:rPr>
              <w:t>≥</w:t>
            </w:r>
            <w:r>
              <w:rPr>
                <w:rFonts w:hint="eastAsia" w:ascii="宋体" w:hAnsi="宋体"/>
                <w:bCs/>
                <w:color w:val="auto"/>
                <w:szCs w:val="21"/>
                <w:highlight w:val="none"/>
              </w:rPr>
              <w:t>445mm，高度</w:t>
            </w:r>
            <w:r>
              <w:rPr>
                <w:rFonts w:hint="eastAsia" w:ascii="宋体" w:hAnsi="宋体"/>
                <w:color w:val="auto"/>
                <w:kern w:val="0"/>
                <w:szCs w:val="21"/>
                <w:highlight w:val="none"/>
                <w:lang w:bidi="ar"/>
              </w:rPr>
              <w:t>≥</w:t>
            </w:r>
            <w:r>
              <w:rPr>
                <w:rFonts w:hint="eastAsia" w:ascii="宋体" w:hAnsi="宋体"/>
                <w:bCs/>
                <w:color w:val="auto"/>
                <w:szCs w:val="21"/>
                <w:highlight w:val="none"/>
              </w:rPr>
              <w:t>300mm。上部圆弧形防碰撞设计。</w:t>
            </w:r>
          </w:p>
          <w:p w14:paraId="05C4E75D">
            <w:pPr>
              <w:numPr>
                <w:ilvl w:val="0"/>
                <w:numId w:val="16"/>
              </w:numPr>
              <w:rPr>
                <w:rFonts w:hint="eastAsia" w:ascii="宋体" w:hAnsi="宋体"/>
                <w:bCs/>
                <w:color w:val="auto"/>
                <w:szCs w:val="21"/>
                <w:highlight w:val="none"/>
              </w:rPr>
            </w:pPr>
            <w:r>
              <w:rPr>
                <w:rFonts w:hint="eastAsia" w:ascii="宋体" w:hAnsi="宋体"/>
                <w:bCs/>
                <w:color w:val="auto"/>
                <w:szCs w:val="21"/>
                <w:highlight w:val="none"/>
              </w:rPr>
              <w:t>床框主管采用</w:t>
            </w:r>
            <w:r>
              <w:rPr>
                <w:rFonts w:hint="eastAsia" w:ascii="宋体" w:hAnsi="宋体"/>
                <w:color w:val="auto"/>
                <w:kern w:val="0"/>
                <w:szCs w:val="21"/>
                <w:highlight w:val="none"/>
                <w:lang w:bidi="ar"/>
              </w:rPr>
              <w:t>≥</w:t>
            </w:r>
            <w:r>
              <w:rPr>
                <w:rFonts w:hint="eastAsia" w:ascii="宋体" w:hAnsi="宋体"/>
                <w:bCs/>
                <w:color w:val="auto"/>
                <w:szCs w:val="21"/>
                <w:highlight w:val="none"/>
              </w:rPr>
              <w:t>45mm*90mm*1.2mm厚P形管；</w:t>
            </w:r>
            <w:r>
              <w:rPr>
                <w:rFonts w:hint="eastAsia" w:ascii="宋体" w:hAnsi="宋体"/>
                <w:color w:val="auto"/>
                <w:szCs w:val="21"/>
                <w:highlight w:val="none"/>
              </w:rPr>
              <w:t>(不允许开口型材）外观尺寸偏差值不得大于1mm，外表面三条加强筋，压型宽度</w:t>
            </w:r>
            <w:r>
              <w:rPr>
                <w:rFonts w:hint="eastAsia" w:ascii="宋体" w:hAnsi="宋体"/>
                <w:color w:val="auto"/>
                <w:kern w:val="0"/>
                <w:szCs w:val="21"/>
                <w:highlight w:val="none"/>
                <w:lang w:bidi="ar"/>
              </w:rPr>
              <w:t>≥</w:t>
            </w:r>
            <w:r>
              <w:rPr>
                <w:rFonts w:hint="eastAsia" w:ascii="宋体" w:hAnsi="宋体"/>
                <w:color w:val="auto"/>
                <w:szCs w:val="21"/>
                <w:highlight w:val="none"/>
              </w:rPr>
              <w:t>12mm，压型深度</w:t>
            </w:r>
            <w:r>
              <w:rPr>
                <w:rFonts w:hint="eastAsia" w:ascii="宋体" w:hAnsi="宋体"/>
                <w:color w:val="auto"/>
                <w:kern w:val="0"/>
                <w:szCs w:val="21"/>
                <w:highlight w:val="none"/>
                <w:lang w:bidi="ar"/>
              </w:rPr>
              <w:t>≥</w:t>
            </w:r>
            <w:r>
              <w:rPr>
                <w:rFonts w:hint="eastAsia" w:ascii="宋体" w:hAnsi="宋体"/>
                <w:color w:val="auto"/>
                <w:szCs w:val="21"/>
                <w:highlight w:val="none"/>
              </w:rPr>
              <w:t>3.0mm</w:t>
            </w:r>
            <w:r>
              <w:rPr>
                <w:rFonts w:hint="eastAsia" w:ascii="宋体" w:hAnsi="宋体"/>
                <w:bCs/>
                <w:color w:val="auto"/>
                <w:szCs w:val="21"/>
                <w:highlight w:val="none"/>
              </w:rPr>
              <w:t>，床框横称采用五根</w:t>
            </w:r>
            <w:r>
              <w:rPr>
                <w:rFonts w:hint="eastAsia" w:ascii="宋体" w:hAnsi="宋体"/>
                <w:color w:val="auto"/>
                <w:kern w:val="0"/>
                <w:szCs w:val="21"/>
                <w:highlight w:val="none"/>
                <w:lang w:bidi="ar"/>
              </w:rPr>
              <w:t>≥</w:t>
            </w:r>
            <w:r>
              <w:rPr>
                <w:rFonts w:hint="eastAsia" w:ascii="宋体" w:hAnsi="宋体"/>
                <w:bCs/>
                <w:color w:val="auto"/>
                <w:szCs w:val="21"/>
                <w:highlight w:val="none"/>
              </w:rPr>
              <w:t xml:space="preserve"> 25mm*25mm*1.2mm方管。</w:t>
            </w:r>
          </w:p>
          <w:p w14:paraId="17CCA676">
            <w:pPr>
              <w:numPr>
                <w:ilvl w:val="0"/>
                <w:numId w:val="16"/>
              </w:numPr>
              <w:rPr>
                <w:rFonts w:hint="eastAsia" w:ascii="宋体" w:hAnsi="宋体"/>
                <w:bCs/>
                <w:color w:val="auto"/>
                <w:szCs w:val="21"/>
                <w:highlight w:val="none"/>
              </w:rPr>
            </w:pPr>
            <w:r>
              <w:rPr>
                <w:rFonts w:hint="eastAsia" w:ascii="宋体" w:hAnsi="宋体"/>
                <w:bCs/>
                <w:color w:val="auto"/>
                <w:kern w:val="0"/>
                <w:szCs w:val="21"/>
                <w:highlight w:val="none"/>
              </w:rPr>
              <w:t>床铺护栏：采用气辅注塑工艺，规格长</w:t>
            </w:r>
            <w:r>
              <w:rPr>
                <w:rFonts w:hint="eastAsia" w:ascii="宋体" w:hAnsi="宋体"/>
                <w:color w:val="auto"/>
                <w:kern w:val="0"/>
                <w:szCs w:val="21"/>
                <w:highlight w:val="none"/>
                <w:lang w:bidi="ar"/>
              </w:rPr>
              <w:t>≥</w:t>
            </w:r>
            <w:r>
              <w:rPr>
                <w:rFonts w:hint="eastAsia" w:ascii="宋体" w:hAnsi="宋体"/>
                <w:bCs/>
                <w:color w:val="auto"/>
                <w:kern w:val="0"/>
                <w:szCs w:val="21"/>
                <w:highlight w:val="none"/>
              </w:rPr>
              <w:t>1400mm，高</w:t>
            </w:r>
            <w:r>
              <w:rPr>
                <w:rFonts w:hint="eastAsia" w:ascii="宋体" w:hAnsi="宋体"/>
                <w:color w:val="auto"/>
                <w:kern w:val="0"/>
                <w:szCs w:val="21"/>
                <w:highlight w:val="none"/>
                <w:lang w:bidi="ar"/>
              </w:rPr>
              <w:t>≥</w:t>
            </w:r>
            <w:r>
              <w:rPr>
                <w:rFonts w:hint="eastAsia" w:ascii="宋体" w:hAnsi="宋体"/>
                <w:bCs/>
                <w:color w:val="auto"/>
                <w:kern w:val="0"/>
                <w:szCs w:val="21"/>
                <w:highlight w:val="none"/>
              </w:rPr>
              <w:t>300mm，上部圆弧形防碰撞设计。线条流畅，加高护栏，既起到保护作用，又不影响美观。</w:t>
            </w:r>
          </w:p>
          <w:p w14:paraId="211ABCEF">
            <w:pPr>
              <w:numPr>
                <w:ilvl w:val="0"/>
                <w:numId w:val="16"/>
              </w:numPr>
              <w:rPr>
                <w:rFonts w:hint="eastAsia" w:ascii="宋体" w:hAnsi="宋体"/>
                <w:color w:val="auto"/>
                <w:szCs w:val="21"/>
                <w:highlight w:val="none"/>
              </w:rPr>
            </w:pPr>
            <w:r>
              <w:rPr>
                <w:rFonts w:hint="eastAsia" w:ascii="宋体" w:hAnsi="宋体"/>
                <w:color w:val="auto"/>
                <w:szCs w:val="21"/>
                <w:highlight w:val="none"/>
              </w:rPr>
              <w:t>爬梯：爬梯板共四踏，规格</w:t>
            </w:r>
            <w:r>
              <w:rPr>
                <w:rFonts w:hint="eastAsia" w:ascii="宋体" w:hAnsi="宋体"/>
                <w:color w:val="auto"/>
                <w:kern w:val="0"/>
                <w:szCs w:val="21"/>
                <w:highlight w:val="none"/>
                <w:lang w:bidi="ar"/>
              </w:rPr>
              <w:t>≥</w:t>
            </w:r>
            <w:r>
              <w:rPr>
                <w:rFonts w:hint="eastAsia" w:ascii="宋体" w:hAnsi="宋体"/>
                <w:color w:val="auto"/>
                <w:szCs w:val="21"/>
                <w:highlight w:val="none"/>
              </w:rPr>
              <w:t>600mm*270mm*315mm，采用</w:t>
            </w:r>
            <w:r>
              <w:rPr>
                <w:rFonts w:hint="eastAsia" w:ascii="宋体" w:hAnsi="宋体"/>
                <w:color w:val="auto"/>
                <w:kern w:val="0"/>
                <w:szCs w:val="21"/>
                <w:highlight w:val="none"/>
                <w:lang w:bidi="ar"/>
              </w:rPr>
              <w:t>≥</w:t>
            </w:r>
            <w:r>
              <w:rPr>
                <w:rFonts w:hint="eastAsia" w:ascii="宋体" w:hAnsi="宋体"/>
                <w:color w:val="auto"/>
                <w:szCs w:val="21"/>
                <w:highlight w:val="none"/>
              </w:rPr>
              <w:t>18mm高密度板注塑成型，具有储物柜和爬梯功能，爬梯下支撑架采用</w:t>
            </w:r>
            <w:r>
              <w:rPr>
                <w:rFonts w:hint="eastAsia" w:ascii="宋体" w:hAnsi="宋体"/>
                <w:color w:val="auto"/>
                <w:kern w:val="0"/>
                <w:szCs w:val="21"/>
                <w:highlight w:val="none"/>
                <w:lang w:bidi="ar"/>
              </w:rPr>
              <w:t>≥</w:t>
            </w:r>
            <w:r>
              <w:rPr>
                <w:rFonts w:hint="eastAsia" w:ascii="宋体" w:hAnsi="宋体"/>
                <w:color w:val="auto"/>
                <w:szCs w:val="21"/>
                <w:highlight w:val="none"/>
              </w:rPr>
              <w:t>15mm*30mm*1.5mm厚方管焊接。</w:t>
            </w:r>
          </w:p>
          <w:p w14:paraId="19CEDBEB">
            <w:pPr>
              <w:numPr>
                <w:ilvl w:val="0"/>
                <w:numId w:val="16"/>
              </w:numPr>
              <w:rPr>
                <w:rFonts w:hint="eastAsia" w:ascii="宋体" w:hAnsi="宋体"/>
                <w:color w:val="auto"/>
                <w:szCs w:val="21"/>
                <w:highlight w:val="none"/>
              </w:rPr>
            </w:pPr>
            <w:r>
              <w:rPr>
                <w:rFonts w:hint="eastAsia" w:ascii="宋体" w:hAnsi="宋体"/>
                <w:color w:val="auto"/>
                <w:szCs w:val="21"/>
                <w:highlight w:val="none"/>
              </w:rPr>
              <w:t>床板：采用</w:t>
            </w:r>
            <w:r>
              <w:rPr>
                <w:rFonts w:hint="eastAsia" w:ascii="宋体" w:hAnsi="宋体"/>
                <w:color w:val="auto"/>
                <w:kern w:val="0"/>
                <w:szCs w:val="21"/>
                <w:highlight w:val="none"/>
                <w:lang w:bidi="ar"/>
              </w:rPr>
              <w:t>≥</w:t>
            </w:r>
            <w:r>
              <w:rPr>
                <w:rFonts w:hint="eastAsia" w:ascii="宋体" w:hAnsi="宋体"/>
                <w:color w:val="auto"/>
                <w:szCs w:val="21"/>
                <w:highlight w:val="none"/>
              </w:rPr>
              <w:t>16mm 厚优质环保多层板。</w:t>
            </w:r>
          </w:p>
          <w:p w14:paraId="2FD7779A">
            <w:pPr>
              <w:numPr>
                <w:ilvl w:val="0"/>
                <w:numId w:val="16"/>
              </w:numPr>
              <w:rPr>
                <w:rFonts w:hint="eastAsia" w:ascii="宋体" w:hAnsi="宋体"/>
                <w:color w:val="auto"/>
                <w:szCs w:val="21"/>
                <w:highlight w:val="none"/>
              </w:rPr>
            </w:pPr>
            <w:r>
              <w:rPr>
                <w:rFonts w:hint="eastAsia" w:ascii="宋体" w:hAnsi="宋体"/>
                <w:bCs/>
                <w:color w:val="auto"/>
                <w:szCs w:val="21"/>
                <w:highlight w:val="none"/>
              </w:rPr>
              <w:t>鞋架：</w:t>
            </w:r>
            <w:r>
              <w:rPr>
                <w:rFonts w:hint="eastAsia" w:ascii="宋体" w:hAnsi="宋体"/>
                <w:color w:val="auto"/>
                <w:szCs w:val="21"/>
                <w:highlight w:val="none"/>
              </w:rPr>
              <w:t>床下层合理设计鞋架，</w:t>
            </w:r>
            <w:r>
              <w:rPr>
                <w:rFonts w:hint="eastAsia" w:ascii="宋体" w:hAnsi="宋体"/>
                <w:bCs/>
                <w:color w:val="auto"/>
                <w:szCs w:val="21"/>
                <w:highlight w:val="none"/>
              </w:rPr>
              <w:t>采用</w:t>
            </w:r>
            <w:r>
              <w:rPr>
                <w:rFonts w:hint="eastAsia" w:ascii="宋体" w:hAnsi="宋体"/>
                <w:color w:val="auto"/>
                <w:kern w:val="0"/>
                <w:szCs w:val="21"/>
                <w:highlight w:val="none"/>
                <w:lang w:bidi="ar"/>
              </w:rPr>
              <w:t>≥</w:t>
            </w:r>
            <w:r>
              <w:rPr>
                <w:rFonts w:hint="eastAsia" w:ascii="宋体" w:hAnsi="宋体"/>
                <w:bCs/>
                <w:color w:val="auto"/>
                <w:szCs w:val="21"/>
                <w:highlight w:val="none"/>
              </w:rPr>
              <w:t>20mm×20mm×1.0mm厚方管弯曲焊接成型。</w:t>
            </w:r>
          </w:p>
          <w:p w14:paraId="78140F61">
            <w:pPr>
              <w:numPr>
                <w:ilvl w:val="0"/>
                <w:numId w:val="16"/>
              </w:numPr>
              <w:jc w:val="left"/>
              <w:rPr>
                <w:rFonts w:hint="eastAsia" w:ascii="宋体" w:hAnsi="宋体"/>
                <w:color w:val="auto"/>
                <w:szCs w:val="21"/>
                <w:highlight w:val="none"/>
              </w:rPr>
            </w:pPr>
            <w:r>
              <w:rPr>
                <w:rFonts w:hint="eastAsia" w:ascii="宋体" w:hAnsi="宋体"/>
                <w:bCs/>
                <w:color w:val="auto"/>
                <w:szCs w:val="21"/>
                <w:highlight w:val="none"/>
              </w:rPr>
              <w:t>立柱顶盖和脚套：采用工程塑料一次性注塑成型，具有减震、降噪音、耐磨、防腐蚀功能。立柱与脚套应紧密结合，牢固，不易脱落。</w:t>
            </w:r>
          </w:p>
          <w:p w14:paraId="349F0489">
            <w:pPr>
              <w:numPr>
                <w:ilvl w:val="0"/>
                <w:numId w:val="16"/>
              </w:numPr>
              <w:jc w:val="left"/>
              <w:rPr>
                <w:rFonts w:hint="eastAsia" w:ascii="宋体" w:hAnsi="宋体"/>
                <w:color w:val="auto"/>
                <w:szCs w:val="21"/>
                <w:highlight w:val="none"/>
              </w:rPr>
            </w:pPr>
            <w:r>
              <w:rPr>
                <w:rFonts w:hint="eastAsia" w:ascii="宋体" w:hAnsi="宋体"/>
                <w:color w:val="auto"/>
                <w:szCs w:val="21"/>
                <w:highlight w:val="none"/>
              </w:rPr>
              <w:t>制作结构及工艺:床头焊接为一体，整体制作，采用气体保护焊，床体焊接采用二氧化碳保护焊，坚固、平整、光滑、无棱角、无流渣。</w:t>
            </w:r>
          </w:p>
          <w:p w14:paraId="537DBED4">
            <w:pPr>
              <w:numPr>
                <w:ilvl w:val="0"/>
                <w:numId w:val="16"/>
              </w:numPr>
              <w:jc w:val="left"/>
              <w:outlineLvl w:val="1"/>
              <w:rPr>
                <w:rFonts w:hint="eastAsia" w:ascii="宋体" w:hAnsi="宋体"/>
                <w:bCs/>
                <w:color w:val="auto"/>
                <w:szCs w:val="21"/>
                <w:highlight w:val="none"/>
              </w:rPr>
            </w:pPr>
            <w:r>
              <w:rPr>
                <w:rFonts w:hint="eastAsia" w:ascii="宋体" w:hAnsi="宋体"/>
                <w:bCs/>
                <w:color w:val="auto"/>
                <w:szCs w:val="21"/>
                <w:highlight w:val="none"/>
              </w:rPr>
              <w:t>所有钢管经喷砂后，使用环保塑粉，做静电喷涂处理，涂层无剥落，平整美观。</w:t>
            </w:r>
          </w:p>
          <w:p w14:paraId="1A0EBAA9">
            <w:pPr>
              <w:numPr>
                <w:ilvl w:val="0"/>
                <w:numId w:val="16"/>
              </w:numPr>
              <w:jc w:val="left"/>
              <w:outlineLvl w:val="1"/>
              <w:rPr>
                <w:rFonts w:hint="eastAsia" w:ascii="宋体" w:hAnsi="宋体"/>
                <w:bCs/>
                <w:color w:val="auto"/>
                <w:szCs w:val="21"/>
                <w:highlight w:val="none"/>
              </w:rPr>
            </w:pPr>
            <w:r>
              <w:rPr>
                <w:rFonts w:hint="eastAsia" w:ascii="宋体" w:hAnsi="宋体"/>
                <w:bCs/>
                <w:color w:val="auto"/>
                <w:szCs w:val="21"/>
                <w:highlight w:val="none"/>
              </w:rPr>
              <w:t>工艺：钢制表层处理采用喷砂抛丸除锈，高压静电喷塑，涂层均匀牢固，没有传统喷漆常见的流挂，气泡等缺陷。</w:t>
            </w:r>
          </w:p>
          <w:p w14:paraId="421BB199">
            <w:pPr>
              <w:numPr>
                <w:ilvl w:val="0"/>
                <w:numId w:val="16"/>
              </w:numPr>
              <w:jc w:val="left"/>
              <w:outlineLvl w:val="1"/>
              <w:rPr>
                <w:rFonts w:hint="eastAsia" w:ascii="宋体" w:hAnsi="宋体"/>
                <w:color w:val="auto"/>
                <w:kern w:val="0"/>
                <w:szCs w:val="21"/>
                <w:highlight w:val="none"/>
                <w:lang w:bidi="ar"/>
              </w:rPr>
            </w:pPr>
            <w:r>
              <w:rPr>
                <w:rFonts w:hint="eastAsia" w:ascii="宋体" w:hAnsi="宋体"/>
                <w:color w:val="auto"/>
                <w:szCs w:val="21"/>
                <w:highlight w:val="none"/>
              </w:rPr>
              <w:t>连接挂件：采用冷轧钢板，经模压成L型，有三个连接卡扣，材料厚度</w:t>
            </w:r>
            <w:r>
              <w:rPr>
                <w:rFonts w:hint="eastAsia" w:ascii="宋体" w:hAnsi="宋体"/>
                <w:color w:val="auto"/>
                <w:kern w:val="0"/>
                <w:szCs w:val="21"/>
                <w:highlight w:val="none"/>
                <w:lang w:bidi="ar"/>
              </w:rPr>
              <w:t>≥</w:t>
            </w:r>
            <w:r>
              <w:rPr>
                <w:rFonts w:hint="eastAsia" w:ascii="宋体" w:hAnsi="宋体"/>
                <w:color w:val="auto"/>
                <w:szCs w:val="21"/>
                <w:highlight w:val="none"/>
              </w:rPr>
              <w:t>2.0mm。</w:t>
            </w:r>
          </w:p>
          <w:p w14:paraId="3B790A02">
            <w:pPr>
              <w:numPr>
                <w:ilvl w:val="0"/>
                <w:numId w:val="16"/>
              </w:numPr>
              <w:jc w:val="left"/>
              <w:outlineLvl w:val="1"/>
              <w:rPr>
                <w:rFonts w:hint="eastAsia" w:ascii="宋体" w:hAnsi="宋体"/>
                <w:color w:val="auto"/>
                <w:kern w:val="0"/>
                <w:szCs w:val="21"/>
                <w:highlight w:val="none"/>
                <w:lang w:bidi="ar"/>
              </w:rPr>
            </w:pPr>
            <w:r>
              <w:rPr>
                <w:rFonts w:hint="eastAsia" w:ascii="宋体" w:hAnsi="宋体"/>
                <w:color w:val="auto"/>
                <w:szCs w:val="21"/>
                <w:highlight w:val="none"/>
              </w:rPr>
              <w:t>学生公寓床整体效果参考下图（仅供参考）：</w:t>
            </w:r>
          </w:p>
          <w:p w14:paraId="2D81B6E2">
            <w:pPr>
              <w:jc w:val="left"/>
              <w:outlineLvl w:val="1"/>
              <w:rPr>
                <w:rFonts w:hint="eastAsia" w:ascii="宋体" w:hAnsi="宋体"/>
                <w:color w:val="auto"/>
                <w:kern w:val="0"/>
                <w:szCs w:val="21"/>
                <w:highlight w:val="none"/>
                <w:lang w:bidi="ar"/>
              </w:rPr>
            </w:pPr>
            <w:r>
              <w:rPr>
                <w:rFonts w:ascii="Times New Roman" w:hAnsi="Times New Roman" w:cs="Times New Roman"/>
                <w:color w:val="auto"/>
                <w:highlight w:val="none"/>
              </w:rPr>
              <w:drawing>
                <wp:inline distT="0" distB="0" distL="114300" distR="114300">
                  <wp:extent cx="3800475" cy="2121535"/>
                  <wp:effectExtent l="0" t="0" r="9525" b="12065"/>
                  <wp:docPr id="54062047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620471" name="图片 5"/>
                          <pic:cNvPicPr>
                            <a:picLocks noChangeAspect="1"/>
                          </pic:cNvPicPr>
                        </pic:nvPicPr>
                        <pic:blipFill>
                          <a:blip r:embed="rId6"/>
                          <a:stretch>
                            <a:fillRect/>
                          </a:stretch>
                        </pic:blipFill>
                        <pic:spPr>
                          <a:xfrm>
                            <a:off x="0" y="0"/>
                            <a:ext cx="3860467" cy="2155374"/>
                          </a:xfrm>
                          <a:prstGeom prst="rect">
                            <a:avLst/>
                          </a:prstGeom>
                          <a:noFill/>
                          <a:ln>
                            <a:noFill/>
                          </a:ln>
                        </pic:spPr>
                      </pic:pic>
                    </a:graphicData>
                  </a:graphic>
                </wp:inline>
              </w:drawing>
            </w:r>
          </w:p>
        </w:tc>
        <w:tc>
          <w:tcPr>
            <w:tcW w:w="567" w:type="dxa"/>
            <w:tcBorders>
              <w:top w:val="single" w:color="000000" w:sz="4" w:space="0"/>
              <w:left w:val="single" w:color="000000" w:sz="4" w:space="0"/>
              <w:bottom w:val="single" w:color="000000" w:sz="4" w:space="0"/>
              <w:right w:val="single" w:color="000000" w:sz="4" w:space="0"/>
            </w:tcBorders>
            <w:noWrap/>
            <w:vAlign w:val="center"/>
          </w:tcPr>
          <w:p w14:paraId="6451D2DE">
            <w:pPr>
              <w:widowControl/>
              <w:jc w:val="center"/>
              <w:textAlignment w:val="center"/>
              <w:rPr>
                <w:rFonts w:hint="eastAsia" w:ascii="宋体" w:hAnsi="宋体" w:eastAsia="宋体"/>
                <w:color w:val="auto"/>
                <w:kern w:val="0"/>
                <w:szCs w:val="21"/>
                <w:highlight w:val="none"/>
                <w:lang w:eastAsia="zh-CN" w:bidi="ar"/>
              </w:rPr>
            </w:pPr>
            <w:r>
              <w:rPr>
                <w:rFonts w:hint="eastAsia" w:ascii="宋体" w:hAnsi="宋体"/>
                <w:color w:val="auto"/>
                <w:kern w:val="0"/>
                <w:szCs w:val="21"/>
                <w:highlight w:val="none"/>
                <w:lang w:val="en-US" w:eastAsia="zh-CN" w:bidi="ar"/>
              </w:rPr>
              <w:t>套</w:t>
            </w:r>
          </w:p>
        </w:tc>
        <w:tc>
          <w:tcPr>
            <w:tcW w:w="870" w:type="dxa"/>
            <w:tcBorders>
              <w:top w:val="single" w:color="000000" w:sz="4" w:space="0"/>
              <w:left w:val="single" w:color="000000" w:sz="4" w:space="0"/>
              <w:bottom w:val="single" w:color="000000" w:sz="4" w:space="0"/>
              <w:right w:val="single" w:color="000000" w:sz="4" w:space="0"/>
            </w:tcBorders>
            <w:noWrap/>
            <w:vAlign w:val="center"/>
          </w:tcPr>
          <w:p w14:paraId="32137587">
            <w:pPr>
              <w:widowControl/>
              <w:jc w:val="center"/>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400</w:t>
            </w:r>
          </w:p>
        </w:tc>
      </w:tr>
      <w:tr w14:paraId="60329C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644" w:type="dxa"/>
            <w:vMerge w:val="continue"/>
            <w:tcBorders>
              <w:top w:val="single" w:color="000000" w:sz="4" w:space="0"/>
              <w:left w:val="single" w:color="000000" w:sz="4" w:space="0"/>
              <w:bottom w:val="single" w:color="000000" w:sz="4" w:space="0"/>
              <w:right w:val="single" w:color="000000" w:sz="4" w:space="0"/>
            </w:tcBorders>
            <w:noWrap/>
            <w:vAlign w:val="center"/>
          </w:tcPr>
          <w:p w14:paraId="5554D8FE">
            <w:pPr>
              <w:widowControl/>
              <w:jc w:val="center"/>
              <w:textAlignment w:val="center"/>
              <w:rPr>
                <w:rFonts w:hint="eastAsia" w:ascii="宋体" w:hAnsi="宋体"/>
                <w:color w:val="auto"/>
                <w:kern w:val="0"/>
                <w:szCs w:val="21"/>
                <w:highlight w:val="none"/>
                <w:lang w:bidi="ar"/>
              </w:rPr>
            </w:pPr>
          </w:p>
        </w:tc>
        <w:tc>
          <w:tcPr>
            <w:tcW w:w="851" w:type="dxa"/>
            <w:vMerge w:val="continue"/>
            <w:tcBorders>
              <w:top w:val="single" w:color="000000" w:sz="4" w:space="0"/>
              <w:left w:val="single" w:color="000000" w:sz="4" w:space="0"/>
              <w:bottom w:val="single" w:color="000000" w:sz="4" w:space="0"/>
              <w:right w:val="single" w:color="000000" w:sz="4" w:space="0"/>
            </w:tcBorders>
            <w:noWrap/>
            <w:vAlign w:val="center"/>
          </w:tcPr>
          <w:p w14:paraId="33157153">
            <w:pPr>
              <w:widowControl/>
              <w:jc w:val="center"/>
              <w:textAlignment w:val="center"/>
              <w:rPr>
                <w:rFonts w:hint="eastAsia" w:ascii="宋体" w:hAnsi="宋体"/>
                <w:color w:val="auto"/>
                <w:kern w:val="0"/>
                <w:szCs w:val="21"/>
                <w:highlight w:val="none"/>
                <w:lang w:bidi="ar"/>
              </w:rPr>
            </w:pPr>
          </w:p>
        </w:tc>
        <w:tc>
          <w:tcPr>
            <w:tcW w:w="6378" w:type="dxa"/>
            <w:tcBorders>
              <w:top w:val="single" w:color="000000" w:sz="4" w:space="0"/>
              <w:left w:val="single" w:color="000000" w:sz="4" w:space="0"/>
              <w:bottom w:val="single" w:color="000000" w:sz="4" w:space="0"/>
              <w:right w:val="single" w:color="000000" w:sz="4" w:space="0"/>
            </w:tcBorders>
            <w:noWrap/>
            <w:vAlign w:val="center"/>
          </w:tcPr>
          <w:p w14:paraId="58A949F4">
            <w:pPr>
              <w:widowControl/>
              <w:jc w:val="left"/>
              <w:textAlignment w:val="center"/>
              <w:rPr>
                <w:rFonts w:hint="eastAsia" w:ascii="宋体" w:hAnsi="宋体"/>
                <w:color w:val="auto"/>
                <w:kern w:val="0"/>
                <w:szCs w:val="21"/>
                <w:highlight w:val="none"/>
                <w:lang w:bidi="ar"/>
              </w:rPr>
            </w:pPr>
            <w:r>
              <w:rPr>
                <w:rFonts w:ascii="宋体" w:hAnsi="宋体"/>
                <w:color w:val="auto"/>
                <w:szCs w:val="21"/>
                <w:highlight w:val="none"/>
                <w:lang w:bidi="ar"/>
              </w:rPr>
              <w:t>环保棕床垫：</w:t>
            </w:r>
          </w:p>
          <w:p w14:paraId="7186F672">
            <w:pPr>
              <w:widowControl/>
              <w:numPr>
                <w:ilvl w:val="0"/>
                <w:numId w:val="17"/>
              </w:numPr>
              <w:jc w:val="left"/>
              <w:textAlignment w:val="center"/>
              <w:rPr>
                <w:rFonts w:hint="eastAsia" w:ascii="宋体" w:hAnsi="宋体"/>
                <w:color w:val="auto"/>
                <w:kern w:val="0"/>
                <w:szCs w:val="21"/>
                <w:highlight w:val="none"/>
                <w:lang w:bidi="ar"/>
              </w:rPr>
            </w:pPr>
            <w:r>
              <w:rPr>
                <w:rFonts w:ascii="宋体" w:hAnsi="宋体"/>
                <w:color w:val="auto"/>
                <w:szCs w:val="21"/>
                <w:highlight w:val="none"/>
                <w:lang w:bidi="ar"/>
              </w:rPr>
              <w:t>规格：长度、宽度按照用床铺面实际尺寸订制（与床配套）</w:t>
            </w:r>
          </w:p>
          <w:p w14:paraId="61A96754">
            <w:pPr>
              <w:widowControl/>
              <w:numPr>
                <w:ilvl w:val="0"/>
                <w:numId w:val="17"/>
              </w:numPr>
              <w:jc w:val="left"/>
              <w:textAlignment w:val="center"/>
              <w:rPr>
                <w:rFonts w:hint="eastAsia" w:ascii="宋体" w:hAnsi="宋体"/>
                <w:color w:val="auto"/>
                <w:kern w:val="0"/>
                <w:szCs w:val="21"/>
                <w:highlight w:val="none"/>
                <w:lang w:bidi="ar"/>
              </w:rPr>
            </w:pPr>
            <w:r>
              <w:rPr>
                <w:rFonts w:ascii="宋体" w:hAnsi="宋体"/>
                <w:color w:val="auto"/>
                <w:szCs w:val="21"/>
                <w:highlight w:val="none"/>
                <w:lang w:bidi="ar"/>
              </w:rPr>
              <w:t>用料：</w:t>
            </w:r>
            <w:r>
              <w:rPr>
                <w:rFonts w:ascii="宋体" w:hAnsi="宋体"/>
                <w:color w:val="auto"/>
                <w:szCs w:val="21"/>
                <w:highlight w:val="none"/>
                <w:lang w:bidi="ar"/>
              </w:rPr>
              <w:br w:type="textWrapping"/>
            </w:r>
            <w:r>
              <w:rPr>
                <w:rFonts w:ascii="宋体" w:hAnsi="宋体"/>
                <w:color w:val="auto"/>
                <w:szCs w:val="21"/>
                <w:highlight w:val="none"/>
                <w:lang w:bidi="ar"/>
              </w:rPr>
              <w:t>（1）绗缝面料层A面：第一层采用280g/㎡贝卡特专用针织提花面料，星级酒店用面料，防尘防螨；第二层采用 15mm 超软海绵 25kg/m3，高密、高回弹无碳酸钙优质海绵；第三层采用15mm 超软海绵 25kg/m，高密、高回弹无碳酸钙优质海绵；第四层采用无纺布 30g/m2，环保、耐磨。</w:t>
            </w:r>
            <w:r>
              <w:rPr>
                <w:rFonts w:ascii="宋体" w:hAnsi="宋体"/>
                <w:color w:val="auto"/>
                <w:szCs w:val="21"/>
                <w:highlight w:val="none"/>
                <w:lang w:bidi="ar"/>
              </w:rPr>
              <w:br w:type="textWrapping"/>
            </w:r>
            <w:r>
              <w:rPr>
                <w:rFonts w:ascii="宋体" w:hAnsi="宋体"/>
                <w:color w:val="auto"/>
                <w:szCs w:val="21"/>
                <w:highlight w:val="none"/>
                <w:lang w:bidi="ar"/>
              </w:rPr>
              <w:t>（2）绗缝面料层B面 ：第一层采用220g/㎡贝卡特专用针织提花面料，星级酒店用面料，防尘防螨；第二层采用 10mm 超软海绵 25kg/m3，高密、高回弹无碳酸钙优质海绵；第三层采用无纺布 30g/m2，环保、耐磨。</w:t>
            </w:r>
            <w:r>
              <w:rPr>
                <w:rFonts w:ascii="宋体" w:hAnsi="宋体"/>
                <w:color w:val="auto"/>
                <w:szCs w:val="21"/>
                <w:highlight w:val="none"/>
                <w:lang w:bidi="ar"/>
              </w:rPr>
              <w:br w:type="textWrapping"/>
            </w:r>
            <w:r>
              <w:rPr>
                <w:rFonts w:ascii="宋体" w:hAnsi="宋体"/>
                <w:color w:val="auto"/>
                <w:szCs w:val="21"/>
                <w:highlight w:val="none"/>
                <w:lang w:bidi="ar"/>
              </w:rPr>
              <w:t>（3）绗缝边料层：布料采用220g/㎡贝卡特专用针织提花面料，专用定制面料，防尘防螨；平海绵采用8mm 海绵 16kg/m³，无碳酸钙优质海绵；无纺布采用30g/㎡无纺布。</w:t>
            </w:r>
          </w:p>
          <w:p w14:paraId="3AEDDB5B">
            <w:pPr>
              <w:widowControl/>
              <w:numPr>
                <w:ilvl w:val="0"/>
                <w:numId w:val="17"/>
              </w:numPr>
              <w:jc w:val="left"/>
              <w:textAlignment w:val="center"/>
              <w:rPr>
                <w:rFonts w:hint="eastAsia" w:ascii="宋体" w:hAnsi="宋体"/>
                <w:color w:val="auto"/>
                <w:kern w:val="0"/>
                <w:szCs w:val="21"/>
                <w:highlight w:val="none"/>
                <w:lang w:bidi="ar"/>
              </w:rPr>
            </w:pPr>
            <w:r>
              <w:rPr>
                <w:rFonts w:ascii="宋体" w:hAnsi="宋体"/>
                <w:color w:val="auto"/>
                <w:szCs w:val="21"/>
                <w:highlight w:val="none"/>
                <w:lang w:bidi="ar"/>
              </w:rPr>
              <w:t>制作结构及工艺:</w:t>
            </w:r>
            <w:r>
              <w:rPr>
                <w:rFonts w:ascii="宋体" w:hAnsi="宋体"/>
                <w:color w:val="auto"/>
                <w:szCs w:val="21"/>
                <w:highlight w:val="none"/>
                <w:lang w:bidi="ar"/>
              </w:rPr>
              <w:br w:type="textWrapping"/>
            </w:r>
            <w:r>
              <w:rPr>
                <w:rFonts w:ascii="宋体" w:hAnsi="宋体"/>
                <w:color w:val="auto"/>
                <w:szCs w:val="21"/>
                <w:highlight w:val="none"/>
                <w:lang w:bidi="ar"/>
              </w:rPr>
              <w:t>（1）棕芯厚度：≥3厘米；</w:t>
            </w:r>
            <w:r>
              <w:rPr>
                <w:rFonts w:ascii="宋体" w:hAnsi="宋体"/>
                <w:color w:val="auto"/>
                <w:szCs w:val="21"/>
                <w:highlight w:val="none"/>
                <w:lang w:bidi="ar"/>
              </w:rPr>
              <w:br w:type="textWrapping"/>
            </w:r>
            <w:r>
              <w:rPr>
                <w:rFonts w:ascii="宋体" w:hAnsi="宋体"/>
                <w:color w:val="auto"/>
                <w:szCs w:val="21"/>
                <w:highlight w:val="none"/>
                <w:lang w:bidi="ar"/>
              </w:rPr>
              <w:t>（2）棕芯材质及工艺：天然椰棕，椰丝经高温成型消毒处理，符合安全卫生要求。</w:t>
            </w:r>
            <w:r>
              <w:rPr>
                <w:rFonts w:ascii="宋体" w:hAnsi="宋体"/>
                <w:color w:val="auto"/>
                <w:szCs w:val="21"/>
                <w:highlight w:val="none"/>
                <w:lang w:bidi="ar"/>
              </w:rPr>
              <w:br w:type="textWrapping"/>
            </w:r>
            <w:r>
              <w:rPr>
                <w:rFonts w:ascii="宋体" w:hAnsi="宋体"/>
                <w:color w:val="auto"/>
                <w:szCs w:val="21"/>
                <w:highlight w:val="none"/>
                <w:lang w:bidi="ar"/>
              </w:rPr>
              <w:t>（3）棕芯等级：国标A级；</w:t>
            </w:r>
            <w:r>
              <w:rPr>
                <w:rFonts w:ascii="宋体" w:hAnsi="宋体"/>
                <w:color w:val="auto"/>
                <w:szCs w:val="21"/>
                <w:highlight w:val="none"/>
                <w:lang w:bidi="ar"/>
              </w:rPr>
              <w:br w:type="textWrapping"/>
            </w:r>
            <w:r>
              <w:rPr>
                <w:rFonts w:ascii="宋体" w:hAnsi="宋体"/>
                <w:color w:val="auto"/>
                <w:szCs w:val="21"/>
                <w:highlight w:val="none"/>
                <w:lang w:bidi="ar"/>
              </w:rPr>
              <w:t>（4）环保标准:甲醛释放量≤0.050mg/m³.h</w:t>
            </w:r>
            <w:r>
              <w:rPr>
                <w:rFonts w:ascii="宋体" w:hAnsi="宋体"/>
                <w:color w:val="auto"/>
                <w:szCs w:val="21"/>
                <w:highlight w:val="none"/>
                <w:lang w:bidi="ar"/>
              </w:rPr>
              <w:br w:type="textWrapping"/>
            </w:r>
            <w:r>
              <w:rPr>
                <w:rFonts w:ascii="宋体" w:hAnsi="宋体"/>
                <w:color w:val="auto"/>
                <w:szCs w:val="21"/>
                <w:highlight w:val="none"/>
                <w:lang w:bidi="ar"/>
              </w:rPr>
              <w:t>（5）成品厚度≥6厘米。</w:t>
            </w:r>
          </w:p>
        </w:tc>
        <w:tc>
          <w:tcPr>
            <w:tcW w:w="567" w:type="dxa"/>
            <w:tcBorders>
              <w:top w:val="single" w:color="000000" w:sz="4" w:space="0"/>
              <w:left w:val="single" w:color="000000" w:sz="4" w:space="0"/>
              <w:bottom w:val="single" w:color="000000" w:sz="4" w:space="0"/>
              <w:right w:val="single" w:color="000000" w:sz="4" w:space="0"/>
            </w:tcBorders>
            <w:noWrap/>
            <w:vAlign w:val="center"/>
          </w:tcPr>
          <w:p w14:paraId="520503BB">
            <w:pPr>
              <w:widowControl/>
              <w:jc w:val="center"/>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val="en-US" w:eastAsia="zh-CN" w:bidi="ar"/>
              </w:rPr>
              <w:t>套</w:t>
            </w:r>
          </w:p>
        </w:tc>
        <w:tc>
          <w:tcPr>
            <w:tcW w:w="870" w:type="dxa"/>
            <w:tcBorders>
              <w:top w:val="single" w:color="000000" w:sz="4" w:space="0"/>
              <w:left w:val="single" w:color="000000" w:sz="4" w:space="0"/>
              <w:bottom w:val="single" w:color="000000" w:sz="4" w:space="0"/>
              <w:right w:val="single" w:color="000000" w:sz="4" w:space="0"/>
            </w:tcBorders>
            <w:noWrap/>
            <w:vAlign w:val="center"/>
          </w:tcPr>
          <w:p w14:paraId="256CF653">
            <w:pPr>
              <w:widowControl/>
              <w:jc w:val="center"/>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400</w:t>
            </w:r>
          </w:p>
        </w:tc>
      </w:tr>
      <w:tr w14:paraId="547BC7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644" w:type="dxa"/>
            <w:vMerge w:val="continue"/>
            <w:tcBorders>
              <w:top w:val="single" w:color="000000" w:sz="4" w:space="0"/>
              <w:left w:val="single" w:color="000000" w:sz="4" w:space="0"/>
              <w:bottom w:val="single" w:color="000000" w:sz="4" w:space="0"/>
              <w:right w:val="single" w:color="000000" w:sz="4" w:space="0"/>
            </w:tcBorders>
            <w:noWrap/>
            <w:vAlign w:val="center"/>
          </w:tcPr>
          <w:p w14:paraId="10A600FE">
            <w:pPr>
              <w:widowControl/>
              <w:jc w:val="center"/>
              <w:textAlignment w:val="center"/>
              <w:rPr>
                <w:rFonts w:hint="eastAsia" w:ascii="宋体" w:hAnsi="宋体"/>
                <w:color w:val="auto"/>
                <w:kern w:val="0"/>
                <w:szCs w:val="21"/>
                <w:highlight w:val="none"/>
                <w:lang w:bidi="ar"/>
              </w:rPr>
            </w:pPr>
          </w:p>
        </w:tc>
        <w:tc>
          <w:tcPr>
            <w:tcW w:w="851" w:type="dxa"/>
            <w:vMerge w:val="continue"/>
            <w:tcBorders>
              <w:top w:val="single" w:color="000000" w:sz="4" w:space="0"/>
              <w:left w:val="single" w:color="000000" w:sz="4" w:space="0"/>
              <w:bottom w:val="single" w:color="000000" w:sz="4" w:space="0"/>
              <w:right w:val="single" w:color="000000" w:sz="4" w:space="0"/>
            </w:tcBorders>
            <w:noWrap/>
            <w:vAlign w:val="center"/>
          </w:tcPr>
          <w:p w14:paraId="4B80DC40">
            <w:pPr>
              <w:widowControl/>
              <w:jc w:val="center"/>
              <w:textAlignment w:val="center"/>
              <w:rPr>
                <w:rFonts w:hint="eastAsia" w:ascii="宋体" w:hAnsi="宋体"/>
                <w:color w:val="auto"/>
                <w:kern w:val="0"/>
                <w:szCs w:val="21"/>
                <w:highlight w:val="none"/>
                <w:lang w:bidi="ar"/>
              </w:rPr>
            </w:pPr>
          </w:p>
        </w:tc>
        <w:tc>
          <w:tcPr>
            <w:tcW w:w="6378" w:type="dxa"/>
            <w:tcBorders>
              <w:top w:val="single" w:color="000000" w:sz="4" w:space="0"/>
              <w:left w:val="single" w:color="000000" w:sz="4" w:space="0"/>
              <w:bottom w:val="single" w:color="000000" w:sz="4" w:space="0"/>
              <w:right w:val="single" w:color="000000" w:sz="4" w:space="0"/>
            </w:tcBorders>
            <w:noWrap/>
            <w:vAlign w:val="center"/>
          </w:tcPr>
          <w:p w14:paraId="298E6422">
            <w:pPr>
              <w:widowControl/>
              <w:jc w:val="left"/>
              <w:textAlignment w:val="center"/>
              <w:rPr>
                <w:rFonts w:hint="eastAsia" w:ascii="宋体" w:hAnsi="宋体"/>
                <w:color w:val="auto"/>
                <w:kern w:val="0"/>
                <w:szCs w:val="21"/>
                <w:highlight w:val="none"/>
                <w:lang w:bidi="ar"/>
              </w:rPr>
            </w:pPr>
            <w:r>
              <w:rPr>
                <w:rFonts w:hint="eastAsia" w:ascii="宋体" w:hAnsi="宋体"/>
                <w:b/>
                <w:bCs/>
                <w:color w:val="auto"/>
                <w:szCs w:val="21"/>
                <w:highlight w:val="none"/>
                <w:lang w:bidi="ar"/>
              </w:rPr>
              <w:t>4人位</w:t>
            </w:r>
            <w:r>
              <w:rPr>
                <w:rFonts w:ascii="宋体" w:hAnsi="宋体"/>
                <w:b/>
                <w:bCs/>
                <w:color w:val="auto"/>
                <w:szCs w:val="21"/>
                <w:highlight w:val="none"/>
                <w:lang w:bidi="ar"/>
              </w:rPr>
              <w:t>储物柜：</w:t>
            </w:r>
          </w:p>
          <w:p w14:paraId="56A440DF">
            <w:pPr>
              <w:widowControl/>
              <w:numPr>
                <w:ilvl w:val="0"/>
                <w:numId w:val="18"/>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规格：≥700mm*800mm*2100mm</w:t>
            </w:r>
          </w:p>
          <w:p w14:paraId="765980A7">
            <w:pPr>
              <w:widowControl/>
              <w:numPr>
                <w:ilvl w:val="0"/>
                <w:numId w:val="18"/>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整体采用≥18mm厚E1级三聚氰胺贴面实木颗粒板同色封边条机械封边。</w:t>
            </w:r>
          </w:p>
          <w:p w14:paraId="62A9781C">
            <w:pPr>
              <w:widowControl/>
              <w:numPr>
                <w:ilvl w:val="0"/>
                <w:numId w:val="18"/>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扣手：外径≥60mm*90mm，采用全新ABS注塑成型，扣手衬板规格≥85mm*115mm，采用0.8mm厚国标镀锌钢板冲压成型,锁鼻采用≥2.0厚标镀锌钢板经模具冲压成型。</w:t>
            </w:r>
          </w:p>
          <w:p w14:paraId="1A71A450">
            <w:pPr>
              <w:numPr>
                <w:ilvl w:val="0"/>
                <w:numId w:val="18"/>
              </w:numPr>
              <w:snapToGrid w:val="0"/>
              <w:spacing w:line="320" w:lineRule="exact"/>
              <w:jc w:val="left"/>
              <w:rPr>
                <w:rFonts w:hint="eastAsia" w:ascii="宋体" w:hAnsi="宋体"/>
                <w:color w:val="auto"/>
                <w:kern w:val="0"/>
                <w:szCs w:val="21"/>
                <w:highlight w:val="none"/>
                <w:lang w:bidi="ar"/>
              </w:rPr>
            </w:pPr>
            <w:r>
              <w:rPr>
                <w:rFonts w:hint="eastAsia" w:ascii="宋体" w:hAnsi="宋体"/>
                <w:color w:val="auto"/>
                <w:szCs w:val="21"/>
                <w:highlight w:val="none"/>
              </w:rPr>
              <w:t>为增加承重，层板下加固一支</w:t>
            </w:r>
            <w:r>
              <w:rPr>
                <w:rFonts w:hint="eastAsia" w:ascii="宋体" w:hAnsi="宋体"/>
                <w:color w:val="auto"/>
                <w:kern w:val="0"/>
                <w:szCs w:val="21"/>
                <w:highlight w:val="none"/>
                <w:lang w:bidi="ar"/>
              </w:rPr>
              <w:t>≥</w:t>
            </w:r>
            <w:r>
              <w:rPr>
                <w:rFonts w:hint="eastAsia" w:ascii="宋体" w:hAnsi="宋体"/>
                <w:color w:val="auto"/>
                <w:szCs w:val="21"/>
                <w:highlight w:val="none"/>
              </w:rPr>
              <w:t>20mm*20mm*1.0mm钢管支撑。</w:t>
            </w:r>
            <w:r>
              <w:rPr>
                <w:rFonts w:hint="eastAsia" w:ascii="宋体" w:hAnsi="宋体"/>
                <w:color w:val="auto"/>
                <w:kern w:val="0"/>
                <w:szCs w:val="21"/>
                <w:highlight w:val="none"/>
                <w:lang w:bidi="ar"/>
              </w:rPr>
              <w:br w:type="textWrapping"/>
            </w:r>
            <w:r>
              <w:rPr>
                <w:rFonts w:hint="eastAsia" w:ascii="宋体" w:hAnsi="宋体"/>
                <w:color w:val="auto"/>
                <w:kern w:val="0"/>
                <w:szCs w:val="21"/>
                <w:highlight w:val="none"/>
                <w:lang w:bidi="ar"/>
              </w:rPr>
              <w:t>配件：采用知名品牌五金配件。</w:t>
            </w:r>
          </w:p>
          <w:p w14:paraId="14B9583F">
            <w:pPr>
              <w:numPr>
                <w:ilvl w:val="0"/>
                <w:numId w:val="18"/>
              </w:numPr>
              <w:snapToGrid w:val="0"/>
              <w:spacing w:line="320" w:lineRule="exact"/>
              <w:jc w:val="left"/>
              <w:rPr>
                <w:rFonts w:hint="eastAsia" w:ascii="宋体" w:hAnsi="宋体"/>
                <w:color w:val="auto"/>
                <w:kern w:val="0"/>
                <w:szCs w:val="21"/>
                <w:highlight w:val="none"/>
                <w:lang w:bidi="ar"/>
              </w:rPr>
            </w:pPr>
            <w:r>
              <w:rPr>
                <w:rFonts w:hint="eastAsia" w:ascii="宋体" w:hAnsi="宋体"/>
                <w:color w:val="auto"/>
                <w:kern w:val="0"/>
                <w:szCs w:val="21"/>
                <w:highlight w:val="none"/>
                <w:lang w:bidi="ar"/>
              </w:rPr>
              <w:t>工艺：产品无坚硬棱角及毛刺，整体结构合理，连接牢固，手感柔和，平滑，色泽美观</w:t>
            </w:r>
          </w:p>
        </w:tc>
        <w:tc>
          <w:tcPr>
            <w:tcW w:w="567" w:type="dxa"/>
            <w:tcBorders>
              <w:top w:val="single" w:color="000000" w:sz="4" w:space="0"/>
              <w:left w:val="single" w:color="000000" w:sz="4" w:space="0"/>
              <w:bottom w:val="single" w:color="000000" w:sz="4" w:space="0"/>
              <w:right w:val="single" w:color="000000" w:sz="4" w:space="0"/>
            </w:tcBorders>
            <w:noWrap/>
            <w:vAlign w:val="center"/>
          </w:tcPr>
          <w:p w14:paraId="257B31CB">
            <w:pPr>
              <w:widowControl/>
              <w:jc w:val="center"/>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val="en-US" w:eastAsia="zh-CN" w:bidi="ar"/>
              </w:rPr>
              <w:t>套</w:t>
            </w:r>
          </w:p>
        </w:tc>
        <w:tc>
          <w:tcPr>
            <w:tcW w:w="870" w:type="dxa"/>
            <w:tcBorders>
              <w:top w:val="single" w:color="000000" w:sz="4" w:space="0"/>
              <w:left w:val="single" w:color="000000" w:sz="4" w:space="0"/>
              <w:bottom w:val="single" w:color="000000" w:sz="4" w:space="0"/>
              <w:right w:val="single" w:color="000000" w:sz="4" w:space="0"/>
            </w:tcBorders>
            <w:noWrap/>
            <w:vAlign w:val="center"/>
          </w:tcPr>
          <w:p w14:paraId="02320879">
            <w:pPr>
              <w:widowControl/>
              <w:jc w:val="center"/>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400</w:t>
            </w:r>
          </w:p>
        </w:tc>
      </w:tr>
      <w:tr w14:paraId="68E60C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644" w:type="dxa"/>
            <w:tcBorders>
              <w:top w:val="single" w:color="000000" w:sz="4" w:space="0"/>
              <w:left w:val="single" w:color="000000" w:sz="4" w:space="0"/>
              <w:bottom w:val="single" w:color="000000" w:sz="4" w:space="0"/>
              <w:right w:val="single" w:color="000000" w:sz="4" w:space="0"/>
            </w:tcBorders>
            <w:vAlign w:val="center"/>
          </w:tcPr>
          <w:p w14:paraId="2BA60B6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w:t>
            </w:r>
          </w:p>
        </w:tc>
        <w:tc>
          <w:tcPr>
            <w:tcW w:w="851" w:type="dxa"/>
            <w:tcBorders>
              <w:top w:val="single" w:color="000000" w:sz="4" w:space="0"/>
              <w:left w:val="single" w:color="000000" w:sz="4" w:space="0"/>
              <w:bottom w:val="single" w:color="000000" w:sz="4" w:space="0"/>
              <w:right w:val="single" w:color="000000" w:sz="4" w:space="0"/>
            </w:tcBorders>
            <w:vAlign w:val="center"/>
          </w:tcPr>
          <w:p w14:paraId="1C10942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教师公寓床</w:t>
            </w:r>
          </w:p>
        </w:tc>
        <w:tc>
          <w:tcPr>
            <w:tcW w:w="6378" w:type="dxa"/>
            <w:tcBorders>
              <w:top w:val="single" w:color="000000" w:sz="4" w:space="0"/>
              <w:left w:val="single" w:color="000000" w:sz="4" w:space="0"/>
              <w:bottom w:val="single" w:color="000000" w:sz="4" w:space="0"/>
              <w:right w:val="single" w:color="000000" w:sz="4" w:space="0"/>
            </w:tcBorders>
            <w:vAlign w:val="bottom"/>
          </w:tcPr>
          <w:p w14:paraId="4310BAA4">
            <w:pPr>
              <w:widowControl/>
              <w:numPr>
                <w:ilvl w:val="0"/>
                <w:numId w:val="19"/>
              </w:numPr>
              <w:jc w:val="left"/>
              <w:textAlignment w:val="bottom"/>
              <w:rPr>
                <w:rFonts w:hint="eastAsia" w:ascii="宋体" w:hAnsi="宋体"/>
                <w:color w:val="auto"/>
                <w:szCs w:val="21"/>
                <w:highlight w:val="none"/>
              </w:rPr>
            </w:pPr>
            <w:r>
              <w:rPr>
                <w:rFonts w:hint="eastAsia" w:ascii="宋体" w:hAnsi="宋体"/>
                <w:color w:val="auto"/>
                <w:kern w:val="0"/>
                <w:szCs w:val="21"/>
                <w:highlight w:val="none"/>
                <w:lang w:bidi="ar"/>
              </w:rPr>
              <w:t>所用板材采用三聚氰胺饰面，颗粒压缩E1级环保板材，板厚≥18mm，同色PVC封边。</w:t>
            </w:r>
          </w:p>
          <w:p w14:paraId="73D505EF">
            <w:pPr>
              <w:widowControl/>
              <w:numPr>
                <w:ilvl w:val="0"/>
                <w:numId w:val="19"/>
              </w:numPr>
              <w:jc w:val="left"/>
              <w:textAlignment w:val="bottom"/>
              <w:rPr>
                <w:rFonts w:hint="eastAsia" w:ascii="宋体" w:hAnsi="宋体"/>
                <w:color w:val="auto"/>
                <w:szCs w:val="21"/>
                <w:highlight w:val="none"/>
              </w:rPr>
            </w:pPr>
            <w:r>
              <w:rPr>
                <w:rFonts w:hint="eastAsia" w:ascii="宋体" w:hAnsi="宋体"/>
                <w:color w:val="auto"/>
                <w:kern w:val="0"/>
                <w:szCs w:val="21"/>
                <w:highlight w:val="none"/>
                <w:lang w:bidi="ar"/>
              </w:rPr>
              <w:t>公寓床：≥1200mm*2000mm*350mm（含床头柜）。</w:t>
            </w:r>
          </w:p>
          <w:p w14:paraId="4E51924B">
            <w:pPr>
              <w:widowControl/>
              <w:numPr>
                <w:ilvl w:val="0"/>
                <w:numId w:val="19"/>
              </w:numPr>
              <w:jc w:val="left"/>
              <w:textAlignment w:val="bottom"/>
              <w:rPr>
                <w:rFonts w:hint="eastAsia" w:ascii="宋体" w:hAnsi="宋体"/>
                <w:color w:val="auto"/>
                <w:szCs w:val="21"/>
                <w:highlight w:val="none"/>
              </w:rPr>
            </w:pPr>
            <w:r>
              <w:rPr>
                <w:rFonts w:hint="eastAsia" w:ascii="宋体" w:hAnsi="宋体"/>
                <w:color w:val="auto"/>
                <w:kern w:val="0"/>
                <w:szCs w:val="21"/>
                <w:highlight w:val="none"/>
                <w:lang w:bidi="ar"/>
              </w:rPr>
              <w:t>床垫：≥1200mm*2000mm*200mm弹簧垫。</w:t>
            </w:r>
          </w:p>
          <w:p w14:paraId="2A661373">
            <w:pPr>
              <w:widowControl/>
              <w:numPr>
                <w:ilvl w:val="0"/>
                <w:numId w:val="19"/>
              </w:numPr>
              <w:jc w:val="left"/>
              <w:textAlignment w:val="bottom"/>
              <w:rPr>
                <w:rFonts w:hint="eastAsia" w:ascii="宋体" w:hAnsi="宋体"/>
                <w:color w:val="auto"/>
                <w:szCs w:val="21"/>
                <w:highlight w:val="none"/>
              </w:rPr>
            </w:pPr>
            <w:r>
              <w:rPr>
                <w:rFonts w:hint="eastAsia" w:ascii="宋体" w:hAnsi="宋体"/>
                <w:color w:val="auto"/>
                <w:kern w:val="0"/>
                <w:szCs w:val="21"/>
                <w:highlight w:val="none"/>
                <w:lang w:bidi="ar"/>
              </w:rPr>
              <w:t>衣柜：≥800mm*600mm*2000mm。</w:t>
            </w:r>
          </w:p>
        </w:tc>
        <w:tc>
          <w:tcPr>
            <w:tcW w:w="567" w:type="dxa"/>
            <w:tcBorders>
              <w:top w:val="single" w:color="000000" w:sz="4" w:space="0"/>
              <w:left w:val="single" w:color="000000" w:sz="4" w:space="0"/>
              <w:bottom w:val="single" w:color="000000" w:sz="4" w:space="0"/>
              <w:right w:val="single" w:color="000000" w:sz="4" w:space="0"/>
            </w:tcBorders>
            <w:vAlign w:val="center"/>
          </w:tcPr>
          <w:p w14:paraId="2904F234">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套</w:t>
            </w:r>
          </w:p>
        </w:tc>
        <w:tc>
          <w:tcPr>
            <w:tcW w:w="870" w:type="dxa"/>
            <w:tcBorders>
              <w:top w:val="single" w:color="000000" w:sz="4" w:space="0"/>
              <w:left w:val="single" w:color="000000" w:sz="4" w:space="0"/>
              <w:bottom w:val="single" w:color="000000" w:sz="4" w:space="0"/>
              <w:right w:val="single" w:color="000000" w:sz="4" w:space="0"/>
            </w:tcBorders>
            <w:vAlign w:val="center"/>
          </w:tcPr>
          <w:p w14:paraId="3DCC7D0C">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38</w:t>
            </w:r>
          </w:p>
        </w:tc>
      </w:tr>
      <w:tr w14:paraId="38752D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9310" w:type="dxa"/>
            <w:gridSpan w:val="5"/>
            <w:tcBorders>
              <w:top w:val="single" w:color="000000" w:sz="4" w:space="0"/>
              <w:left w:val="single" w:color="000000" w:sz="4" w:space="0"/>
              <w:bottom w:val="single" w:color="000000" w:sz="4" w:space="0"/>
              <w:right w:val="single" w:color="000000" w:sz="4" w:space="0"/>
            </w:tcBorders>
            <w:noWrap/>
            <w:vAlign w:val="center"/>
          </w:tcPr>
          <w:p w14:paraId="5C6C0E80">
            <w:pPr>
              <w:widowControl/>
              <w:jc w:val="center"/>
              <w:textAlignment w:val="center"/>
              <w:rPr>
                <w:rFonts w:hint="eastAsia" w:ascii="宋体" w:hAnsi="宋体"/>
                <w:b/>
                <w:bCs/>
                <w:color w:val="auto"/>
                <w:szCs w:val="21"/>
                <w:highlight w:val="none"/>
              </w:rPr>
            </w:pPr>
            <w:r>
              <w:rPr>
                <w:rFonts w:hint="eastAsia" w:ascii="宋体" w:hAnsi="宋体"/>
                <w:b/>
                <w:bCs/>
                <w:color w:val="auto"/>
                <w:kern w:val="0"/>
                <w:szCs w:val="21"/>
                <w:highlight w:val="none"/>
                <w:lang w:bidi="ar"/>
              </w:rPr>
              <w:t>六、图书阅览室家具</w:t>
            </w:r>
          </w:p>
        </w:tc>
      </w:tr>
      <w:tr w14:paraId="0AB4E9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644" w:type="dxa"/>
            <w:tcBorders>
              <w:top w:val="single" w:color="000000" w:sz="4" w:space="0"/>
              <w:left w:val="single" w:color="000000" w:sz="4" w:space="0"/>
              <w:bottom w:val="single" w:color="000000" w:sz="4" w:space="0"/>
              <w:right w:val="single" w:color="000000" w:sz="4" w:space="0"/>
            </w:tcBorders>
            <w:noWrap/>
            <w:vAlign w:val="center"/>
          </w:tcPr>
          <w:p w14:paraId="025B8749">
            <w:pPr>
              <w:widowControl/>
              <w:jc w:val="center"/>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1</w:t>
            </w:r>
          </w:p>
        </w:tc>
        <w:tc>
          <w:tcPr>
            <w:tcW w:w="851" w:type="dxa"/>
            <w:tcBorders>
              <w:top w:val="single" w:color="000000" w:sz="4" w:space="0"/>
              <w:left w:val="single" w:color="000000" w:sz="4" w:space="0"/>
              <w:bottom w:val="single" w:color="000000" w:sz="4" w:space="0"/>
              <w:right w:val="single" w:color="000000" w:sz="4" w:space="0"/>
            </w:tcBorders>
            <w:noWrap/>
            <w:vAlign w:val="center"/>
          </w:tcPr>
          <w:p w14:paraId="0C61BE36">
            <w:pPr>
              <w:widowControl/>
              <w:jc w:val="center"/>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书架</w:t>
            </w:r>
          </w:p>
        </w:tc>
        <w:tc>
          <w:tcPr>
            <w:tcW w:w="6378" w:type="dxa"/>
            <w:tcBorders>
              <w:top w:val="single" w:color="000000" w:sz="4" w:space="0"/>
              <w:left w:val="single" w:color="000000" w:sz="4" w:space="0"/>
              <w:bottom w:val="single" w:color="000000" w:sz="4" w:space="0"/>
              <w:right w:val="single" w:color="000000" w:sz="4" w:space="0"/>
            </w:tcBorders>
            <w:noWrap/>
            <w:vAlign w:val="center"/>
          </w:tcPr>
          <w:p w14:paraId="1CCAC40F">
            <w:pPr>
              <w:widowControl/>
              <w:numPr>
                <w:ilvl w:val="0"/>
                <w:numId w:val="20"/>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结构：六层双面双柱钢木，4组一列</w:t>
            </w:r>
          </w:p>
          <w:p w14:paraId="29D044E3">
            <w:pPr>
              <w:widowControl/>
              <w:numPr>
                <w:ilvl w:val="0"/>
                <w:numId w:val="20"/>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钢架规格（高、宽、深mm）：≥2000×1000×450mm（组）</w:t>
            </w:r>
          </w:p>
          <w:p w14:paraId="35EF9411">
            <w:pPr>
              <w:widowControl/>
              <w:numPr>
                <w:ilvl w:val="0"/>
                <w:numId w:val="20"/>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特征描述：每层中间带图书分隔板，侧面带图书分类牌，书架主体为钢质，两侧护板为中密度板外贴防火板成型,有标识牌。</w:t>
            </w:r>
          </w:p>
          <w:p w14:paraId="431018F8">
            <w:pPr>
              <w:widowControl/>
              <w:numPr>
                <w:ilvl w:val="0"/>
                <w:numId w:val="20"/>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材质要求：</w:t>
            </w:r>
            <w:r>
              <w:rPr>
                <w:rFonts w:hint="eastAsia" w:ascii="宋体" w:hAnsi="宋体"/>
                <w:color w:val="auto"/>
                <w:kern w:val="0"/>
                <w:szCs w:val="21"/>
                <w:highlight w:val="none"/>
                <w:lang w:bidi="ar"/>
              </w:rPr>
              <w:br w:type="textWrapping"/>
            </w:r>
            <w:r>
              <w:rPr>
                <w:rFonts w:ascii="宋体" w:hAnsi="宋体"/>
                <w:color w:val="auto"/>
                <w:szCs w:val="21"/>
                <w:highlight w:val="none"/>
                <w:lang w:bidi="ar"/>
              </w:rPr>
              <w:t>（1）</w:t>
            </w:r>
            <w:r>
              <w:rPr>
                <w:rFonts w:hint="eastAsia" w:ascii="宋体" w:hAnsi="宋体"/>
                <w:color w:val="auto"/>
                <w:kern w:val="0"/>
                <w:szCs w:val="21"/>
                <w:highlight w:val="none"/>
                <w:lang w:bidi="ar"/>
              </w:rPr>
              <w:t>钢质部分采用优质冷轧钢板。搁板≥1.0mm,挂板≥1.0mm ,立柱≥1.2mm,底框≥1.2mm冷轧钢板。</w:t>
            </w:r>
            <w:r>
              <w:rPr>
                <w:rFonts w:hint="eastAsia" w:ascii="宋体" w:hAnsi="宋体"/>
                <w:color w:val="auto"/>
                <w:kern w:val="0"/>
                <w:szCs w:val="21"/>
                <w:highlight w:val="none"/>
                <w:lang w:bidi="ar"/>
              </w:rPr>
              <w:br w:type="textWrapping"/>
            </w:r>
            <w:r>
              <w:rPr>
                <w:rFonts w:ascii="宋体" w:hAnsi="宋体"/>
                <w:color w:val="auto"/>
                <w:szCs w:val="21"/>
                <w:highlight w:val="none"/>
                <w:lang w:bidi="ar"/>
              </w:rPr>
              <w:t>（2）</w:t>
            </w:r>
            <w:r>
              <w:rPr>
                <w:rFonts w:hint="eastAsia" w:ascii="宋体" w:hAnsi="宋体"/>
                <w:color w:val="auto"/>
                <w:kern w:val="0"/>
                <w:szCs w:val="21"/>
                <w:highlight w:val="none"/>
                <w:lang w:bidi="ar"/>
              </w:rPr>
              <w:t>钢具喷涂前经过水洗，预脱脂，脱脂，除锈，表调，磷酸盐处理（磷化），水洗，固化等前处理。</w:t>
            </w:r>
            <w:r>
              <w:rPr>
                <w:rFonts w:hint="eastAsia" w:ascii="宋体" w:hAnsi="宋体"/>
                <w:color w:val="auto"/>
                <w:kern w:val="0"/>
                <w:szCs w:val="21"/>
                <w:highlight w:val="none"/>
                <w:lang w:bidi="ar"/>
              </w:rPr>
              <w:br w:type="textWrapping"/>
            </w:r>
            <w:r>
              <w:rPr>
                <w:rFonts w:ascii="宋体" w:hAnsi="宋体"/>
                <w:color w:val="auto"/>
                <w:szCs w:val="21"/>
                <w:highlight w:val="none"/>
                <w:lang w:bidi="ar"/>
              </w:rPr>
              <w:t>（3）</w:t>
            </w:r>
            <w:r>
              <w:rPr>
                <w:rFonts w:hint="eastAsia" w:ascii="宋体" w:hAnsi="宋体"/>
                <w:color w:val="auto"/>
                <w:kern w:val="0"/>
                <w:szCs w:val="21"/>
                <w:highlight w:val="none"/>
                <w:lang w:bidi="ar"/>
              </w:rPr>
              <w:t>表面处理为不含钾、镉、三酸异氰酐油脂（TGIC）的环氧树脂和聚酯树脂之混合型热固粉沫涂料，静电喷粉处理，涂料需为国际名优产品。</w:t>
            </w:r>
          </w:p>
          <w:p w14:paraId="5B9ABA82">
            <w:pPr>
              <w:widowControl/>
              <w:numPr>
                <w:ilvl w:val="0"/>
                <w:numId w:val="20"/>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颜色：防火板颜色为高档榉木色，钢质部分颜色为亚光灰。</w:t>
            </w:r>
          </w:p>
          <w:p w14:paraId="59F1F3F4">
            <w:pPr>
              <w:widowControl/>
              <w:numPr>
                <w:ilvl w:val="0"/>
                <w:numId w:val="20"/>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 xml:space="preserve">性能要求：优质冷轧钢板冲压成型，喷塑均匀。框架结构，钢制内框架，整体为可拆卸装结构，可增加至多连，搁板可任意调节层高。  </w:t>
            </w:r>
          </w:p>
        </w:tc>
        <w:tc>
          <w:tcPr>
            <w:tcW w:w="567" w:type="dxa"/>
            <w:tcBorders>
              <w:top w:val="single" w:color="000000" w:sz="4" w:space="0"/>
              <w:left w:val="single" w:color="000000" w:sz="4" w:space="0"/>
              <w:bottom w:val="single" w:color="000000" w:sz="4" w:space="0"/>
              <w:right w:val="single" w:color="000000" w:sz="4" w:space="0"/>
            </w:tcBorders>
            <w:vAlign w:val="center"/>
          </w:tcPr>
          <w:p w14:paraId="3228B29B">
            <w:pPr>
              <w:widowControl/>
              <w:jc w:val="center"/>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列</w:t>
            </w:r>
          </w:p>
        </w:tc>
        <w:tc>
          <w:tcPr>
            <w:tcW w:w="870" w:type="dxa"/>
            <w:tcBorders>
              <w:top w:val="single" w:color="000000" w:sz="4" w:space="0"/>
              <w:left w:val="single" w:color="000000" w:sz="4" w:space="0"/>
              <w:bottom w:val="single" w:color="000000" w:sz="4" w:space="0"/>
              <w:right w:val="single" w:color="000000" w:sz="4" w:space="0"/>
            </w:tcBorders>
            <w:vAlign w:val="center"/>
          </w:tcPr>
          <w:p w14:paraId="5E58AB6A">
            <w:pPr>
              <w:widowControl/>
              <w:jc w:val="center"/>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16</w:t>
            </w:r>
          </w:p>
        </w:tc>
      </w:tr>
      <w:tr w14:paraId="13F26E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3" w:hRule="atLeast"/>
          <w:jc w:val="center"/>
        </w:trPr>
        <w:tc>
          <w:tcPr>
            <w:tcW w:w="644" w:type="dxa"/>
            <w:tcBorders>
              <w:top w:val="single" w:color="000000" w:sz="4" w:space="0"/>
              <w:left w:val="single" w:color="000000" w:sz="4" w:space="0"/>
              <w:bottom w:val="single" w:color="000000" w:sz="4" w:space="0"/>
              <w:right w:val="single" w:color="000000" w:sz="4" w:space="0"/>
            </w:tcBorders>
            <w:vAlign w:val="center"/>
          </w:tcPr>
          <w:p w14:paraId="597A7E0B">
            <w:pPr>
              <w:widowControl/>
              <w:jc w:val="center"/>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2</w:t>
            </w:r>
          </w:p>
        </w:tc>
        <w:tc>
          <w:tcPr>
            <w:tcW w:w="851" w:type="dxa"/>
            <w:tcBorders>
              <w:top w:val="single" w:color="000000" w:sz="4" w:space="0"/>
              <w:left w:val="single" w:color="000000" w:sz="4" w:space="0"/>
              <w:bottom w:val="single" w:color="000000" w:sz="4" w:space="0"/>
              <w:right w:val="single" w:color="000000" w:sz="4" w:space="0"/>
            </w:tcBorders>
            <w:vAlign w:val="center"/>
          </w:tcPr>
          <w:p w14:paraId="4B424FA6">
            <w:pPr>
              <w:widowControl/>
              <w:jc w:val="center"/>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阅览桌</w:t>
            </w:r>
          </w:p>
        </w:tc>
        <w:tc>
          <w:tcPr>
            <w:tcW w:w="6378" w:type="dxa"/>
            <w:tcBorders>
              <w:top w:val="single" w:color="000000" w:sz="4" w:space="0"/>
              <w:left w:val="single" w:color="000000" w:sz="4" w:space="0"/>
              <w:bottom w:val="single" w:color="000000" w:sz="4" w:space="0"/>
              <w:right w:val="single" w:color="000000" w:sz="4" w:space="0"/>
            </w:tcBorders>
            <w:vAlign w:val="center"/>
          </w:tcPr>
          <w:p w14:paraId="49F68379">
            <w:pPr>
              <w:widowControl/>
              <w:numPr>
                <w:ilvl w:val="0"/>
                <w:numId w:val="21"/>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尺寸：≥D2400*W1200*H750±10mm；</w:t>
            </w:r>
          </w:p>
          <w:p w14:paraId="111E8F94">
            <w:pPr>
              <w:widowControl/>
              <w:numPr>
                <w:ilvl w:val="0"/>
                <w:numId w:val="21"/>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材质：环保板+钢架；</w:t>
            </w:r>
          </w:p>
          <w:p w14:paraId="5C76D357">
            <w:pPr>
              <w:widowControl/>
              <w:numPr>
                <w:ilvl w:val="0"/>
                <w:numId w:val="21"/>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工艺：桌面采用纯实木多层板，面贴纯实木木皮，厚度≥25mm,四周经CNC机械加工成型，中间设ABS置物盒。 采用优质环保油漆，经五底三面面十二道工序，保证表面光泽、平整、纹理清晰。桌架采用优质钢架，满焊焊接而成，表面抛丸除锈，静电喷塑，耐腐蚀，不易生锈；</w:t>
            </w:r>
          </w:p>
          <w:p w14:paraId="5596A1BF">
            <w:pPr>
              <w:widowControl/>
              <w:numPr>
                <w:ilvl w:val="0"/>
                <w:numId w:val="21"/>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功能：桌面分上下两层，便于放置书本工具。</w:t>
            </w:r>
          </w:p>
        </w:tc>
        <w:tc>
          <w:tcPr>
            <w:tcW w:w="567" w:type="dxa"/>
            <w:tcBorders>
              <w:top w:val="single" w:color="000000" w:sz="4" w:space="0"/>
              <w:left w:val="single" w:color="000000" w:sz="4" w:space="0"/>
              <w:bottom w:val="single" w:color="000000" w:sz="4" w:space="0"/>
              <w:right w:val="single" w:color="000000" w:sz="4" w:space="0"/>
            </w:tcBorders>
            <w:vAlign w:val="center"/>
          </w:tcPr>
          <w:p w14:paraId="0EC800DE">
            <w:pPr>
              <w:widowControl/>
              <w:jc w:val="center"/>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张</w:t>
            </w:r>
          </w:p>
        </w:tc>
        <w:tc>
          <w:tcPr>
            <w:tcW w:w="870" w:type="dxa"/>
            <w:tcBorders>
              <w:top w:val="single" w:color="000000" w:sz="4" w:space="0"/>
              <w:left w:val="single" w:color="000000" w:sz="4" w:space="0"/>
              <w:bottom w:val="single" w:color="000000" w:sz="4" w:space="0"/>
              <w:right w:val="single" w:color="000000" w:sz="4" w:space="0"/>
            </w:tcBorders>
            <w:vAlign w:val="center"/>
          </w:tcPr>
          <w:p w14:paraId="29D60E61">
            <w:pPr>
              <w:widowControl/>
              <w:jc w:val="center"/>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12</w:t>
            </w:r>
          </w:p>
        </w:tc>
      </w:tr>
      <w:tr w14:paraId="031755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644" w:type="dxa"/>
            <w:tcBorders>
              <w:top w:val="single" w:color="000000" w:sz="4" w:space="0"/>
              <w:left w:val="single" w:color="000000" w:sz="4" w:space="0"/>
              <w:bottom w:val="single" w:color="000000" w:sz="4" w:space="0"/>
              <w:right w:val="single" w:color="000000" w:sz="4" w:space="0"/>
            </w:tcBorders>
            <w:vAlign w:val="center"/>
          </w:tcPr>
          <w:p w14:paraId="5694D786">
            <w:pPr>
              <w:widowControl/>
              <w:jc w:val="center"/>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3</w:t>
            </w:r>
          </w:p>
        </w:tc>
        <w:tc>
          <w:tcPr>
            <w:tcW w:w="851" w:type="dxa"/>
            <w:tcBorders>
              <w:top w:val="single" w:color="000000" w:sz="4" w:space="0"/>
              <w:left w:val="single" w:color="000000" w:sz="4" w:space="0"/>
              <w:bottom w:val="single" w:color="000000" w:sz="4" w:space="0"/>
              <w:right w:val="single" w:color="000000" w:sz="4" w:space="0"/>
            </w:tcBorders>
            <w:vAlign w:val="center"/>
          </w:tcPr>
          <w:p w14:paraId="271D2073">
            <w:pPr>
              <w:widowControl/>
              <w:jc w:val="center"/>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阅览椅</w:t>
            </w:r>
          </w:p>
        </w:tc>
        <w:tc>
          <w:tcPr>
            <w:tcW w:w="6378" w:type="dxa"/>
            <w:tcBorders>
              <w:top w:val="single" w:color="000000" w:sz="4" w:space="0"/>
              <w:left w:val="single" w:color="000000" w:sz="4" w:space="0"/>
              <w:bottom w:val="single" w:color="000000" w:sz="4" w:space="0"/>
              <w:right w:val="single" w:color="000000" w:sz="4" w:space="0"/>
            </w:tcBorders>
            <w:vAlign w:val="center"/>
          </w:tcPr>
          <w:p w14:paraId="23729D6B">
            <w:pPr>
              <w:widowControl/>
              <w:numPr>
                <w:ilvl w:val="0"/>
                <w:numId w:val="22"/>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座高≥440mm。</w:t>
            </w:r>
          </w:p>
          <w:p w14:paraId="7F0DC9D7">
            <w:pPr>
              <w:widowControl/>
              <w:numPr>
                <w:ilvl w:val="0"/>
                <w:numId w:val="22"/>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靠背：1.材质：采用PP耐冲击塑料一体注塑成型。2.尺寸：靠背≥340mm*390mm。 3.靠背中间有≥50mm内凹式曲线弧度设计，能很好的支撑着正在成长中学童的背部脊椎，使其免于侧弯，靠背须有最小直径≥5mm至最大≥16mm宽椭圆形发散通风孔。4.功能：椅背背面设计有把手功能部件、方便提拿，同时也是挂钩功能，可挂书包、衣服等。</w:t>
            </w:r>
          </w:p>
          <w:p w14:paraId="4F05313E">
            <w:pPr>
              <w:widowControl/>
              <w:numPr>
                <w:ilvl w:val="0"/>
                <w:numId w:val="22"/>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坐垫：1.材质：采用PP耐冲击塑料一体注塑成型。2.尺寸：≥长415mm×宽380mm。</w:t>
            </w:r>
          </w:p>
          <w:p w14:paraId="153F0658">
            <w:pPr>
              <w:widowControl/>
              <w:numPr>
                <w:ilvl w:val="0"/>
                <w:numId w:val="22"/>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椅面采用人体工程学设计，坐垫中间有≥45mm内凹式设计，坐垫前端需有波浪形加瀑布型设计，能让学生整个臀部坐在内凹处，借此可分散上半身的所有重量，使学童在学习时更舒服，更健康地成长，椅面需有最小直径5mm至最大长16mm宽椭圆形发散通风孔。</w:t>
            </w:r>
          </w:p>
          <w:p w14:paraId="2DE32A3F">
            <w:pPr>
              <w:widowControl/>
              <w:numPr>
                <w:ilvl w:val="0"/>
                <w:numId w:val="22"/>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钢架部分：1.采用满焊焊接。2.管材直径尺寸：≥长19mm*宽39mm*厚2.0mm眼睛管；横杆采用≥长32mm*宽22mm*厚1.5mm鱼眼管。</w:t>
            </w:r>
          </w:p>
          <w:p w14:paraId="7ED88947">
            <w:pPr>
              <w:widowControl/>
              <w:numPr>
                <w:ilvl w:val="0"/>
                <w:numId w:val="22"/>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表面涂装：钢管架焊接完成后，经抛丸除锈，静电喷塑。</w:t>
            </w:r>
          </w:p>
          <w:p w14:paraId="54175331">
            <w:pPr>
              <w:widowControl/>
              <w:numPr>
                <w:ilvl w:val="0"/>
                <w:numId w:val="22"/>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脚垫：1.材质：采用PA塑料。</w:t>
            </w:r>
          </w:p>
        </w:tc>
        <w:tc>
          <w:tcPr>
            <w:tcW w:w="567" w:type="dxa"/>
            <w:tcBorders>
              <w:top w:val="single" w:color="000000" w:sz="4" w:space="0"/>
              <w:left w:val="single" w:color="000000" w:sz="4" w:space="0"/>
              <w:bottom w:val="single" w:color="000000" w:sz="4" w:space="0"/>
              <w:right w:val="single" w:color="000000" w:sz="4" w:space="0"/>
            </w:tcBorders>
            <w:vAlign w:val="center"/>
          </w:tcPr>
          <w:p w14:paraId="1DDF55F2">
            <w:pPr>
              <w:widowControl/>
              <w:jc w:val="center"/>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把</w:t>
            </w:r>
          </w:p>
        </w:tc>
        <w:tc>
          <w:tcPr>
            <w:tcW w:w="870" w:type="dxa"/>
            <w:tcBorders>
              <w:top w:val="single" w:color="000000" w:sz="4" w:space="0"/>
              <w:left w:val="single" w:color="000000" w:sz="4" w:space="0"/>
              <w:bottom w:val="single" w:color="000000" w:sz="4" w:space="0"/>
              <w:right w:val="single" w:color="000000" w:sz="4" w:space="0"/>
            </w:tcBorders>
            <w:vAlign w:val="center"/>
          </w:tcPr>
          <w:p w14:paraId="1BF0E1E9">
            <w:pPr>
              <w:widowControl/>
              <w:jc w:val="center"/>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96</w:t>
            </w:r>
          </w:p>
        </w:tc>
      </w:tr>
      <w:tr w14:paraId="38375F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9310" w:type="dxa"/>
            <w:gridSpan w:val="5"/>
            <w:tcBorders>
              <w:top w:val="single" w:color="000000" w:sz="4" w:space="0"/>
              <w:left w:val="single" w:color="000000" w:sz="4" w:space="0"/>
              <w:bottom w:val="single" w:color="000000" w:sz="4" w:space="0"/>
              <w:right w:val="single" w:color="000000" w:sz="4" w:space="0"/>
            </w:tcBorders>
            <w:noWrap/>
            <w:vAlign w:val="center"/>
          </w:tcPr>
          <w:p w14:paraId="313ACF81">
            <w:pPr>
              <w:widowControl/>
              <w:jc w:val="center"/>
              <w:textAlignment w:val="center"/>
              <w:rPr>
                <w:rFonts w:hint="eastAsia" w:ascii="宋体" w:hAnsi="宋体"/>
                <w:b/>
                <w:bCs/>
                <w:color w:val="auto"/>
                <w:szCs w:val="21"/>
                <w:highlight w:val="none"/>
              </w:rPr>
            </w:pPr>
            <w:r>
              <w:rPr>
                <w:rFonts w:hint="eastAsia" w:ascii="宋体" w:hAnsi="宋体"/>
                <w:b/>
                <w:bCs/>
                <w:color w:val="auto"/>
                <w:kern w:val="0"/>
                <w:szCs w:val="21"/>
                <w:highlight w:val="none"/>
                <w:lang w:bidi="ar"/>
              </w:rPr>
              <w:t>七、报告厅及合班教室设备</w:t>
            </w:r>
          </w:p>
        </w:tc>
      </w:tr>
      <w:tr w14:paraId="4D53F1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644" w:type="dxa"/>
            <w:tcBorders>
              <w:top w:val="single" w:color="000000" w:sz="4" w:space="0"/>
              <w:left w:val="single" w:color="000000" w:sz="4" w:space="0"/>
              <w:bottom w:val="single" w:color="000000" w:sz="4" w:space="0"/>
              <w:right w:val="single" w:color="000000" w:sz="4" w:space="0"/>
            </w:tcBorders>
            <w:vAlign w:val="center"/>
          </w:tcPr>
          <w:p w14:paraId="3F502334">
            <w:pPr>
              <w:widowControl/>
              <w:jc w:val="center"/>
              <w:textAlignment w:val="center"/>
              <w:rPr>
                <w:rFonts w:hint="eastAsia" w:ascii="宋体" w:hAnsi="宋体"/>
                <w:b/>
                <w:bCs/>
                <w:color w:val="auto"/>
                <w:szCs w:val="21"/>
                <w:highlight w:val="none"/>
              </w:rPr>
            </w:pPr>
            <w:r>
              <w:rPr>
                <w:rFonts w:hint="eastAsia" w:ascii="宋体" w:hAnsi="宋体"/>
                <w:b/>
                <w:bCs/>
                <w:color w:val="auto"/>
                <w:kern w:val="0"/>
                <w:szCs w:val="21"/>
                <w:highlight w:val="none"/>
                <w:lang w:bidi="ar"/>
              </w:rPr>
              <w:t>一</w:t>
            </w:r>
          </w:p>
        </w:tc>
        <w:tc>
          <w:tcPr>
            <w:tcW w:w="851" w:type="dxa"/>
            <w:tcBorders>
              <w:top w:val="single" w:color="000000" w:sz="4" w:space="0"/>
              <w:left w:val="single" w:color="000000" w:sz="4" w:space="0"/>
              <w:bottom w:val="single" w:color="000000" w:sz="4" w:space="0"/>
              <w:right w:val="single" w:color="000000" w:sz="4" w:space="0"/>
            </w:tcBorders>
            <w:vAlign w:val="center"/>
          </w:tcPr>
          <w:p w14:paraId="00636300">
            <w:pPr>
              <w:widowControl/>
              <w:jc w:val="center"/>
              <w:textAlignment w:val="center"/>
              <w:rPr>
                <w:rFonts w:hint="eastAsia" w:ascii="宋体" w:hAnsi="宋体"/>
                <w:b/>
                <w:bCs/>
                <w:color w:val="auto"/>
                <w:szCs w:val="21"/>
                <w:highlight w:val="none"/>
              </w:rPr>
            </w:pPr>
            <w:r>
              <w:rPr>
                <w:rFonts w:hint="eastAsia" w:ascii="宋体" w:hAnsi="宋体"/>
                <w:b/>
                <w:bCs/>
                <w:color w:val="auto"/>
                <w:kern w:val="0"/>
                <w:szCs w:val="21"/>
                <w:highlight w:val="none"/>
                <w:bdr w:val="single" w:color="000000" w:sz="4" w:space="0"/>
                <w:lang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7145" cy="15240"/>
                  <wp:effectExtent l="0" t="0" r="0" b="0"/>
                  <wp:wrapNone/>
                  <wp:docPr id="37" name="Picture_1"/>
                  <wp:cNvGraphicFramePr/>
                  <a:graphic xmlns:a="http://schemas.openxmlformats.org/drawingml/2006/main">
                    <a:graphicData uri="http://schemas.openxmlformats.org/drawingml/2006/picture">
                      <pic:pic xmlns:pic="http://schemas.openxmlformats.org/drawingml/2006/picture">
                        <pic:nvPicPr>
                          <pic:cNvPr id="37" name="Picture_1"/>
                          <pic:cNvPicPr/>
                        </pic:nvPicPr>
                        <pic:blipFill>
                          <a:blip r:embed="rId7"/>
                          <a:stretch>
                            <a:fillRect/>
                          </a:stretch>
                        </pic:blipFill>
                        <pic:spPr>
                          <a:xfrm>
                            <a:off x="0" y="0"/>
                            <a:ext cx="17145" cy="15240"/>
                          </a:xfrm>
                          <a:prstGeom prst="rect">
                            <a:avLst/>
                          </a:prstGeom>
                          <a:noFill/>
                          <a:ln>
                            <a:noFill/>
                          </a:ln>
                        </pic:spPr>
                      </pic:pic>
                    </a:graphicData>
                  </a:graphic>
                </wp:anchor>
              </w:drawing>
            </w:r>
            <w:r>
              <w:rPr>
                <w:rFonts w:hint="eastAsia" w:ascii="宋体" w:hAnsi="宋体"/>
                <w:b/>
                <w:bCs/>
                <w:color w:val="auto"/>
                <w:kern w:val="0"/>
                <w:szCs w:val="21"/>
                <w:highlight w:val="none"/>
                <w:bdr w:val="single" w:color="000000" w:sz="4" w:space="0"/>
                <w:lang w:bidi="ar"/>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8415" cy="17145"/>
                  <wp:effectExtent l="0" t="0" r="0" b="0"/>
                  <wp:wrapNone/>
                  <wp:docPr id="38" name="Picture_11"/>
                  <wp:cNvGraphicFramePr/>
                  <a:graphic xmlns:a="http://schemas.openxmlformats.org/drawingml/2006/main">
                    <a:graphicData uri="http://schemas.openxmlformats.org/drawingml/2006/picture">
                      <pic:pic xmlns:pic="http://schemas.openxmlformats.org/drawingml/2006/picture">
                        <pic:nvPicPr>
                          <pic:cNvPr id="38" name="Picture_11"/>
                          <pic:cNvPicPr/>
                        </pic:nvPicPr>
                        <pic:blipFill>
                          <a:blip r:embed="rId8"/>
                          <a:stretch>
                            <a:fillRect/>
                          </a:stretch>
                        </pic:blipFill>
                        <pic:spPr>
                          <a:xfrm>
                            <a:off x="0" y="0"/>
                            <a:ext cx="18415" cy="17145"/>
                          </a:xfrm>
                          <a:prstGeom prst="rect">
                            <a:avLst/>
                          </a:prstGeom>
                          <a:noFill/>
                          <a:ln>
                            <a:noFill/>
                          </a:ln>
                        </pic:spPr>
                      </pic:pic>
                    </a:graphicData>
                  </a:graphic>
                </wp:anchor>
              </w:drawing>
            </w:r>
            <w:r>
              <w:rPr>
                <w:rFonts w:hint="eastAsia" w:ascii="宋体" w:hAnsi="宋体"/>
                <w:b/>
                <w:bCs/>
                <w:color w:val="auto"/>
                <w:kern w:val="0"/>
                <w:szCs w:val="21"/>
                <w:highlight w:val="none"/>
                <w:bdr w:val="single" w:color="000000" w:sz="4" w:space="0"/>
                <w:lang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17145" cy="15240"/>
                  <wp:effectExtent l="0" t="0" r="0" b="0"/>
                  <wp:wrapNone/>
                  <wp:docPr id="39" name="Picture_1_SpCnt_1"/>
                  <wp:cNvGraphicFramePr/>
                  <a:graphic xmlns:a="http://schemas.openxmlformats.org/drawingml/2006/main">
                    <a:graphicData uri="http://schemas.openxmlformats.org/drawingml/2006/picture">
                      <pic:pic xmlns:pic="http://schemas.openxmlformats.org/drawingml/2006/picture">
                        <pic:nvPicPr>
                          <pic:cNvPr id="39" name="Picture_1_SpCnt_1"/>
                          <pic:cNvPicPr/>
                        </pic:nvPicPr>
                        <pic:blipFill>
                          <a:blip r:embed="rId7"/>
                          <a:stretch>
                            <a:fillRect/>
                          </a:stretch>
                        </pic:blipFill>
                        <pic:spPr>
                          <a:xfrm>
                            <a:off x="0" y="0"/>
                            <a:ext cx="17145" cy="15240"/>
                          </a:xfrm>
                          <a:prstGeom prst="rect">
                            <a:avLst/>
                          </a:prstGeom>
                          <a:noFill/>
                          <a:ln>
                            <a:noFill/>
                          </a:ln>
                        </pic:spPr>
                      </pic:pic>
                    </a:graphicData>
                  </a:graphic>
                </wp:anchor>
              </w:drawing>
            </w:r>
            <w:r>
              <w:rPr>
                <w:rFonts w:hint="eastAsia" w:ascii="宋体" w:hAnsi="宋体"/>
                <w:b/>
                <w:bCs/>
                <w:color w:val="auto"/>
                <w:kern w:val="0"/>
                <w:szCs w:val="21"/>
                <w:highlight w:val="none"/>
                <w:bdr w:val="single" w:color="000000" w:sz="4" w:space="0"/>
                <w:lang w:bidi="ar"/>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18415" cy="17145"/>
                  <wp:effectExtent l="0" t="0" r="0" b="0"/>
                  <wp:wrapNone/>
                  <wp:docPr id="40" name="Picture_11_SpCnt_1"/>
                  <wp:cNvGraphicFramePr/>
                  <a:graphic xmlns:a="http://schemas.openxmlformats.org/drawingml/2006/main">
                    <a:graphicData uri="http://schemas.openxmlformats.org/drawingml/2006/picture">
                      <pic:pic xmlns:pic="http://schemas.openxmlformats.org/drawingml/2006/picture">
                        <pic:nvPicPr>
                          <pic:cNvPr id="40" name="Picture_11_SpCnt_1"/>
                          <pic:cNvPicPr/>
                        </pic:nvPicPr>
                        <pic:blipFill>
                          <a:blip r:embed="rId9"/>
                          <a:stretch>
                            <a:fillRect/>
                          </a:stretch>
                        </pic:blipFill>
                        <pic:spPr>
                          <a:xfrm>
                            <a:off x="0" y="0"/>
                            <a:ext cx="18415" cy="17145"/>
                          </a:xfrm>
                          <a:prstGeom prst="rect">
                            <a:avLst/>
                          </a:prstGeom>
                          <a:noFill/>
                          <a:ln>
                            <a:noFill/>
                          </a:ln>
                        </pic:spPr>
                      </pic:pic>
                    </a:graphicData>
                  </a:graphic>
                </wp:anchor>
              </w:drawing>
            </w:r>
            <w:r>
              <w:rPr>
                <w:rFonts w:hint="eastAsia" w:ascii="宋体" w:hAnsi="宋体"/>
                <w:b/>
                <w:bCs/>
                <w:color w:val="auto"/>
                <w:kern w:val="0"/>
                <w:szCs w:val="21"/>
                <w:highlight w:val="none"/>
                <w:bdr w:val="single" w:color="000000" w:sz="4" w:space="0"/>
                <w:lang w:bidi="ar"/>
              </w:rPr>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15240" cy="15240"/>
                  <wp:effectExtent l="0" t="0" r="0" b="0"/>
                  <wp:wrapNone/>
                  <wp:docPr id="41" name="Picture_2"/>
                  <wp:cNvGraphicFramePr/>
                  <a:graphic xmlns:a="http://schemas.openxmlformats.org/drawingml/2006/main">
                    <a:graphicData uri="http://schemas.openxmlformats.org/drawingml/2006/picture">
                      <pic:pic xmlns:pic="http://schemas.openxmlformats.org/drawingml/2006/picture">
                        <pic:nvPicPr>
                          <pic:cNvPr id="41" name="Picture_2"/>
                          <pic:cNvPicPr/>
                        </pic:nvPicPr>
                        <pic:blipFill>
                          <a:blip r:embed="rId10"/>
                          <a:stretch>
                            <a:fillRect/>
                          </a:stretch>
                        </pic:blipFill>
                        <pic:spPr>
                          <a:xfrm>
                            <a:off x="0" y="0"/>
                            <a:ext cx="15240" cy="15240"/>
                          </a:xfrm>
                          <a:prstGeom prst="rect">
                            <a:avLst/>
                          </a:prstGeom>
                          <a:noFill/>
                          <a:ln>
                            <a:noFill/>
                          </a:ln>
                        </pic:spPr>
                      </pic:pic>
                    </a:graphicData>
                  </a:graphic>
                </wp:anchor>
              </w:drawing>
            </w:r>
            <w:r>
              <w:rPr>
                <w:rFonts w:hint="eastAsia" w:ascii="宋体" w:hAnsi="宋体"/>
                <w:b/>
                <w:bCs/>
                <w:color w:val="auto"/>
                <w:kern w:val="0"/>
                <w:szCs w:val="21"/>
                <w:highlight w:val="none"/>
                <w:bdr w:val="single" w:color="000000" w:sz="4" w:space="0"/>
                <w:lang w:bidi="ar"/>
              </w:rPr>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16510" cy="15240"/>
                  <wp:effectExtent l="0" t="0" r="0" b="0"/>
                  <wp:wrapNone/>
                  <wp:docPr id="42" name="Picture_13"/>
                  <wp:cNvGraphicFramePr/>
                  <a:graphic xmlns:a="http://schemas.openxmlformats.org/drawingml/2006/main">
                    <a:graphicData uri="http://schemas.openxmlformats.org/drawingml/2006/picture">
                      <pic:pic xmlns:pic="http://schemas.openxmlformats.org/drawingml/2006/picture">
                        <pic:nvPicPr>
                          <pic:cNvPr id="42" name="Picture_13"/>
                          <pic:cNvPicPr/>
                        </pic:nvPicPr>
                        <pic:blipFill>
                          <a:blip r:embed="rId11"/>
                          <a:stretch>
                            <a:fillRect/>
                          </a:stretch>
                        </pic:blipFill>
                        <pic:spPr>
                          <a:xfrm>
                            <a:off x="0" y="0"/>
                            <a:ext cx="16510" cy="15240"/>
                          </a:xfrm>
                          <a:prstGeom prst="rect">
                            <a:avLst/>
                          </a:prstGeom>
                          <a:noFill/>
                          <a:ln>
                            <a:noFill/>
                          </a:ln>
                        </pic:spPr>
                      </pic:pic>
                    </a:graphicData>
                  </a:graphic>
                </wp:anchor>
              </w:drawing>
            </w:r>
            <w:r>
              <w:rPr>
                <w:rFonts w:hint="eastAsia" w:ascii="宋体" w:hAnsi="宋体"/>
                <w:b/>
                <w:bCs/>
                <w:color w:val="auto"/>
                <w:kern w:val="0"/>
                <w:szCs w:val="21"/>
                <w:highlight w:val="none"/>
                <w:bdr w:val="single" w:color="000000" w:sz="4" w:space="0"/>
                <w:lang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17145" cy="15240"/>
                  <wp:effectExtent l="0" t="0" r="0" b="0"/>
                  <wp:wrapNone/>
                  <wp:docPr id="43" name="Picture_1_SpCnt_2"/>
                  <wp:cNvGraphicFramePr/>
                  <a:graphic xmlns:a="http://schemas.openxmlformats.org/drawingml/2006/main">
                    <a:graphicData uri="http://schemas.openxmlformats.org/drawingml/2006/picture">
                      <pic:pic xmlns:pic="http://schemas.openxmlformats.org/drawingml/2006/picture">
                        <pic:nvPicPr>
                          <pic:cNvPr id="43" name="Picture_1_SpCnt_2"/>
                          <pic:cNvPicPr/>
                        </pic:nvPicPr>
                        <pic:blipFill>
                          <a:blip r:embed="rId7"/>
                          <a:stretch>
                            <a:fillRect/>
                          </a:stretch>
                        </pic:blipFill>
                        <pic:spPr>
                          <a:xfrm>
                            <a:off x="0" y="0"/>
                            <a:ext cx="17145" cy="15240"/>
                          </a:xfrm>
                          <a:prstGeom prst="rect">
                            <a:avLst/>
                          </a:prstGeom>
                          <a:noFill/>
                          <a:ln>
                            <a:noFill/>
                          </a:ln>
                        </pic:spPr>
                      </pic:pic>
                    </a:graphicData>
                  </a:graphic>
                </wp:anchor>
              </w:drawing>
            </w:r>
            <w:r>
              <w:rPr>
                <w:rFonts w:hint="eastAsia" w:ascii="宋体" w:hAnsi="宋体"/>
                <w:b/>
                <w:bCs/>
                <w:color w:val="auto"/>
                <w:kern w:val="0"/>
                <w:szCs w:val="21"/>
                <w:highlight w:val="none"/>
                <w:bdr w:val="single" w:color="000000" w:sz="4" w:space="0"/>
                <w:lang w:bidi="ar"/>
              </w:rPr>
              <w:drawing>
                <wp:anchor distT="0" distB="0" distL="114300" distR="114300" simplePos="0" relativeHeight="251666432" behindDoc="0" locked="0" layoutInCell="1" allowOverlap="1">
                  <wp:simplePos x="0" y="0"/>
                  <wp:positionH relativeFrom="column">
                    <wp:posOffset>0</wp:posOffset>
                  </wp:positionH>
                  <wp:positionV relativeFrom="paragraph">
                    <wp:posOffset>0</wp:posOffset>
                  </wp:positionV>
                  <wp:extent cx="16510" cy="15240"/>
                  <wp:effectExtent l="0" t="0" r="0" b="0"/>
                  <wp:wrapNone/>
                  <wp:docPr id="44" name="Picture_13_SpCnt_1"/>
                  <wp:cNvGraphicFramePr/>
                  <a:graphic xmlns:a="http://schemas.openxmlformats.org/drawingml/2006/main">
                    <a:graphicData uri="http://schemas.openxmlformats.org/drawingml/2006/picture">
                      <pic:pic xmlns:pic="http://schemas.openxmlformats.org/drawingml/2006/picture">
                        <pic:nvPicPr>
                          <pic:cNvPr id="44" name="Picture_13_SpCnt_1"/>
                          <pic:cNvPicPr/>
                        </pic:nvPicPr>
                        <pic:blipFill>
                          <a:blip r:embed="rId11"/>
                          <a:stretch>
                            <a:fillRect/>
                          </a:stretch>
                        </pic:blipFill>
                        <pic:spPr>
                          <a:xfrm>
                            <a:off x="0" y="0"/>
                            <a:ext cx="16510" cy="15240"/>
                          </a:xfrm>
                          <a:prstGeom prst="rect">
                            <a:avLst/>
                          </a:prstGeom>
                          <a:noFill/>
                          <a:ln>
                            <a:noFill/>
                          </a:ln>
                        </pic:spPr>
                      </pic:pic>
                    </a:graphicData>
                  </a:graphic>
                </wp:anchor>
              </w:drawing>
            </w:r>
            <w:r>
              <w:rPr>
                <w:rFonts w:hint="eastAsia" w:ascii="宋体" w:hAnsi="宋体"/>
                <w:b/>
                <w:bCs/>
                <w:color w:val="auto"/>
                <w:kern w:val="0"/>
                <w:szCs w:val="21"/>
                <w:highlight w:val="none"/>
                <w:bdr w:val="single" w:color="000000" w:sz="4" w:space="0"/>
                <w:lang w:bidi="ar"/>
              </w:rPr>
              <w:drawing>
                <wp:anchor distT="0" distB="0" distL="114300" distR="114300" simplePos="0" relativeHeight="251667456" behindDoc="0" locked="0" layoutInCell="1" allowOverlap="1">
                  <wp:simplePos x="0" y="0"/>
                  <wp:positionH relativeFrom="column">
                    <wp:posOffset>0</wp:posOffset>
                  </wp:positionH>
                  <wp:positionV relativeFrom="paragraph">
                    <wp:posOffset>0</wp:posOffset>
                  </wp:positionV>
                  <wp:extent cx="15240" cy="15240"/>
                  <wp:effectExtent l="0" t="0" r="0" b="0"/>
                  <wp:wrapNone/>
                  <wp:docPr id="45" name="Picture_2_SpCnt_1"/>
                  <wp:cNvGraphicFramePr/>
                  <a:graphic xmlns:a="http://schemas.openxmlformats.org/drawingml/2006/main">
                    <a:graphicData uri="http://schemas.openxmlformats.org/drawingml/2006/picture">
                      <pic:pic xmlns:pic="http://schemas.openxmlformats.org/drawingml/2006/picture">
                        <pic:nvPicPr>
                          <pic:cNvPr id="45" name="Picture_2_SpCnt_1"/>
                          <pic:cNvPicPr/>
                        </pic:nvPicPr>
                        <pic:blipFill>
                          <a:blip r:embed="rId10"/>
                          <a:stretch>
                            <a:fillRect/>
                          </a:stretch>
                        </pic:blipFill>
                        <pic:spPr>
                          <a:xfrm>
                            <a:off x="0" y="0"/>
                            <a:ext cx="15240" cy="15240"/>
                          </a:xfrm>
                          <a:prstGeom prst="rect">
                            <a:avLst/>
                          </a:prstGeom>
                          <a:noFill/>
                          <a:ln>
                            <a:noFill/>
                          </a:ln>
                        </pic:spPr>
                      </pic:pic>
                    </a:graphicData>
                  </a:graphic>
                </wp:anchor>
              </w:drawing>
            </w:r>
            <w:r>
              <w:rPr>
                <w:rFonts w:hint="eastAsia" w:ascii="宋体" w:hAnsi="宋体"/>
                <w:b/>
                <w:bCs/>
                <w:color w:val="auto"/>
                <w:kern w:val="0"/>
                <w:szCs w:val="21"/>
                <w:highlight w:val="none"/>
                <w:bdr w:val="single" w:color="000000" w:sz="4" w:space="0"/>
                <w:lang w:bidi="ar"/>
              </w:rPr>
              <w:drawing>
                <wp:anchor distT="0" distB="0" distL="114300" distR="114300" simplePos="0" relativeHeight="251668480" behindDoc="0" locked="0" layoutInCell="1" allowOverlap="1">
                  <wp:simplePos x="0" y="0"/>
                  <wp:positionH relativeFrom="column">
                    <wp:posOffset>0</wp:posOffset>
                  </wp:positionH>
                  <wp:positionV relativeFrom="paragraph">
                    <wp:posOffset>0</wp:posOffset>
                  </wp:positionV>
                  <wp:extent cx="18415" cy="19050"/>
                  <wp:effectExtent l="0" t="0" r="12065" b="3810"/>
                  <wp:wrapNone/>
                  <wp:docPr id="46" name="Picture_13_SpCnt_2"/>
                  <wp:cNvGraphicFramePr/>
                  <a:graphic xmlns:a="http://schemas.openxmlformats.org/drawingml/2006/main">
                    <a:graphicData uri="http://schemas.openxmlformats.org/drawingml/2006/picture">
                      <pic:pic xmlns:pic="http://schemas.openxmlformats.org/drawingml/2006/picture">
                        <pic:nvPicPr>
                          <pic:cNvPr id="46" name="Picture_13_SpCnt_2"/>
                          <pic:cNvPicPr/>
                        </pic:nvPicPr>
                        <pic:blipFill>
                          <a:blip r:embed="rId12"/>
                          <a:stretch>
                            <a:fillRect/>
                          </a:stretch>
                        </pic:blipFill>
                        <pic:spPr>
                          <a:xfrm>
                            <a:off x="0" y="0"/>
                            <a:ext cx="18415" cy="19050"/>
                          </a:xfrm>
                          <a:prstGeom prst="rect">
                            <a:avLst/>
                          </a:prstGeom>
                          <a:noFill/>
                          <a:ln>
                            <a:noFill/>
                          </a:ln>
                        </pic:spPr>
                      </pic:pic>
                    </a:graphicData>
                  </a:graphic>
                </wp:anchor>
              </w:drawing>
            </w:r>
            <w:r>
              <w:rPr>
                <w:rFonts w:hint="eastAsia" w:ascii="宋体" w:hAnsi="宋体"/>
                <w:b/>
                <w:bCs/>
                <w:color w:val="auto"/>
                <w:kern w:val="0"/>
                <w:szCs w:val="21"/>
                <w:highlight w:val="none"/>
                <w:bdr w:val="single" w:color="000000" w:sz="4" w:space="0"/>
                <w:lang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18415" cy="19050"/>
                  <wp:effectExtent l="0" t="0" r="12065" b="3810"/>
                  <wp:wrapNone/>
                  <wp:docPr id="47" name="Picture_13_SpCnt_3"/>
                  <wp:cNvGraphicFramePr/>
                  <a:graphic xmlns:a="http://schemas.openxmlformats.org/drawingml/2006/main">
                    <a:graphicData uri="http://schemas.openxmlformats.org/drawingml/2006/picture">
                      <pic:pic xmlns:pic="http://schemas.openxmlformats.org/drawingml/2006/picture">
                        <pic:nvPicPr>
                          <pic:cNvPr id="47" name="Picture_13_SpCnt_3"/>
                          <pic:cNvPicPr/>
                        </pic:nvPicPr>
                        <pic:blipFill>
                          <a:blip r:embed="rId12"/>
                          <a:stretch>
                            <a:fillRect/>
                          </a:stretch>
                        </pic:blipFill>
                        <pic:spPr>
                          <a:xfrm>
                            <a:off x="0" y="0"/>
                            <a:ext cx="18415" cy="19050"/>
                          </a:xfrm>
                          <a:prstGeom prst="rect">
                            <a:avLst/>
                          </a:prstGeom>
                          <a:noFill/>
                          <a:ln>
                            <a:noFill/>
                          </a:ln>
                        </pic:spPr>
                      </pic:pic>
                    </a:graphicData>
                  </a:graphic>
                </wp:anchor>
              </w:drawing>
            </w:r>
            <w:r>
              <w:rPr>
                <w:rFonts w:hint="eastAsia" w:ascii="宋体" w:hAnsi="宋体"/>
                <w:b/>
                <w:bCs/>
                <w:color w:val="auto"/>
                <w:kern w:val="0"/>
                <w:szCs w:val="21"/>
                <w:highlight w:val="none"/>
                <w:bdr w:val="single" w:color="000000" w:sz="4" w:space="0"/>
                <w:lang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18415" cy="15240"/>
                  <wp:effectExtent l="0" t="0" r="0" b="0"/>
                  <wp:wrapNone/>
                  <wp:docPr id="48" name="Picture_13_SpCnt_4"/>
                  <wp:cNvGraphicFramePr/>
                  <a:graphic xmlns:a="http://schemas.openxmlformats.org/drawingml/2006/main">
                    <a:graphicData uri="http://schemas.openxmlformats.org/drawingml/2006/picture">
                      <pic:pic xmlns:pic="http://schemas.openxmlformats.org/drawingml/2006/picture">
                        <pic:nvPicPr>
                          <pic:cNvPr id="48" name="Picture_13_SpCnt_4"/>
                          <pic:cNvPicPr/>
                        </pic:nvPicPr>
                        <pic:blipFill>
                          <a:blip r:embed="rId7"/>
                          <a:stretch>
                            <a:fillRect/>
                          </a:stretch>
                        </pic:blipFill>
                        <pic:spPr>
                          <a:xfrm>
                            <a:off x="0" y="0"/>
                            <a:ext cx="18415" cy="15240"/>
                          </a:xfrm>
                          <a:prstGeom prst="rect">
                            <a:avLst/>
                          </a:prstGeom>
                          <a:noFill/>
                          <a:ln>
                            <a:noFill/>
                          </a:ln>
                        </pic:spPr>
                      </pic:pic>
                    </a:graphicData>
                  </a:graphic>
                </wp:anchor>
              </w:drawing>
            </w:r>
            <w:r>
              <w:rPr>
                <w:rFonts w:hint="eastAsia" w:ascii="宋体" w:hAnsi="宋体"/>
                <w:b/>
                <w:bCs/>
                <w:color w:val="auto"/>
                <w:kern w:val="0"/>
                <w:szCs w:val="21"/>
                <w:highlight w:val="none"/>
                <w:bdr w:val="single" w:color="000000" w:sz="4" w:space="0"/>
                <w:lang w:bidi="ar"/>
              </w:rPr>
              <w:drawing>
                <wp:anchor distT="0" distB="0" distL="114300" distR="114300" simplePos="0" relativeHeight="251671552" behindDoc="0" locked="0" layoutInCell="1" allowOverlap="1">
                  <wp:simplePos x="0" y="0"/>
                  <wp:positionH relativeFrom="column">
                    <wp:posOffset>0</wp:posOffset>
                  </wp:positionH>
                  <wp:positionV relativeFrom="paragraph">
                    <wp:posOffset>0</wp:posOffset>
                  </wp:positionV>
                  <wp:extent cx="18415" cy="15240"/>
                  <wp:effectExtent l="0" t="0" r="0" b="0"/>
                  <wp:wrapNone/>
                  <wp:docPr id="49" name="Picture_13_SpCnt_5"/>
                  <wp:cNvGraphicFramePr/>
                  <a:graphic xmlns:a="http://schemas.openxmlformats.org/drawingml/2006/main">
                    <a:graphicData uri="http://schemas.openxmlformats.org/drawingml/2006/picture">
                      <pic:pic xmlns:pic="http://schemas.openxmlformats.org/drawingml/2006/picture">
                        <pic:nvPicPr>
                          <pic:cNvPr id="49" name="Picture_13_SpCnt_5"/>
                          <pic:cNvPicPr/>
                        </pic:nvPicPr>
                        <pic:blipFill>
                          <a:blip r:embed="rId7"/>
                          <a:stretch>
                            <a:fillRect/>
                          </a:stretch>
                        </pic:blipFill>
                        <pic:spPr>
                          <a:xfrm>
                            <a:off x="0" y="0"/>
                            <a:ext cx="18415" cy="15240"/>
                          </a:xfrm>
                          <a:prstGeom prst="rect">
                            <a:avLst/>
                          </a:prstGeom>
                          <a:noFill/>
                          <a:ln>
                            <a:noFill/>
                          </a:ln>
                        </pic:spPr>
                      </pic:pic>
                    </a:graphicData>
                  </a:graphic>
                </wp:anchor>
              </w:drawing>
            </w:r>
            <w:r>
              <w:rPr>
                <w:rFonts w:hint="eastAsia" w:ascii="宋体" w:hAnsi="宋体"/>
                <w:b/>
                <w:bCs/>
                <w:color w:val="auto"/>
                <w:kern w:val="0"/>
                <w:szCs w:val="21"/>
                <w:highlight w:val="none"/>
                <w:bdr w:val="single" w:color="000000" w:sz="4" w:space="0"/>
                <w:lang w:bidi="ar"/>
              </w:rPr>
              <w:drawing>
                <wp:anchor distT="0" distB="0" distL="114300" distR="114300" simplePos="0" relativeHeight="251672576" behindDoc="0" locked="0" layoutInCell="1" allowOverlap="1">
                  <wp:simplePos x="0" y="0"/>
                  <wp:positionH relativeFrom="column">
                    <wp:posOffset>0</wp:posOffset>
                  </wp:positionH>
                  <wp:positionV relativeFrom="paragraph">
                    <wp:posOffset>0</wp:posOffset>
                  </wp:positionV>
                  <wp:extent cx="18415" cy="17145"/>
                  <wp:effectExtent l="0" t="0" r="0" b="0"/>
                  <wp:wrapNone/>
                  <wp:docPr id="50" name="Picture_11_SpCnt_2"/>
                  <wp:cNvGraphicFramePr/>
                  <a:graphic xmlns:a="http://schemas.openxmlformats.org/drawingml/2006/main">
                    <a:graphicData uri="http://schemas.openxmlformats.org/drawingml/2006/picture">
                      <pic:pic xmlns:pic="http://schemas.openxmlformats.org/drawingml/2006/picture">
                        <pic:nvPicPr>
                          <pic:cNvPr id="50" name="Picture_11_SpCnt_2"/>
                          <pic:cNvPicPr/>
                        </pic:nvPicPr>
                        <pic:blipFill>
                          <a:blip r:embed="rId8"/>
                          <a:stretch>
                            <a:fillRect/>
                          </a:stretch>
                        </pic:blipFill>
                        <pic:spPr>
                          <a:xfrm>
                            <a:off x="0" y="0"/>
                            <a:ext cx="18415" cy="17145"/>
                          </a:xfrm>
                          <a:prstGeom prst="rect">
                            <a:avLst/>
                          </a:prstGeom>
                          <a:noFill/>
                          <a:ln>
                            <a:noFill/>
                          </a:ln>
                        </pic:spPr>
                      </pic:pic>
                    </a:graphicData>
                  </a:graphic>
                </wp:anchor>
              </w:drawing>
            </w:r>
            <w:r>
              <w:rPr>
                <w:rFonts w:hint="eastAsia" w:ascii="宋体" w:hAnsi="宋体"/>
                <w:b/>
                <w:bCs/>
                <w:color w:val="auto"/>
                <w:kern w:val="0"/>
                <w:szCs w:val="21"/>
                <w:highlight w:val="none"/>
                <w:bdr w:val="single" w:color="000000" w:sz="4" w:space="0"/>
                <w:lang w:bidi="ar"/>
              </w:rPr>
              <w:drawing>
                <wp:anchor distT="0" distB="0" distL="114300" distR="114300" simplePos="0" relativeHeight="251673600" behindDoc="0" locked="0" layoutInCell="1" allowOverlap="1">
                  <wp:simplePos x="0" y="0"/>
                  <wp:positionH relativeFrom="column">
                    <wp:posOffset>0</wp:posOffset>
                  </wp:positionH>
                  <wp:positionV relativeFrom="paragraph">
                    <wp:posOffset>0</wp:posOffset>
                  </wp:positionV>
                  <wp:extent cx="16510" cy="15240"/>
                  <wp:effectExtent l="0" t="0" r="0" b="0"/>
                  <wp:wrapNone/>
                  <wp:docPr id="51" name="Picture_13_SpCnt_6"/>
                  <wp:cNvGraphicFramePr/>
                  <a:graphic xmlns:a="http://schemas.openxmlformats.org/drawingml/2006/main">
                    <a:graphicData uri="http://schemas.openxmlformats.org/drawingml/2006/picture">
                      <pic:pic xmlns:pic="http://schemas.openxmlformats.org/drawingml/2006/picture">
                        <pic:nvPicPr>
                          <pic:cNvPr id="51" name="Picture_13_SpCnt_6"/>
                          <pic:cNvPicPr/>
                        </pic:nvPicPr>
                        <pic:blipFill>
                          <a:blip r:embed="rId11"/>
                          <a:stretch>
                            <a:fillRect/>
                          </a:stretch>
                        </pic:blipFill>
                        <pic:spPr>
                          <a:xfrm>
                            <a:off x="0" y="0"/>
                            <a:ext cx="16510" cy="15240"/>
                          </a:xfrm>
                          <a:prstGeom prst="rect">
                            <a:avLst/>
                          </a:prstGeom>
                          <a:noFill/>
                          <a:ln>
                            <a:noFill/>
                          </a:ln>
                        </pic:spPr>
                      </pic:pic>
                    </a:graphicData>
                  </a:graphic>
                </wp:anchor>
              </w:drawing>
            </w:r>
            <w:r>
              <w:rPr>
                <w:rFonts w:hint="eastAsia" w:ascii="宋体" w:hAnsi="宋体"/>
                <w:b/>
                <w:bCs/>
                <w:color w:val="auto"/>
                <w:kern w:val="0"/>
                <w:szCs w:val="21"/>
                <w:highlight w:val="none"/>
                <w:bdr w:val="single" w:color="000000" w:sz="4" w:space="0"/>
                <w:lang w:bidi="ar"/>
              </w:rPr>
              <w:drawing>
                <wp:anchor distT="0" distB="0" distL="114300" distR="114300" simplePos="0" relativeHeight="251674624" behindDoc="0" locked="0" layoutInCell="1" allowOverlap="1">
                  <wp:simplePos x="0" y="0"/>
                  <wp:positionH relativeFrom="column">
                    <wp:posOffset>0</wp:posOffset>
                  </wp:positionH>
                  <wp:positionV relativeFrom="paragraph">
                    <wp:posOffset>0</wp:posOffset>
                  </wp:positionV>
                  <wp:extent cx="15240" cy="15240"/>
                  <wp:effectExtent l="0" t="0" r="0" b="0"/>
                  <wp:wrapNone/>
                  <wp:docPr id="52" name="Picture_2_SpCnt_2"/>
                  <wp:cNvGraphicFramePr/>
                  <a:graphic xmlns:a="http://schemas.openxmlformats.org/drawingml/2006/main">
                    <a:graphicData uri="http://schemas.openxmlformats.org/drawingml/2006/picture">
                      <pic:pic xmlns:pic="http://schemas.openxmlformats.org/drawingml/2006/picture">
                        <pic:nvPicPr>
                          <pic:cNvPr id="52" name="Picture_2_SpCnt_2"/>
                          <pic:cNvPicPr/>
                        </pic:nvPicPr>
                        <pic:blipFill>
                          <a:blip r:embed="rId10"/>
                          <a:stretch>
                            <a:fillRect/>
                          </a:stretch>
                        </pic:blipFill>
                        <pic:spPr>
                          <a:xfrm>
                            <a:off x="0" y="0"/>
                            <a:ext cx="15240" cy="15240"/>
                          </a:xfrm>
                          <a:prstGeom prst="rect">
                            <a:avLst/>
                          </a:prstGeom>
                          <a:noFill/>
                          <a:ln>
                            <a:noFill/>
                          </a:ln>
                        </pic:spPr>
                      </pic:pic>
                    </a:graphicData>
                  </a:graphic>
                </wp:anchor>
              </w:drawing>
            </w:r>
            <w:r>
              <w:rPr>
                <w:rFonts w:hint="eastAsia" w:ascii="宋体" w:hAnsi="宋体"/>
                <w:b/>
                <w:bCs/>
                <w:color w:val="auto"/>
                <w:kern w:val="0"/>
                <w:szCs w:val="21"/>
                <w:highlight w:val="none"/>
                <w:bdr w:val="single" w:color="000000" w:sz="4" w:space="0"/>
                <w:lang w:bidi="ar"/>
              </w:rPr>
              <w:drawing>
                <wp:anchor distT="0" distB="0" distL="114300" distR="114300" simplePos="0" relativeHeight="251675648" behindDoc="0" locked="0" layoutInCell="1" allowOverlap="1">
                  <wp:simplePos x="0" y="0"/>
                  <wp:positionH relativeFrom="column">
                    <wp:posOffset>0</wp:posOffset>
                  </wp:positionH>
                  <wp:positionV relativeFrom="paragraph">
                    <wp:posOffset>0</wp:posOffset>
                  </wp:positionV>
                  <wp:extent cx="18415" cy="19050"/>
                  <wp:effectExtent l="0" t="0" r="12065" b="3810"/>
                  <wp:wrapNone/>
                  <wp:docPr id="53" name="Picture_13_SpCnt_7"/>
                  <wp:cNvGraphicFramePr/>
                  <a:graphic xmlns:a="http://schemas.openxmlformats.org/drawingml/2006/main">
                    <a:graphicData uri="http://schemas.openxmlformats.org/drawingml/2006/picture">
                      <pic:pic xmlns:pic="http://schemas.openxmlformats.org/drawingml/2006/picture">
                        <pic:nvPicPr>
                          <pic:cNvPr id="53" name="Picture_13_SpCnt_7"/>
                          <pic:cNvPicPr/>
                        </pic:nvPicPr>
                        <pic:blipFill>
                          <a:blip r:embed="rId12"/>
                          <a:stretch>
                            <a:fillRect/>
                          </a:stretch>
                        </pic:blipFill>
                        <pic:spPr>
                          <a:xfrm>
                            <a:off x="0" y="0"/>
                            <a:ext cx="18415" cy="19050"/>
                          </a:xfrm>
                          <a:prstGeom prst="rect">
                            <a:avLst/>
                          </a:prstGeom>
                          <a:noFill/>
                          <a:ln>
                            <a:noFill/>
                          </a:ln>
                        </pic:spPr>
                      </pic:pic>
                    </a:graphicData>
                  </a:graphic>
                </wp:anchor>
              </w:drawing>
            </w:r>
            <w:r>
              <w:rPr>
                <w:rFonts w:hint="eastAsia" w:ascii="宋体" w:hAnsi="宋体"/>
                <w:b/>
                <w:bCs/>
                <w:color w:val="auto"/>
                <w:kern w:val="0"/>
                <w:szCs w:val="21"/>
                <w:highlight w:val="none"/>
                <w:bdr w:val="single" w:color="000000" w:sz="4" w:space="0"/>
                <w:lang w:bidi="ar"/>
              </w:rPr>
              <w:drawing>
                <wp:anchor distT="0" distB="0" distL="114300" distR="114300" simplePos="0" relativeHeight="251676672" behindDoc="0" locked="0" layoutInCell="1" allowOverlap="1">
                  <wp:simplePos x="0" y="0"/>
                  <wp:positionH relativeFrom="column">
                    <wp:posOffset>0</wp:posOffset>
                  </wp:positionH>
                  <wp:positionV relativeFrom="paragraph">
                    <wp:posOffset>0</wp:posOffset>
                  </wp:positionV>
                  <wp:extent cx="18415" cy="15240"/>
                  <wp:effectExtent l="0" t="0" r="0" b="0"/>
                  <wp:wrapNone/>
                  <wp:docPr id="54" name="Picture_13_SpCnt_8"/>
                  <wp:cNvGraphicFramePr/>
                  <a:graphic xmlns:a="http://schemas.openxmlformats.org/drawingml/2006/main">
                    <a:graphicData uri="http://schemas.openxmlformats.org/drawingml/2006/picture">
                      <pic:pic xmlns:pic="http://schemas.openxmlformats.org/drawingml/2006/picture">
                        <pic:nvPicPr>
                          <pic:cNvPr id="54" name="Picture_13_SpCnt_8"/>
                          <pic:cNvPicPr/>
                        </pic:nvPicPr>
                        <pic:blipFill>
                          <a:blip r:embed="rId7"/>
                          <a:stretch>
                            <a:fillRect/>
                          </a:stretch>
                        </pic:blipFill>
                        <pic:spPr>
                          <a:xfrm>
                            <a:off x="0" y="0"/>
                            <a:ext cx="18415" cy="15240"/>
                          </a:xfrm>
                          <a:prstGeom prst="rect">
                            <a:avLst/>
                          </a:prstGeom>
                          <a:noFill/>
                          <a:ln>
                            <a:noFill/>
                          </a:ln>
                        </pic:spPr>
                      </pic:pic>
                    </a:graphicData>
                  </a:graphic>
                </wp:anchor>
              </w:drawing>
            </w:r>
            <w:r>
              <w:rPr>
                <w:rFonts w:hint="eastAsia" w:ascii="宋体" w:hAnsi="宋体"/>
                <w:b/>
                <w:bCs/>
                <w:color w:val="auto"/>
                <w:kern w:val="0"/>
                <w:szCs w:val="21"/>
                <w:highlight w:val="none"/>
                <w:lang w:bidi="ar"/>
              </w:rPr>
              <w:t>报告厅灯光音响</w:t>
            </w:r>
          </w:p>
        </w:tc>
        <w:tc>
          <w:tcPr>
            <w:tcW w:w="6378" w:type="dxa"/>
            <w:tcBorders>
              <w:top w:val="single" w:color="000000" w:sz="4" w:space="0"/>
              <w:left w:val="single" w:color="000000" w:sz="4" w:space="0"/>
              <w:bottom w:val="single" w:color="000000" w:sz="4" w:space="0"/>
              <w:right w:val="single" w:color="000000" w:sz="4" w:space="0"/>
            </w:tcBorders>
            <w:vAlign w:val="center"/>
          </w:tcPr>
          <w:p w14:paraId="7FD9BA0F">
            <w:pPr>
              <w:jc w:val="left"/>
              <w:rPr>
                <w:rFonts w:hint="eastAsia" w:ascii="宋体" w:hAnsi="宋体"/>
                <w:b/>
                <w:bCs/>
                <w:color w:val="auto"/>
                <w:szCs w:val="21"/>
                <w:highlight w:val="none"/>
              </w:rPr>
            </w:pPr>
          </w:p>
        </w:tc>
        <w:tc>
          <w:tcPr>
            <w:tcW w:w="567" w:type="dxa"/>
            <w:tcBorders>
              <w:top w:val="single" w:color="000000" w:sz="4" w:space="0"/>
              <w:left w:val="single" w:color="000000" w:sz="4" w:space="0"/>
              <w:bottom w:val="single" w:color="000000" w:sz="4" w:space="0"/>
              <w:right w:val="single" w:color="000000" w:sz="4" w:space="0"/>
            </w:tcBorders>
            <w:vAlign w:val="center"/>
          </w:tcPr>
          <w:p w14:paraId="5EC3C118">
            <w:pPr>
              <w:jc w:val="center"/>
              <w:rPr>
                <w:rFonts w:hint="eastAsia" w:ascii="宋体" w:hAnsi="宋体"/>
                <w:b/>
                <w:bCs/>
                <w:color w:val="auto"/>
                <w:szCs w:val="21"/>
                <w:highlight w:val="none"/>
              </w:rPr>
            </w:pPr>
          </w:p>
        </w:tc>
        <w:tc>
          <w:tcPr>
            <w:tcW w:w="870" w:type="dxa"/>
            <w:tcBorders>
              <w:top w:val="single" w:color="000000" w:sz="4" w:space="0"/>
              <w:left w:val="single" w:color="000000" w:sz="4" w:space="0"/>
              <w:bottom w:val="single" w:color="000000" w:sz="4" w:space="0"/>
              <w:right w:val="single" w:color="000000" w:sz="4" w:space="0"/>
            </w:tcBorders>
            <w:vAlign w:val="center"/>
          </w:tcPr>
          <w:p w14:paraId="16D3904F">
            <w:pPr>
              <w:jc w:val="center"/>
              <w:rPr>
                <w:rFonts w:hint="eastAsia" w:ascii="宋体" w:hAnsi="宋体"/>
                <w:b/>
                <w:bCs/>
                <w:color w:val="auto"/>
                <w:szCs w:val="21"/>
                <w:highlight w:val="none"/>
              </w:rPr>
            </w:pPr>
          </w:p>
        </w:tc>
      </w:tr>
      <w:tr w14:paraId="1FB4D6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64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5DFA0F">
            <w:pPr>
              <w:widowControl/>
              <w:jc w:val="center"/>
              <w:textAlignment w:val="center"/>
              <w:rPr>
                <w:rFonts w:hint="eastAsia" w:ascii="宋体" w:hAnsi="宋体"/>
                <w:b/>
                <w:bCs/>
                <w:color w:val="auto"/>
                <w:szCs w:val="21"/>
                <w:highlight w:val="none"/>
              </w:rPr>
            </w:pPr>
            <w:r>
              <w:rPr>
                <w:rFonts w:hint="eastAsia" w:ascii="宋体" w:hAnsi="宋体"/>
                <w:b/>
                <w:bCs/>
                <w:color w:val="auto"/>
                <w:kern w:val="0"/>
                <w:szCs w:val="21"/>
                <w:highlight w:val="none"/>
                <w:lang w:bidi="ar"/>
              </w:rPr>
              <w:t>（一）</w:t>
            </w:r>
          </w:p>
        </w:tc>
        <w:tc>
          <w:tcPr>
            <w:tcW w:w="85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84EE36C">
            <w:pPr>
              <w:widowControl/>
              <w:jc w:val="center"/>
              <w:textAlignment w:val="center"/>
              <w:rPr>
                <w:rFonts w:hint="eastAsia" w:ascii="宋体" w:hAnsi="宋体"/>
                <w:b/>
                <w:bCs/>
                <w:color w:val="auto"/>
                <w:szCs w:val="21"/>
                <w:highlight w:val="none"/>
              </w:rPr>
            </w:pPr>
            <w:r>
              <w:rPr>
                <w:rFonts w:hint="eastAsia" w:ascii="宋体" w:hAnsi="宋体"/>
                <w:b/>
                <w:bCs/>
                <w:color w:val="auto"/>
                <w:kern w:val="0"/>
                <w:szCs w:val="21"/>
                <w:highlight w:val="none"/>
                <w:bdr w:val="single" w:color="000000" w:sz="4" w:space="0"/>
                <w:shd w:val="clear" w:color="auto" w:fill="FFFFFF"/>
                <w:lang w:bidi="ar"/>
              </w:rPr>
              <w:drawing>
                <wp:anchor distT="0" distB="0" distL="114300" distR="114300" simplePos="0" relativeHeight="251677696" behindDoc="0" locked="0" layoutInCell="1" allowOverlap="1">
                  <wp:simplePos x="0" y="0"/>
                  <wp:positionH relativeFrom="column">
                    <wp:posOffset>0</wp:posOffset>
                  </wp:positionH>
                  <wp:positionV relativeFrom="paragraph">
                    <wp:posOffset>0</wp:posOffset>
                  </wp:positionV>
                  <wp:extent cx="17145" cy="15240"/>
                  <wp:effectExtent l="0" t="0" r="0" b="0"/>
                  <wp:wrapNone/>
                  <wp:docPr id="55" name="Picture_1_SpCnt_3"/>
                  <wp:cNvGraphicFramePr/>
                  <a:graphic xmlns:a="http://schemas.openxmlformats.org/drawingml/2006/main">
                    <a:graphicData uri="http://schemas.openxmlformats.org/drawingml/2006/picture">
                      <pic:pic xmlns:pic="http://schemas.openxmlformats.org/drawingml/2006/picture">
                        <pic:nvPicPr>
                          <pic:cNvPr id="55" name="Picture_1_SpCnt_3"/>
                          <pic:cNvPicPr/>
                        </pic:nvPicPr>
                        <pic:blipFill>
                          <a:blip r:embed="rId7"/>
                          <a:stretch>
                            <a:fillRect/>
                          </a:stretch>
                        </pic:blipFill>
                        <pic:spPr>
                          <a:xfrm>
                            <a:off x="0" y="0"/>
                            <a:ext cx="17145" cy="15240"/>
                          </a:xfrm>
                          <a:prstGeom prst="rect">
                            <a:avLst/>
                          </a:prstGeom>
                          <a:noFill/>
                          <a:ln>
                            <a:noFill/>
                          </a:ln>
                        </pic:spPr>
                      </pic:pic>
                    </a:graphicData>
                  </a:graphic>
                </wp:anchor>
              </w:drawing>
            </w:r>
            <w:r>
              <w:rPr>
                <w:rFonts w:hint="eastAsia" w:ascii="宋体" w:hAnsi="宋体"/>
                <w:b/>
                <w:bCs/>
                <w:color w:val="auto"/>
                <w:kern w:val="0"/>
                <w:szCs w:val="21"/>
                <w:highlight w:val="none"/>
                <w:bdr w:val="single" w:color="000000" w:sz="4" w:space="0"/>
                <w:shd w:val="clear" w:color="auto" w:fill="FFFFFF"/>
                <w:lang w:bidi="ar"/>
              </w:rPr>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16510" cy="15240"/>
                  <wp:effectExtent l="0" t="0" r="0" b="0"/>
                  <wp:wrapNone/>
                  <wp:docPr id="56" name="Picture_13_SpCnt_9"/>
                  <wp:cNvGraphicFramePr/>
                  <a:graphic xmlns:a="http://schemas.openxmlformats.org/drawingml/2006/main">
                    <a:graphicData uri="http://schemas.openxmlformats.org/drawingml/2006/picture">
                      <pic:pic xmlns:pic="http://schemas.openxmlformats.org/drawingml/2006/picture">
                        <pic:nvPicPr>
                          <pic:cNvPr id="56" name="Picture_13_SpCnt_9"/>
                          <pic:cNvPicPr/>
                        </pic:nvPicPr>
                        <pic:blipFill>
                          <a:blip r:embed="rId11"/>
                          <a:stretch>
                            <a:fillRect/>
                          </a:stretch>
                        </pic:blipFill>
                        <pic:spPr>
                          <a:xfrm>
                            <a:off x="0" y="0"/>
                            <a:ext cx="16510" cy="15240"/>
                          </a:xfrm>
                          <a:prstGeom prst="rect">
                            <a:avLst/>
                          </a:prstGeom>
                          <a:noFill/>
                          <a:ln>
                            <a:noFill/>
                          </a:ln>
                        </pic:spPr>
                      </pic:pic>
                    </a:graphicData>
                  </a:graphic>
                </wp:anchor>
              </w:drawing>
            </w:r>
            <w:r>
              <w:rPr>
                <w:rFonts w:hint="eastAsia" w:ascii="宋体" w:hAnsi="宋体"/>
                <w:b/>
                <w:bCs/>
                <w:color w:val="auto"/>
                <w:kern w:val="0"/>
                <w:szCs w:val="21"/>
                <w:highlight w:val="none"/>
                <w:bdr w:val="single" w:color="000000" w:sz="4" w:space="0"/>
                <w:shd w:val="clear" w:color="auto" w:fill="FFFFFF"/>
                <w:lang w:bidi="ar"/>
              </w:rPr>
              <w:drawing>
                <wp:anchor distT="0" distB="0" distL="114300" distR="114300" simplePos="0" relativeHeight="251679744" behindDoc="0" locked="0" layoutInCell="1" allowOverlap="1">
                  <wp:simplePos x="0" y="0"/>
                  <wp:positionH relativeFrom="column">
                    <wp:posOffset>0</wp:posOffset>
                  </wp:positionH>
                  <wp:positionV relativeFrom="paragraph">
                    <wp:posOffset>0</wp:posOffset>
                  </wp:positionV>
                  <wp:extent cx="16510" cy="15240"/>
                  <wp:effectExtent l="0" t="0" r="0" b="0"/>
                  <wp:wrapNone/>
                  <wp:docPr id="57" name="Picture_13_SpCnt_10"/>
                  <wp:cNvGraphicFramePr/>
                  <a:graphic xmlns:a="http://schemas.openxmlformats.org/drawingml/2006/main">
                    <a:graphicData uri="http://schemas.openxmlformats.org/drawingml/2006/picture">
                      <pic:pic xmlns:pic="http://schemas.openxmlformats.org/drawingml/2006/picture">
                        <pic:nvPicPr>
                          <pic:cNvPr id="57" name="Picture_13_SpCnt_10"/>
                          <pic:cNvPicPr/>
                        </pic:nvPicPr>
                        <pic:blipFill>
                          <a:blip r:embed="rId11"/>
                          <a:stretch>
                            <a:fillRect/>
                          </a:stretch>
                        </pic:blipFill>
                        <pic:spPr>
                          <a:xfrm>
                            <a:off x="0" y="0"/>
                            <a:ext cx="16510" cy="15240"/>
                          </a:xfrm>
                          <a:prstGeom prst="rect">
                            <a:avLst/>
                          </a:prstGeom>
                          <a:noFill/>
                          <a:ln>
                            <a:noFill/>
                          </a:ln>
                        </pic:spPr>
                      </pic:pic>
                    </a:graphicData>
                  </a:graphic>
                </wp:anchor>
              </w:drawing>
            </w:r>
            <w:r>
              <w:rPr>
                <w:rFonts w:hint="eastAsia" w:ascii="宋体" w:hAnsi="宋体"/>
                <w:b/>
                <w:bCs/>
                <w:color w:val="auto"/>
                <w:kern w:val="0"/>
                <w:szCs w:val="21"/>
                <w:highlight w:val="none"/>
                <w:bdr w:val="single" w:color="000000" w:sz="4" w:space="0"/>
                <w:shd w:val="clear" w:color="auto" w:fill="FFFFFF"/>
                <w:lang w:bidi="ar"/>
              </w:rPr>
              <w:drawing>
                <wp:anchor distT="0" distB="0" distL="114300" distR="114300" simplePos="0" relativeHeight="251680768" behindDoc="0" locked="0" layoutInCell="1" allowOverlap="1">
                  <wp:simplePos x="0" y="0"/>
                  <wp:positionH relativeFrom="column">
                    <wp:posOffset>0</wp:posOffset>
                  </wp:positionH>
                  <wp:positionV relativeFrom="paragraph">
                    <wp:posOffset>0</wp:posOffset>
                  </wp:positionV>
                  <wp:extent cx="18415" cy="15240"/>
                  <wp:effectExtent l="0" t="0" r="0" b="0"/>
                  <wp:wrapNone/>
                  <wp:docPr id="58" name="Picture_13_SpCnt_11"/>
                  <wp:cNvGraphicFramePr/>
                  <a:graphic xmlns:a="http://schemas.openxmlformats.org/drawingml/2006/main">
                    <a:graphicData uri="http://schemas.openxmlformats.org/drawingml/2006/picture">
                      <pic:pic xmlns:pic="http://schemas.openxmlformats.org/drawingml/2006/picture">
                        <pic:nvPicPr>
                          <pic:cNvPr id="58" name="Picture_13_SpCnt_11"/>
                          <pic:cNvPicPr/>
                        </pic:nvPicPr>
                        <pic:blipFill>
                          <a:blip r:embed="rId7"/>
                          <a:stretch>
                            <a:fillRect/>
                          </a:stretch>
                        </pic:blipFill>
                        <pic:spPr>
                          <a:xfrm>
                            <a:off x="0" y="0"/>
                            <a:ext cx="18415" cy="15240"/>
                          </a:xfrm>
                          <a:prstGeom prst="rect">
                            <a:avLst/>
                          </a:prstGeom>
                          <a:noFill/>
                          <a:ln>
                            <a:noFill/>
                          </a:ln>
                        </pic:spPr>
                      </pic:pic>
                    </a:graphicData>
                  </a:graphic>
                </wp:anchor>
              </w:drawing>
            </w:r>
            <w:r>
              <w:rPr>
                <w:rFonts w:hint="eastAsia" w:ascii="宋体" w:hAnsi="宋体"/>
                <w:b/>
                <w:bCs/>
                <w:color w:val="auto"/>
                <w:kern w:val="0"/>
                <w:szCs w:val="21"/>
                <w:highlight w:val="none"/>
                <w:bdr w:val="single" w:color="000000" w:sz="4" w:space="0"/>
                <w:shd w:val="clear" w:color="auto" w:fill="FFFFFF"/>
                <w:lang w:bidi="ar"/>
              </w:rPr>
              <w:drawing>
                <wp:anchor distT="0" distB="0" distL="114300" distR="114300" simplePos="0" relativeHeight="251681792" behindDoc="0" locked="0" layoutInCell="1" allowOverlap="1">
                  <wp:simplePos x="0" y="0"/>
                  <wp:positionH relativeFrom="column">
                    <wp:posOffset>0</wp:posOffset>
                  </wp:positionH>
                  <wp:positionV relativeFrom="paragraph">
                    <wp:posOffset>0</wp:posOffset>
                  </wp:positionV>
                  <wp:extent cx="15240" cy="15240"/>
                  <wp:effectExtent l="0" t="0" r="0" b="0"/>
                  <wp:wrapNone/>
                  <wp:docPr id="59" name="Picture_2_SpCnt_3"/>
                  <wp:cNvGraphicFramePr/>
                  <a:graphic xmlns:a="http://schemas.openxmlformats.org/drawingml/2006/main">
                    <a:graphicData uri="http://schemas.openxmlformats.org/drawingml/2006/picture">
                      <pic:pic xmlns:pic="http://schemas.openxmlformats.org/drawingml/2006/picture">
                        <pic:nvPicPr>
                          <pic:cNvPr id="59" name="Picture_2_SpCnt_3"/>
                          <pic:cNvPicPr/>
                        </pic:nvPicPr>
                        <pic:blipFill>
                          <a:blip r:embed="rId10"/>
                          <a:stretch>
                            <a:fillRect/>
                          </a:stretch>
                        </pic:blipFill>
                        <pic:spPr>
                          <a:xfrm>
                            <a:off x="0" y="0"/>
                            <a:ext cx="15240" cy="15240"/>
                          </a:xfrm>
                          <a:prstGeom prst="rect">
                            <a:avLst/>
                          </a:prstGeom>
                          <a:noFill/>
                          <a:ln>
                            <a:noFill/>
                          </a:ln>
                        </pic:spPr>
                      </pic:pic>
                    </a:graphicData>
                  </a:graphic>
                </wp:anchor>
              </w:drawing>
            </w:r>
            <w:r>
              <w:rPr>
                <w:rFonts w:hint="eastAsia" w:ascii="宋体" w:hAnsi="宋体"/>
                <w:b/>
                <w:bCs/>
                <w:color w:val="auto"/>
                <w:kern w:val="0"/>
                <w:szCs w:val="21"/>
                <w:highlight w:val="none"/>
                <w:bdr w:val="single" w:color="000000" w:sz="4" w:space="0"/>
                <w:shd w:val="clear" w:color="auto" w:fill="FFFFFF"/>
                <w:lang w:bidi="ar"/>
              </w:rPr>
              <w:drawing>
                <wp:anchor distT="0" distB="0" distL="114300" distR="114300" simplePos="0" relativeHeight="251682816" behindDoc="0" locked="0" layoutInCell="1" allowOverlap="1">
                  <wp:simplePos x="0" y="0"/>
                  <wp:positionH relativeFrom="column">
                    <wp:posOffset>0</wp:posOffset>
                  </wp:positionH>
                  <wp:positionV relativeFrom="paragraph">
                    <wp:posOffset>0</wp:posOffset>
                  </wp:positionV>
                  <wp:extent cx="18415" cy="15240"/>
                  <wp:effectExtent l="0" t="0" r="0" b="0"/>
                  <wp:wrapNone/>
                  <wp:docPr id="60" name="Picture_13_SpCnt_12"/>
                  <wp:cNvGraphicFramePr/>
                  <a:graphic xmlns:a="http://schemas.openxmlformats.org/drawingml/2006/main">
                    <a:graphicData uri="http://schemas.openxmlformats.org/drawingml/2006/picture">
                      <pic:pic xmlns:pic="http://schemas.openxmlformats.org/drawingml/2006/picture">
                        <pic:nvPicPr>
                          <pic:cNvPr id="60" name="Picture_13_SpCnt_12"/>
                          <pic:cNvPicPr/>
                        </pic:nvPicPr>
                        <pic:blipFill>
                          <a:blip r:embed="rId7"/>
                          <a:stretch>
                            <a:fillRect/>
                          </a:stretch>
                        </pic:blipFill>
                        <pic:spPr>
                          <a:xfrm>
                            <a:off x="0" y="0"/>
                            <a:ext cx="18415" cy="15240"/>
                          </a:xfrm>
                          <a:prstGeom prst="rect">
                            <a:avLst/>
                          </a:prstGeom>
                          <a:noFill/>
                          <a:ln>
                            <a:noFill/>
                          </a:ln>
                        </pic:spPr>
                      </pic:pic>
                    </a:graphicData>
                  </a:graphic>
                </wp:anchor>
              </w:drawing>
            </w:r>
            <w:r>
              <w:rPr>
                <w:rFonts w:hint="eastAsia" w:ascii="宋体" w:hAnsi="宋体"/>
                <w:b/>
                <w:bCs/>
                <w:color w:val="auto"/>
                <w:kern w:val="0"/>
                <w:szCs w:val="21"/>
                <w:highlight w:val="none"/>
                <w:bdr w:val="single" w:color="000000" w:sz="4" w:space="0"/>
                <w:shd w:val="clear" w:color="auto" w:fill="FFFFFF"/>
                <w:lang w:bidi="ar"/>
              </w:rPr>
              <w:drawing>
                <wp:anchor distT="0" distB="0" distL="114300" distR="114300" simplePos="0" relativeHeight="251683840" behindDoc="0" locked="0" layoutInCell="1" allowOverlap="1">
                  <wp:simplePos x="0" y="0"/>
                  <wp:positionH relativeFrom="column">
                    <wp:posOffset>0</wp:posOffset>
                  </wp:positionH>
                  <wp:positionV relativeFrom="paragraph">
                    <wp:posOffset>0</wp:posOffset>
                  </wp:positionV>
                  <wp:extent cx="18415" cy="19050"/>
                  <wp:effectExtent l="0" t="0" r="12065" b="3810"/>
                  <wp:wrapNone/>
                  <wp:docPr id="61" name="Picture_13_SpCnt_13"/>
                  <wp:cNvGraphicFramePr/>
                  <a:graphic xmlns:a="http://schemas.openxmlformats.org/drawingml/2006/main">
                    <a:graphicData uri="http://schemas.openxmlformats.org/drawingml/2006/picture">
                      <pic:pic xmlns:pic="http://schemas.openxmlformats.org/drawingml/2006/picture">
                        <pic:nvPicPr>
                          <pic:cNvPr id="61" name="Picture_13_SpCnt_13"/>
                          <pic:cNvPicPr/>
                        </pic:nvPicPr>
                        <pic:blipFill>
                          <a:blip r:embed="rId13"/>
                          <a:stretch>
                            <a:fillRect/>
                          </a:stretch>
                        </pic:blipFill>
                        <pic:spPr>
                          <a:xfrm>
                            <a:off x="0" y="0"/>
                            <a:ext cx="18415" cy="19050"/>
                          </a:xfrm>
                          <a:prstGeom prst="rect">
                            <a:avLst/>
                          </a:prstGeom>
                          <a:noFill/>
                          <a:ln>
                            <a:noFill/>
                          </a:ln>
                        </pic:spPr>
                      </pic:pic>
                    </a:graphicData>
                  </a:graphic>
                </wp:anchor>
              </w:drawing>
            </w:r>
            <w:r>
              <w:rPr>
                <w:rFonts w:hint="eastAsia" w:ascii="宋体" w:hAnsi="宋体"/>
                <w:b/>
                <w:bCs/>
                <w:color w:val="auto"/>
                <w:kern w:val="0"/>
                <w:szCs w:val="21"/>
                <w:highlight w:val="none"/>
                <w:bdr w:val="single" w:color="000000" w:sz="4" w:space="0"/>
                <w:shd w:val="clear" w:color="auto" w:fill="FFFFFF"/>
                <w:lang w:bidi="ar"/>
              </w:rPr>
              <w:drawing>
                <wp:anchor distT="0" distB="0" distL="114300" distR="114300" simplePos="0" relativeHeight="251684864" behindDoc="0" locked="0" layoutInCell="1" allowOverlap="1">
                  <wp:simplePos x="0" y="0"/>
                  <wp:positionH relativeFrom="column">
                    <wp:posOffset>0</wp:posOffset>
                  </wp:positionH>
                  <wp:positionV relativeFrom="paragraph">
                    <wp:posOffset>0</wp:posOffset>
                  </wp:positionV>
                  <wp:extent cx="18415" cy="15240"/>
                  <wp:effectExtent l="0" t="0" r="0" b="0"/>
                  <wp:wrapNone/>
                  <wp:docPr id="62" name="Picture_13_SpCnt_14"/>
                  <wp:cNvGraphicFramePr/>
                  <a:graphic xmlns:a="http://schemas.openxmlformats.org/drawingml/2006/main">
                    <a:graphicData uri="http://schemas.openxmlformats.org/drawingml/2006/picture">
                      <pic:pic xmlns:pic="http://schemas.openxmlformats.org/drawingml/2006/picture">
                        <pic:nvPicPr>
                          <pic:cNvPr id="62" name="Picture_13_SpCnt_14"/>
                          <pic:cNvPicPr/>
                        </pic:nvPicPr>
                        <pic:blipFill>
                          <a:blip r:embed="rId7"/>
                          <a:stretch>
                            <a:fillRect/>
                          </a:stretch>
                        </pic:blipFill>
                        <pic:spPr>
                          <a:xfrm>
                            <a:off x="0" y="0"/>
                            <a:ext cx="18415" cy="15240"/>
                          </a:xfrm>
                          <a:prstGeom prst="rect">
                            <a:avLst/>
                          </a:prstGeom>
                          <a:noFill/>
                          <a:ln>
                            <a:noFill/>
                          </a:ln>
                        </pic:spPr>
                      </pic:pic>
                    </a:graphicData>
                  </a:graphic>
                </wp:anchor>
              </w:drawing>
            </w:r>
            <w:r>
              <w:rPr>
                <w:rFonts w:hint="eastAsia" w:ascii="宋体" w:hAnsi="宋体"/>
                <w:b/>
                <w:bCs/>
                <w:color w:val="auto"/>
                <w:kern w:val="0"/>
                <w:szCs w:val="21"/>
                <w:highlight w:val="none"/>
                <w:bdr w:val="single" w:color="000000" w:sz="4" w:space="0"/>
                <w:shd w:val="clear" w:color="auto" w:fill="FFFFFF"/>
                <w:lang w:bidi="ar"/>
              </w:rPr>
              <w:drawing>
                <wp:anchor distT="0" distB="0" distL="114300" distR="114300" simplePos="0" relativeHeight="251685888" behindDoc="0" locked="0" layoutInCell="1" allowOverlap="1">
                  <wp:simplePos x="0" y="0"/>
                  <wp:positionH relativeFrom="column">
                    <wp:posOffset>0</wp:posOffset>
                  </wp:positionH>
                  <wp:positionV relativeFrom="paragraph">
                    <wp:posOffset>0</wp:posOffset>
                  </wp:positionV>
                  <wp:extent cx="18415" cy="17145"/>
                  <wp:effectExtent l="0" t="0" r="0" b="0"/>
                  <wp:wrapNone/>
                  <wp:docPr id="63" name="Picture_11_SpCnt_3"/>
                  <wp:cNvGraphicFramePr/>
                  <a:graphic xmlns:a="http://schemas.openxmlformats.org/drawingml/2006/main">
                    <a:graphicData uri="http://schemas.openxmlformats.org/drawingml/2006/picture">
                      <pic:pic xmlns:pic="http://schemas.openxmlformats.org/drawingml/2006/picture">
                        <pic:nvPicPr>
                          <pic:cNvPr id="63" name="Picture_11_SpCnt_3"/>
                          <pic:cNvPicPr/>
                        </pic:nvPicPr>
                        <pic:blipFill>
                          <a:blip r:embed="rId9"/>
                          <a:stretch>
                            <a:fillRect/>
                          </a:stretch>
                        </pic:blipFill>
                        <pic:spPr>
                          <a:xfrm>
                            <a:off x="0" y="0"/>
                            <a:ext cx="18415" cy="17145"/>
                          </a:xfrm>
                          <a:prstGeom prst="rect">
                            <a:avLst/>
                          </a:prstGeom>
                          <a:noFill/>
                          <a:ln>
                            <a:noFill/>
                          </a:ln>
                        </pic:spPr>
                      </pic:pic>
                    </a:graphicData>
                  </a:graphic>
                </wp:anchor>
              </w:drawing>
            </w:r>
            <w:r>
              <w:rPr>
                <w:rFonts w:hint="eastAsia" w:ascii="宋体" w:hAnsi="宋体"/>
                <w:b/>
                <w:bCs/>
                <w:color w:val="auto"/>
                <w:kern w:val="0"/>
                <w:szCs w:val="21"/>
                <w:highlight w:val="none"/>
                <w:bdr w:val="single" w:color="000000" w:sz="4" w:space="0"/>
                <w:shd w:val="clear" w:color="auto" w:fill="FFFFFF"/>
                <w:lang w:bidi="ar"/>
              </w:rPr>
              <w:drawing>
                <wp:anchor distT="0" distB="0" distL="114300" distR="114300" simplePos="0" relativeHeight="251686912" behindDoc="0" locked="0" layoutInCell="1" allowOverlap="1">
                  <wp:simplePos x="0" y="0"/>
                  <wp:positionH relativeFrom="column">
                    <wp:posOffset>0</wp:posOffset>
                  </wp:positionH>
                  <wp:positionV relativeFrom="paragraph">
                    <wp:posOffset>0</wp:posOffset>
                  </wp:positionV>
                  <wp:extent cx="17145" cy="15240"/>
                  <wp:effectExtent l="0" t="0" r="0" b="0"/>
                  <wp:wrapNone/>
                  <wp:docPr id="64" name="Picture_1_SpCnt_4"/>
                  <wp:cNvGraphicFramePr/>
                  <a:graphic xmlns:a="http://schemas.openxmlformats.org/drawingml/2006/main">
                    <a:graphicData uri="http://schemas.openxmlformats.org/drawingml/2006/picture">
                      <pic:pic xmlns:pic="http://schemas.openxmlformats.org/drawingml/2006/picture">
                        <pic:nvPicPr>
                          <pic:cNvPr id="64" name="Picture_1_SpCnt_4"/>
                          <pic:cNvPicPr/>
                        </pic:nvPicPr>
                        <pic:blipFill>
                          <a:blip r:embed="rId7"/>
                          <a:stretch>
                            <a:fillRect/>
                          </a:stretch>
                        </pic:blipFill>
                        <pic:spPr>
                          <a:xfrm>
                            <a:off x="0" y="0"/>
                            <a:ext cx="17145" cy="15240"/>
                          </a:xfrm>
                          <a:prstGeom prst="rect">
                            <a:avLst/>
                          </a:prstGeom>
                          <a:noFill/>
                          <a:ln>
                            <a:noFill/>
                          </a:ln>
                        </pic:spPr>
                      </pic:pic>
                    </a:graphicData>
                  </a:graphic>
                </wp:anchor>
              </w:drawing>
            </w:r>
            <w:r>
              <w:rPr>
                <w:rFonts w:hint="eastAsia" w:ascii="宋体" w:hAnsi="宋体"/>
                <w:b/>
                <w:bCs/>
                <w:color w:val="auto"/>
                <w:kern w:val="0"/>
                <w:szCs w:val="21"/>
                <w:highlight w:val="none"/>
                <w:bdr w:val="single" w:color="000000" w:sz="4" w:space="0"/>
                <w:shd w:val="clear" w:color="auto" w:fill="FFFFFF"/>
                <w:lang w:bidi="ar"/>
              </w:rPr>
              <w:drawing>
                <wp:anchor distT="0" distB="0" distL="114300" distR="114300" simplePos="0" relativeHeight="251688960" behindDoc="0" locked="0" layoutInCell="1" allowOverlap="1">
                  <wp:simplePos x="0" y="0"/>
                  <wp:positionH relativeFrom="column">
                    <wp:posOffset>0</wp:posOffset>
                  </wp:positionH>
                  <wp:positionV relativeFrom="paragraph">
                    <wp:posOffset>0</wp:posOffset>
                  </wp:positionV>
                  <wp:extent cx="15240" cy="15240"/>
                  <wp:effectExtent l="0" t="0" r="0" b="0"/>
                  <wp:wrapNone/>
                  <wp:docPr id="65" name="Picture_2_SpCnt_4"/>
                  <wp:cNvGraphicFramePr/>
                  <a:graphic xmlns:a="http://schemas.openxmlformats.org/drawingml/2006/main">
                    <a:graphicData uri="http://schemas.openxmlformats.org/drawingml/2006/picture">
                      <pic:pic xmlns:pic="http://schemas.openxmlformats.org/drawingml/2006/picture">
                        <pic:nvPicPr>
                          <pic:cNvPr id="65" name="Picture_2_SpCnt_4"/>
                          <pic:cNvPicPr/>
                        </pic:nvPicPr>
                        <pic:blipFill>
                          <a:blip r:embed="rId10"/>
                          <a:stretch>
                            <a:fillRect/>
                          </a:stretch>
                        </pic:blipFill>
                        <pic:spPr>
                          <a:xfrm>
                            <a:off x="0" y="0"/>
                            <a:ext cx="15240" cy="15240"/>
                          </a:xfrm>
                          <a:prstGeom prst="rect">
                            <a:avLst/>
                          </a:prstGeom>
                          <a:noFill/>
                          <a:ln>
                            <a:noFill/>
                          </a:ln>
                        </pic:spPr>
                      </pic:pic>
                    </a:graphicData>
                  </a:graphic>
                </wp:anchor>
              </w:drawing>
            </w:r>
            <w:r>
              <w:rPr>
                <w:rFonts w:hint="eastAsia" w:ascii="宋体" w:hAnsi="宋体"/>
                <w:b/>
                <w:bCs/>
                <w:color w:val="auto"/>
                <w:kern w:val="0"/>
                <w:szCs w:val="21"/>
                <w:highlight w:val="none"/>
                <w:bdr w:val="single" w:color="000000" w:sz="4" w:space="0"/>
                <w:shd w:val="clear" w:color="auto" w:fill="FFFFFF"/>
                <w:lang w:bidi="ar"/>
              </w:rPr>
              <w:drawing>
                <wp:anchor distT="0" distB="0" distL="114300" distR="114300" simplePos="0" relativeHeight="251691008" behindDoc="0" locked="0" layoutInCell="1" allowOverlap="1">
                  <wp:simplePos x="0" y="0"/>
                  <wp:positionH relativeFrom="column">
                    <wp:posOffset>0</wp:posOffset>
                  </wp:positionH>
                  <wp:positionV relativeFrom="paragraph">
                    <wp:posOffset>0</wp:posOffset>
                  </wp:positionV>
                  <wp:extent cx="18415" cy="17145"/>
                  <wp:effectExtent l="0" t="0" r="0" b="0"/>
                  <wp:wrapNone/>
                  <wp:docPr id="66" name="Picture_11_SpCnt_4"/>
                  <wp:cNvGraphicFramePr/>
                  <a:graphic xmlns:a="http://schemas.openxmlformats.org/drawingml/2006/main">
                    <a:graphicData uri="http://schemas.openxmlformats.org/drawingml/2006/picture">
                      <pic:pic xmlns:pic="http://schemas.openxmlformats.org/drawingml/2006/picture">
                        <pic:nvPicPr>
                          <pic:cNvPr id="66" name="Picture_11_SpCnt_4"/>
                          <pic:cNvPicPr/>
                        </pic:nvPicPr>
                        <pic:blipFill>
                          <a:blip r:embed="rId9"/>
                          <a:stretch>
                            <a:fillRect/>
                          </a:stretch>
                        </pic:blipFill>
                        <pic:spPr>
                          <a:xfrm>
                            <a:off x="0" y="0"/>
                            <a:ext cx="18415" cy="17145"/>
                          </a:xfrm>
                          <a:prstGeom prst="rect">
                            <a:avLst/>
                          </a:prstGeom>
                          <a:noFill/>
                          <a:ln>
                            <a:noFill/>
                          </a:ln>
                        </pic:spPr>
                      </pic:pic>
                    </a:graphicData>
                  </a:graphic>
                </wp:anchor>
              </w:drawing>
            </w:r>
            <w:r>
              <w:rPr>
                <w:rFonts w:hint="eastAsia" w:ascii="宋体" w:hAnsi="宋体"/>
                <w:b/>
                <w:bCs/>
                <w:color w:val="auto"/>
                <w:kern w:val="0"/>
                <w:szCs w:val="21"/>
                <w:highlight w:val="none"/>
                <w:bdr w:val="single" w:color="000000" w:sz="4" w:space="0"/>
                <w:shd w:val="clear" w:color="auto" w:fill="FFFFFF"/>
                <w:lang w:bidi="ar"/>
              </w:rPr>
              <w:drawing>
                <wp:anchor distT="0" distB="0" distL="114300" distR="114300" simplePos="0" relativeHeight="251692032" behindDoc="0" locked="0" layoutInCell="1" allowOverlap="1">
                  <wp:simplePos x="0" y="0"/>
                  <wp:positionH relativeFrom="column">
                    <wp:posOffset>0</wp:posOffset>
                  </wp:positionH>
                  <wp:positionV relativeFrom="paragraph">
                    <wp:posOffset>0</wp:posOffset>
                  </wp:positionV>
                  <wp:extent cx="15240" cy="15240"/>
                  <wp:effectExtent l="0" t="0" r="0" b="0"/>
                  <wp:wrapNone/>
                  <wp:docPr id="67" name="Picture_2_SpCnt_5"/>
                  <wp:cNvGraphicFramePr/>
                  <a:graphic xmlns:a="http://schemas.openxmlformats.org/drawingml/2006/main">
                    <a:graphicData uri="http://schemas.openxmlformats.org/drawingml/2006/picture">
                      <pic:pic xmlns:pic="http://schemas.openxmlformats.org/drawingml/2006/picture">
                        <pic:nvPicPr>
                          <pic:cNvPr id="67" name="Picture_2_SpCnt_5"/>
                          <pic:cNvPicPr/>
                        </pic:nvPicPr>
                        <pic:blipFill>
                          <a:blip r:embed="rId10"/>
                          <a:stretch>
                            <a:fillRect/>
                          </a:stretch>
                        </pic:blipFill>
                        <pic:spPr>
                          <a:xfrm>
                            <a:off x="0" y="0"/>
                            <a:ext cx="15240" cy="15240"/>
                          </a:xfrm>
                          <a:prstGeom prst="rect">
                            <a:avLst/>
                          </a:prstGeom>
                          <a:noFill/>
                          <a:ln>
                            <a:noFill/>
                          </a:ln>
                        </pic:spPr>
                      </pic:pic>
                    </a:graphicData>
                  </a:graphic>
                </wp:anchor>
              </w:drawing>
            </w:r>
            <w:r>
              <w:rPr>
                <w:rFonts w:hint="eastAsia" w:ascii="宋体" w:hAnsi="宋体"/>
                <w:b/>
                <w:bCs/>
                <w:color w:val="auto"/>
                <w:kern w:val="0"/>
                <w:szCs w:val="21"/>
                <w:highlight w:val="none"/>
                <w:bdr w:val="single" w:color="000000" w:sz="4" w:space="0"/>
                <w:shd w:val="clear" w:color="auto" w:fill="FFFFFF"/>
                <w:lang w:bidi="ar"/>
              </w:rPr>
              <w:drawing>
                <wp:anchor distT="0" distB="0" distL="114300" distR="114300" simplePos="0" relativeHeight="251693056" behindDoc="0" locked="0" layoutInCell="1" allowOverlap="1">
                  <wp:simplePos x="0" y="0"/>
                  <wp:positionH relativeFrom="column">
                    <wp:posOffset>0</wp:posOffset>
                  </wp:positionH>
                  <wp:positionV relativeFrom="paragraph">
                    <wp:posOffset>0</wp:posOffset>
                  </wp:positionV>
                  <wp:extent cx="18415" cy="17145"/>
                  <wp:effectExtent l="0" t="0" r="0" b="0"/>
                  <wp:wrapNone/>
                  <wp:docPr id="68" name="Picture_11_SpCnt_5"/>
                  <wp:cNvGraphicFramePr/>
                  <a:graphic xmlns:a="http://schemas.openxmlformats.org/drawingml/2006/main">
                    <a:graphicData uri="http://schemas.openxmlformats.org/drawingml/2006/picture">
                      <pic:pic xmlns:pic="http://schemas.openxmlformats.org/drawingml/2006/picture">
                        <pic:nvPicPr>
                          <pic:cNvPr id="68" name="Picture_11_SpCnt_5"/>
                          <pic:cNvPicPr/>
                        </pic:nvPicPr>
                        <pic:blipFill>
                          <a:blip r:embed="rId9"/>
                          <a:stretch>
                            <a:fillRect/>
                          </a:stretch>
                        </pic:blipFill>
                        <pic:spPr>
                          <a:xfrm>
                            <a:off x="0" y="0"/>
                            <a:ext cx="18415" cy="17145"/>
                          </a:xfrm>
                          <a:prstGeom prst="rect">
                            <a:avLst/>
                          </a:prstGeom>
                          <a:noFill/>
                          <a:ln>
                            <a:noFill/>
                          </a:ln>
                        </pic:spPr>
                      </pic:pic>
                    </a:graphicData>
                  </a:graphic>
                </wp:anchor>
              </w:drawing>
            </w:r>
            <w:r>
              <w:rPr>
                <w:rFonts w:hint="eastAsia" w:ascii="宋体" w:hAnsi="宋体"/>
                <w:b/>
                <w:bCs/>
                <w:color w:val="auto"/>
                <w:kern w:val="0"/>
                <w:szCs w:val="21"/>
                <w:highlight w:val="none"/>
                <w:bdr w:val="single" w:color="000000" w:sz="4" w:space="0"/>
                <w:shd w:val="clear" w:color="auto" w:fill="FFFFFF"/>
                <w:lang w:bidi="ar"/>
              </w:rPr>
              <w:drawing>
                <wp:anchor distT="0" distB="0" distL="114300" distR="114300" simplePos="0" relativeHeight="251694080" behindDoc="0" locked="0" layoutInCell="1" allowOverlap="1">
                  <wp:simplePos x="0" y="0"/>
                  <wp:positionH relativeFrom="column">
                    <wp:posOffset>0</wp:posOffset>
                  </wp:positionH>
                  <wp:positionV relativeFrom="paragraph">
                    <wp:posOffset>0</wp:posOffset>
                  </wp:positionV>
                  <wp:extent cx="16510" cy="15240"/>
                  <wp:effectExtent l="0" t="0" r="0" b="0"/>
                  <wp:wrapNone/>
                  <wp:docPr id="69" name="Picture_13_SpCnt_15"/>
                  <wp:cNvGraphicFramePr/>
                  <a:graphic xmlns:a="http://schemas.openxmlformats.org/drawingml/2006/main">
                    <a:graphicData uri="http://schemas.openxmlformats.org/drawingml/2006/picture">
                      <pic:pic xmlns:pic="http://schemas.openxmlformats.org/drawingml/2006/picture">
                        <pic:nvPicPr>
                          <pic:cNvPr id="69" name="Picture_13_SpCnt_15"/>
                          <pic:cNvPicPr/>
                        </pic:nvPicPr>
                        <pic:blipFill>
                          <a:blip r:embed="rId11"/>
                          <a:stretch>
                            <a:fillRect/>
                          </a:stretch>
                        </pic:blipFill>
                        <pic:spPr>
                          <a:xfrm>
                            <a:off x="0" y="0"/>
                            <a:ext cx="16510" cy="15240"/>
                          </a:xfrm>
                          <a:prstGeom prst="rect">
                            <a:avLst/>
                          </a:prstGeom>
                          <a:noFill/>
                          <a:ln>
                            <a:noFill/>
                          </a:ln>
                        </pic:spPr>
                      </pic:pic>
                    </a:graphicData>
                  </a:graphic>
                </wp:anchor>
              </w:drawing>
            </w:r>
            <w:r>
              <w:rPr>
                <w:rFonts w:hint="eastAsia" w:ascii="宋体" w:hAnsi="宋体"/>
                <w:b/>
                <w:bCs/>
                <w:color w:val="auto"/>
                <w:kern w:val="0"/>
                <w:szCs w:val="21"/>
                <w:highlight w:val="none"/>
                <w:bdr w:val="single" w:color="000000" w:sz="4" w:space="0"/>
                <w:shd w:val="clear" w:color="auto" w:fill="FFFFFF"/>
                <w:lang w:bidi="ar"/>
              </w:rPr>
              <w:drawing>
                <wp:anchor distT="0" distB="0" distL="114300" distR="114300" simplePos="0" relativeHeight="251695104" behindDoc="0" locked="0" layoutInCell="1" allowOverlap="1">
                  <wp:simplePos x="0" y="0"/>
                  <wp:positionH relativeFrom="column">
                    <wp:posOffset>0</wp:posOffset>
                  </wp:positionH>
                  <wp:positionV relativeFrom="paragraph">
                    <wp:posOffset>0</wp:posOffset>
                  </wp:positionV>
                  <wp:extent cx="18415" cy="19050"/>
                  <wp:effectExtent l="0" t="0" r="12065" b="3810"/>
                  <wp:wrapNone/>
                  <wp:docPr id="70" name="Picture_13_SpCnt_16"/>
                  <wp:cNvGraphicFramePr/>
                  <a:graphic xmlns:a="http://schemas.openxmlformats.org/drawingml/2006/main">
                    <a:graphicData uri="http://schemas.openxmlformats.org/drawingml/2006/picture">
                      <pic:pic xmlns:pic="http://schemas.openxmlformats.org/drawingml/2006/picture">
                        <pic:nvPicPr>
                          <pic:cNvPr id="70" name="Picture_13_SpCnt_16"/>
                          <pic:cNvPicPr/>
                        </pic:nvPicPr>
                        <pic:blipFill>
                          <a:blip r:embed="rId13"/>
                          <a:stretch>
                            <a:fillRect/>
                          </a:stretch>
                        </pic:blipFill>
                        <pic:spPr>
                          <a:xfrm>
                            <a:off x="0" y="0"/>
                            <a:ext cx="18415" cy="19050"/>
                          </a:xfrm>
                          <a:prstGeom prst="rect">
                            <a:avLst/>
                          </a:prstGeom>
                          <a:noFill/>
                          <a:ln>
                            <a:noFill/>
                          </a:ln>
                        </pic:spPr>
                      </pic:pic>
                    </a:graphicData>
                  </a:graphic>
                </wp:anchor>
              </w:drawing>
            </w:r>
            <w:r>
              <w:rPr>
                <w:rFonts w:hint="eastAsia" w:ascii="宋体" w:hAnsi="宋体"/>
                <w:b/>
                <w:bCs/>
                <w:color w:val="auto"/>
                <w:kern w:val="0"/>
                <w:szCs w:val="21"/>
                <w:highlight w:val="none"/>
                <w:bdr w:val="single" w:color="000000" w:sz="4" w:space="0"/>
                <w:shd w:val="clear" w:color="auto" w:fill="FFFFFF"/>
                <w:lang w:bidi="ar"/>
              </w:rPr>
              <w:drawing>
                <wp:anchor distT="0" distB="0" distL="114300" distR="114300" simplePos="0" relativeHeight="251696128" behindDoc="0" locked="0" layoutInCell="1" allowOverlap="1">
                  <wp:simplePos x="0" y="0"/>
                  <wp:positionH relativeFrom="column">
                    <wp:posOffset>0</wp:posOffset>
                  </wp:positionH>
                  <wp:positionV relativeFrom="paragraph">
                    <wp:posOffset>0</wp:posOffset>
                  </wp:positionV>
                  <wp:extent cx="18415" cy="19050"/>
                  <wp:effectExtent l="0" t="0" r="12065" b="3810"/>
                  <wp:wrapNone/>
                  <wp:docPr id="71" name="Picture_13_SpCnt_17"/>
                  <wp:cNvGraphicFramePr/>
                  <a:graphic xmlns:a="http://schemas.openxmlformats.org/drawingml/2006/main">
                    <a:graphicData uri="http://schemas.openxmlformats.org/drawingml/2006/picture">
                      <pic:pic xmlns:pic="http://schemas.openxmlformats.org/drawingml/2006/picture">
                        <pic:nvPicPr>
                          <pic:cNvPr id="71" name="Picture_13_SpCnt_17"/>
                          <pic:cNvPicPr/>
                        </pic:nvPicPr>
                        <pic:blipFill>
                          <a:blip r:embed="rId13"/>
                          <a:stretch>
                            <a:fillRect/>
                          </a:stretch>
                        </pic:blipFill>
                        <pic:spPr>
                          <a:xfrm>
                            <a:off x="0" y="0"/>
                            <a:ext cx="18415" cy="19050"/>
                          </a:xfrm>
                          <a:prstGeom prst="rect">
                            <a:avLst/>
                          </a:prstGeom>
                          <a:noFill/>
                          <a:ln>
                            <a:noFill/>
                          </a:ln>
                        </pic:spPr>
                      </pic:pic>
                    </a:graphicData>
                  </a:graphic>
                </wp:anchor>
              </w:drawing>
            </w:r>
            <w:r>
              <w:rPr>
                <w:rFonts w:hint="eastAsia" w:ascii="宋体" w:hAnsi="宋体"/>
                <w:b/>
                <w:bCs/>
                <w:color w:val="auto"/>
                <w:kern w:val="0"/>
                <w:szCs w:val="21"/>
                <w:highlight w:val="none"/>
                <w:bdr w:val="single" w:color="000000" w:sz="4" w:space="0"/>
                <w:shd w:val="clear" w:color="auto" w:fill="FFFFFF"/>
                <w:lang w:bidi="ar"/>
              </w:rPr>
              <w:drawing>
                <wp:anchor distT="0" distB="0" distL="114300" distR="114300" simplePos="0" relativeHeight="251697152" behindDoc="0" locked="0" layoutInCell="1" allowOverlap="1">
                  <wp:simplePos x="0" y="0"/>
                  <wp:positionH relativeFrom="column">
                    <wp:posOffset>0</wp:posOffset>
                  </wp:positionH>
                  <wp:positionV relativeFrom="paragraph">
                    <wp:posOffset>0</wp:posOffset>
                  </wp:positionV>
                  <wp:extent cx="17145" cy="15240"/>
                  <wp:effectExtent l="0" t="0" r="0" b="0"/>
                  <wp:wrapNone/>
                  <wp:docPr id="72" name="Picture_1_SpCnt_5"/>
                  <wp:cNvGraphicFramePr/>
                  <a:graphic xmlns:a="http://schemas.openxmlformats.org/drawingml/2006/main">
                    <a:graphicData uri="http://schemas.openxmlformats.org/drawingml/2006/picture">
                      <pic:pic xmlns:pic="http://schemas.openxmlformats.org/drawingml/2006/picture">
                        <pic:nvPicPr>
                          <pic:cNvPr id="72" name="Picture_1_SpCnt_5"/>
                          <pic:cNvPicPr/>
                        </pic:nvPicPr>
                        <pic:blipFill>
                          <a:blip r:embed="rId7"/>
                          <a:stretch>
                            <a:fillRect/>
                          </a:stretch>
                        </pic:blipFill>
                        <pic:spPr>
                          <a:xfrm>
                            <a:off x="0" y="0"/>
                            <a:ext cx="17145" cy="15240"/>
                          </a:xfrm>
                          <a:prstGeom prst="rect">
                            <a:avLst/>
                          </a:prstGeom>
                          <a:noFill/>
                          <a:ln>
                            <a:noFill/>
                          </a:ln>
                        </pic:spPr>
                      </pic:pic>
                    </a:graphicData>
                  </a:graphic>
                </wp:anchor>
              </w:drawing>
            </w:r>
            <w:r>
              <w:rPr>
                <w:rFonts w:hint="eastAsia" w:ascii="宋体" w:hAnsi="宋体"/>
                <w:b/>
                <w:bCs/>
                <w:color w:val="auto"/>
                <w:kern w:val="0"/>
                <w:szCs w:val="21"/>
                <w:highlight w:val="none"/>
                <w:lang w:bidi="ar"/>
              </w:rPr>
              <w:t>扩声系统</w:t>
            </w:r>
          </w:p>
        </w:tc>
        <w:tc>
          <w:tcPr>
            <w:tcW w:w="6378" w:type="dxa"/>
            <w:tcBorders>
              <w:top w:val="single" w:color="000000" w:sz="4" w:space="0"/>
              <w:left w:val="single" w:color="000000" w:sz="4" w:space="0"/>
              <w:bottom w:val="single" w:color="000000" w:sz="4" w:space="0"/>
              <w:right w:val="single" w:color="000000" w:sz="4" w:space="0"/>
            </w:tcBorders>
            <w:vAlign w:val="center"/>
          </w:tcPr>
          <w:p w14:paraId="45777522">
            <w:pPr>
              <w:jc w:val="left"/>
              <w:rPr>
                <w:rFonts w:hint="eastAsia" w:ascii="宋体" w:hAnsi="宋体"/>
                <w:color w:val="auto"/>
                <w:szCs w:val="21"/>
                <w:highlight w:val="none"/>
              </w:rPr>
            </w:pPr>
          </w:p>
        </w:tc>
        <w:tc>
          <w:tcPr>
            <w:tcW w:w="567" w:type="dxa"/>
            <w:tcBorders>
              <w:top w:val="single" w:color="000000" w:sz="4" w:space="0"/>
              <w:left w:val="single" w:color="000000" w:sz="4" w:space="0"/>
              <w:bottom w:val="single" w:color="000000" w:sz="4" w:space="0"/>
              <w:right w:val="single" w:color="000000" w:sz="4" w:space="0"/>
            </w:tcBorders>
            <w:vAlign w:val="center"/>
          </w:tcPr>
          <w:p w14:paraId="12D57D75">
            <w:pPr>
              <w:jc w:val="center"/>
              <w:rPr>
                <w:rFonts w:hint="eastAsia" w:ascii="宋体" w:hAnsi="宋体"/>
                <w:color w:val="auto"/>
                <w:szCs w:val="21"/>
                <w:highlight w:val="none"/>
              </w:rPr>
            </w:pPr>
          </w:p>
        </w:tc>
        <w:tc>
          <w:tcPr>
            <w:tcW w:w="870" w:type="dxa"/>
            <w:tcBorders>
              <w:top w:val="single" w:color="000000" w:sz="4" w:space="0"/>
              <w:left w:val="single" w:color="000000" w:sz="4" w:space="0"/>
              <w:bottom w:val="single" w:color="000000" w:sz="4" w:space="0"/>
              <w:right w:val="single" w:color="000000" w:sz="4" w:space="0"/>
            </w:tcBorders>
            <w:vAlign w:val="center"/>
          </w:tcPr>
          <w:p w14:paraId="233ABEC2">
            <w:pPr>
              <w:jc w:val="center"/>
              <w:rPr>
                <w:rFonts w:hint="eastAsia" w:ascii="宋体" w:hAnsi="宋体"/>
                <w:color w:val="auto"/>
                <w:szCs w:val="21"/>
                <w:highlight w:val="none"/>
              </w:rPr>
            </w:pPr>
          </w:p>
        </w:tc>
      </w:tr>
      <w:tr w14:paraId="54431B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644" w:type="dxa"/>
            <w:tcBorders>
              <w:top w:val="single" w:color="000000" w:sz="4" w:space="0"/>
              <w:left w:val="single" w:color="000000" w:sz="4" w:space="0"/>
              <w:bottom w:val="single" w:color="000000" w:sz="4" w:space="0"/>
              <w:right w:val="single" w:color="000000" w:sz="4" w:space="0"/>
            </w:tcBorders>
            <w:vAlign w:val="center"/>
          </w:tcPr>
          <w:p w14:paraId="7790AF55">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c>
          <w:tcPr>
            <w:tcW w:w="851" w:type="dxa"/>
            <w:tcBorders>
              <w:top w:val="single" w:color="000000" w:sz="4" w:space="0"/>
              <w:left w:val="single" w:color="000000" w:sz="4" w:space="0"/>
              <w:bottom w:val="single" w:color="000000" w:sz="4" w:space="0"/>
              <w:right w:val="single" w:color="000000" w:sz="4" w:space="0"/>
            </w:tcBorders>
            <w:vAlign w:val="center"/>
          </w:tcPr>
          <w:p w14:paraId="04A35242">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线阵列音响</w:t>
            </w:r>
          </w:p>
        </w:tc>
        <w:tc>
          <w:tcPr>
            <w:tcW w:w="6378" w:type="dxa"/>
            <w:tcBorders>
              <w:top w:val="single" w:color="000000" w:sz="4" w:space="0"/>
              <w:left w:val="single" w:color="000000" w:sz="4" w:space="0"/>
              <w:bottom w:val="single" w:color="000000" w:sz="4" w:space="0"/>
              <w:right w:val="single" w:color="000000" w:sz="4" w:space="0"/>
            </w:tcBorders>
            <w:vAlign w:val="center"/>
          </w:tcPr>
          <w:p w14:paraId="0897638E">
            <w:pPr>
              <w:widowControl/>
              <w:numPr>
                <w:ilvl w:val="0"/>
                <w:numId w:val="23"/>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音箱类型：内置2分频双8英寸全频线阵列扬声器</w:t>
            </w:r>
          </w:p>
          <w:p w14:paraId="32D2ED31">
            <w:pPr>
              <w:widowControl/>
              <w:numPr>
                <w:ilvl w:val="0"/>
                <w:numId w:val="23"/>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驱动器：LF：2X8"(156磁65芯低音 X 2只)；HF：1*1.73"（44芯号角定制钕磁高音）</w:t>
            </w:r>
          </w:p>
          <w:p w14:paraId="60E249E4">
            <w:pPr>
              <w:widowControl/>
              <w:numPr>
                <w:ilvl w:val="0"/>
                <w:numId w:val="23"/>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额定功率：LF:400W AES/HF:75W</w:t>
            </w:r>
          </w:p>
          <w:p w14:paraId="6439888B">
            <w:pPr>
              <w:widowControl/>
              <w:numPr>
                <w:ilvl w:val="0"/>
                <w:numId w:val="23"/>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频率响应：60Hz-20KHz(-10dB)</w:t>
            </w:r>
          </w:p>
          <w:p w14:paraId="0E3818BC">
            <w:pPr>
              <w:widowControl/>
              <w:numPr>
                <w:ilvl w:val="0"/>
                <w:numId w:val="23"/>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阻抗：LF: 16Ω,HF: 16Ω</w:t>
            </w:r>
          </w:p>
          <w:p w14:paraId="1919AEC7">
            <w:pPr>
              <w:widowControl/>
              <w:numPr>
                <w:ilvl w:val="0"/>
                <w:numId w:val="23"/>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灵敏度（1W/1M）LF:98dB SPL/HF:113dB</w:t>
            </w:r>
          </w:p>
          <w:p w14:paraId="0952D0E7">
            <w:pPr>
              <w:widowControl/>
              <w:numPr>
                <w:ilvl w:val="0"/>
                <w:numId w:val="23"/>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 xml:space="preserve">最大声压级：LF＞129dB HF＞134dB </w:t>
            </w:r>
          </w:p>
          <w:p w14:paraId="4924E1C5">
            <w:pPr>
              <w:widowControl/>
              <w:numPr>
                <w:ilvl w:val="0"/>
                <w:numId w:val="23"/>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覆盖角度：≥135°×10°</w:t>
            </w:r>
          </w:p>
          <w:p w14:paraId="26F610B8">
            <w:pPr>
              <w:widowControl/>
              <w:numPr>
                <w:ilvl w:val="0"/>
                <w:numId w:val="23"/>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吊装角度：0°,2°,4°,6°,8°</w:t>
            </w:r>
          </w:p>
          <w:p w14:paraId="48EC27A1">
            <w:pPr>
              <w:widowControl/>
              <w:numPr>
                <w:ilvl w:val="0"/>
                <w:numId w:val="23"/>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连接插座：2xNL4R speakon</w:t>
            </w:r>
          </w:p>
          <w:p w14:paraId="26B91B97">
            <w:pPr>
              <w:widowControl/>
              <w:numPr>
                <w:ilvl w:val="0"/>
                <w:numId w:val="23"/>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连接方式 ：LF/+1-1  HF/+1-1</w:t>
            </w:r>
          </w:p>
          <w:p w14:paraId="26642A00">
            <w:pPr>
              <w:widowControl/>
              <w:numPr>
                <w:ilvl w:val="0"/>
                <w:numId w:val="23"/>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材质 :18MM进口优质层夹板</w:t>
            </w:r>
          </w:p>
          <w:p w14:paraId="6BAC1A0A">
            <w:pPr>
              <w:widowControl/>
              <w:numPr>
                <w:ilvl w:val="0"/>
                <w:numId w:val="23"/>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表面处理 箱体 黑色耐磨金刚砂喷漆</w:t>
            </w:r>
          </w:p>
          <w:p w14:paraId="446FDBE2">
            <w:pPr>
              <w:widowControl/>
              <w:numPr>
                <w:ilvl w:val="0"/>
                <w:numId w:val="23"/>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面网 : 黑色多孔喷粉钢网和透声的音箱网布</w:t>
            </w:r>
          </w:p>
          <w:p w14:paraId="12533676">
            <w:pPr>
              <w:widowControl/>
              <w:numPr>
                <w:ilvl w:val="0"/>
                <w:numId w:val="23"/>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安装：吊挂部件 专用吊架配1/2寸卸扣</w:t>
            </w:r>
          </w:p>
          <w:p w14:paraId="1D5CF9AD">
            <w:pPr>
              <w:widowControl/>
              <w:numPr>
                <w:ilvl w:val="0"/>
                <w:numId w:val="23"/>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附件：标配件不锈钢质高强度插销</w:t>
            </w:r>
          </w:p>
        </w:tc>
        <w:tc>
          <w:tcPr>
            <w:tcW w:w="567" w:type="dxa"/>
            <w:tcBorders>
              <w:top w:val="single" w:color="000000" w:sz="4" w:space="0"/>
              <w:left w:val="single" w:color="000000" w:sz="4" w:space="0"/>
              <w:bottom w:val="single" w:color="000000" w:sz="4" w:space="0"/>
              <w:right w:val="single" w:color="000000" w:sz="4" w:space="0"/>
            </w:tcBorders>
            <w:vAlign w:val="center"/>
          </w:tcPr>
          <w:p w14:paraId="12E32D27">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台</w:t>
            </w:r>
          </w:p>
        </w:tc>
        <w:tc>
          <w:tcPr>
            <w:tcW w:w="870" w:type="dxa"/>
            <w:tcBorders>
              <w:top w:val="single" w:color="000000" w:sz="4" w:space="0"/>
              <w:left w:val="single" w:color="000000" w:sz="4" w:space="0"/>
              <w:bottom w:val="single" w:color="000000" w:sz="4" w:space="0"/>
              <w:right w:val="single" w:color="000000" w:sz="4" w:space="0"/>
            </w:tcBorders>
            <w:vAlign w:val="center"/>
          </w:tcPr>
          <w:p w14:paraId="3047F9B3">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8</w:t>
            </w:r>
          </w:p>
        </w:tc>
      </w:tr>
      <w:tr w14:paraId="590F45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644" w:type="dxa"/>
            <w:tcBorders>
              <w:top w:val="single" w:color="000000" w:sz="4" w:space="0"/>
              <w:left w:val="single" w:color="000000" w:sz="4" w:space="0"/>
              <w:bottom w:val="single" w:color="000000" w:sz="4" w:space="0"/>
              <w:right w:val="single" w:color="000000" w:sz="4" w:space="0"/>
            </w:tcBorders>
            <w:vAlign w:val="center"/>
          </w:tcPr>
          <w:p w14:paraId="2D7A1EB4">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w:t>
            </w:r>
          </w:p>
        </w:tc>
        <w:tc>
          <w:tcPr>
            <w:tcW w:w="851" w:type="dxa"/>
            <w:tcBorders>
              <w:top w:val="single" w:color="000000" w:sz="4" w:space="0"/>
              <w:left w:val="single" w:color="000000" w:sz="4" w:space="0"/>
              <w:bottom w:val="single" w:color="000000" w:sz="4" w:space="0"/>
              <w:right w:val="single" w:color="000000" w:sz="4" w:space="0"/>
            </w:tcBorders>
            <w:vAlign w:val="center"/>
          </w:tcPr>
          <w:p w14:paraId="40F8A3CD">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线阵列低音音响</w:t>
            </w:r>
          </w:p>
        </w:tc>
        <w:tc>
          <w:tcPr>
            <w:tcW w:w="6378" w:type="dxa"/>
            <w:tcBorders>
              <w:top w:val="single" w:color="000000" w:sz="4" w:space="0"/>
              <w:left w:val="single" w:color="000000" w:sz="4" w:space="0"/>
              <w:bottom w:val="single" w:color="000000" w:sz="4" w:space="0"/>
              <w:right w:val="single" w:color="000000" w:sz="4" w:space="0"/>
            </w:tcBorders>
            <w:vAlign w:val="center"/>
          </w:tcPr>
          <w:p w14:paraId="1DB0C318">
            <w:pPr>
              <w:widowControl/>
              <w:numPr>
                <w:ilvl w:val="0"/>
                <w:numId w:val="24"/>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音箱类型：18英寸低频线性阵列扬声器</w:t>
            </w:r>
          </w:p>
          <w:p w14:paraId="21393E78">
            <w:pPr>
              <w:widowControl/>
              <w:numPr>
                <w:ilvl w:val="0"/>
                <w:numId w:val="24"/>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驱动器：LF：1*18"(220磁100芯低音*1只)</w:t>
            </w:r>
          </w:p>
          <w:p w14:paraId="2C1E57C3">
            <w:pPr>
              <w:widowControl/>
              <w:numPr>
                <w:ilvl w:val="0"/>
                <w:numId w:val="24"/>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持续功率: ≥600W</w:t>
            </w:r>
          </w:p>
          <w:p w14:paraId="2319A956">
            <w:pPr>
              <w:widowControl/>
              <w:numPr>
                <w:ilvl w:val="0"/>
                <w:numId w:val="24"/>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节目功率: ≥1200W</w:t>
            </w:r>
          </w:p>
          <w:p w14:paraId="2A820563">
            <w:pPr>
              <w:widowControl/>
              <w:numPr>
                <w:ilvl w:val="0"/>
                <w:numId w:val="24"/>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峰值功率: ≥2400W</w:t>
            </w:r>
          </w:p>
          <w:p w14:paraId="591562D5">
            <w:pPr>
              <w:widowControl/>
              <w:numPr>
                <w:ilvl w:val="0"/>
                <w:numId w:val="24"/>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灵敏度（1W/1M）: ≥98dB</w:t>
            </w:r>
          </w:p>
          <w:p w14:paraId="247D643D">
            <w:pPr>
              <w:widowControl/>
              <w:numPr>
                <w:ilvl w:val="0"/>
                <w:numId w:val="24"/>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最大声压级：＞125dB</w:t>
            </w:r>
          </w:p>
          <w:p w14:paraId="797B5059">
            <w:pPr>
              <w:widowControl/>
              <w:numPr>
                <w:ilvl w:val="0"/>
                <w:numId w:val="24"/>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频率响应：35Hz-300Hz(-10dB)</w:t>
            </w:r>
          </w:p>
          <w:p w14:paraId="0AC65E85">
            <w:pPr>
              <w:widowControl/>
              <w:numPr>
                <w:ilvl w:val="0"/>
                <w:numId w:val="24"/>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额定阻抗（单只）:≥8Ω</w:t>
            </w:r>
          </w:p>
          <w:p w14:paraId="7724D547">
            <w:pPr>
              <w:widowControl/>
              <w:numPr>
                <w:ilvl w:val="0"/>
                <w:numId w:val="24"/>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连接插座：2xNL4R speakon</w:t>
            </w:r>
          </w:p>
          <w:p w14:paraId="5B16F123">
            <w:pPr>
              <w:widowControl/>
              <w:numPr>
                <w:ilvl w:val="0"/>
                <w:numId w:val="24"/>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连接方式 ：LF/+1-1</w:t>
            </w:r>
          </w:p>
          <w:p w14:paraId="1A2DBEBB">
            <w:pPr>
              <w:widowControl/>
              <w:numPr>
                <w:ilvl w:val="0"/>
                <w:numId w:val="24"/>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材质 :≥18mm进口优质层夹板</w:t>
            </w:r>
          </w:p>
          <w:p w14:paraId="67FADECD">
            <w:pPr>
              <w:widowControl/>
              <w:numPr>
                <w:ilvl w:val="0"/>
                <w:numId w:val="24"/>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面网 : 黑色多孔喷粉钢网和透声的音箱网布</w:t>
            </w:r>
          </w:p>
        </w:tc>
        <w:tc>
          <w:tcPr>
            <w:tcW w:w="567" w:type="dxa"/>
            <w:tcBorders>
              <w:top w:val="single" w:color="000000" w:sz="4" w:space="0"/>
              <w:left w:val="single" w:color="000000" w:sz="4" w:space="0"/>
              <w:bottom w:val="single" w:color="000000" w:sz="4" w:space="0"/>
              <w:right w:val="single" w:color="000000" w:sz="4" w:space="0"/>
            </w:tcBorders>
            <w:vAlign w:val="center"/>
          </w:tcPr>
          <w:p w14:paraId="1E425AA2">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台</w:t>
            </w:r>
          </w:p>
        </w:tc>
        <w:tc>
          <w:tcPr>
            <w:tcW w:w="870" w:type="dxa"/>
            <w:tcBorders>
              <w:top w:val="single" w:color="000000" w:sz="4" w:space="0"/>
              <w:left w:val="single" w:color="000000" w:sz="4" w:space="0"/>
              <w:bottom w:val="single" w:color="000000" w:sz="4" w:space="0"/>
              <w:right w:val="single" w:color="000000" w:sz="4" w:space="0"/>
            </w:tcBorders>
            <w:vAlign w:val="center"/>
          </w:tcPr>
          <w:p w14:paraId="729BAB80">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w:t>
            </w:r>
          </w:p>
        </w:tc>
      </w:tr>
      <w:tr w14:paraId="08871F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644" w:type="dxa"/>
            <w:tcBorders>
              <w:top w:val="single" w:color="000000" w:sz="4" w:space="0"/>
              <w:left w:val="single" w:color="000000" w:sz="4" w:space="0"/>
              <w:bottom w:val="single" w:color="000000" w:sz="4" w:space="0"/>
              <w:right w:val="single" w:color="000000" w:sz="4" w:space="0"/>
            </w:tcBorders>
            <w:vAlign w:val="center"/>
          </w:tcPr>
          <w:p w14:paraId="39EE521B">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3</w:t>
            </w:r>
          </w:p>
        </w:tc>
        <w:tc>
          <w:tcPr>
            <w:tcW w:w="851" w:type="dxa"/>
            <w:tcBorders>
              <w:top w:val="single" w:color="000000" w:sz="4" w:space="0"/>
              <w:left w:val="single" w:color="000000" w:sz="4" w:space="0"/>
              <w:bottom w:val="single" w:color="000000" w:sz="4" w:space="0"/>
              <w:right w:val="single" w:color="000000" w:sz="4" w:space="0"/>
            </w:tcBorders>
            <w:vAlign w:val="center"/>
          </w:tcPr>
          <w:p w14:paraId="06D0A6E3">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辅助音响</w:t>
            </w:r>
          </w:p>
        </w:tc>
        <w:tc>
          <w:tcPr>
            <w:tcW w:w="6378" w:type="dxa"/>
            <w:tcBorders>
              <w:top w:val="single" w:color="000000" w:sz="4" w:space="0"/>
              <w:left w:val="single" w:color="000000" w:sz="4" w:space="0"/>
              <w:bottom w:val="single" w:color="000000" w:sz="4" w:space="0"/>
              <w:right w:val="single" w:color="000000" w:sz="4" w:space="0"/>
            </w:tcBorders>
            <w:vAlign w:val="center"/>
          </w:tcPr>
          <w:p w14:paraId="0D9EF41C">
            <w:pPr>
              <w:widowControl/>
              <w:numPr>
                <w:ilvl w:val="0"/>
                <w:numId w:val="25"/>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音箱类型：内置2分频12英寸工程系列前导全频扬声器系统</w:t>
            </w:r>
          </w:p>
          <w:p w14:paraId="26079F01">
            <w:pPr>
              <w:widowControl/>
              <w:numPr>
                <w:ilvl w:val="0"/>
                <w:numId w:val="25"/>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高密度纤维板点漆</w:t>
            </w:r>
          </w:p>
          <w:p w14:paraId="0D6BB21F">
            <w:pPr>
              <w:widowControl/>
              <w:numPr>
                <w:ilvl w:val="0"/>
                <w:numId w:val="25"/>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低音：190磁75芯铝架</w:t>
            </w:r>
          </w:p>
          <w:p w14:paraId="779D110C">
            <w:pPr>
              <w:widowControl/>
              <w:numPr>
                <w:ilvl w:val="0"/>
                <w:numId w:val="25"/>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高音：90磁34芯系统配置：LF：1*12"  HF：1*1.75"</w:t>
            </w:r>
          </w:p>
          <w:p w14:paraId="5FA3E5A1">
            <w:pPr>
              <w:widowControl/>
              <w:numPr>
                <w:ilvl w:val="0"/>
                <w:numId w:val="25"/>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额度功率:≥400W AES</w:t>
            </w:r>
          </w:p>
          <w:p w14:paraId="2DAD3D76">
            <w:pPr>
              <w:widowControl/>
              <w:numPr>
                <w:ilvl w:val="0"/>
                <w:numId w:val="25"/>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灵敏度（1W/1M）:≥99dB SPL</w:t>
            </w:r>
          </w:p>
          <w:p w14:paraId="6A1BA7E3">
            <w:pPr>
              <w:widowControl/>
              <w:numPr>
                <w:ilvl w:val="0"/>
                <w:numId w:val="25"/>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最大声压级：＞124dB SPL</w:t>
            </w:r>
          </w:p>
          <w:p w14:paraId="4204AF5E">
            <w:pPr>
              <w:widowControl/>
              <w:numPr>
                <w:ilvl w:val="0"/>
                <w:numId w:val="25"/>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频率响应 ：55Hz-19KHz</w:t>
            </w:r>
          </w:p>
          <w:p w14:paraId="48C8854F">
            <w:pPr>
              <w:widowControl/>
              <w:numPr>
                <w:ilvl w:val="0"/>
                <w:numId w:val="25"/>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水平指向角度:(HXV)80°X 60°</w:t>
            </w:r>
          </w:p>
          <w:p w14:paraId="4FAF1192">
            <w:pPr>
              <w:widowControl/>
              <w:numPr>
                <w:ilvl w:val="0"/>
                <w:numId w:val="25"/>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连 接 器：2×NEUTRIK NL4±1</w:t>
            </w:r>
          </w:p>
          <w:p w14:paraId="0A420122">
            <w:pPr>
              <w:widowControl/>
              <w:numPr>
                <w:ilvl w:val="0"/>
                <w:numId w:val="25"/>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额定阻抗:≥8Ω</w:t>
            </w:r>
          </w:p>
        </w:tc>
        <w:tc>
          <w:tcPr>
            <w:tcW w:w="567" w:type="dxa"/>
            <w:tcBorders>
              <w:top w:val="single" w:color="000000" w:sz="4" w:space="0"/>
              <w:left w:val="single" w:color="000000" w:sz="4" w:space="0"/>
              <w:bottom w:val="single" w:color="000000" w:sz="4" w:space="0"/>
              <w:right w:val="single" w:color="000000" w:sz="4" w:space="0"/>
            </w:tcBorders>
            <w:vAlign w:val="center"/>
          </w:tcPr>
          <w:p w14:paraId="213228D4">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只</w:t>
            </w:r>
          </w:p>
        </w:tc>
        <w:tc>
          <w:tcPr>
            <w:tcW w:w="870" w:type="dxa"/>
            <w:tcBorders>
              <w:top w:val="single" w:color="000000" w:sz="4" w:space="0"/>
              <w:left w:val="single" w:color="000000" w:sz="4" w:space="0"/>
              <w:bottom w:val="single" w:color="000000" w:sz="4" w:space="0"/>
              <w:right w:val="single" w:color="000000" w:sz="4" w:space="0"/>
            </w:tcBorders>
            <w:vAlign w:val="center"/>
          </w:tcPr>
          <w:p w14:paraId="1C551EB1">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4</w:t>
            </w:r>
          </w:p>
        </w:tc>
      </w:tr>
      <w:tr w14:paraId="23E8B2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644" w:type="dxa"/>
            <w:tcBorders>
              <w:top w:val="single" w:color="000000" w:sz="4" w:space="0"/>
              <w:left w:val="single" w:color="000000" w:sz="4" w:space="0"/>
              <w:bottom w:val="single" w:color="000000" w:sz="4" w:space="0"/>
              <w:right w:val="single" w:color="000000" w:sz="4" w:space="0"/>
            </w:tcBorders>
            <w:vAlign w:val="center"/>
          </w:tcPr>
          <w:p w14:paraId="42C9A7BE">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4</w:t>
            </w:r>
          </w:p>
        </w:tc>
        <w:tc>
          <w:tcPr>
            <w:tcW w:w="851" w:type="dxa"/>
            <w:tcBorders>
              <w:top w:val="single" w:color="000000" w:sz="4" w:space="0"/>
              <w:left w:val="single" w:color="000000" w:sz="4" w:space="0"/>
              <w:bottom w:val="single" w:color="000000" w:sz="4" w:space="0"/>
              <w:right w:val="single" w:color="000000" w:sz="4" w:space="0"/>
            </w:tcBorders>
            <w:vAlign w:val="center"/>
          </w:tcPr>
          <w:p w14:paraId="4D34EFC7">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返听音响</w:t>
            </w:r>
          </w:p>
        </w:tc>
        <w:tc>
          <w:tcPr>
            <w:tcW w:w="6378" w:type="dxa"/>
            <w:tcBorders>
              <w:top w:val="single" w:color="000000" w:sz="4" w:space="0"/>
              <w:left w:val="single" w:color="000000" w:sz="4" w:space="0"/>
              <w:bottom w:val="single" w:color="000000" w:sz="4" w:space="0"/>
              <w:right w:val="single" w:color="000000" w:sz="4" w:space="0"/>
            </w:tcBorders>
            <w:vAlign w:val="center"/>
          </w:tcPr>
          <w:p w14:paraId="02DF7146">
            <w:pPr>
              <w:widowControl/>
              <w:numPr>
                <w:ilvl w:val="0"/>
                <w:numId w:val="26"/>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12寸返听音箱</w:t>
            </w:r>
          </w:p>
          <w:p w14:paraId="510944F3">
            <w:pPr>
              <w:widowControl/>
              <w:numPr>
                <w:ilvl w:val="0"/>
                <w:numId w:val="26"/>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单元结构：Bass</w:t>
            </w:r>
          </w:p>
          <w:p w14:paraId="6BA6F2CC">
            <w:pPr>
              <w:widowControl/>
              <w:numPr>
                <w:ilvl w:val="0"/>
                <w:numId w:val="26"/>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LF：12"×1，HF：1.75"×1</w:t>
            </w:r>
          </w:p>
          <w:p w14:paraId="7EBD68C0">
            <w:pPr>
              <w:widowControl/>
              <w:numPr>
                <w:ilvl w:val="0"/>
                <w:numId w:val="26"/>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额定阻抗：≥8 ohms</w:t>
            </w:r>
          </w:p>
          <w:p w14:paraId="43689CA3">
            <w:pPr>
              <w:widowControl/>
              <w:numPr>
                <w:ilvl w:val="0"/>
                <w:numId w:val="26"/>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额定功率：≥350W RMS</w:t>
            </w:r>
          </w:p>
          <w:p w14:paraId="1F4E020B">
            <w:pPr>
              <w:widowControl/>
              <w:numPr>
                <w:ilvl w:val="0"/>
                <w:numId w:val="26"/>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连续功率：≥700W</w:t>
            </w:r>
          </w:p>
          <w:p w14:paraId="0EB117E5">
            <w:pPr>
              <w:widowControl/>
              <w:numPr>
                <w:ilvl w:val="0"/>
                <w:numId w:val="26"/>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最大功率：≥1400W</w:t>
            </w:r>
          </w:p>
          <w:p w14:paraId="3AEE7300">
            <w:pPr>
              <w:widowControl/>
              <w:numPr>
                <w:ilvl w:val="0"/>
                <w:numId w:val="26"/>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频率响应：50Hz-18KHz（±3db）45Hz-18KHz（-10db）</w:t>
            </w:r>
          </w:p>
          <w:p w14:paraId="68BE936D">
            <w:pPr>
              <w:widowControl/>
              <w:numPr>
                <w:ilvl w:val="0"/>
                <w:numId w:val="26"/>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灵敏度：≥（1W/1M）95db SPL</w:t>
            </w:r>
          </w:p>
          <w:p w14:paraId="722AA0ED">
            <w:pPr>
              <w:widowControl/>
              <w:numPr>
                <w:ilvl w:val="0"/>
                <w:numId w:val="26"/>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最大声压级：≥126db SPL</w:t>
            </w:r>
          </w:p>
          <w:p w14:paraId="686C8640">
            <w:pPr>
              <w:widowControl/>
              <w:numPr>
                <w:ilvl w:val="0"/>
                <w:numId w:val="26"/>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指向性 ：80°×50° （H×V）</w:t>
            </w:r>
          </w:p>
          <w:p w14:paraId="266743A8">
            <w:pPr>
              <w:widowControl/>
              <w:numPr>
                <w:ilvl w:val="0"/>
                <w:numId w:val="26"/>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 xml:space="preserve">返听角度:≥50° </w:t>
            </w:r>
          </w:p>
        </w:tc>
        <w:tc>
          <w:tcPr>
            <w:tcW w:w="567" w:type="dxa"/>
            <w:tcBorders>
              <w:top w:val="single" w:color="000000" w:sz="4" w:space="0"/>
              <w:left w:val="single" w:color="000000" w:sz="4" w:space="0"/>
              <w:bottom w:val="single" w:color="000000" w:sz="4" w:space="0"/>
              <w:right w:val="single" w:color="000000" w:sz="4" w:space="0"/>
            </w:tcBorders>
            <w:vAlign w:val="center"/>
          </w:tcPr>
          <w:p w14:paraId="629B47EA">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只</w:t>
            </w:r>
          </w:p>
        </w:tc>
        <w:tc>
          <w:tcPr>
            <w:tcW w:w="870" w:type="dxa"/>
            <w:tcBorders>
              <w:top w:val="single" w:color="000000" w:sz="4" w:space="0"/>
              <w:left w:val="single" w:color="000000" w:sz="4" w:space="0"/>
              <w:bottom w:val="single" w:color="000000" w:sz="4" w:space="0"/>
              <w:right w:val="single" w:color="000000" w:sz="4" w:space="0"/>
            </w:tcBorders>
            <w:vAlign w:val="center"/>
          </w:tcPr>
          <w:p w14:paraId="7A22CB93">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w:t>
            </w:r>
          </w:p>
        </w:tc>
      </w:tr>
      <w:tr w14:paraId="1CD7BC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644" w:type="dxa"/>
            <w:tcBorders>
              <w:top w:val="single" w:color="000000" w:sz="4" w:space="0"/>
              <w:left w:val="single" w:color="000000" w:sz="4" w:space="0"/>
              <w:bottom w:val="single" w:color="000000" w:sz="4" w:space="0"/>
              <w:right w:val="single" w:color="000000" w:sz="4" w:space="0"/>
            </w:tcBorders>
            <w:vAlign w:val="center"/>
          </w:tcPr>
          <w:p w14:paraId="31017D8C">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5</w:t>
            </w:r>
          </w:p>
        </w:tc>
        <w:tc>
          <w:tcPr>
            <w:tcW w:w="851" w:type="dxa"/>
            <w:tcBorders>
              <w:top w:val="single" w:color="000000" w:sz="4" w:space="0"/>
              <w:left w:val="single" w:color="000000" w:sz="4" w:space="0"/>
              <w:bottom w:val="single" w:color="000000" w:sz="4" w:space="0"/>
              <w:right w:val="single" w:color="000000" w:sz="4" w:space="0"/>
            </w:tcBorders>
            <w:vAlign w:val="center"/>
          </w:tcPr>
          <w:p w14:paraId="213A2BA5">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超低音音响</w:t>
            </w:r>
          </w:p>
        </w:tc>
        <w:tc>
          <w:tcPr>
            <w:tcW w:w="6378" w:type="dxa"/>
            <w:tcBorders>
              <w:top w:val="single" w:color="000000" w:sz="4" w:space="0"/>
              <w:left w:val="single" w:color="000000" w:sz="4" w:space="0"/>
              <w:bottom w:val="single" w:color="000000" w:sz="4" w:space="0"/>
              <w:right w:val="single" w:color="000000" w:sz="4" w:space="0"/>
            </w:tcBorders>
            <w:vAlign w:val="center"/>
          </w:tcPr>
          <w:p w14:paraId="4FA90CDE">
            <w:pPr>
              <w:widowControl/>
              <w:numPr>
                <w:ilvl w:val="0"/>
                <w:numId w:val="27"/>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音箱类型：单18英寸倒相式低音炮</w:t>
            </w:r>
          </w:p>
          <w:p w14:paraId="235F75C5">
            <w:pPr>
              <w:widowControl/>
              <w:numPr>
                <w:ilvl w:val="0"/>
                <w:numId w:val="27"/>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额定功率RMS :≥600W</w:t>
            </w:r>
          </w:p>
          <w:p w14:paraId="2035C73B">
            <w:pPr>
              <w:widowControl/>
              <w:numPr>
                <w:ilvl w:val="0"/>
                <w:numId w:val="27"/>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连续功率 :≥1200W</w:t>
            </w:r>
          </w:p>
          <w:p w14:paraId="4A28F2E8">
            <w:pPr>
              <w:widowControl/>
              <w:numPr>
                <w:ilvl w:val="0"/>
                <w:numId w:val="27"/>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最大功率 :≥2400W</w:t>
            </w:r>
          </w:p>
          <w:p w14:paraId="1FFB8B45">
            <w:pPr>
              <w:widowControl/>
              <w:numPr>
                <w:ilvl w:val="0"/>
                <w:numId w:val="27"/>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灵敏度（1W/1M）:≥99dB SPL</w:t>
            </w:r>
          </w:p>
          <w:p w14:paraId="101A9981">
            <w:pPr>
              <w:widowControl/>
              <w:numPr>
                <w:ilvl w:val="0"/>
                <w:numId w:val="27"/>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最大声压级：≥133dB SPL</w:t>
            </w:r>
          </w:p>
          <w:p w14:paraId="677FAF9F">
            <w:pPr>
              <w:widowControl/>
              <w:numPr>
                <w:ilvl w:val="0"/>
                <w:numId w:val="27"/>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频率响应 ：32Hz-400Hz（±3db）</w:t>
            </w:r>
          </w:p>
          <w:p w14:paraId="288144B9">
            <w:pPr>
              <w:widowControl/>
              <w:numPr>
                <w:ilvl w:val="0"/>
                <w:numId w:val="27"/>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 xml:space="preserve">驱动器 LF：1 x18″ （220磁100芯铝架）  </w:t>
            </w:r>
          </w:p>
          <w:p w14:paraId="02363E82">
            <w:pPr>
              <w:widowControl/>
              <w:numPr>
                <w:ilvl w:val="0"/>
                <w:numId w:val="27"/>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连接插座：2xNL4R speakon</w:t>
            </w:r>
          </w:p>
          <w:p w14:paraId="7608B7C5">
            <w:pPr>
              <w:widowControl/>
              <w:numPr>
                <w:ilvl w:val="0"/>
                <w:numId w:val="27"/>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连 接 器：2×NEUTRIK NL4±1</w:t>
            </w:r>
          </w:p>
          <w:p w14:paraId="477F09C3">
            <w:pPr>
              <w:widowControl/>
              <w:numPr>
                <w:ilvl w:val="0"/>
                <w:numId w:val="27"/>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额定阻抗 : ≥8Ω</w:t>
            </w:r>
          </w:p>
        </w:tc>
        <w:tc>
          <w:tcPr>
            <w:tcW w:w="567" w:type="dxa"/>
            <w:tcBorders>
              <w:top w:val="single" w:color="000000" w:sz="4" w:space="0"/>
              <w:left w:val="single" w:color="000000" w:sz="4" w:space="0"/>
              <w:bottom w:val="single" w:color="000000" w:sz="4" w:space="0"/>
              <w:right w:val="single" w:color="000000" w:sz="4" w:space="0"/>
            </w:tcBorders>
            <w:vAlign w:val="center"/>
          </w:tcPr>
          <w:p w14:paraId="6FA65EB8">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只</w:t>
            </w:r>
          </w:p>
        </w:tc>
        <w:tc>
          <w:tcPr>
            <w:tcW w:w="870" w:type="dxa"/>
            <w:tcBorders>
              <w:top w:val="single" w:color="000000" w:sz="4" w:space="0"/>
              <w:left w:val="single" w:color="000000" w:sz="4" w:space="0"/>
              <w:bottom w:val="single" w:color="000000" w:sz="4" w:space="0"/>
              <w:right w:val="single" w:color="000000" w:sz="4" w:space="0"/>
            </w:tcBorders>
            <w:vAlign w:val="center"/>
          </w:tcPr>
          <w:p w14:paraId="5C8CB3BA">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w:t>
            </w:r>
          </w:p>
        </w:tc>
      </w:tr>
      <w:tr w14:paraId="7A6350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644" w:type="dxa"/>
            <w:tcBorders>
              <w:top w:val="single" w:color="000000" w:sz="4" w:space="0"/>
              <w:left w:val="single" w:color="000000" w:sz="4" w:space="0"/>
              <w:bottom w:val="single" w:color="000000" w:sz="4" w:space="0"/>
              <w:right w:val="single" w:color="000000" w:sz="4" w:space="0"/>
            </w:tcBorders>
            <w:vAlign w:val="center"/>
          </w:tcPr>
          <w:p w14:paraId="1B5C5510">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6</w:t>
            </w:r>
          </w:p>
        </w:tc>
        <w:tc>
          <w:tcPr>
            <w:tcW w:w="851" w:type="dxa"/>
            <w:tcBorders>
              <w:top w:val="single" w:color="000000" w:sz="4" w:space="0"/>
              <w:left w:val="single" w:color="000000" w:sz="4" w:space="0"/>
              <w:bottom w:val="single" w:color="000000" w:sz="4" w:space="0"/>
              <w:right w:val="single" w:color="000000" w:sz="4" w:space="0"/>
            </w:tcBorders>
            <w:vAlign w:val="center"/>
          </w:tcPr>
          <w:p w14:paraId="4037FA70">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功放</w:t>
            </w:r>
          </w:p>
        </w:tc>
        <w:tc>
          <w:tcPr>
            <w:tcW w:w="6378" w:type="dxa"/>
            <w:tcBorders>
              <w:top w:val="single" w:color="000000" w:sz="4" w:space="0"/>
              <w:left w:val="single" w:color="000000" w:sz="4" w:space="0"/>
              <w:bottom w:val="single" w:color="000000" w:sz="4" w:space="0"/>
              <w:right w:val="single" w:color="000000" w:sz="4" w:space="0"/>
            </w:tcBorders>
            <w:vAlign w:val="center"/>
          </w:tcPr>
          <w:p w14:paraId="3E8F7A4C">
            <w:pPr>
              <w:widowControl/>
              <w:numPr>
                <w:ilvl w:val="0"/>
                <w:numId w:val="28"/>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立体声:8Ω1000Wx2，4Ω1500Wx2，桥接8Ω3000W</w:t>
            </w:r>
          </w:p>
          <w:p w14:paraId="215386C2">
            <w:pPr>
              <w:widowControl/>
              <w:numPr>
                <w:ilvl w:val="0"/>
                <w:numId w:val="28"/>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输出接口：SPEAKON and Binding</w:t>
            </w:r>
          </w:p>
          <w:p w14:paraId="1C658F74">
            <w:pPr>
              <w:widowControl/>
              <w:numPr>
                <w:ilvl w:val="0"/>
                <w:numId w:val="28"/>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频响：20Hz-20kHz, ±1dB</w:t>
            </w:r>
          </w:p>
          <w:p w14:paraId="7F3D19D9">
            <w:pPr>
              <w:widowControl/>
              <w:numPr>
                <w:ilvl w:val="0"/>
                <w:numId w:val="28"/>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输入灵敏度：≥0.77V</w:t>
            </w:r>
          </w:p>
          <w:p w14:paraId="66158953">
            <w:pPr>
              <w:widowControl/>
              <w:numPr>
                <w:ilvl w:val="0"/>
                <w:numId w:val="28"/>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平衡输入阻抗：20kΩ/Balanced,10kΩ/un-Balanced</w:t>
            </w:r>
          </w:p>
          <w:p w14:paraId="634219C7">
            <w:pPr>
              <w:widowControl/>
              <w:numPr>
                <w:ilvl w:val="0"/>
                <w:numId w:val="28"/>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信噪比：≥95dB</w:t>
            </w:r>
          </w:p>
          <w:p w14:paraId="79E3E552">
            <w:pPr>
              <w:widowControl/>
              <w:numPr>
                <w:ilvl w:val="0"/>
                <w:numId w:val="28"/>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失真度：≤0.03%</w:t>
            </w:r>
          </w:p>
          <w:p w14:paraId="36E1688F">
            <w:pPr>
              <w:widowControl/>
              <w:numPr>
                <w:ilvl w:val="0"/>
                <w:numId w:val="28"/>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额定输出功率8 ohm 1KHz时分离度＞70 dB</w:t>
            </w:r>
          </w:p>
          <w:p w14:paraId="007513D7">
            <w:pPr>
              <w:widowControl/>
              <w:numPr>
                <w:ilvl w:val="0"/>
                <w:numId w:val="28"/>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转换速率：≥15V/uS</w:t>
            </w:r>
          </w:p>
        </w:tc>
        <w:tc>
          <w:tcPr>
            <w:tcW w:w="567" w:type="dxa"/>
            <w:tcBorders>
              <w:top w:val="single" w:color="000000" w:sz="4" w:space="0"/>
              <w:left w:val="single" w:color="000000" w:sz="4" w:space="0"/>
              <w:bottom w:val="single" w:color="000000" w:sz="4" w:space="0"/>
              <w:right w:val="single" w:color="000000" w:sz="4" w:space="0"/>
            </w:tcBorders>
            <w:vAlign w:val="center"/>
          </w:tcPr>
          <w:p w14:paraId="2686C313">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台</w:t>
            </w:r>
          </w:p>
        </w:tc>
        <w:tc>
          <w:tcPr>
            <w:tcW w:w="870" w:type="dxa"/>
            <w:tcBorders>
              <w:top w:val="single" w:color="000000" w:sz="4" w:space="0"/>
              <w:left w:val="single" w:color="000000" w:sz="4" w:space="0"/>
              <w:bottom w:val="single" w:color="000000" w:sz="4" w:space="0"/>
              <w:right w:val="single" w:color="000000" w:sz="4" w:space="0"/>
            </w:tcBorders>
            <w:vAlign w:val="center"/>
          </w:tcPr>
          <w:p w14:paraId="1AF66A93">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w:t>
            </w:r>
          </w:p>
        </w:tc>
      </w:tr>
      <w:tr w14:paraId="02AD05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644" w:type="dxa"/>
            <w:tcBorders>
              <w:top w:val="single" w:color="000000" w:sz="4" w:space="0"/>
              <w:left w:val="single" w:color="000000" w:sz="4" w:space="0"/>
              <w:bottom w:val="single" w:color="000000" w:sz="4" w:space="0"/>
              <w:right w:val="single" w:color="000000" w:sz="4" w:space="0"/>
            </w:tcBorders>
            <w:vAlign w:val="center"/>
          </w:tcPr>
          <w:p w14:paraId="4F2722AF">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7</w:t>
            </w:r>
          </w:p>
        </w:tc>
        <w:tc>
          <w:tcPr>
            <w:tcW w:w="851" w:type="dxa"/>
            <w:tcBorders>
              <w:top w:val="single" w:color="000000" w:sz="4" w:space="0"/>
              <w:left w:val="single" w:color="000000" w:sz="4" w:space="0"/>
              <w:bottom w:val="single" w:color="000000" w:sz="4" w:space="0"/>
              <w:right w:val="single" w:color="000000" w:sz="4" w:space="0"/>
            </w:tcBorders>
            <w:vAlign w:val="center"/>
          </w:tcPr>
          <w:p w14:paraId="2B6A864A">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功放</w:t>
            </w:r>
          </w:p>
        </w:tc>
        <w:tc>
          <w:tcPr>
            <w:tcW w:w="6378" w:type="dxa"/>
            <w:tcBorders>
              <w:top w:val="single" w:color="000000" w:sz="4" w:space="0"/>
              <w:left w:val="single" w:color="000000" w:sz="4" w:space="0"/>
              <w:bottom w:val="single" w:color="000000" w:sz="4" w:space="0"/>
              <w:right w:val="single" w:color="000000" w:sz="4" w:space="0"/>
            </w:tcBorders>
            <w:vAlign w:val="center"/>
          </w:tcPr>
          <w:p w14:paraId="30AEA23F">
            <w:pPr>
              <w:widowControl/>
              <w:numPr>
                <w:ilvl w:val="0"/>
                <w:numId w:val="29"/>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立体声:8Ω800Wx2；4Ω  1200Wx2</w:t>
            </w:r>
          </w:p>
          <w:p w14:paraId="36930ACD">
            <w:pPr>
              <w:widowControl/>
              <w:numPr>
                <w:ilvl w:val="0"/>
                <w:numId w:val="29"/>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桥接：8Ω  1800W  2400W  3000W</w:t>
            </w:r>
          </w:p>
          <w:p w14:paraId="421231FD">
            <w:pPr>
              <w:widowControl/>
              <w:numPr>
                <w:ilvl w:val="0"/>
                <w:numId w:val="29"/>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输出接口：SPEAKON and Binding</w:t>
            </w:r>
          </w:p>
          <w:p w14:paraId="4F1496BE">
            <w:pPr>
              <w:widowControl/>
              <w:numPr>
                <w:ilvl w:val="0"/>
                <w:numId w:val="29"/>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频响：20Hz-20kHz, ±1dB</w:t>
            </w:r>
          </w:p>
          <w:p w14:paraId="63E7DD13">
            <w:pPr>
              <w:widowControl/>
              <w:numPr>
                <w:ilvl w:val="0"/>
                <w:numId w:val="29"/>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输入灵敏度：≥0.77V</w:t>
            </w:r>
          </w:p>
          <w:p w14:paraId="51190AE0">
            <w:pPr>
              <w:widowControl/>
              <w:numPr>
                <w:ilvl w:val="0"/>
                <w:numId w:val="29"/>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平衡输入阻抗：20kΩ/Balanced,10kΩ/un-Balanced</w:t>
            </w:r>
          </w:p>
          <w:p w14:paraId="48C31F92">
            <w:pPr>
              <w:widowControl/>
              <w:numPr>
                <w:ilvl w:val="0"/>
                <w:numId w:val="29"/>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信噪比：≥95dB</w:t>
            </w:r>
            <w:r>
              <w:rPr>
                <w:rFonts w:hint="eastAsia" w:ascii="宋体" w:hAnsi="宋体"/>
                <w:color w:val="auto"/>
                <w:kern w:val="0"/>
                <w:szCs w:val="21"/>
                <w:highlight w:val="none"/>
                <w:lang w:bidi="ar"/>
              </w:rPr>
              <w:br w:type="textWrapping"/>
            </w:r>
            <w:r>
              <w:rPr>
                <w:rFonts w:hint="eastAsia" w:ascii="宋体" w:hAnsi="宋体"/>
                <w:color w:val="auto"/>
                <w:kern w:val="0"/>
                <w:szCs w:val="21"/>
                <w:highlight w:val="none"/>
                <w:lang w:bidi="ar"/>
              </w:rPr>
              <w:t>失真度：≤0.03%</w:t>
            </w:r>
          </w:p>
          <w:p w14:paraId="009F08F9">
            <w:pPr>
              <w:widowControl/>
              <w:numPr>
                <w:ilvl w:val="0"/>
                <w:numId w:val="29"/>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额定输出功率8 ohm 1KHz时分离度：＞70 dB</w:t>
            </w:r>
          </w:p>
          <w:p w14:paraId="7027DF44">
            <w:pPr>
              <w:widowControl/>
              <w:numPr>
                <w:ilvl w:val="0"/>
                <w:numId w:val="29"/>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阻尼系数 f=1KHz  8 OHMS：＞240</w:t>
            </w:r>
          </w:p>
          <w:p w14:paraId="44AD375A">
            <w:pPr>
              <w:widowControl/>
              <w:numPr>
                <w:ilvl w:val="0"/>
                <w:numId w:val="29"/>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转换速率：≥15V/uS</w:t>
            </w:r>
          </w:p>
        </w:tc>
        <w:tc>
          <w:tcPr>
            <w:tcW w:w="567" w:type="dxa"/>
            <w:tcBorders>
              <w:top w:val="single" w:color="000000" w:sz="4" w:space="0"/>
              <w:left w:val="single" w:color="000000" w:sz="4" w:space="0"/>
              <w:bottom w:val="single" w:color="000000" w:sz="4" w:space="0"/>
              <w:right w:val="single" w:color="000000" w:sz="4" w:space="0"/>
            </w:tcBorders>
            <w:vAlign w:val="center"/>
          </w:tcPr>
          <w:p w14:paraId="4431629E">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台</w:t>
            </w:r>
          </w:p>
        </w:tc>
        <w:tc>
          <w:tcPr>
            <w:tcW w:w="870" w:type="dxa"/>
            <w:tcBorders>
              <w:top w:val="single" w:color="000000" w:sz="4" w:space="0"/>
              <w:left w:val="single" w:color="000000" w:sz="4" w:space="0"/>
              <w:bottom w:val="single" w:color="000000" w:sz="4" w:space="0"/>
              <w:right w:val="single" w:color="000000" w:sz="4" w:space="0"/>
            </w:tcBorders>
            <w:vAlign w:val="center"/>
          </w:tcPr>
          <w:p w14:paraId="35A128F5">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4</w:t>
            </w:r>
          </w:p>
        </w:tc>
      </w:tr>
      <w:tr w14:paraId="61CCF2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644" w:type="dxa"/>
            <w:tcBorders>
              <w:top w:val="single" w:color="000000" w:sz="4" w:space="0"/>
              <w:left w:val="single" w:color="000000" w:sz="4" w:space="0"/>
              <w:bottom w:val="single" w:color="000000" w:sz="4" w:space="0"/>
              <w:right w:val="single" w:color="000000" w:sz="4" w:space="0"/>
            </w:tcBorders>
            <w:vAlign w:val="center"/>
          </w:tcPr>
          <w:p w14:paraId="42B94982">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8</w:t>
            </w:r>
          </w:p>
        </w:tc>
        <w:tc>
          <w:tcPr>
            <w:tcW w:w="851" w:type="dxa"/>
            <w:tcBorders>
              <w:top w:val="single" w:color="000000" w:sz="4" w:space="0"/>
              <w:left w:val="single" w:color="000000" w:sz="4" w:space="0"/>
              <w:bottom w:val="single" w:color="000000" w:sz="4" w:space="0"/>
              <w:right w:val="single" w:color="000000" w:sz="4" w:space="0"/>
            </w:tcBorders>
            <w:vAlign w:val="center"/>
          </w:tcPr>
          <w:p w14:paraId="5945CEAD">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功放</w:t>
            </w:r>
          </w:p>
        </w:tc>
        <w:tc>
          <w:tcPr>
            <w:tcW w:w="6378" w:type="dxa"/>
            <w:tcBorders>
              <w:top w:val="single" w:color="000000" w:sz="4" w:space="0"/>
              <w:left w:val="single" w:color="000000" w:sz="4" w:space="0"/>
              <w:bottom w:val="single" w:color="000000" w:sz="4" w:space="0"/>
              <w:right w:val="single" w:color="000000" w:sz="4" w:space="0"/>
            </w:tcBorders>
            <w:vAlign w:val="center"/>
          </w:tcPr>
          <w:p w14:paraId="6616BA82">
            <w:pPr>
              <w:widowControl/>
              <w:numPr>
                <w:ilvl w:val="0"/>
                <w:numId w:val="30"/>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立体声:8Ω600Wx2； 4Ω900Wx2</w:t>
            </w:r>
          </w:p>
          <w:p w14:paraId="10FDEA24">
            <w:pPr>
              <w:widowControl/>
              <w:numPr>
                <w:ilvl w:val="0"/>
                <w:numId w:val="30"/>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桥接8Ω1800W</w:t>
            </w:r>
          </w:p>
          <w:p w14:paraId="780C238B">
            <w:pPr>
              <w:widowControl/>
              <w:numPr>
                <w:ilvl w:val="0"/>
                <w:numId w:val="30"/>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输出接口SPEAKON and Binding</w:t>
            </w:r>
          </w:p>
          <w:p w14:paraId="04BC7BBE">
            <w:pPr>
              <w:widowControl/>
              <w:numPr>
                <w:ilvl w:val="0"/>
                <w:numId w:val="30"/>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频响20Hz-20kHz, ±1dB</w:t>
            </w:r>
          </w:p>
          <w:p w14:paraId="4DE3DF65">
            <w:pPr>
              <w:widowControl/>
              <w:numPr>
                <w:ilvl w:val="0"/>
                <w:numId w:val="30"/>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输入灵敏度：≥0.77V</w:t>
            </w:r>
          </w:p>
          <w:p w14:paraId="39FE0873">
            <w:pPr>
              <w:widowControl/>
              <w:numPr>
                <w:ilvl w:val="0"/>
                <w:numId w:val="30"/>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平衡输入阻抗20kΩ/Balanced,10kΩ/un-Balanced</w:t>
            </w:r>
          </w:p>
          <w:p w14:paraId="6196E6B0">
            <w:pPr>
              <w:widowControl/>
              <w:numPr>
                <w:ilvl w:val="0"/>
                <w:numId w:val="30"/>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信噪比≥95dB</w:t>
            </w:r>
          </w:p>
          <w:p w14:paraId="751CCFA4">
            <w:pPr>
              <w:widowControl/>
              <w:numPr>
                <w:ilvl w:val="0"/>
                <w:numId w:val="30"/>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失真度≤0.03%</w:t>
            </w:r>
          </w:p>
          <w:p w14:paraId="6D56C162">
            <w:pPr>
              <w:widowControl/>
              <w:numPr>
                <w:ilvl w:val="0"/>
                <w:numId w:val="30"/>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额定输出功率8 ohm 1KHz时分离度＞70 dB</w:t>
            </w:r>
          </w:p>
          <w:p w14:paraId="3445C1B7">
            <w:pPr>
              <w:widowControl/>
              <w:numPr>
                <w:ilvl w:val="0"/>
                <w:numId w:val="30"/>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阻尼系数 f=1KHz  8 OHMS＞240</w:t>
            </w:r>
          </w:p>
          <w:p w14:paraId="73255FB8">
            <w:pPr>
              <w:widowControl/>
              <w:numPr>
                <w:ilvl w:val="0"/>
                <w:numId w:val="30"/>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转换速率≥15V/uS</w:t>
            </w:r>
          </w:p>
        </w:tc>
        <w:tc>
          <w:tcPr>
            <w:tcW w:w="567" w:type="dxa"/>
            <w:tcBorders>
              <w:top w:val="single" w:color="000000" w:sz="4" w:space="0"/>
              <w:left w:val="single" w:color="000000" w:sz="4" w:space="0"/>
              <w:bottom w:val="single" w:color="000000" w:sz="4" w:space="0"/>
              <w:right w:val="single" w:color="000000" w:sz="4" w:space="0"/>
            </w:tcBorders>
            <w:vAlign w:val="center"/>
          </w:tcPr>
          <w:p w14:paraId="7BD618AA">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台</w:t>
            </w:r>
          </w:p>
        </w:tc>
        <w:tc>
          <w:tcPr>
            <w:tcW w:w="870" w:type="dxa"/>
            <w:tcBorders>
              <w:top w:val="single" w:color="000000" w:sz="4" w:space="0"/>
              <w:left w:val="single" w:color="000000" w:sz="4" w:space="0"/>
              <w:bottom w:val="single" w:color="000000" w:sz="4" w:space="0"/>
              <w:right w:val="single" w:color="000000" w:sz="4" w:space="0"/>
            </w:tcBorders>
            <w:vAlign w:val="center"/>
          </w:tcPr>
          <w:p w14:paraId="5F7D37A7">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3</w:t>
            </w:r>
          </w:p>
        </w:tc>
      </w:tr>
      <w:tr w14:paraId="4D18A5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644" w:type="dxa"/>
            <w:tcBorders>
              <w:top w:val="single" w:color="000000" w:sz="4" w:space="0"/>
              <w:left w:val="single" w:color="000000" w:sz="4" w:space="0"/>
              <w:bottom w:val="single" w:color="000000" w:sz="4" w:space="0"/>
              <w:right w:val="single" w:color="000000" w:sz="4" w:space="0"/>
            </w:tcBorders>
            <w:vAlign w:val="center"/>
          </w:tcPr>
          <w:p w14:paraId="0E77B496">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9</w:t>
            </w:r>
          </w:p>
        </w:tc>
        <w:tc>
          <w:tcPr>
            <w:tcW w:w="851" w:type="dxa"/>
            <w:tcBorders>
              <w:top w:val="single" w:color="000000" w:sz="4" w:space="0"/>
              <w:left w:val="single" w:color="000000" w:sz="4" w:space="0"/>
              <w:bottom w:val="single" w:color="000000" w:sz="4" w:space="0"/>
              <w:right w:val="single" w:color="000000" w:sz="4" w:space="0"/>
            </w:tcBorders>
            <w:vAlign w:val="center"/>
          </w:tcPr>
          <w:p w14:paraId="21579EB5">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调音台</w:t>
            </w:r>
          </w:p>
        </w:tc>
        <w:tc>
          <w:tcPr>
            <w:tcW w:w="6378" w:type="dxa"/>
            <w:tcBorders>
              <w:top w:val="single" w:color="000000" w:sz="4" w:space="0"/>
              <w:left w:val="single" w:color="000000" w:sz="4" w:space="0"/>
              <w:bottom w:val="single" w:color="000000" w:sz="4" w:space="0"/>
              <w:right w:val="single" w:color="000000" w:sz="4" w:space="0"/>
            </w:tcBorders>
            <w:vAlign w:val="center"/>
          </w:tcPr>
          <w:p w14:paraId="397052C8">
            <w:pPr>
              <w:widowControl/>
              <w:numPr>
                <w:ilvl w:val="0"/>
                <w:numId w:val="31"/>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 xml:space="preserve">提供≥16路输入，≥12单声道，≥2组立体声，每通道≥3段EQ均衡器，60mm推子长寿命高分析推子，2组AUX母线（包括EFF) ,1组返回，2编组，带恒流源的分布式 A 类麦克风放大器，高级DSP效果器：24种预置效果，高品质USB音乐播放器，包含常用的录音、蓝牙功能，LED显示24-bit/192KHz 2进/2出 USB音频，单声道输入单独的噪声门开关，RGB通道开关指示，通道信号直接输出，全球通用的内置供电，通道独立幻象电源开关。  </w:t>
            </w:r>
          </w:p>
          <w:p w14:paraId="25249202">
            <w:pPr>
              <w:widowControl/>
              <w:numPr>
                <w:ilvl w:val="0"/>
                <w:numId w:val="31"/>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技术参数</w:t>
            </w:r>
            <w:r>
              <w:rPr>
                <w:rFonts w:hint="eastAsia" w:ascii="宋体" w:hAnsi="宋体"/>
                <w:color w:val="auto"/>
                <w:kern w:val="0"/>
                <w:szCs w:val="21"/>
                <w:highlight w:val="none"/>
                <w:lang w:bidi="ar"/>
              </w:rPr>
              <w:br w:type="textWrapping"/>
            </w:r>
            <w:r>
              <w:rPr>
                <w:rFonts w:hint="eastAsia" w:ascii="宋体" w:hAnsi="宋体"/>
                <w:color w:val="auto"/>
                <w:kern w:val="0"/>
                <w:szCs w:val="21"/>
                <w:highlight w:val="none"/>
                <w:lang w:bidi="ar"/>
              </w:rPr>
              <w:t>音频输入：至大输入电平：+10dBu/至小输入电平-58dBu</w:t>
            </w:r>
            <w:r>
              <w:rPr>
                <w:rFonts w:hint="eastAsia" w:ascii="宋体" w:hAnsi="宋体"/>
                <w:color w:val="auto"/>
                <w:kern w:val="0"/>
                <w:szCs w:val="21"/>
                <w:highlight w:val="none"/>
                <w:lang w:bidi="ar"/>
              </w:rPr>
              <w:br w:type="textWrapping"/>
            </w:r>
            <w:r>
              <w:rPr>
                <w:rFonts w:hint="eastAsia" w:ascii="宋体" w:hAnsi="宋体"/>
                <w:color w:val="auto"/>
                <w:kern w:val="0"/>
                <w:szCs w:val="21"/>
                <w:highlight w:val="none"/>
                <w:lang w:bidi="ar"/>
              </w:rPr>
              <w:t>PAD定值衰减:衰减值15dB</w:t>
            </w:r>
            <w:r>
              <w:rPr>
                <w:rFonts w:hint="eastAsia" w:ascii="宋体" w:hAnsi="宋体"/>
                <w:color w:val="auto"/>
                <w:kern w:val="0"/>
                <w:szCs w:val="21"/>
                <w:highlight w:val="none"/>
                <w:lang w:bidi="ar"/>
              </w:rPr>
              <w:br w:type="textWrapping"/>
            </w:r>
            <w:r>
              <w:rPr>
                <w:rFonts w:hint="eastAsia" w:ascii="宋体" w:hAnsi="宋体"/>
                <w:color w:val="auto"/>
                <w:kern w:val="0"/>
                <w:szCs w:val="21"/>
                <w:highlight w:val="none"/>
                <w:lang w:bidi="ar"/>
              </w:rPr>
              <w:t>音频输出：至大输出电平：+20dBu/标准输出电平+4dBu</w:t>
            </w:r>
            <w:r>
              <w:rPr>
                <w:rFonts w:hint="eastAsia" w:ascii="宋体" w:hAnsi="宋体"/>
                <w:color w:val="auto"/>
                <w:kern w:val="0"/>
                <w:szCs w:val="21"/>
                <w:highlight w:val="none"/>
                <w:lang w:bidi="ar"/>
              </w:rPr>
              <w:br w:type="textWrapping"/>
            </w:r>
            <w:r>
              <w:rPr>
                <w:rFonts w:hint="eastAsia" w:ascii="宋体" w:hAnsi="宋体"/>
                <w:color w:val="auto"/>
                <w:kern w:val="0"/>
                <w:szCs w:val="21"/>
                <w:highlight w:val="none"/>
                <w:lang w:bidi="ar"/>
              </w:rPr>
              <w:t>信噪比S/N：≥90dB</w:t>
            </w:r>
            <w:r>
              <w:rPr>
                <w:rFonts w:hint="eastAsia" w:ascii="宋体" w:hAnsi="宋体"/>
                <w:color w:val="auto"/>
                <w:kern w:val="0"/>
                <w:szCs w:val="21"/>
                <w:highlight w:val="none"/>
                <w:lang w:bidi="ar"/>
              </w:rPr>
              <w:br w:type="textWrapping"/>
            </w:r>
            <w:r>
              <w:rPr>
                <w:rFonts w:hint="eastAsia" w:ascii="宋体" w:hAnsi="宋体"/>
                <w:color w:val="auto"/>
                <w:kern w:val="0"/>
                <w:szCs w:val="21"/>
                <w:highlight w:val="none"/>
                <w:lang w:bidi="ar"/>
              </w:rPr>
              <w:t>均衡：±15dB，高频10KHz/中频250Hz-8KHz/低频60Hz</w:t>
            </w:r>
            <w:r>
              <w:rPr>
                <w:rFonts w:hint="eastAsia" w:ascii="宋体" w:hAnsi="宋体"/>
                <w:color w:val="auto"/>
                <w:kern w:val="0"/>
                <w:szCs w:val="21"/>
                <w:highlight w:val="none"/>
                <w:lang w:bidi="ar"/>
              </w:rPr>
              <w:br w:type="textWrapping"/>
            </w:r>
            <w:r>
              <w:rPr>
                <w:rFonts w:hint="eastAsia" w:ascii="宋体" w:hAnsi="宋体"/>
                <w:color w:val="auto"/>
                <w:kern w:val="0"/>
                <w:szCs w:val="21"/>
                <w:highlight w:val="none"/>
                <w:lang w:bidi="ar"/>
              </w:rPr>
              <w:t>频率响应：20Hz-20KHz</w:t>
            </w:r>
            <w:r>
              <w:rPr>
                <w:rFonts w:hint="eastAsia" w:ascii="宋体" w:hAnsi="宋体"/>
                <w:color w:val="auto"/>
                <w:kern w:val="0"/>
                <w:szCs w:val="21"/>
                <w:highlight w:val="none"/>
                <w:lang w:bidi="ar"/>
              </w:rPr>
              <w:br w:type="textWrapping"/>
            </w:r>
            <w:r>
              <w:rPr>
                <w:rFonts w:hint="eastAsia" w:ascii="宋体" w:hAnsi="宋体"/>
                <w:color w:val="auto"/>
                <w:kern w:val="0"/>
                <w:szCs w:val="21"/>
                <w:highlight w:val="none"/>
                <w:lang w:bidi="ar"/>
              </w:rPr>
              <w:t>总谐波失真：0.015%   0dB 1KHz</w:t>
            </w:r>
          </w:p>
        </w:tc>
        <w:tc>
          <w:tcPr>
            <w:tcW w:w="567" w:type="dxa"/>
            <w:tcBorders>
              <w:top w:val="single" w:color="000000" w:sz="4" w:space="0"/>
              <w:left w:val="single" w:color="000000" w:sz="4" w:space="0"/>
              <w:bottom w:val="single" w:color="000000" w:sz="4" w:space="0"/>
              <w:right w:val="single" w:color="000000" w:sz="4" w:space="0"/>
            </w:tcBorders>
            <w:vAlign w:val="center"/>
          </w:tcPr>
          <w:p w14:paraId="070217EB">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台</w:t>
            </w:r>
          </w:p>
        </w:tc>
        <w:tc>
          <w:tcPr>
            <w:tcW w:w="870" w:type="dxa"/>
            <w:tcBorders>
              <w:top w:val="single" w:color="000000" w:sz="4" w:space="0"/>
              <w:left w:val="single" w:color="000000" w:sz="4" w:space="0"/>
              <w:bottom w:val="single" w:color="000000" w:sz="4" w:space="0"/>
              <w:right w:val="single" w:color="000000" w:sz="4" w:space="0"/>
            </w:tcBorders>
            <w:vAlign w:val="center"/>
          </w:tcPr>
          <w:p w14:paraId="765C46E5">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66556D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644" w:type="dxa"/>
            <w:tcBorders>
              <w:top w:val="single" w:color="000000" w:sz="4" w:space="0"/>
              <w:left w:val="single" w:color="000000" w:sz="4" w:space="0"/>
              <w:bottom w:val="single" w:color="000000" w:sz="4" w:space="0"/>
              <w:right w:val="single" w:color="000000" w:sz="4" w:space="0"/>
            </w:tcBorders>
            <w:vAlign w:val="center"/>
          </w:tcPr>
          <w:p w14:paraId="459963B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10</w:t>
            </w:r>
          </w:p>
        </w:tc>
        <w:tc>
          <w:tcPr>
            <w:tcW w:w="851" w:type="dxa"/>
            <w:tcBorders>
              <w:top w:val="single" w:color="000000" w:sz="4" w:space="0"/>
              <w:left w:val="single" w:color="000000" w:sz="4" w:space="0"/>
              <w:bottom w:val="single" w:color="000000" w:sz="4" w:space="0"/>
              <w:right w:val="single" w:color="000000" w:sz="4" w:space="0"/>
            </w:tcBorders>
            <w:vAlign w:val="center"/>
          </w:tcPr>
          <w:p w14:paraId="289383AE">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时序器</w:t>
            </w:r>
          </w:p>
        </w:tc>
        <w:tc>
          <w:tcPr>
            <w:tcW w:w="6378" w:type="dxa"/>
            <w:tcBorders>
              <w:top w:val="single" w:color="000000" w:sz="4" w:space="0"/>
              <w:left w:val="single" w:color="000000" w:sz="4" w:space="0"/>
              <w:bottom w:val="single" w:color="000000" w:sz="4" w:space="0"/>
              <w:right w:val="single" w:color="000000" w:sz="4" w:space="0"/>
            </w:tcBorders>
            <w:vAlign w:val="center"/>
          </w:tcPr>
          <w:p w14:paraId="3E2F6B06">
            <w:pPr>
              <w:widowControl/>
              <w:numPr>
                <w:ilvl w:val="0"/>
                <w:numId w:val="32"/>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面板颜色：铁银/黑色</w:t>
            </w:r>
          </w:p>
          <w:p w14:paraId="3C29A397">
            <w:pPr>
              <w:widowControl/>
              <w:numPr>
                <w:ilvl w:val="0"/>
                <w:numId w:val="32"/>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电力输入条件(单相3线):AC90-260V 50-60HZ两相（三线：零，火，地）</w:t>
            </w:r>
          </w:p>
          <w:p w14:paraId="2475AC9A">
            <w:pPr>
              <w:widowControl/>
              <w:numPr>
                <w:ilvl w:val="0"/>
                <w:numId w:val="32"/>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通道数量:≥8路万用插座继电器受控</w:t>
            </w:r>
          </w:p>
          <w:p w14:paraId="516B5421">
            <w:pPr>
              <w:widowControl/>
              <w:numPr>
                <w:ilvl w:val="0"/>
                <w:numId w:val="32"/>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继电器受控输出最大承受单路功率/总功率(无功功率）:6000W/10000W最大承受无功功率</w:t>
            </w:r>
          </w:p>
          <w:p w14:paraId="1D875B12">
            <w:pPr>
              <w:widowControl/>
              <w:numPr>
                <w:ilvl w:val="0"/>
                <w:numId w:val="32"/>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输出电源插座规格:阻燃ABS材料，最大可承受13A电流磷铜材质，标准万用插座</w:t>
            </w:r>
          </w:p>
          <w:p w14:paraId="6CBD7649">
            <w:pPr>
              <w:widowControl/>
              <w:numPr>
                <w:ilvl w:val="0"/>
                <w:numId w:val="32"/>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功能特点:1.顺序开启逆序关闭 2.自由通道顺序打开与关闭 3.135按键密码锁键盘</w:t>
            </w:r>
          </w:p>
          <w:p w14:paraId="3B6FC9ED">
            <w:pPr>
              <w:widowControl/>
              <w:numPr>
                <w:ilvl w:val="0"/>
                <w:numId w:val="32"/>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输出继电器触点电流:30A 277VAC</w:t>
            </w:r>
          </w:p>
          <w:p w14:paraId="4AA2693B">
            <w:pPr>
              <w:widowControl/>
              <w:numPr>
                <w:ilvl w:val="0"/>
                <w:numId w:val="32"/>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电路板规格:双面纤维板:主电源走线二次加厚加粗处理</w:t>
            </w:r>
          </w:p>
          <w:p w14:paraId="53ABD7FF">
            <w:pPr>
              <w:widowControl/>
              <w:numPr>
                <w:ilvl w:val="0"/>
                <w:numId w:val="32"/>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供电规格:内置开关电源，适用全球电压AC90-260V 50-60HZ</w:t>
            </w:r>
          </w:p>
          <w:p w14:paraId="028A2A22">
            <w:pPr>
              <w:widowControl/>
              <w:numPr>
                <w:ilvl w:val="0"/>
                <w:numId w:val="32"/>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主电缆线规格:3*4平方电缆线，总长度为1.0米配3C插头</w:t>
            </w:r>
          </w:p>
          <w:p w14:paraId="097EFB53">
            <w:pPr>
              <w:widowControl/>
              <w:numPr>
                <w:ilvl w:val="0"/>
                <w:numId w:val="32"/>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开启类型:按键式轻触开关</w:t>
            </w:r>
          </w:p>
          <w:p w14:paraId="677C4FA2">
            <w:pPr>
              <w:widowControl/>
              <w:numPr>
                <w:ilvl w:val="0"/>
                <w:numId w:val="32"/>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单路独立开关功能:开机后支持某通道关闭与打开功能显示电压</w:t>
            </w:r>
          </w:p>
          <w:p w14:paraId="2707D854">
            <w:pPr>
              <w:widowControl/>
              <w:numPr>
                <w:ilvl w:val="0"/>
                <w:numId w:val="32"/>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 xml:space="preserve">显示表类型:数码管显示功能操作，支持电压显示 </w:t>
            </w:r>
          </w:p>
          <w:p w14:paraId="7302DAF1">
            <w:pPr>
              <w:widowControl/>
              <w:numPr>
                <w:ilvl w:val="0"/>
                <w:numId w:val="32"/>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前面板通道开关有绿色显示灯，可以直观看到每一路的工作状态，开关与显示灯为同一按键</w:t>
            </w:r>
          </w:p>
          <w:p w14:paraId="4F9633E1">
            <w:pPr>
              <w:widowControl/>
              <w:numPr>
                <w:ilvl w:val="0"/>
                <w:numId w:val="32"/>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外接控制开关接口:RS232 COM接口中控控制</w:t>
            </w:r>
          </w:p>
          <w:p w14:paraId="505120F8">
            <w:pPr>
              <w:widowControl/>
              <w:numPr>
                <w:ilvl w:val="0"/>
                <w:numId w:val="32"/>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电源净化功能（EMI专业电网滤波器）:无（可选配单独或每路带滤波器）</w:t>
            </w:r>
          </w:p>
        </w:tc>
        <w:tc>
          <w:tcPr>
            <w:tcW w:w="567" w:type="dxa"/>
            <w:tcBorders>
              <w:top w:val="single" w:color="000000" w:sz="4" w:space="0"/>
              <w:left w:val="single" w:color="000000" w:sz="4" w:space="0"/>
              <w:bottom w:val="single" w:color="000000" w:sz="4" w:space="0"/>
              <w:right w:val="single" w:color="000000" w:sz="4" w:space="0"/>
            </w:tcBorders>
            <w:vAlign w:val="center"/>
          </w:tcPr>
          <w:p w14:paraId="536AA8F4">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台</w:t>
            </w:r>
          </w:p>
        </w:tc>
        <w:tc>
          <w:tcPr>
            <w:tcW w:w="870" w:type="dxa"/>
            <w:tcBorders>
              <w:top w:val="single" w:color="000000" w:sz="4" w:space="0"/>
              <w:left w:val="single" w:color="000000" w:sz="4" w:space="0"/>
              <w:bottom w:val="single" w:color="000000" w:sz="4" w:space="0"/>
              <w:right w:val="single" w:color="000000" w:sz="4" w:space="0"/>
            </w:tcBorders>
            <w:vAlign w:val="center"/>
          </w:tcPr>
          <w:p w14:paraId="3DE070D5">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3</w:t>
            </w:r>
          </w:p>
        </w:tc>
      </w:tr>
      <w:tr w14:paraId="730E64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644" w:type="dxa"/>
            <w:tcBorders>
              <w:top w:val="single" w:color="000000" w:sz="4" w:space="0"/>
              <w:left w:val="single" w:color="000000" w:sz="4" w:space="0"/>
              <w:bottom w:val="single" w:color="000000" w:sz="4" w:space="0"/>
              <w:right w:val="single" w:color="000000" w:sz="4" w:space="0"/>
            </w:tcBorders>
            <w:vAlign w:val="center"/>
          </w:tcPr>
          <w:p w14:paraId="764B24DA">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11</w:t>
            </w:r>
          </w:p>
        </w:tc>
        <w:tc>
          <w:tcPr>
            <w:tcW w:w="851" w:type="dxa"/>
            <w:tcBorders>
              <w:top w:val="single" w:color="000000" w:sz="4" w:space="0"/>
              <w:left w:val="single" w:color="000000" w:sz="4" w:space="0"/>
              <w:bottom w:val="single" w:color="000000" w:sz="4" w:space="0"/>
              <w:right w:val="single" w:color="000000" w:sz="4" w:space="0"/>
            </w:tcBorders>
            <w:vAlign w:val="center"/>
          </w:tcPr>
          <w:p w14:paraId="3BD1AB8B">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啸叫抑制器</w:t>
            </w:r>
          </w:p>
        </w:tc>
        <w:tc>
          <w:tcPr>
            <w:tcW w:w="6378" w:type="dxa"/>
            <w:tcBorders>
              <w:top w:val="single" w:color="000000" w:sz="4" w:space="0"/>
              <w:left w:val="single" w:color="000000" w:sz="4" w:space="0"/>
              <w:bottom w:val="single" w:color="000000" w:sz="4" w:space="0"/>
              <w:right w:val="single" w:color="000000" w:sz="4" w:space="0"/>
            </w:tcBorders>
            <w:vAlign w:val="center"/>
          </w:tcPr>
          <w:p w14:paraId="75AEC025">
            <w:pPr>
              <w:widowControl/>
              <w:numPr>
                <w:ilvl w:val="0"/>
                <w:numId w:val="33"/>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超宽频响电路技术，无变音，无金属尾音，强力抑制回声。</w:t>
            </w:r>
          </w:p>
          <w:p w14:paraId="4C0E44AD">
            <w:pPr>
              <w:widowControl/>
              <w:numPr>
                <w:ilvl w:val="0"/>
                <w:numId w:val="33"/>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数字移频技术，超强防啸叫，声音圆润稳定，无发飘和发干等现象。</w:t>
            </w:r>
          </w:p>
          <w:p w14:paraId="5A6D76CA">
            <w:pPr>
              <w:widowControl/>
              <w:numPr>
                <w:ilvl w:val="0"/>
                <w:numId w:val="33"/>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性能稳定,智能DSP软件算法，稳定性能好，受温度和外界干扰很小。</w:t>
            </w:r>
          </w:p>
          <w:p w14:paraId="34730A56">
            <w:pPr>
              <w:widowControl/>
              <w:numPr>
                <w:ilvl w:val="0"/>
                <w:numId w:val="33"/>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 xml:space="preserve">提供内置输入自动混合器，以实现4路话筒输入.并自带48V幻象供电输出. </w:t>
            </w:r>
          </w:p>
          <w:p w14:paraId="3C604EBF">
            <w:pPr>
              <w:widowControl/>
              <w:numPr>
                <w:ilvl w:val="0"/>
                <w:numId w:val="33"/>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提供≥2.2寸彩色液晶显示屏.</w:t>
            </w:r>
          </w:p>
          <w:p w14:paraId="55B9D67E">
            <w:pPr>
              <w:widowControl/>
              <w:numPr>
                <w:ilvl w:val="0"/>
                <w:numId w:val="33"/>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输入通道数量:≥4通道(≥4通道平衡输入或者选择≥4通道6.35非平衡输入)</w:t>
            </w:r>
          </w:p>
          <w:p w14:paraId="55668932">
            <w:pPr>
              <w:widowControl/>
              <w:numPr>
                <w:ilvl w:val="0"/>
                <w:numId w:val="33"/>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供电电压:≥4通道48V幻像供电</w:t>
            </w:r>
          </w:p>
          <w:p w14:paraId="59AA32CE">
            <w:pPr>
              <w:widowControl/>
              <w:numPr>
                <w:ilvl w:val="0"/>
                <w:numId w:val="33"/>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 xml:space="preserve">取样频率: ≥32KHz </w:t>
            </w:r>
          </w:p>
          <w:p w14:paraId="716BFB66">
            <w:pPr>
              <w:widowControl/>
              <w:numPr>
                <w:ilvl w:val="0"/>
                <w:numId w:val="33"/>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频率响应: 125Hz~15KHz(语音模式)；20Hz~15KHz (音乐模式)</w:t>
            </w:r>
          </w:p>
          <w:p w14:paraId="56986DD7">
            <w:pPr>
              <w:widowControl/>
              <w:numPr>
                <w:ilvl w:val="0"/>
                <w:numId w:val="33"/>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失真:＞0.1%@ 1KHz</w:t>
            </w:r>
          </w:p>
          <w:p w14:paraId="30BABFA0">
            <w:pPr>
              <w:widowControl/>
              <w:numPr>
                <w:ilvl w:val="0"/>
                <w:numId w:val="33"/>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信噪比:＞90dB</w:t>
            </w:r>
          </w:p>
          <w:p w14:paraId="075633E5">
            <w:pPr>
              <w:widowControl/>
              <w:numPr>
                <w:ilvl w:val="0"/>
                <w:numId w:val="33"/>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信号延迟: 7Ms (音乐模式)，11MS (语音模式)</w:t>
            </w:r>
          </w:p>
          <w:p w14:paraId="111198B5">
            <w:pPr>
              <w:widowControl/>
              <w:numPr>
                <w:ilvl w:val="0"/>
                <w:numId w:val="33"/>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输入阻抗: ≥20K ohm</w:t>
            </w:r>
          </w:p>
          <w:p w14:paraId="6B1C1A4A">
            <w:pPr>
              <w:widowControl/>
              <w:numPr>
                <w:ilvl w:val="0"/>
                <w:numId w:val="33"/>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输出阻抗:(平衡)200ohm</w:t>
            </w:r>
          </w:p>
        </w:tc>
        <w:tc>
          <w:tcPr>
            <w:tcW w:w="567" w:type="dxa"/>
            <w:tcBorders>
              <w:top w:val="single" w:color="000000" w:sz="4" w:space="0"/>
              <w:left w:val="single" w:color="000000" w:sz="4" w:space="0"/>
              <w:bottom w:val="single" w:color="000000" w:sz="4" w:space="0"/>
              <w:right w:val="single" w:color="000000" w:sz="4" w:space="0"/>
            </w:tcBorders>
            <w:vAlign w:val="center"/>
          </w:tcPr>
          <w:p w14:paraId="30296E1D">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台</w:t>
            </w:r>
          </w:p>
        </w:tc>
        <w:tc>
          <w:tcPr>
            <w:tcW w:w="870" w:type="dxa"/>
            <w:tcBorders>
              <w:top w:val="single" w:color="000000" w:sz="4" w:space="0"/>
              <w:left w:val="single" w:color="000000" w:sz="4" w:space="0"/>
              <w:bottom w:val="single" w:color="000000" w:sz="4" w:space="0"/>
              <w:right w:val="single" w:color="000000" w:sz="4" w:space="0"/>
            </w:tcBorders>
            <w:vAlign w:val="center"/>
          </w:tcPr>
          <w:p w14:paraId="4072114C">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744450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644" w:type="dxa"/>
            <w:tcBorders>
              <w:top w:val="single" w:color="000000" w:sz="4" w:space="0"/>
              <w:left w:val="single" w:color="000000" w:sz="4" w:space="0"/>
              <w:bottom w:val="single" w:color="000000" w:sz="4" w:space="0"/>
              <w:right w:val="single" w:color="000000" w:sz="4" w:space="0"/>
            </w:tcBorders>
            <w:vAlign w:val="center"/>
          </w:tcPr>
          <w:p w14:paraId="0A2DB9EE">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12</w:t>
            </w:r>
          </w:p>
        </w:tc>
        <w:tc>
          <w:tcPr>
            <w:tcW w:w="851" w:type="dxa"/>
            <w:tcBorders>
              <w:top w:val="single" w:color="000000" w:sz="4" w:space="0"/>
              <w:left w:val="single" w:color="000000" w:sz="4" w:space="0"/>
              <w:bottom w:val="single" w:color="000000" w:sz="4" w:space="0"/>
              <w:right w:val="single" w:color="000000" w:sz="4" w:space="0"/>
            </w:tcBorders>
            <w:vAlign w:val="center"/>
          </w:tcPr>
          <w:p w14:paraId="1742871A">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数字音频处理器</w:t>
            </w:r>
          </w:p>
        </w:tc>
        <w:tc>
          <w:tcPr>
            <w:tcW w:w="6378" w:type="dxa"/>
            <w:tcBorders>
              <w:top w:val="single" w:color="000000" w:sz="4" w:space="0"/>
              <w:left w:val="single" w:color="000000" w:sz="4" w:space="0"/>
              <w:bottom w:val="single" w:color="000000" w:sz="4" w:space="0"/>
              <w:right w:val="single" w:color="000000" w:sz="4" w:space="0"/>
            </w:tcBorders>
            <w:vAlign w:val="center"/>
          </w:tcPr>
          <w:p w14:paraId="6E45A74A">
            <w:pPr>
              <w:widowControl/>
              <w:numPr>
                <w:ilvl w:val="0"/>
                <w:numId w:val="34"/>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≥1U机架空间</w:t>
            </w:r>
          </w:p>
          <w:p w14:paraId="012FC097">
            <w:pPr>
              <w:widowControl/>
              <w:numPr>
                <w:ilvl w:val="0"/>
                <w:numId w:val="34"/>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≥4组输入、≥8组输出</w:t>
            </w:r>
          </w:p>
          <w:p w14:paraId="1FFC1A54">
            <w:pPr>
              <w:widowControl/>
              <w:numPr>
                <w:ilvl w:val="0"/>
                <w:numId w:val="34"/>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可指定任意输入至输出</w:t>
            </w:r>
          </w:p>
          <w:p w14:paraId="258AC835">
            <w:pPr>
              <w:widowControl/>
              <w:numPr>
                <w:ilvl w:val="0"/>
                <w:numId w:val="34"/>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具有分频、均衡、延时和限幅功能</w:t>
            </w:r>
          </w:p>
          <w:p w14:paraId="582F675E">
            <w:pPr>
              <w:widowControl/>
              <w:numPr>
                <w:ilvl w:val="0"/>
                <w:numId w:val="34"/>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具有 Linkwitz-Riley、Bessel 和Butterworth 滤波器</w:t>
            </w:r>
          </w:p>
          <w:p w14:paraId="2D9D55A2">
            <w:pPr>
              <w:widowControl/>
              <w:numPr>
                <w:ilvl w:val="0"/>
                <w:numId w:val="34"/>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滤波器斜率分别为12,18,24,48dB/倍频程</w:t>
            </w:r>
          </w:p>
          <w:p w14:paraId="07EAE6CC">
            <w:pPr>
              <w:widowControl/>
              <w:numPr>
                <w:ilvl w:val="0"/>
                <w:numId w:val="34"/>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参数式均衡器：带通、1/64 至4 倍频程范围</w:t>
            </w:r>
          </w:p>
          <w:p w14:paraId="59A4C366">
            <w:pPr>
              <w:widowControl/>
              <w:numPr>
                <w:ilvl w:val="0"/>
                <w:numId w:val="34"/>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通过面板、PC 或 MIDI 进行程控</w:t>
            </w:r>
          </w:p>
          <w:p w14:paraId="20E90F1A">
            <w:pPr>
              <w:widowControl/>
              <w:numPr>
                <w:ilvl w:val="0"/>
                <w:numId w:val="34"/>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AMX兼容网络链接控制</w:t>
            </w:r>
          </w:p>
          <w:p w14:paraId="27F51344">
            <w:pPr>
              <w:widowControl/>
              <w:numPr>
                <w:ilvl w:val="0"/>
                <w:numId w:val="34"/>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专门的输入和输出电平表</w:t>
            </w:r>
          </w:p>
          <w:p w14:paraId="7FF0E1BB">
            <w:pPr>
              <w:widowControl/>
              <w:numPr>
                <w:ilvl w:val="0"/>
                <w:numId w:val="34"/>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平衡式输入和输出 XLR 音频信号连接器</w:t>
            </w:r>
          </w:p>
        </w:tc>
        <w:tc>
          <w:tcPr>
            <w:tcW w:w="567" w:type="dxa"/>
            <w:tcBorders>
              <w:top w:val="single" w:color="000000" w:sz="4" w:space="0"/>
              <w:left w:val="single" w:color="000000" w:sz="4" w:space="0"/>
              <w:bottom w:val="single" w:color="000000" w:sz="4" w:space="0"/>
              <w:right w:val="single" w:color="000000" w:sz="4" w:space="0"/>
            </w:tcBorders>
            <w:vAlign w:val="center"/>
          </w:tcPr>
          <w:p w14:paraId="5710AE74">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台</w:t>
            </w:r>
          </w:p>
        </w:tc>
        <w:tc>
          <w:tcPr>
            <w:tcW w:w="870" w:type="dxa"/>
            <w:tcBorders>
              <w:top w:val="single" w:color="000000" w:sz="4" w:space="0"/>
              <w:left w:val="single" w:color="000000" w:sz="4" w:space="0"/>
              <w:bottom w:val="single" w:color="000000" w:sz="4" w:space="0"/>
              <w:right w:val="single" w:color="000000" w:sz="4" w:space="0"/>
            </w:tcBorders>
            <w:vAlign w:val="center"/>
          </w:tcPr>
          <w:p w14:paraId="36018B28">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46C4AC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644" w:type="dxa"/>
            <w:tcBorders>
              <w:top w:val="single" w:color="000000" w:sz="4" w:space="0"/>
              <w:left w:val="single" w:color="000000" w:sz="4" w:space="0"/>
              <w:bottom w:val="single" w:color="000000" w:sz="4" w:space="0"/>
              <w:right w:val="single" w:color="000000" w:sz="4" w:space="0"/>
            </w:tcBorders>
            <w:vAlign w:val="center"/>
          </w:tcPr>
          <w:p w14:paraId="7BCD5535">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13</w:t>
            </w:r>
          </w:p>
        </w:tc>
        <w:tc>
          <w:tcPr>
            <w:tcW w:w="851" w:type="dxa"/>
            <w:tcBorders>
              <w:top w:val="single" w:color="000000" w:sz="4" w:space="0"/>
              <w:left w:val="single" w:color="000000" w:sz="4" w:space="0"/>
              <w:bottom w:val="single" w:color="000000" w:sz="4" w:space="0"/>
              <w:right w:val="single" w:color="000000" w:sz="4" w:space="0"/>
            </w:tcBorders>
            <w:vAlign w:val="center"/>
          </w:tcPr>
          <w:p w14:paraId="0F4AD1B6">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真分集无线一拖二手持麦克风</w:t>
            </w:r>
          </w:p>
        </w:tc>
        <w:tc>
          <w:tcPr>
            <w:tcW w:w="6378" w:type="dxa"/>
            <w:tcBorders>
              <w:top w:val="single" w:color="000000" w:sz="4" w:space="0"/>
              <w:left w:val="single" w:color="000000" w:sz="4" w:space="0"/>
              <w:bottom w:val="single" w:color="000000" w:sz="4" w:space="0"/>
              <w:right w:val="single" w:color="000000" w:sz="4" w:space="0"/>
            </w:tcBorders>
            <w:vAlign w:val="center"/>
          </w:tcPr>
          <w:p w14:paraId="445BE58B">
            <w:pPr>
              <w:widowControl/>
              <w:numPr>
                <w:ilvl w:val="0"/>
                <w:numId w:val="35"/>
              </w:numPr>
              <w:jc w:val="left"/>
              <w:textAlignment w:val="center"/>
              <w:rPr>
                <w:rFonts w:hint="eastAsia" w:ascii="宋体" w:hAnsi="宋体"/>
                <w:color w:val="auto"/>
                <w:szCs w:val="21"/>
                <w:highlight w:val="none"/>
              </w:rPr>
            </w:pPr>
            <w:r>
              <w:rPr>
                <w:rFonts w:ascii="宋体" w:hAnsi="宋体"/>
                <w:color w:val="auto"/>
                <w:szCs w:val="21"/>
                <w:highlight w:val="none"/>
                <w:lang w:bidi="ar"/>
              </w:rPr>
              <w:t>采用双通道真分集式接收技术. 每一路话筒信号都标配两组接收电路同时接收信号,有效增强信号稳定性.</w:t>
            </w:r>
          </w:p>
          <w:p w14:paraId="1481E8B4">
            <w:pPr>
              <w:widowControl/>
              <w:numPr>
                <w:ilvl w:val="0"/>
                <w:numId w:val="35"/>
              </w:numPr>
              <w:jc w:val="left"/>
              <w:textAlignment w:val="center"/>
              <w:rPr>
                <w:rFonts w:hint="eastAsia" w:ascii="宋体" w:hAnsi="宋体"/>
                <w:color w:val="auto"/>
                <w:szCs w:val="21"/>
                <w:highlight w:val="none"/>
              </w:rPr>
            </w:pPr>
            <w:r>
              <w:rPr>
                <w:rFonts w:ascii="宋体" w:hAnsi="宋体"/>
                <w:color w:val="auto"/>
                <w:szCs w:val="21"/>
                <w:highlight w:val="none"/>
                <w:lang w:bidi="ar"/>
              </w:rPr>
              <w:t>采用彩色显示大屏显示出每通道话筒的射频/音频/电池电量/SQ 距离/锁止等工作状态.高档实用.</w:t>
            </w:r>
          </w:p>
          <w:p w14:paraId="56C907BF">
            <w:pPr>
              <w:widowControl/>
              <w:numPr>
                <w:ilvl w:val="0"/>
                <w:numId w:val="35"/>
              </w:numPr>
              <w:jc w:val="left"/>
              <w:textAlignment w:val="center"/>
              <w:rPr>
                <w:rFonts w:hint="eastAsia" w:ascii="宋体" w:hAnsi="宋体"/>
                <w:color w:val="auto"/>
                <w:szCs w:val="21"/>
                <w:highlight w:val="none"/>
              </w:rPr>
            </w:pPr>
            <w:r>
              <w:rPr>
                <w:rFonts w:ascii="宋体" w:hAnsi="宋体"/>
                <w:color w:val="auto"/>
                <w:szCs w:val="21"/>
                <w:highlight w:val="none"/>
                <w:lang w:bidi="ar"/>
              </w:rPr>
              <w:t xml:space="preserve">系统标配工作频率独立可调,音量独立可调. SQ独立可调. IR红外独立控制.独立搜频功能.一键独立锁止.一键编组调 取等实用功能. </w:t>
            </w:r>
          </w:p>
          <w:p w14:paraId="793B19BA">
            <w:pPr>
              <w:widowControl/>
              <w:numPr>
                <w:ilvl w:val="0"/>
                <w:numId w:val="35"/>
              </w:numPr>
              <w:jc w:val="left"/>
              <w:textAlignment w:val="center"/>
              <w:rPr>
                <w:rFonts w:hint="eastAsia" w:ascii="宋体" w:hAnsi="宋体"/>
                <w:color w:val="auto"/>
                <w:szCs w:val="21"/>
                <w:highlight w:val="none"/>
              </w:rPr>
            </w:pPr>
            <w:r>
              <w:rPr>
                <w:rFonts w:ascii="宋体" w:hAnsi="宋体"/>
                <w:color w:val="auto"/>
                <w:szCs w:val="21"/>
                <w:highlight w:val="none"/>
                <w:lang w:bidi="ar"/>
              </w:rPr>
              <w:t>系统标配内置8组叠机频率可供调用.为同一场所同时叠机使用1-8套系统提供便捷安装支持. 线路板电源内置工作模式电感，可减少电源的电磁干扰</w:t>
            </w:r>
          </w:p>
          <w:p w14:paraId="6B56F1A0">
            <w:pPr>
              <w:widowControl/>
              <w:numPr>
                <w:ilvl w:val="0"/>
                <w:numId w:val="35"/>
              </w:numPr>
              <w:jc w:val="left"/>
              <w:textAlignment w:val="center"/>
              <w:rPr>
                <w:rFonts w:hint="eastAsia" w:ascii="宋体" w:hAnsi="宋体"/>
                <w:color w:val="auto"/>
                <w:szCs w:val="21"/>
                <w:highlight w:val="none"/>
              </w:rPr>
            </w:pPr>
            <w:r>
              <w:rPr>
                <w:rFonts w:ascii="宋体" w:hAnsi="宋体"/>
                <w:color w:val="auto"/>
                <w:szCs w:val="21"/>
                <w:highlight w:val="none"/>
                <w:lang w:bidi="ar"/>
              </w:rPr>
              <w:t>标配的相位锁定电路,配合杂讯静噪控制与数码导频技术, 当发射器关闭时，导频控制电路将接收机 AF 信号静音以 抑制噪声，保证了对干忧信号的有效阻隔.</w:t>
            </w:r>
          </w:p>
          <w:p w14:paraId="0180671D">
            <w:pPr>
              <w:widowControl/>
              <w:numPr>
                <w:ilvl w:val="0"/>
                <w:numId w:val="35"/>
              </w:numPr>
              <w:jc w:val="left"/>
              <w:textAlignment w:val="center"/>
              <w:rPr>
                <w:rFonts w:hint="eastAsia" w:ascii="宋体" w:hAnsi="宋体"/>
                <w:color w:val="auto"/>
                <w:szCs w:val="21"/>
                <w:highlight w:val="none"/>
              </w:rPr>
            </w:pPr>
            <w:r>
              <w:rPr>
                <w:rFonts w:ascii="宋体" w:hAnsi="宋体"/>
                <w:color w:val="auto"/>
                <w:szCs w:val="21"/>
                <w:highlight w:val="none"/>
                <w:lang w:bidi="ar"/>
              </w:rPr>
              <w:t>系统工作频率范围为564～615MHz. 每个通道均设有≥100 个频点可调.双通道共≥200个频点可调.</w:t>
            </w:r>
          </w:p>
          <w:p w14:paraId="36006AE0">
            <w:pPr>
              <w:widowControl/>
              <w:numPr>
                <w:ilvl w:val="0"/>
                <w:numId w:val="35"/>
              </w:numPr>
              <w:jc w:val="left"/>
              <w:textAlignment w:val="center"/>
              <w:rPr>
                <w:rFonts w:hint="eastAsia" w:ascii="宋体" w:hAnsi="宋体"/>
                <w:color w:val="auto"/>
                <w:szCs w:val="21"/>
                <w:highlight w:val="none"/>
              </w:rPr>
            </w:pPr>
            <w:r>
              <w:rPr>
                <w:rFonts w:ascii="宋体" w:hAnsi="宋体"/>
                <w:color w:val="auto"/>
                <w:szCs w:val="21"/>
                <w:highlight w:val="none"/>
                <w:lang w:bidi="ar"/>
              </w:rPr>
              <w:t xml:space="preserve">发射器技术指标： </w:t>
            </w:r>
            <w:r>
              <w:rPr>
                <w:rFonts w:ascii="宋体" w:hAnsi="宋体"/>
                <w:color w:val="auto"/>
                <w:szCs w:val="21"/>
                <w:highlight w:val="none"/>
                <w:lang w:bidi="ar"/>
              </w:rPr>
              <w:br w:type="textWrapping"/>
            </w:r>
            <w:r>
              <w:rPr>
                <w:rFonts w:ascii="宋体" w:hAnsi="宋体"/>
                <w:color w:val="auto"/>
                <w:szCs w:val="21"/>
                <w:highlight w:val="none"/>
                <w:lang w:bidi="ar"/>
              </w:rPr>
              <w:t xml:space="preserve">管身材质：全铝金属管体或铝壳领夹 </w:t>
            </w:r>
            <w:r>
              <w:rPr>
                <w:rFonts w:ascii="宋体" w:hAnsi="宋体"/>
                <w:color w:val="auto"/>
                <w:szCs w:val="21"/>
                <w:highlight w:val="none"/>
                <w:lang w:bidi="ar"/>
              </w:rPr>
              <w:br w:type="textWrapping"/>
            </w:r>
            <w:r>
              <w:rPr>
                <w:rFonts w:ascii="宋体" w:hAnsi="宋体"/>
                <w:color w:val="auto"/>
                <w:szCs w:val="21"/>
                <w:highlight w:val="none"/>
                <w:lang w:bidi="ar"/>
              </w:rPr>
              <w:t xml:space="preserve">载波频段：UHF564～615MHz </w:t>
            </w:r>
            <w:r>
              <w:rPr>
                <w:rFonts w:ascii="宋体" w:hAnsi="宋体"/>
                <w:color w:val="auto"/>
                <w:szCs w:val="21"/>
                <w:highlight w:val="none"/>
                <w:lang w:bidi="ar"/>
              </w:rPr>
              <w:br w:type="textWrapping"/>
            </w:r>
            <w:r>
              <w:rPr>
                <w:rFonts w:ascii="宋体" w:hAnsi="宋体"/>
                <w:color w:val="auto"/>
                <w:szCs w:val="21"/>
                <w:highlight w:val="none"/>
                <w:lang w:bidi="ar"/>
              </w:rPr>
              <w:t xml:space="preserve">频带宽度：≥50MHz </w:t>
            </w:r>
            <w:r>
              <w:rPr>
                <w:rFonts w:ascii="宋体" w:hAnsi="宋体"/>
                <w:color w:val="auto"/>
                <w:szCs w:val="21"/>
                <w:highlight w:val="none"/>
                <w:lang w:bidi="ar"/>
              </w:rPr>
              <w:br w:type="textWrapping"/>
            </w:r>
            <w:r>
              <w:rPr>
                <w:rFonts w:ascii="宋体" w:hAnsi="宋体"/>
                <w:color w:val="auto"/>
                <w:szCs w:val="21"/>
                <w:highlight w:val="none"/>
                <w:lang w:bidi="ar"/>
              </w:rPr>
              <w:t xml:space="preserve">频率调整：红外对频/手动调节 </w:t>
            </w:r>
            <w:r>
              <w:rPr>
                <w:rFonts w:ascii="宋体" w:hAnsi="宋体"/>
                <w:color w:val="auto"/>
                <w:szCs w:val="21"/>
                <w:highlight w:val="none"/>
                <w:lang w:bidi="ar"/>
              </w:rPr>
              <w:br w:type="textWrapping"/>
            </w:r>
            <w:r>
              <w:rPr>
                <w:rFonts w:ascii="宋体" w:hAnsi="宋体"/>
                <w:color w:val="auto"/>
                <w:szCs w:val="21"/>
                <w:highlight w:val="none"/>
                <w:lang w:bidi="ar"/>
              </w:rPr>
              <w:t xml:space="preserve">输出功率：≥30mW </w:t>
            </w:r>
            <w:r>
              <w:rPr>
                <w:rFonts w:ascii="宋体" w:hAnsi="宋体"/>
                <w:color w:val="auto"/>
                <w:szCs w:val="21"/>
                <w:highlight w:val="none"/>
                <w:lang w:bidi="ar"/>
              </w:rPr>
              <w:br w:type="textWrapping"/>
            </w:r>
            <w:r>
              <w:rPr>
                <w:rFonts w:ascii="宋体" w:hAnsi="宋体"/>
                <w:color w:val="auto"/>
                <w:szCs w:val="21"/>
                <w:highlight w:val="none"/>
                <w:lang w:bidi="ar"/>
              </w:rPr>
              <w:t xml:space="preserve">谐波幅射：＜55dBc </w:t>
            </w:r>
            <w:r>
              <w:rPr>
                <w:rFonts w:ascii="宋体" w:hAnsi="宋体"/>
                <w:color w:val="auto"/>
                <w:szCs w:val="21"/>
                <w:highlight w:val="none"/>
                <w:lang w:bidi="ar"/>
              </w:rPr>
              <w:br w:type="textWrapping"/>
            </w:r>
            <w:r>
              <w:rPr>
                <w:rFonts w:ascii="宋体" w:hAnsi="宋体"/>
                <w:color w:val="auto"/>
                <w:szCs w:val="21"/>
                <w:highlight w:val="none"/>
                <w:lang w:bidi="ar"/>
              </w:rPr>
              <w:t xml:space="preserve">手持式音头：动圈式 / 领夹与会议: 电容式 </w:t>
            </w:r>
            <w:r>
              <w:rPr>
                <w:rFonts w:ascii="宋体" w:hAnsi="宋体"/>
                <w:color w:val="auto"/>
                <w:szCs w:val="21"/>
                <w:highlight w:val="none"/>
                <w:lang w:bidi="ar"/>
              </w:rPr>
              <w:br w:type="textWrapping"/>
            </w:r>
            <w:r>
              <w:rPr>
                <w:rFonts w:ascii="宋体" w:hAnsi="宋体"/>
                <w:color w:val="auto"/>
                <w:szCs w:val="21"/>
                <w:highlight w:val="none"/>
                <w:lang w:bidi="ar"/>
              </w:rPr>
              <w:t>使用电池：5 号电池两只</w:t>
            </w:r>
            <w:r>
              <w:rPr>
                <w:rFonts w:ascii="宋体" w:hAnsi="宋体"/>
                <w:color w:val="auto"/>
                <w:szCs w:val="21"/>
                <w:highlight w:val="none"/>
                <w:lang w:bidi="ar"/>
              </w:rPr>
              <w:br w:type="textWrapping"/>
            </w:r>
            <w:r>
              <w:rPr>
                <w:rFonts w:ascii="宋体" w:hAnsi="宋体"/>
                <w:color w:val="auto"/>
                <w:szCs w:val="21"/>
                <w:highlight w:val="none"/>
                <w:lang w:bidi="ar"/>
              </w:rPr>
              <w:t xml:space="preserve">操作显示：LCD 同时显示电池容量，频道 </w:t>
            </w:r>
          </w:p>
          <w:p w14:paraId="4910D4B7">
            <w:pPr>
              <w:widowControl/>
              <w:numPr>
                <w:ilvl w:val="0"/>
                <w:numId w:val="35"/>
              </w:numPr>
              <w:jc w:val="left"/>
              <w:textAlignment w:val="center"/>
              <w:rPr>
                <w:rFonts w:hint="eastAsia" w:ascii="宋体" w:hAnsi="宋体"/>
                <w:color w:val="auto"/>
                <w:szCs w:val="21"/>
                <w:highlight w:val="none"/>
              </w:rPr>
            </w:pPr>
            <w:r>
              <w:rPr>
                <w:rFonts w:ascii="宋体" w:hAnsi="宋体"/>
                <w:color w:val="auto"/>
                <w:szCs w:val="21"/>
                <w:highlight w:val="none"/>
                <w:lang w:bidi="ar"/>
              </w:rPr>
              <w:t xml:space="preserve">接收机技术指标： </w:t>
            </w:r>
            <w:r>
              <w:rPr>
                <w:rFonts w:ascii="宋体" w:hAnsi="宋体"/>
                <w:color w:val="auto"/>
                <w:szCs w:val="21"/>
                <w:highlight w:val="none"/>
                <w:lang w:bidi="ar"/>
              </w:rPr>
              <w:br w:type="textWrapping"/>
            </w:r>
            <w:r>
              <w:rPr>
                <w:rFonts w:ascii="宋体" w:hAnsi="宋体"/>
                <w:color w:val="auto"/>
                <w:szCs w:val="21"/>
                <w:highlight w:val="none"/>
                <w:lang w:bidi="ar"/>
              </w:rPr>
              <w:t xml:space="preserve">射频稳定度：±0.005%（-10~50℃） </w:t>
            </w:r>
            <w:r>
              <w:rPr>
                <w:rFonts w:ascii="宋体" w:hAnsi="宋体"/>
                <w:color w:val="auto"/>
                <w:szCs w:val="21"/>
                <w:highlight w:val="none"/>
                <w:lang w:bidi="ar"/>
              </w:rPr>
              <w:br w:type="textWrapping"/>
            </w:r>
            <w:r>
              <w:rPr>
                <w:rFonts w:ascii="宋体" w:hAnsi="宋体"/>
                <w:color w:val="auto"/>
                <w:szCs w:val="21"/>
                <w:highlight w:val="none"/>
                <w:lang w:bidi="ar"/>
              </w:rPr>
              <w:t xml:space="preserve">载波频率：UHF564～615MHz  </w:t>
            </w:r>
            <w:r>
              <w:rPr>
                <w:rFonts w:ascii="宋体" w:hAnsi="宋体"/>
                <w:color w:val="auto"/>
                <w:szCs w:val="21"/>
                <w:highlight w:val="none"/>
                <w:lang w:bidi="ar"/>
              </w:rPr>
              <w:br w:type="textWrapping"/>
            </w:r>
            <w:r>
              <w:rPr>
                <w:rFonts w:ascii="宋体" w:hAnsi="宋体"/>
                <w:color w:val="auto"/>
                <w:szCs w:val="21"/>
                <w:highlight w:val="none"/>
                <w:lang w:bidi="ar"/>
              </w:rPr>
              <w:t xml:space="preserve">频率宽度：≥50MHz </w:t>
            </w:r>
            <w:r>
              <w:rPr>
                <w:rFonts w:ascii="宋体" w:hAnsi="宋体"/>
                <w:color w:val="auto"/>
                <w:szCs w:val="21"/>
                <w:highlight w:val="none"/>
                <w:lang w:bidi="ar"/>
              </w:rPr>
              <w:br w:type="textWrapping"/>
            </w:r>
            <w:r>
              <w:rPr>
                <w:rFonts w:ascii="宋体" w:hAnsi="宋体"/>
                <w:color w:val="auto"/>
                <w:szCs w:val="21"/>
                <w:highlight w:val="none"/>
                <w:lang w:bidi="ar"/>
              </w:rPr>
              <w:t xml:space="preserve">操作方式：手动调整 </w:t>
            </w:r>
            <w:r>
              <w:rPr>
                <w:rFonts w:ascii="宋体" w:hAnsi="宋体"/>
                <w:color w:val="auto"/>
                <w:szCs w:val="21"/>
                <w:highlight w:val="none"/>
                <w:lang w:bidi="ar"/>
              </w:rPr>
              <w:br w:type="textWrapping"/>
            </w:r>
            <w:r>
              <w:rPr>
                <w:rFonts w:ascii="宋体" w:hAnsi="宋体"/>
                <w:color w:val="auto"/>
                <w:szCs w:val="21"/>
                <w:highlight w:val="none"/>
                <w:lang w:bidi="ar"/>
              </w:rPr>
              <w:t xml:space="preserve">灵敏度：在偏移度等于 25KHz。输入–95dBm 时，S/N＞80Db </w:t>
            </w:r>
            <w:r>
              <w:rPr>
                <w:rFonts w:ascii="宋体" w:hAnsi="宋体"/>
                <w:color w:val="auto"/>
                <w:szCs w:val="21"/>
                <w:highlight w:val="none"/>
                <w:lang w:bidi="ar"/>
              </w:rPr>
              <w:br w:type="textWrapping"/>
            </w:r>
            <w:r>
              <w:rPr>
                <w:rFonts w:ascii="宋体" w:hAnsi="宋体"/>
                <w:color w:val="auto"/>
                <w:szCs w:val="21"/>
                <w:highlight w:val="none"/>
                <w:lang w:bidi="ar"/>
              </w:rPr>
              <w:t xml:space="preserve">综合 T.H.D：＜0.5%@1KHz </w:t>
            </w:r>
            <w:r>
              <w:rPr>
                <w:rFonts w:ascii="宋体" w:hAnsi="宋体"/>
                <w:color w:val="auto"/>
                <w:szCs w:val="21"/>
                <w:highlight w:val="none"/>
                <w:lang w:bidi="ar"/>
              </w:rPr>
              <w:br w:type="textWrapping"/>
            </w:r>
            <w:r>
              <w:rPr>
                <w:rFonts w:ascii="宋体" w:hAnsi="宋体"/>
                <w:color w:val="auto"/>
                <w:szCs w:val="21"/>
                <w:highlight w:val="none"/>
                <w:lang w:bidi="ar"/>
              </w:rPr>
              <w:t xml:space="preserve">频率响应：60Hz～15KHz </w:t>
            </w:r>
            <w:r>
              <w:rPr>
                <w:rFonts w:ascii="宋体" w:hAnsi="宋体"/>
                <w:color w:val="auto"/>
                <w:szCs w:val="21"/>
                <w:highlight w:val="none"/>
                <w:lang w:bidi="ar"/>
              </w:rPr>
              <w:br w:type="textWrapping"/>
            </w:r>
            <w:r>
              <w:rPr>
                <w:rFonts w:ascii="宋体" w:hAnsi="宋体"/>
                <w:color w:val="auto"/>
                <w:szCs w:val="21"/>
                <w:highlight w:val="none"/>
                <w:lang w:bidi="ar"/>
              </w:rPr>
              <w:t xml:space="preserve">最大输出电压：0dbV@45KHz </w:t>
            </w:r>
            <w:r>
              <w:rPr>
                <w:rFonts w:ascii="宋体" w:hAnsi="宋体"/>
                <w:color w:val="auto"/>
                <w:szCs w:val="21"/>
                <w:highlight w:val="none"/>
                <w:lang w:bidi="ar"/>
              </w:rPr>
              <w:br w:type="textWrapping"/>
            </w:r>
            <w:r>
              <w:rPr>
                <w:rFonts w:ascii="宋体" w:hAnsi="宋体"/>
                <w:color w:val="auto"/>
                <w:szCs w:val="21"/>
                <w:highlight w:val="none"/>
                <w:lang w:bidi="ar"/>
              </w:rPr>
              <w:t xml:space="preserve">输出插座：XLR 平衡式及 6.3 不平衡式 </w:t>
            </w:r>
            <w:r>
              <w:rPr>
                <w:rFonts w:ascii="宋体" w:hAnsi="宋体"/>
                <w:color w:val="auto"/>
                <w:szCs w:val="21"/>
                <w:highlight w:val="none"/>
                <w:lang w:bidi="ar"/>
              </w:rPr>
              <w:br w:type="textWrapping"/>
            </w:r>
            <w:r>
              <w:rPr>
                <w:rFonts w:ascii="宋体" w:hAnsi="宋体"/>
                <w:color w:val="auto"/>
                <w:szCs w:val="21"/>
                <w:highlight w:val="none"/>
                <w:lang w:bidi="ar"/>
              </w:rPr>
              <w:t xml:space="preserve">静音控制模式：音码及杂讯双重静音控制 </w:t>
            </w:r>
          </w:p>
        </w:tc>
        <w:tc>
          <w:tcPr>
            <w:tcW w:w="567" w:type="dxa"/>
            <w:tcBorders>
              <w:top w:val="single" w:color="000000" w:sz="4" w:space="0"/>
              <w:left w:val="single" w:color="000000" w:sz="4" w:space="0"/>
              <w:bottom w:val="single" w:color="000000" w:sz="4" w:space="0"/>
              <w:right w:val="single" w:color="000000" w:sz="4" w:space="0"/>
            </w:tcBorders>
            <w:vAlign w:val="center"/>
          </w:tcPr>
          <w:p w14:paraId="25BD3E68">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台</w:t>
            </w:r>
          </w:p>
        </w:tc>
        <w:tc>
          <w:tcPr>
            <w:tcW w:w="870" w:type="dxa"/>
            <w:tcBorders>
              <w:top w:val="single" w:color="000000" w:sz="4" w:space="0"/>
              <w:left w:val="single" w:color="000000" w:sz="4" w:space="0"/>
              <w:bottom w:val="single" w:color="000000" w:sz="4" w:space="0"/>
              <w:right w:val="single" w:color="000000" w:sz="4" w:space="0"/>
            </w:tcBorders>
            <w:vAlign w:val="center"/>
          </w:tcPr>
          <w:p w14:paraId="680FF206">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w:t>
            </w:r>
          </w:p>
        </w:tc>
      </w:tr>
      <w:tr w14:paraId="306C44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644" w:type="dxa"/>
            <w:tcBorders>
              <w:top w:val="single" w:color="000000" w:sz="4" w:space="0"/>
              <w:left w:val="single" w:color="000000" w:sz="4" w:space="0"/>
              <w:bottom w:val="single" w:color="000000" w:sz="4" w:space="0"/>
              <w:right w:val="single" w:color="000000" w:sz="4" w:space="0"/>
            </w:tcBorders>
            <w:vAlign w:val="center"/>
          </w:tcPr>
          <w:p w14:paraId="021FEEF7">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14</w:t>
            </w:r>
          </w:p>
        </w:tc>
        <w:tc>
          <w:tcPr>
            <w:tcW w:w="851" w:type="dxa"/>
            <w:tcBorders>
              <w:top w:val="single" w:color="000000" w:sz="4" w:space="0"/>
              <w:left w:val="single" w:color="000000" w:sz="4" w:space="0"/>
              <w:bottom w:val="single" w:color="000000" w:sz="4" w:space="0"/>
              <w:right w:val="single" w:color="000000" w:sz="4" w:space="0"/>
            </w:tcBorders>
            <w:vAlign w:val="center"/>
          </w:tcPr>
          <w:p w14:paraId="1E1F35FA">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会议系统主机</w:t>
            </w:r>
          </w:p>
        </w:tc>
        <w:tc>
          <w:tcPr>
            <w:tcW w:w="6378" w:type="dxa"/>
            <w:tcBorders>
              <w:top w:val="single" w:color="000000" w:sz="4" w:space="0"/>
              <w:left w:val="single" w:color="000000" w:sz="4" w:space="0"/>
              <w:bottom w:val="single" w:color="000000" w:sz="4" w:space="0"/>
              <w:right w:val="single" w:color="000000" w:sz="4" w:space="0"/>
            </w:tcBorders>
            <w:vAlign w:val="center"/>
          </w:tcPr>
          <w:p w14:paraId="2E666CCC">
            <w:pPr>
              <w:widowControl/>
              <w:numPr>
                <w:ilvl w:val="0"/>
                <w:numId w:val="36"/>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嵌入式系统，带高清≥2.4寸彩色显示屏. 独立按键操作.采用数字技术为核心 ，内置高性能CPU，支持讨论。</w:t>
            </w:r>
          </w:p>
          <w:p w14:paraId="2A68A8B3">
            <w:pPr>
              <w:widowControl/>
              <w:numPr>
                <w:ilvl w:val="0"/>
                <w:numId w:val="36"/>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系统启动时会全自动设置检测主席和代表单元;高性能开关电源供电，长距离传输对音质不会有任何影响.抗干扰电路设计，杜绝一切手机信号的干扰</w:t>
            </w:r>
          </w:p>
          <w:p w14:paraId="0C1CA5A9">
            <w:pPr>
              <w:widowControl/>
              <w:numPr>
                <w:ilvl w:val="0"/>
                <w:numId w:val="36"/>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可支持最多120个主席或120个代表单元,其中每路最多30个代表单元,主席可接在任意路; 具有中控代码RS-232接口，可连接中控系统</w:t>
            </w:r>
          </w:p>
          <w:p w14:paraId="420BF493">
            <w:pPr>
              <w:widowControl/>
              <w:numPr>
                <w:ilvl w:val="0"/>
                <w:numId w:val="36"/>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单元高档铝面板设计，会议单元有发言与聆听时间计时显示，方寸尽在掌握</w:t>
            </w:r>
          </w:p>
          <w:p w14:paraId="5FB27D5F">
            <w:pPr>
              <w:widowControl/>
              <w:numPr>
                <w:ilvl w:val="0"/>
                <w:numId w:val="36"/>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会议单元传统8芯线连接， 网口连接，双连接方式更录活</w:t>
            </w:r>
          </w:p>
          <w:p w14:paraId="5D809AC6">
            <w:pPr>
              <w:widowControl/>
              <w:numPr>
                <w:ilvl w:val="0"/>
                <w:numId w:val="36"/>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方管可随意调节高度/角度，操作更方便</w:t>
            </w:r>
          </w:p>
          <w:p w14:paraId="29BE8209">
            <w:pPr>
              <w:widowControl/>
              <w:numPr>
                <w:ilvl w:val="0"/>
                <w:numId w:val="36"/>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会议座按键导光双色设计，发言状态时按键为绿色，聆听状态按键为红色</w:t>
            </w:r>
          </w:p>
          <w:p w14:paraId="0C8F6086">
            <w:pPr>
              <w:widowControl/>
              <w:numPr>
                <w:ilvl w:val="0"/>
                <w:numId w:val="36"/>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每单元都有一个视频跟踪预置点,可选择相应摄像头和通道;支持多种摄像头协议,可按客户定制协议;最多支持8个摄像头;</w:t>
            </w:r>
          </w:p>
          <w:p w14:paraId="7376B291">
            <w:pPr>
              <w:widowControl/>
              <w:numPr>
                <w:ilvl w:val="0"/>
                <w:numId w:val="36"/>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具有常规会议模式： FIFO（先进先出模式）、FREE（全开放模式）、C-ONLY（主席模式）、LIMIT（限制发言）. 系统发言方式不少于5种组合,多达60种,可任意设置;</w:t>
            </w:r>
          </w:p>
          <w:p w14:paraId="2BAD663A">
            <w:pPr>
              <w:widowControl/>
              <w:numPr>
                <w:ilvl w:val="0"/>
                <w:numId w:val="36"/>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主席个数不受限制,最多支持12个主席或12个代表同时发言,且同时发言的代表单元可以在1-12位之间任意设置;</w:t>
            </w:r>
          </w:p>
          <w:p w14:paraId="36379B28">
            <w:pPr>
              <w:widowControl/>
              <w:numPr>
                <w:ilvl w:val="0"/>
                <w:numId w:val="36"/>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可以设置话筒不发言时自动关闭或定时发言,时间从1-999秒可任意调节;主机和电脑可以USB本地方式进行连接通讯，使用PC软件对系统进行设置。</w:t>
            </w:r>
          </w:p>
          <w:p w14:paraId="0E483071">
            <w:pPr>
              <w:widowControl/>
              <w:numPr>
                <w:ilvl w:val="0"/>
                <w:numId w:val="36"/>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采用数字控制技术,高保真音质,音频信号采用32bit高速浮点DSP进行处理， 带宽20Hz~20KHz完美清晰音质.拾音距离达到60厘米;</w:t>
            </w:r>
          </w:p>
          <w:p w14:paraId="0277098A">
            <w:pPr>
              <w:widowControl/>
              <w:numPr>
                <w:ilvl w:val="0"/>
                <w:numId w:val="36"/>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参数规格：主机供电 AC110V-220V/50Hz；频率响应 20Hz-20kHz；信噪比 ＞96dBA；总谐波失真  ＜0.05%；</w:t>
            </w:r>
          </w:p>
          <w:p w14:paraId="2BB5A63C">
            <w:pPr>
              <w:widowControl/>
              <w:numPr>
                <w:ilvl w:val="0"/>
                <w:numId w:val="36"/>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话筒单元接口：圆头DIN-8插座接口*4、RJ45网线接口*4</w:t>
            </w:r>
            <w:r>
              <w:rPr>
                <w:rFonts w:hint="eastAsia" w:ascii="宋体" w:hAnsi="宋体"/>
                <w:color w:val="auto"/>
                <w:kern w:val="0"/>
                <w:szCs w:val="21"/>
                <w:highlight w:val="none"/>
                <w:lang w:bidi="ar"/>
              </w:rPr>
              <w:br w:type="textWrapping"/>
            </w:r>
            <w:r>
              <w:rPr>
                <w:rFonts w:hint="eastAsia" w:ascii="宋体" w:hAnsi="宋体"/>
                <w:color w:val="auto"/>
                <w:kern w:val="0"/>
                <w:szCs w:val="21"/>
                <w:highlight w:val="none"/>
                <w:lang w:bidi="ar"/>
              </w:rPr>
              <w:t>中控连接口 232串口*1、音频输出 RCA（莲花插座）*1  XLR卡侬插座*1</w:t>
            </w:r>
          </w:p>
        </w:tc>
        <w:tc>
          <w:tcPr>
            <w:tcW w:w="567" w:type="dxa"/>
            <w:tcBorders>
              <w:top w:val="single" w:color="000000" w:sz="4" w:space="0"/>
              <w:left w:val="single" w:color="000000" w:sz="4" w:space="0"/>
              <w:bottom w:val="single" w:color="000000" w:sz="4" w:space="0"/>
              <w:right w:val="single" w:color="000000" w:sz="4" w:space="0"/>
            </w:tcBorders>
            <w:vAlign w:val="center"/>
          </w:tcPr>
          <w:p w14:paraId="72B720FD">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台</w:t>
            </w:r>
          </w:p>
        </w:tc>
        <w:tc>
          <w:tcPr>
            <w:tcW w:w="870" w:type="dxa"/>
            <w:tcBorders>
              <w:top w:val="single" w:color="000000" w:sz="4" w:space="0"/>
              <w:left w:val="single" w:color="000000" w:sz="4" w:space="0"/>
              <w:bottom w:val="single" w:color="000000" w:sz="4" w:space="0"/>
              <w:right w:val="single" w:color="000000" w:sz="4" w:space="0"/>
            </w:tcBorders>
            <w:vAlign w:val="center"/>
          </w:tcPr>
          <w:p w14:paraId="76798EE8">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17A796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644" w:type="dxa"/>
            <w:tcBorders>
              <w:top w:val="single" w:color="000000" w:sz="4" w:space="0"/>
              <w:left w:val="single" w:color="000000" w:sz="4" w:space="0"/>
              <w:bottom w:val="single" w:color="000000" w:sz="4" w:space="0"/>
              <w:right w:val="single" w:color="000000" w:sz="4" w:space="0"/>
            </w:tcBorders>
            <w:vAlign w:val="center"/>
          </w:tcPr>
          <w:p w14:paraId="4479BF97">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15</w:t>
            </w:r>
          </w:p>
        </w:tc>
        <w:tc>
          <w:tcPr>
            <w:tcW w:w="851" w:type="dxa"/>
            <w:tcBorders>
              <w:top w:val="single" w:color="000000" w:sz="4" w:space="0"/>
              <w:left w:val="single" w:color="000000" w:sz="4" w:space="0"/>
              <w:bottom w:val="single" w:color="000000" w:sz="4" w:space="0"/>
              <w:right w:val="single" w:color="000000" w:sz="4" w:space="0"/>
            </w:tcBorders>
            <w:vAlign w:val="center"/>
          </w:tcPr>
          <w:p w14:paraId="0DB7ECE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主席单元</w:t>
            </w:r>
          </w:p>
        </w:tc>
        <w:tc>
          <w:tcPr>
            <w:tcW w:w="6378" w:type="dxa"/>
            <w:tcBorders>
              <w:top w:val="single" w:color="000000" w:sz="4" w:space="0"/>
              <w:left w:val="single" w:color="000000" w:sz="4" w:space="0"/>
              <w:bottom w:val="single" w:color="000000" w:sz="4" w:space="0"/>
              <w:right w:val="single" w:color="000000" w:sz="4" w:space="0"/>
            </w:tcBorders>
            <w:vAlign w:val="center"/>
          </w:tcPr>
          <w:p w14:paraId="64084D15">
            <w:pPr>
              <w:widowControl/>
              <w:numPr>
                <w:ilvl w:val="0"/>
                <w:numId w:val="37"/>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 xml:space="preserve">换能方式:电容式 </w:t>
            </w:r>
          </w:p>
          <w:p w14:paraId="2D81FF70">
            <w:pPr>
              <w:widowControl/>
              <w:numPr>
                <w:ilvl w:val="0"/>
                <w:numId w:val="37"/>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 xml:space="preserve">频率响应:50Hz-16kHz </w:t>
            </w:r>
          </w:p>
          <w:p w14:paraId="6F31393C">
            <w:pPr>
              <w:widowControl/>
              <w:numPr>
                <w:ilvl w:val="0"/>
                <w:numId w:val="37"/>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 xml:space="preserve">灵敏度:-44dB±2dB </w:t>
            </w:r>
          </w:p>
          <w:p w14:paraId="4E6DB2EC">
            <w:pPr>
              <w:widowControl/>
              <w:numPr>
                <w:ilvl w:val="0"/>
                <w:numId w:val="37"/>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 xml:space="preserve">拾音距离:15-50cm </w:t>
            </w:r>
          </w:p>
          <w:p w14:paraId="6175F8F3">
            <w:pPr>
              <w:widowControl/>
              <w:numPr>
                <w:ilvl w:val="0"/>
                <w:numId w:val="37"/>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 xml:space="preserve">咪管长度:≥390mm </w:t>
            </w:r>
          </w:p>
          <w:p w14:paraId="05DC6DBA">
            <w:pPr>
              <w:widowControl/>
              <w:numPr>
                <w:ilvl w:val="0"/>
                <w:numId w:val="37"/>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单元由系统主机统一供电，工作电压为直流24V</w:t>
            </w:r>
          </w:p>
          <w:p w14:paraId="746A3E2D">
            <w:pPr>
              <w:widowControl/>
              <w:numPr>
                <w:ilvl w:val="0"/>
                <w:numId w:val="37"/>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具有麦克风开启和关闭按键与指示灯;麦克风开启讲话时，红色灯环同时发光</w:t>
            </w:r>
          </w:p>
          <w:p w14:paraId="2AE03ABC">
            <w:pPr>
              <w:widowControl/>
              <w:numPr>
                <w:ilvl w:val="0"/>
                <w:numId w:val="37"/>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主席单元具有强制关闭代表单元发言的优先功能</w:t>
            </w:r>
          </w:p>
          <w:p w14:paraId="773A17D5">
            <w:pPr>
              <w:widowControl/>
              <w:numPr>
                <w:ilvl w:val="0"/>
                <w:numId w:val="37"/>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系统中主席单元数量不受限制，可置于回路 中任意位置;开启麦克风时不受设定的发言  人数限制，可任意开启</w:t>
            </w:r>
          </w:p>
          <w:p w14:paraId="0AB148E8">
            <w:pPr>
              <w:widowControl/>
              <w:numPr>
                <w:ilvl w:val="0"/>
                <w:numId w:val="37"/>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使用电容式拾音器，咪管采用可绕式设计</w:t>
            </w:r>
          </w:p>
          <w:p w14:paraId="4E46AFF1">
            <w:pPr>
              <w:widowControl/>
              <w:numPr>
                <w:ilvl w:val="0"/>
                <w:numId w:val="37"/>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单元具有8P-DIN插座用于系统“T”型连接， 可根据会场实际情况订制延长线。</w:t>
            </w:r>
          </w:p>
        </w:tc>
        <w:tc>
          <w:tcPr>
            <w:tcW w:w="567" w:type="dxa"/>
            <w:tcBorders>
              <w:top w:val="single" w:color="000000" w:sz="4" w:space="0"/>
              <w:left w:val="single" w:color="000000" w:sz="4" w:space="0"/>
              <w:bottom w:val="single" w:color="000000" w:sz="4" w:space="0"/>
              <w:right w:val="single" w:color="000000" w:sz="4" w:space="0"/>
            </w:tcBorders>
            <w:vAlign w:val="center"/>
          </w:tcPr>
          <w:p w14:paraId="08D88B38">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台</w:t>
            </w:r>
          </w:p>
        </w:tc>
        <w:tc>
          <w:tcPr>
            <w:tcW w:w="870" w:type="dxa"/>
            <w:tcBorders>
              <w:top w:val="single" w:color="000000" w:sz="4" w:space="0"/>
              <w:left w:val="single" w:color="000000" w:sz="4" w:space="0"/>
              <w:bottom w:val="single" w:color="000000" w:sz="4" w:space="0"/>
              <w:right w:val="single" w:color="000000" w:sz="4" w:space="0"/>
            </w:tcBorders>
            <w:vAlign w:val="center"/>
          </w:tcPr>
          <w:p w14:paraId="76618E93">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016722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644" w:type="dxa"/>
            <w:tcBorders>
              <w:top w:val="single" w:color="000000" w:sz="4" w:space="0"/>
              <w:left w:val="single" w:color="000000" w:sz="4" w:space="0"/>
              <w:bottom w:val="single" w:color="000000" w:sz="4" w:space="0"/>
              <w:right w:val="single" w:color="000000" w:sz="4" w:space="0"/>
            </w:tcBorders>
            <w:vAlign w:val="center"/>
          </w:tcPr>
          <w:p w14:paraId="133981C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16</w:t>
            </w:r>
          </w:p>
        </w:tc>
        <w:tc>
          <w:tcPr>
            <w:tcW w:w="851" w:type="dxa"/>
            <w:tcBorders>
              <w:top w:val="single" w:color="000000" w:sz="4" w:space="0"/>
              <w:left w:val="single" w:color="000000" w:sz="4" w:space="0"/>
              <w:bottom w:val="single" w:color="000000" w:sz="4" w:space="0"/>
              <w:right w:val="single" w:color="000000" w:sz="4" w:space="0"/>
            </w:tcBorders>
            <w:vAlign w:val="center"/>
          </w:tcPr>
          <w:p w14:paraId="2034C766">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代表单元</w:t>
            </w:r>
          </w:p>
        </w:tc>
        <w:tc>
          <w:tcPr>
            <w:tcW w:w="6378" w:type="dxa"/>
            <w:tcBorders>
              <w:top w:val="single" w:color="000000" w:sz="4" w:space="0"/>
              <w:left w:val="single" w:color="000000" w:sz="4" w:space="0"/>
              <w:bottom w:val="single" w:color="000000" w:sz="4" w:space="0"/>
              <w:right w:val="single" w:color="000000" w:sz="4" w:space="0"/>
            </w:tcBorders>
            <w:vAlign w:val="center"/>
          </w:tcPr>
          <w:p w14:paraId="23D2638E">
            <w:pPr>
              <w:widowControl/>
              <w:numPr>
                <w:ilvl w:val="0"/>
                <w:numId w:val="38"/>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换能方式:电容式</w:t>
            </w:r>
          </w:p>
          <w:p w14:paraId="59420DB6">
            <w:pPr>
              <w:widowControl/>
              <w:numPr>
                <w:ilvl w:val="0"/>
                <w:numId w:val="38"/>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单元具有发言按键与指示灯</w:t>
            </w:r>
          </w:p>
          <w:p w14:paraId="5614D1C3">
            <w:pPr>
              <w:widowControl/>
              <w:numPr>
                <w:ilvl w:val="0"/>
                <w:numId w:val="38"/>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 xml:space="preserve">频率响应:50Hz-16kHz </w:t>
            </w:r>
          </w:p>
          <w:p w14:paraId="77C00D17">
            <w:pPr>
              <w:widowControl/>
              <w:numPr>
                <w:ilvl w:val="0"/>
                <w:numId w:val="38"/>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开机讲话时，红色灯环同时发光指示</w:t>
            </w:r>
          </w:p>
          <w:p w14:paraId="1DC310BC">
            <w:pPr>
              <w:widowControl/>
              <w:numPr>
                <w:ilvl w:val="0"/>
                <w:numId w:val="38"/>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 xml:space="preserve">灵敏度:-44dB±2dB  </w:t>
            </w:r>
          </w:p>
          <w:p w14:paraId="5F65CCFE">
            <w:pPr>
              <w:widowControl/>
              <w:numPr>
                <w:ilvl w:val="0"/>
                <w:numId w:val="38"/>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 xml:space="preserve">拾音距离:15-50cm </w:t>
            </w:r>
          </w:p>
          <w:p w14:paraId="5F761E2A">
            <w:pPr>
              <w:widowControl/>
              <w:numPr>
                <w:ilvl w:val="0"/>
                <w:numId w:val="38"/>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使用电容式拾音器，咪管采用可绕式设计</w:t>
            </w:r>
          </w:p>
          <w:p w14:paraId="51700EB1">
            <w:pPr>
              <w:widowControl/>
              <w:numPr>
                <w:ilvl w:val="0"/>
                <w:numId w:val="38"/>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咪管长度:≥390mm</w:t>
            </w:r>
          </w:p>
          <w:p w14:paraId="52F0898C">
            <w:pPr>
              <w:widowControl/>
              <w:numPr>
                <w:ilvl w:val="0"/>
                <w:numId w:val="38"/>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 xml:space="preserve">单元由系统主机统一供电，工作电压为直流24V </w:t>
            </w:r>
          </w:p>
          <w:p w14:paraId="70D99340">
            <w:pPr>
              <w:widowControl/>
              <w:numPr>
                <w:ilvl w:val="0"/>
                <w:numId w:val="38"/>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 xml:space="preserve">单元具有8P-DIN插座用于系统“T”型连接，可根据会场实际情况订制延长线。 </w:t>
            </w:r>
          </w:p>
        </w:tc>
        <w:tc>
          <w:tcPr>
            <w:tcW w:w="567" w:type="dxa"/>
            <w:tcBorders>
              <w:top w:val="single" w:color="000000" w:sz="4" w:space="0"/>
              <w:left w:val="single" w:color="000000" w:sz="4" w:space="0"/>
              <w:bottom w:val="single" w:color="000000" w:sz="4" w:space="0"/>
              <w:right w:val="single" w:color="000000" w:sz="4" w:space="0"/>
            </w:tcBorders>
            <w:vAlign w:val="center"/>
          </w:tcPr>
          <w:p w14:paraId="65F304D2">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台</w:t>
            </w:r>
          </w:p>
        </w:tc>
        <w:tc>
          <w:tcPr>
            <w:tcW w:w="870" w:type="dxa"/>
            <w:tcBorders>
              <w:top w:val="single" w:color="000000" w:sz="4" w:space="0"/>
              <w:left w:val="single" w:color="000000" w:sz="4" w:space="0"/>
              <w:bottom w:val="single" w:color="000000" w:sz="4" w:space="0"/>
              <w:right w:val="single" w:color="000000" w:sz="4" w:space="0"/>
            </w:tcBorders>
            <w:vAlign w:val="center"/>
          </w:tcPr>
          <w:p w14:paraId="370CCED2">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9</w:t>
            </w:r>
          </w:p>
        </w:tc>
      </w:tr>
      <w:tr w14:paraId="5A8C3C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644" w:type="dxa"/>
            <w:tcBorders>
              <w:top w:val="single" w:color="000000" w:sz="4" w:space="0"/>
              <w:left w:val="single" w:color="000000" w:sz="4" w:space="0"/>
              <w:bottom w:val="single" w:color="000000" w:sz="4" w:space="0"/>
              <w:right w:val="single" w:color="000000" w:sz="4" w:space="0"/>
            </w:tcBorders>
            <w:vAlign w:val="center"/>
          </w:tcPr>
          <w:p w14:paraId="6CA9751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17</w:t>
            </w:r>
          </w:p>
        </w:tc>
        <w:tc>
          <w:tcPr>
            <w:tcW w:w="851" w:type="dxa"/>
            <w:tcBorders>
              <w:top w:val="single" w:color="000000" w:sz="4" w:space="0"/>
              <w:left w:val="single" w:color="000000" w:sz="4" w:space="0"/>
              <w:bottom w:val="single" w:color="000000" w:sz="4" w:space="0"/>
              <w:right w:val="single" w:color="000000" w:sz="4" w:space="0"/>
            </w:tcBorders>
            <w:vAlign w:val="center"/>
          </w:tcPr>
          <w:p w14:paraId="3BFE39C4">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话筒天线放大器</w:t>
            </w:r>
          </w:p>
        </w:tc>
        <w:tc>
          <w:tcPr>
            <w:tcW w:w="6378" w:type="dxa"/>
            <w:tcBorders>
              <w:top w:val="single" w:color="000000" w:sz="4" w:space="0"/>
              <w:left w:val="single" w:color="000000" w:sz="4" w:space="0"/>
              <w:bottom w:val="single" w:color="000000" w:sz="4" w:space="0"/>
              <w:right w:val="single" w:color="000000" w:sz="4" w:space="0"/>
            </w:tcBorders>
            <w:vAlign w:val="center"/>
          </w:tcPr>
          <w:p w14:paraId="22FAF8FC">
            <w:pPr>
              <w:widowControl/>
              <w:numPr>
                <w:ilvl w:val="0"/>
                <w:numId w:val="39"/>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特高频天线分配及频谱管理系统，由无线麦克风专用频段设计的扫频式频谱仪系统和双天线信号接收回路的射频信号放大分配系统组成；</w:t>
            </w:r>
          </w:p>
          <w:p w14:paraId="112E9ACA">
            <w:pPr>
              <w:widowControl/>
              <w:numPr>
                <w:ilvl w:val="0"/>
                <w:numId w:val="39"/>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频谱扫描系统采用液晶显示屏监测界面，通过扫描能发现相近频段的同类无线麦克风、LED墙发出的噪声、对讲机及电视台、无线电话基站信号等各种已经存的信号，因此可帮助选出没有被占用的频率给新增加的无线麦克风使用；</w:t>
            </w:r>
          </w:p>
          <w:p w14:paraId="43F4F68C">
            <w:pPr>
              <w:widowControl/>
              <w:numPr>
                <w:ilvl w:val="0"/>
                <w:numId w:val="39"/>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射频天线放大分配系统具有带通滤波功能，通频带内的信号低损耗通过，频带以外的干扰信号过滤及衰减，对经滤波后的有用射频信号进行放大及拆分为多路输出，从而补偿插入损失。分配系统允许四台接收机使用，同时还配有向每个接收机供电的电源插头，另外还配备一路射频信号级联端口，能够连接到第五个接收机或第二套天线分配系统的天线输入端口。通常将射频信号拆分给多个输出时，信号会出现衰减，本系统能够对信号进行放大补偿，以确保为接收机提供较强的信号。</w:t>
            </w:r>
          </w:p>
          <w:p w14:paraId="27A3376C">
            <w:pPr>
              <w:widowControl/>
              <w:numPr>
                <w:ilvl w:val="0"/>
                <w:numId w:val="39"/>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兼容所有UHF频段无线麦克风接收机使用</w:t>
            </w:r>
          </w:p>
          <w:p w14:paraId="3B91E68D">
            <w:pPr>
              <w:widowControl/>
              <w:numPr>
                <w:ilvl w:val="0"/>
                <w:numId w:val="39"/>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现场无线电频谱扫描监测功能，为射频频点分配及管理提供依据</w:t>
            </w:r>
          </w:p>
          <w:p w14:paraId="67469187">
            <w:pPr>
              <w:widowControl/>
              <w:numPr>
                <w:ilvl w:val="0"/>
                <w:numId w:val="39"/>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定向、全向、壁挂式等多种类型及性能不同的天线提供选择</w:t>
            </w:r>
          </w:p>
          <w:p w14:paraId="1949CDE0">
            <w:pPr>
              <w:widowControl/>
              <w:numPr>
                <w:ilvl w:val="0"/>
                <w:numId w:val="39"/>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高频信号带通滤波功能，过滤带宽以外的信号对系统造成干扰</w:t>
            </w:r>
          </w:p>
          <w:p w14:paraId="3F6BB815">
            <w:pPr>
              <w:widowControl/>
              <w:numPr>
                <w:ilvl w:val="0"/>
                <w:numId w:val="39"/>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采用高性能材料及电路确保最大的信号灵敏度和端口串扰隔离能力，能够为众多无线接收机提供稳定的无线电信号。</w:t>
            </w:r>
          </w:p>
          <w:p w14:paraId="2281CFD4">
            <w:pPr>
              <w:widowControl/>
              <w:numPr>
                <w:ilvl w:val="0"/>
                <w:numId w:val="39"/>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两个50欧姆BNC型天线级联端口，能够额外连接一个分配主机或第五台无线接收机。</w:t>
            </w:r>
          </w:p>
        </w:tc>
        <w:tc>
          <w:tcPr>
            <w:tcW w:w="567" w:type="dxa"/>
            <w:tcBorders>
              <w:top w:val="single" w:color="000000" w:sz="4" w:space="0"/>
              <w:left w:val="single" w:color="000000" w:sz="4" w:space="0"/>
              <w:bottom w:val="single" w:color="000000" w:sz="4" w:space="0"/>
              <w:right w:val="single" w:color="000000" w:sz="4" w:space="0"/>
            </w:tcBorders>
            <w:vAlign w:val="center"/>
          </w:tcPr>
          <w:p w14:paraId="690EB574">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台</w:t>
            </w:r>
          </w:p>
        </w:tc>
        <w:tc>
          <w:tcPr>
            <w:tcW w:w="870" w:type="dxa"/>
            <w:tcBorders>
              <w:top w:val="single" w:color="000000" w:sz="4" w:space="0"/>
              <w:left w:val="single" w:color="000000" w:sz="4" w:space="0"/>
              <w:bottom w:val="single" w:color="000000" w:sz="4" w:space="0"/>
              <w:right w:val="single" w:color="000000" w:sz="4" w:space="0"/>
            </w:tcBorders>
            <w:vAlign w:val="center"/>
          </w:tcPr>
          <w:p w14:paraId="7454213E">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7AD4D7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644" w:type="dxa"/>
            <w:tcBorders>
              <w:top w:val="single" w:color="000000" w:sz="4" w:space="0"/>
              <w:left w:val="single" w:color="000000" w:sz="4" w:space="0"/>
              <w:bottom w:val="single" w:color="000000" w:sz="4" w:space="0"/>
              <w:right w:val="single" w:color="000000" w:sz="4" w:space="0"/>
            </w:tcBorders>
            <w:vAlign w:val="center"/>
          </w:tcPr>
          <w:p w14:paraId="50F0B02E">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18</w:t>
            </w:r>
          </w:p>
        </w:tc>
        <w:tc>
          <w:tcPr>
            <w:tcW w:w="851" w:type="dxa"/>
            <w:tcBorders>
              <w:top w:val="single" w:color="000000" w:sz="4" w:space="0"/>
              <w:left w:val="single" w:color="000000" w:sz="4" w:space="0"/>
              <w:bottom w:val="single" w:color="000000" w:sz="4" w:space="0"/>
              <w:right w:val="single" w:color="000000" w:sz="4" w:space="0"/>
            </w:tcBorders>
            <w:vAlign w:val="center"/>
          </w:tcPr>
          <w:p w14:paraId="3CA3A662">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天线延长线</w:t>
            </w:r>
          </w:p>
        </w:tc>
        <w:tc>
          <w:tcPr>
            <w:tcW w:w="6378" w:type="dxa"/>
            <w:tcBorders>
              <w:top w:val="single" w:color="000000" w:sz="4" w:space="0"/>
              <w:left w:val="single" w:color="000000" w:sz="4" w:space="0"/>
              <w:bottom w:val="single" w:color="000000" w:sz="4" w:space="0"/>
              <w:right w:val="single" w:color="000000" w:sz="4" w:space="0"/>
            </w:tcBorders>
            <w:vAlign w:val="center"/>
          </w:tcPr>
          <w:p w14:paraId="6D32D6FD">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≥20m</w:t>
            </w:r>
          </w:p>
        </w:tc>
        <w:tc>
          <w:tcPr>
            <w:tcW w:w="567" w:type="dxa"/>
            <w:tcBorders>
              <w:top w:val="single" w:color="000000" w:sz="4" w:space="0"/>
              <w:left w:val="single" w:color="000000" w:sz="4" w:space="0"/>
              <w:bottom w:val="single" w:color="000000" w:sz="4" w:space="0"/>
              <w:right w:val="single" w:color="000000" w:sz="4" w:space="0"/>
            </w:tcBorders>
            <w:vAlign w:val="center"/>
          </w:tcPr>
          <w:p w14:paraId="526E9C7F">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条</w:t>
            </w:r>
          </w:p>
        </w:tc>
        <w:tc>
          <w:tcPr>
            <w:tcW w:w="870" w:type="dxa"/>
            <w:tcBorders>
              <w:top w:val="single" w:color="000000" w:sz="4" w:space="0"/>
              <w:left w:val="single" w:color="000000" w:sz="4" w:space="0"/>
              <w:bottom w:val="single" w:color="000000" w:sz="4" w:space="0"/>
              <w:right w:val="single" w:color="000000" w:sz="4" w:space="0"/>
            </w:tcBorders>
            <w:vAlign w:val="center"/>
          </w:tcPr>
          <w:p w14:paraId="7876A640">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w:t>
            </w:r>
          </w:p>
        </w:tc>
      </w:tr>
      <w:tr w14:paraId="6FBE31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644" w:type="dxa"/>
            <w:tcBorders>
              <w:top w:val="single" w:color="000000" w:sz="4" w:space="0"/>
              <w:left w:val="single" w:color="000000" w:sz="4" w:space="0"/>
              <w:bottom w:val="single" w:color="000000" w:sz="4" w:space="0"/>
              <w:right w:val="single" w:color="000000" w:sz="4" w:space="0"/>
            </w:tcBorders>
            <w:vAlign w:val="center"/>
          </w:tcPr>
          <w:p w14:paraId="525F9CE3">
            <w:pPr>
              <w:widowControl/>
              <w:jc w:val="center"/>
              <w:textAlignment w:val="center"/>
              <w:rPr>
                <w:rFonts w:hint="eastAsia" w:ascii="宋体" w:hAnsi="宋体"/>
                <w:b/>
                <w:bCs/>
                <w:color w:val="auto"/>
                <w:szCs w:val="21"/>
                <w:highlight w:val="none"/>
              </w:rPr>
            </w:pPr>
            <w:r>
              <w:rPr>
                <w:rFonts w:hint="eastAsia" w:ascii="宋体" w:hAnsi="宋体"/>
                <w:b/>
                <w:bCs/>
                <w:color w:val="auto"/>
                <w:kern w:val="0"/>
                <w:szCs w:val="21"/>
                <w:highlight w:val="none"/>
                <w:lang w:bidi="ar"/>
              </w:rPr>
              <w:t>（二）</w:t>
            </w:r>
          </w:p>
        </w:tc>
        <w:tc>
          <w:tcPr>
            <w:tcW w:w="851" w:type="dxa"/>
            <w:tcBorders>
              <w:top w:val="single" w:color="000000" w:sz="4" w:space="0"/>
              <w:left w:val="single" w:color="000000" w:sz="4" w:space="0"/>
              <w:bottom w:val="single" w:color="000000" w:sz="4" w:space="0"/>
              <w:right w:val="single" w:color="000000" w:sz="4" w:space="0"/>
            </w:tcBorders>
            <w:vAlign w:val="center"/>
          </w:tcPr>
          <w:p w14:paraId="391292FF">
            <w:pPr>
              <w:widowControl/>
              <w:jc w:val="center"/>
              <w:textAlignment w:val="center"/>
              <w:rPr>
                <w:rFonts w:hint="eastAsia" w:ascii="宋体" w:hAnsi="宋体"/>
                <w:b/>
                <w:bCs/>
                <w:color w:val="auto"/>
                <w:szCs w:val="21"/>
                <w:highlight w:val="none"/>
              </w:rPr>
            </w:pPr>
            <w:r>
              <w:rPr>
                <w:rFonts w:hint="eastAsia" w:ascii="宋体" w:hAnsi="宋体"/>
                <w:b/>
                <w:bCs/>
                <w:color w:val="auto"/>
                <w:kern w:val="0"/>
                <w:szCs w:val="21"/>
                <w:highlight w:val="none"/>
                <w:lang w:bidi="ar"/>
              </w:rPr>
              <w:t>舞台灯光系统</w:t>
            </w:r>
          </w:p>
        </w:tc>
        <w:tc>
          <w:tcPr>
            <w:tcW w:w="6378" w:type="dxa"/>
            <w:tcBorders>
              <w:top w:val="single" w:color="000000" w:sz="4" w:space="0"/>
              <w:left w:val="single" w:color="000000" w:sz="4" w:space="0"/>
              <w:bottom w:val="single" w:color="000000" w:sz="4" w:space="0"/>
              <w:right w:val="single" w:color="000000" w:sz="4" w:space="0"/>
            </w:tcBorders>
            <w:vAlign w:val="center"/>
          </w:tcPr>
          <w:p w14:paraId="189E1502">
            <w:pPr>
              <w:jc w:val="left"/>
              <w:rPr>
                <w:rFonts w:hint="eastAsia" w:ascii="宋体" w:hAnsi="宋体"/>
                <w:color w:val="auto"/>
                <w:szCs w:val="21"/>
                <w:highlight w:val="none"/>
              </w:rPr>
            </w:pPr>
          </w:p>
        </w:tc>
        <w:tc>
          <w:tcPr>
            <w:tcW w:w="567" w:type="dxa"/>
            <w:tcBorders>
              <w:top w:val="single" w:color="000000" w:sz="4" w:space="0"/>
              <w:left w:val="single" w:color="000000" w:sz="4" w:space="0"/>
              <w:bottom w:val="single" w:color="000000" w:sz="4" w:space="0"/>
              <w:right w:val="single" w:color="000000" w:sz="4" w:space="0"/>
            </w:tcBorders>
            <w:vAlign w:val="center"/>
          </w:tcPr>
          <w:p w14:paraId="0398B570">
            <w:pPr>
              <w:jc w:val="center"/>
              <w:rPr>
                <w:rFonts w:hint="eastAsia" w:ascii="宋体" w:hAnsi="宋体"/>
                <w:color w:val="auto"/>
                <w:szCs w:val="21"/>
                <w:highlight w:val="none"/>
              </w:rPr>
            </w:pPr>
          </w:p>
        </w:tc>
        <w:tc>
          <w:tcPr>
            <w:tcW w:w="870" w:type="dxa"/>
            <w:tcBorders>
              <w:top w:val="single" w:color="000000" w:sz="4" w:space="0"/>
              <w:left w:val="single" w:color="000000" w:sz="4" w:space="0"/>
              <w:bottom w:val="single" w:color="000000" w:sz="4" w:space="0"/>
              <w:right w:val="single" w:color="000000" w:sz="4" w:space="0"/>
            </w:tcBorders>
            <w:vAlign w:val="center"/>
          </w:tcPr>
          <w:p w14:paraId="147536A6">
            <w:pPr>
              <w:jc w:val="center"/>
              <w:rPr>
                <w:rFonts w:hint="eastAsia" w:ascii="宋体" w:hAnsi="宋体"/>
                <w:color w:val="auto"/>
                <w:szCs w:val="21"/>
                <w:highlight w:val="none"/>
              </w:rPr>
            </w:pPr>
          </w:p>
        </w:tc>
      </w:tr>
      <w:tr w14:paraId="13B724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644" w:type="dxa"/>
            <w:tcBorders>
              <w:top w:val="single" w:color="000000" w:sz="4" w:space="0"/>
              <w:left w:val="single" w:color="000000" w:sz="4" w:space="0"/>
              <w:bottom w:val="single" w:color="000000" w:sz="4" w:space="0"/>
              <w:right w:val="single" w:color="000000" w:sz="4" w:space="0"/>
            </w:tcBorders>
            <w:vAlign w:val="center"/>
          </w:tcPr>
          <w:p w14:paraId="6E71985C">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c>
          <w:tcPr>
            <w:tcW w:w="851" w:type="dxa"/>
            <w:tcBorders>
              <w:top w:val="single" w:color="000000" w:sz="4" w:space="0"/>
              <w:left w:val="single" w:color="000000" w:sz="4" w:space="0"/>
              <w:bottom w:val="single" w:color="000000" w:sz="4" w:space="0"/>
              <w:right w:val="single" w:color="000000" w:sz="4" w:space="0"/>
            </w:tcBorders>
            <w:vAlign w:val="center"/>
          </w:tcPr>
          <w:p w14:paraId="16EEFBEF">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LED帕灯</w:t>
            </w:r>
          </w:p>
        </w:tc>
        <w:tc>
          <w:tcPr>
            <w:tcW w:w="6378" w:type="dxa"/>
            <w:tcBorders>
              <w:top w:val="single" w:color="000000" w:sz="4" w:space="0"/>
              <w:left w:val="single" w:color="000000" w:sz="4" w:space="0"/>
              <w:bottom w:val="single" w:color="000000" w:sz="4" w:space="0"/>
              <w:right w:val="single" w:color="000000" w:sz="4" w:space="0"/>
            </w:tcBorders>
            <w:vAlign w:val="center"/>
          </w:tcPr>
          <w:p w14:paraId="6943B2B3">
            <w:pPr>
              <w:widowControl/>
              <w:numPr>
                <w:ilvl w:val="0"/>
                <w:numId w:val="40"/>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 xml:space="preserve">电压：AC90-245V AC 功率≥180W </w:t>
            </w:r>
          </w:p>
          <w:p w14:paraId="652B63AD">
            <w:pPr>
              <w:widowControl/>
              <w:numPr>
                <w:ilvl w:val="0"/>
                <w:numId w:val="40"/>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 xml:space="preserve">光源：≥54*3W   </w:t>
            </w:r>
          </w:p>
          <w:p w14:paraId="4C9BDE35">
            <w:pPr>
              <w:widowControl/>
              <w:numPr>
                <w:ilvl w:val="0"/>
                <w:numId w:val="40"/>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 xml:space="preserve">灯珠寿命：＞1000000小时 </w:t>
            </w:r>
          </w:p>
          <w:p w14:paraId="12A8627C">
            <w:pPr>
              <w:widowControl/>
              <w:numPr>
                <w:ilvl w:val="0"/>
                <w:numId w:val="40"/>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 xml:space="preserve">调光：0-100%线性调光 </w:t>
            </w:r>
          </w:p>
          <w:p w14:paraId="60D6F09C">
            <w:pPr>
              <w:widowControl/>
              <w:numPr>
                <w:ilvl w:val="0"/>
                <w:numId w:val="40"/>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控制模式：DMX512，</w:t>
            </w:r>
          </w:p>
          <w:p w14:paraId="30D9680A">
            <w:pPr>
              <w:widowControl/>
              <w:numPr>
                <w:ilvl w:val="0"/>
                <w:numId w:val="40"/>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 xml:space="preserve">通道：8CH </w:t>
            </w:r>
          </w:p>
          <w:p w14:paraId="1F791988">
            <w:pPr>
              <w:widowControl/>
              <w:numPr>
                <w:ilvl w:val="0"/>
                <w:numId w:val="40"/>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 xml:space="preserve">控制面板：数码显示 </w:t>
            </w:r>
          </w:p>
          <w:p w14:paraId="03D53E57">
            <w:pPr>
              <w:widowControl/>
              <w:numPr>
                <w:ilvl w:val="0"/>
                <w:numId w:val="40"/>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外壳材料及颜色：铝合金；黑色 适用于专业舞台/影像工作室/剧院/染色效果的应用</w:t>
            </w:r>
          </w:p>
        </w:tc>
        <w:tc>
          <w:tcPr>
            <w:tcW w:w="567" w:type="dxa"/>
            <w:tcBorders>
              <w:top w:val="single" w:color="000000" w:sz="4" w:space="0"/>
              <w:left w:val="single" w:color="000000" w:sz="4" w:space="0"/>
              <w:bottom w:val="single" w:color="000000" w:sz="4" w:space="0"/>
              <w:right w:val="single" w:color="000000" w:sz="4" w:space="0"/>
            </w:tcBorders>
            <w:vAlign w:val="center"/>
          </w:tcPr>
          <w:p w14:paraId="26C55178">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台</w:t>
            </w:r>
          </w:p>
        </w:tc>
        <w:tc>
          <w:tcPr>
            <w:tcW w:w="870" w:type="dxa"/>
            <w:tcBorders>
              <w:top w:val="single" w:color="000000" w:sz="4" w:space="0"/>
              <w:left w:val="single" w:color="000000" w:sz="4" w:space="0"/>
              <w:bottom w:val="single" w:color="000000" w:sz="4" w:space="0"/>
              <w:right w:val="single" w:color="000000" w:sz="4" w:space="0"/>
            </w:tcBorders>
            <w:vAlign w:val="center"/>
          </w:tcPr>
          <w:p w14:paraId="7AD33578">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36</w:t>
            </w:r>
          </w:p>
        </w:tc>
      </w:tr>
      <w:tr w14:paraId="10927B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644" w:type="dxa"/>
            <w:tcBorders>
              <w:top w:val="single" w:color="000000" w:sz="4" w:space="0"/>
              <w:left w:val="single" w:color="000000" w:sz="4" w:space="0"/>
              <w:bottom w:val="single" w:color="000000" w:sz="4" w:space="0"/>
              <w:right w:val="single" w:color="000000" w:sz="4" w:space="0"/>
            </w:tcBorders>
            <w:vAlign w:val="center"/>
          </w:tcPr>
          <w:p w14:paraId="73FB1A03">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w:t>
            </w:r>
          </w:p>
        </w:tc>
        <w:tc>
          <w:tcPr>
            <w:tcW w:w="851" w:type="dxa"/>
            <w:tcBorders>
              <w:top w:val="single" w:color="000000" w:sz="4" w:space="0"/>
              <w:left w:val="single" w:color="000000" w:sz="4" w:space="0"/>
              <w:bottom w:val="single" w:color="000000" w:sz="4" w:space="0"/>
              <w:right w:val="single" w:color="000000" w:sz="4" w:space="0"/>
            </w:tcBorders>
            <w:vAlign w:val="center"/>
          </w:tcPr>
          <w:p w14:paraId="0321EC90">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面光灯</w:t>
            </w:r>
          </w:p>
        </w:tc>
        <w:tc>
          <w:tcPr>
            <w:tcW w:w="6378" w:type="dxa"/>
            <w:tcBorders>
              <w:top w:val="single" w:color="000000" w:sz="4" w:space="0"/>
              <w:left w:val="single" w:color="000000" w:sz="4" w:space="0"/>
              <w:bottom w:val="single" w:color="000000" w:sz="4" w:space="0"/>
              <w:right w:val="single" w:color="000000" w:sz="4" w:space="0"/>
            </w:tcBorders>
            <w:vAlign w:val="center"/>
          </w:tcPr>
          <w:p w14:paraId="477D1360">
            <w:pPr>
              <w:widowControl/>
              <w:numPr>
                <w:ilvl w:val="0"/>
                <w:numId w:val="41"/>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 xml:space="preserve">电压：AC90-245V AC 功率150W/200W </w:t>
            </w:r>
          </w:p>
          <w:p w14:paraId="245D1329">
            <w:pPr>
              <w:widowControl/>
              <w:numPr>
                <w:ilvl w:val="0"/>
                <w:numId w:val="41"/>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 xml:space="preserve">光源：Cob100W/200W 3200K   </w:t>
            </w:r>
          </w:p>
          <w:p w14:paraId="21B4C8BD">
            <w:pPr>
              <w:widowControl/>
              <w:numPr>
                <w:ilvl w:val="0"/>
                <w:numId w:val="41"/>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 xml:space="preserve">灯珠寿命：＞1000000小时 </w:t>
            </w:r>
          </w:p>
          <w:p w14:paraId="2F85C105">
            <w:pPr>
              <w:widowControl/>
              <w:numPr>
                <w:ilvl w:val="0"/>
                <w:numId w:val="41"/>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 xml:space="preserve">调光：0-100%线性调光 </w:t>
            </w:r>
          </w:p>
          <w:p w14:paraId="394AA5CC">
            <w:pPr>
              <w:widowControl/>
              <w:numPr>
                <w:ilvl w:val="0"/>
                <w:numId w:val="41"/>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控制模式：DMX512，</w:t>
            </w:r>
          </w:p>
          <w:p w14:paraId="7FC759CC">
            <w:pPr>
              <w:widowControl/>
              <w:numPr>
                <w:ilvl w:val="0"/>
                <w:numId w:val="41"/>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 xml:space="preserve">通道：≥2CH </w:t>
            </w:r>
          </w:p>
          <w:p w14:paraId="1DCCED62">
            <w:pPr>
              <w:widowControl/>
              <w:numPr>
                <w:ilvl w:val="0"/>
                <w:numId w:val="41"/>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 xml:space="preserve">控制面板：数码显示 </w:t>
            </w:r>
          </w:p>
          <w:p w14:paraId="59BB8F42">
            <w:pPr>
              <w:widowControl/>
              <w:numPr>
                <w:ilvl w:val="0"/>
                <w:numId w:val="41"/>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 xml:space="preserve">外壳材料及颜色：铝合金；黑色 适用于专业舞台/影像工作室/剧院/的应用 </w:t>
            </w:r>
          </w:p>
        </w:tc>
        <w:tc>
          <w:tcPr>
            <w:tcW w:w="567" w:type="dxa"/>
            <w:tcBorders>
              <w:top w:val="single" w:color="000000" w:sz="4" w:space="0"/>
              <w:left w:val="single" w:color="000000" w:sz="4" w:space="0"/>
              <w:bottom w:val="single" w:color="000000" w:sz="4" w:space="0"/>
              <w:right w:val="single" w:color="000000" w:sz="4" w:space="0"/>
            </w:tcBorders>
            <w:vAlign w:val="center"/>
          </w:tcPr>
          <w:p w14:paraId="0B73BBD5">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台</w:t>
            </w:r>
          </w:p>
        </w:tc>
        <w:tc>
          <w:tcPr>
            <w:tcW w:w="870" w:type="dxa"/>
            <w:tcBorders>
              <w:top w:val="single" w:color="000000" w:sz="4" w:space="0"/>
              <w:left w:val="single" w:color="000000" w:sz="4" w:space="0"/>
              <w:bottom w:val="single" w:color="000000" w:sz="4" w:space="0"/>
              <w:right w:val="single" w:color="000000" w:sz="4" w:space="0"/>
            </w:tcBorders>
            <w:vAlign w:val="center"/>
          </w:tcPr>
          <w:p w14:paraId="71F9A096">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12</w:t>
            </w:r>
          </w:p>
        </w:tc>
      </w:tr>
      <w:tr w14:paraId="3C3CAA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644" w:type="dxa"/>
            <w:tcBorders>
              <w:top w:val="single" w:color="000000" w:sz="4" w:space="0"/>
              <w:left w:val="single" w:color="000000" w:sz="4" w:space="0"/>
              <w:bottom w:val="single" w:color="000000" w:sz="4" w:space="0"/>
              <w:right w:val="single" w:color="000000" w:sz="4" w:space="0"/>
            </w:tcBorders>
            <w:vAlign w:val="center"/>
          </w:tcPr>
          <w:p w14:paraId="5EA8057D">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3</w:t>
            </w:r>
          </w:p>
        </w:tc>
        <w:tc>
          <w:tcPr>
            <w:tcW w:w="851" w:type="dxa"/>
            <w:tcBorders>
              <w:top w:val="single" w:color="000000" w:sz="4" w:space="0"/>
              <w:left w:val="single" w:color="000000" w:sz="4" w:space="0"/>
              <w:bottom w:val="single" w:color="000000" w:sz="4" w:space="0"/>
              <w:right w:val="single" w:color="000000" w:sz="4" w:space="0"/>
            </w:tcBorders>
            <w:vAlign w:val="center"/>
          </w:tcPr>
          <w:p w14:paraId="6EE76B91">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LED会议灯</w:t>
            </w:r>
          </w:p>
        </w:tc>
        <w:tc>
          <w:tcPr>
            <w:tcW w:w="6378" w:type="dxa"/>
            <w:tcBorders>
              <w:top w:val="single" w:color="000000" w:sz="4" w:space="0"/>
              <w:left w:val="single" w:color="000000" w:sz="4" w:space="0"/>
              <w:bottom w:val="single" w:color="000000" w:sz="4" w:space="0"/>
              <w:right w:val="single" w:color="000000" w:sz="4" w:space="0"/>
            </w:tcBorders>
            <w:vAlign w:val="center"/>
          </w:tcPr>
          <w:p w14:paraId="3F168DBD">
            <w:pPr>
              <w:widowControl/>
              <w:numPr>
                <w:ilvl w:val="0"/>
                <w:numId w:val="42"/>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工作电压：100-240V AC50/60Hz</w:t>
            </w:r>
          </w:p>
          <w:p w14:paraId="5F48736F">
            <w:pPr>
              <w:widowControl/>
              <w:numPr>
                <w:ilvl w:val="0"/>
                <w:numId w:val="42"/>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寿命：≥50000小时</w:t>
            </w:r>
          </w:p>
          <w:p w14:paraId="7981591D">
            <w:pPr>
              <w:widowControl/>
              <w:numPr>
                <w:ilvl w:val="0"/>
                <w:numId w:val="42"/>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 xml:space="preserve">额定功率：≥150W </w:t>
            </w:r>
          </w:p>
          <w:p w14:paraId="7244AE09">
            <w:pPr>
              <w:widowControl/>
              <w:numPr>
                <w:ilvl w:val="0"/>
                <w:numId w:val="42"/>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色温：3200K/5600K (±200K)可选</w:t>
            </w:r>
          </w:p>
          <w:p w14:paraId="4FD57CE4">
            <w:pPr>
              <w:widowControl/>
              <w:numPr>
                <w:ilvl w:val="0"/>
                <w:numId w:val="42"/>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显色指数：Ra≥90</w:t>
            </w:r>
          </w:p>
          <w:p w14:paraId="4C2506C7">
            <w:pPr>
              <w:widowControl/>
              <w:numPr>
                <w:ilvl w:val="0"/>
                <w:numId w:val="42"/>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调光：0-100%线性调光平滑无闪烁</w:t>
            </w:r>
          </w:p>
          <w:p w14:paraId="4381D2DD">
            <w:pPr>
              <w:widowControl/>
              <w:numPr>
                <w:ilvl w:val="0"/>
                <w:numId w:val="42"/>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灯珠数量：（≥256颗）</w:t>
            </w:r>
          </w:p>
        </w:tc>
        <w:tc>
          <w:tcPr>
            <w:tcW w:w="567" w:type="dxa"/>
            <w:tcBorders>
              <w:top w:val="single" w:color="000000" w:sz="4" w:space="0"/>
              <w:left w:val="single" w:color="000000" w:sz="4" w:space="0"/>
              <w:bottom w:val="single" w:color="000000" w:sz="4" w:space="0"/>
              <w:right w:val="single" w:color="000000" w:sz="4" w:space="0"/>
            </w:tcBorders>
            <w:vAlign w:val="center"/>
          </w:tcPr>
          <w:p w14:paraId="66834891">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台</w:t>
            </w:r>
          </w:p>
        </w:tc>
        <w:tc>
          <w:tcPr>
            <w:tcW w:w="870" w:type="dxa"/>
            <w:tcBorders>
              <w:top w:val="single" w:color="000000" w:sz="4" w:space="0"/>
              <w:left w:val="single" w:color="000000" w:sz="4" w:space="0"/>
              <w:bottom w:val="single" w:color="000000" w:sz="4" w:space="0"/>
              <w:right w:val="single" w:color="000000" w:sz="4" w:space="0"/>
            </w:tcBorders>
            <w:vAlign w:val="center"/>
          </w:tcPr>
          <w:p w14:paraId="5583CC2C">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8</w:t>
            </w:r>
          </w:p>
        </w:tc>
      </w:tr>
      <w:tr w14:paraId="4DBE62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644" w:type="dxa"/>
            <w:tcBorders>
              <w:top w:val="single" w:color="000000" w:sz="4" w:space="0"/>
              <w:left w:val="single" w:color="000000" w:sz="4" w:space="0"/>
              <w:bottom w:val="single" w:color="000000" w:sz="4" w:space="0"/>
              <w:right w:val="single" w:color="000000" w:sz="4" w:space="0"/>
            </w:tcBorders>
            <w:vAlign w:val="center"/>
          </w:tcPr>
          <w:p w14:paraId="7E6977A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4</w:t>
            </w:r>
          </w:p>
        </w:tc>
        <w:tc>
          <w:tcPr>
            <w:tcW w:w="851" w:type="dxa"/>
            <w:tcBorders>
              <w:top w:val="single" w:color="000000" w:sz="4" w:space="0"/>
              <w:left w:val="single" w:color="000000" w:sz="4" w:space="0"/>
              <w:bottom w:val="single" w:color="000000" w:sz="4" w:space="0"/>
              <w:right w:val="single" w:color="000000" w:sz="4" w:space="0"/>
            </w:tcBorders>
            <w:vAlign w:val="center"/>
          </w:tcPr>
          <w:p w14:paraId="2F20848F">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电脑图案灯</w:t>
            </w:r>
          </w:p>
        </w:tc>
        <w:tc>
          <w:tcPr>
            <w:tcW w:w="6378" w:type="dxa"/>
            <w:tcBorders>
              <w:top w:val="single" w:color="000000" w:sz="4" w:space="0"/>
              <w:left w:val="single" w:color="000000" w:sz="4" w:space="0"/>
              <w:bottom w:val="single" w:color="000000" w:sz="4" w:space="0"/>
              <w:right w:val="single" w:color="000000" w:sz="4" w:space="0"/>
            </w:tcBorders>
            <w:vAlign w:val="center"/>
          </w:tcPr>
          <w:p w14:paraId="0D8A26A9">
            <w:pPr>
              <w:widowControl/>
              <w:numPr>
                <w:ilvl w:val="0"/>
                <w:numId w:val="43"/>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 xml:space="preserve">电压：AC90-240V.50-60HZ </w:t>
            </w:r>
          </w:p>
          <w:p w14:paraId="07F9EA87">
            <w:pPr>
              <w:widowControl/>
              <w:numPr>
                <w:ilvl w:val="0"/>
                <w:numId w:val="43"/>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 xml:space="preserve">灯泡：欧司朗/优灯 </w:t>
            </w:r>
          </w:p>
          <w:p w14:paraId="19A6FB50">
            <w:pPr>
              <w:widowControl/>
              <w:numPr>
                <w:ilvl w:val="0"/>
                <w:numId w:val="43"/>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 xml:space="preserve">功率：≥230W </w:t>
            </w:r>
          </w:p>
          <w:p w14:paraId="3603DD5E">
            <w:pPr>
              <w:widowControl/>
              <w:numPr>
                <w:ilvl w:val="0"/>
                <w:numId w:val="43"/>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 xml:space="preserve">显示屏：LCD显示屏可到转180显示，可记录灯的使用时间和灯泡的使用时间  </w:t>
            </w:r>
          </w:p>
          <w:p w14:paraId="4D50268E">
            <w:pPr>
              <w:widowControl/>
              <w:numPr>
                <w:ilvl w:val="0"/>
                <w:numId w:val="43"/>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 xml:space="preserve">协议控制：DMX512  </w:t>
            </w:r>
          </w:p>
          <w:p w14:paraId="16E3F366">
            <w:pPr>
              <w:widowControl/>
              <w:numPr>
                <w:ilvl w:val="0"/>
                <w:numId w:val="43"/>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 xml:space="preserve">通道：≥16通道  </w:t>
            </w:r>
          </w:p>
          <w:p w14:paraId="41FD536A">
            <w:pPr>
              <w:widowControl/>
              <w:numPr>
                <w:ilvl w:val="0"/>
                <w:numId w:val="43"/>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 xml:space="preserve">镜头：仪陇三合一高精度光学镜头组  </w:t>
            </w:r>
          </w:p>
          <w:p w14:paraId="2E75EEAA">
            <w:pPr>
              <w:widowControl/>
              <w:numPr>
                <w:ilvl w:val="0"/>
                <w:numId w:val="43"/>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 xml:space="preserve">调光：0-100%线性调光 </w:t>
            </w:r>
          </w:p>
          <w:p w14:paraId="7D51AB79">
            <w:pPr>
              <w:widowControl/>
              <w:numPr>
                <w:ilvl w:val="0"/>
                <w:numId w:val="43"/>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 xml:space="preserve">频闪：双侧刀频频闪率最高13次/秒 棱镜16棱镜旋转棱镜效果 </w:t>
            </w:r>
          </w:p>
          <w:p w14:paraId="412C383E">
            <w:pPr>
              <w:widowControl/>
              <w:numPr>
                <w:ilvl w:val="0"/>
                <w:numId w:val="43"/>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 xml:space="preserve">调焦：电子调焦 </w:t>
            </w:r>
          </w:p>
          <w:p w14:paraId="587682F4">
            <w:pPr>
              <w:widowControl/>
              <w:numPr>
                <w:ilvl w:val="0"/>
                <w:numId w:val="43"/>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 xml:space="preserve">图案片：≥17个图案+白圆 带双向旋转彩虹效果及图案抖动效果 </w:t>
            </w:r>
          </w:p>
          <w:p w14:paraId="558AC213">
            <w:pPr>
              <w:widowControl/>
              <w:numPr>
                <w:ilvl w:val="0"/>
                <w:numId w:val="43"/>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色片盘：≥14个颜色+白光 全色半色及彩虹效果 全色走和半色走两种模式切换</w:t>
            </w:r>
          </w:p>
          <w:p w14:paraId="47444146">
            <w:pPr>
              <w:widowControl/>
              <w:numPr>
                <w:ilvl w:val="0"/>
                <w:numId w:val="43"/>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 xml:space="preserve">冷却系统：冷却风扇和铝制散热 </w:t>
            </w:r>
          </w:p>
        </w:tc>
        <w:tc>
          <w:tcPr>
            <w:tcW w:w="567" w:type="dxa"/>
            <w:tcBorders>
              <w:top w:val="single" w:color="000000" w:sz="4" w:space="0"/>
              <w:left w:val="single" w:color="000000" w:sz="4" w:space="0"/>
              <w:bottom w:val="single" w:color="000000" w:sz="4" w:space="0"/>
              <w:right w:val="single" w:color="000000" w:sz="4" w:space="0"/>
            </w:tcBorders>
            <w:vAlign w:val="center"/>
          </w:tcPr>
          <w:p w14:paraId="2088E343">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台</w:t>
            </w:r>
          </w:p>
        </w:tc>
        <w:tc>
          <w:tcPr>
            <w:tcW w:w="870" w:type="dxa"/>
            <w:tcBorders>
              <w:top w:val="single" w:color="000000" w:sz="4" w:space="0"/>
              <w:left w:val="single" w:color="000000" w:sz="4" w:space="0"/>
              <w:bottom w:val="single" w:color="000000" w:sz="4" w:space="0"/>
              <w:right w:val="single" w:color="000000" w:sz="4" w:space="0"/>
            </w:tcBorders>
            <w:vAlign w:val="center"/>
          </w:tcPr>
          <w:p w14:paraId="3E834A18">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8</w:t>
            </w:r>
          </w:p>
        </w:tc>
      </w:tr>
      <w:tr w14:paraId="25D742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644" w:type="dxa"/>
            <w:tcBorders>
              <w:top w:val="single" w:color="000000" w:sz="4" w:space="0"/>
              <w:left w:val="single" w:color="000000" w:sz="4" w:space="0"/>
              <w:bottom w:val="single" w:color="000000" w:sz="4" w:space="0"/>
              <w:right w:val="single" w:color="000000" w:sz="4" w:space="0"/>
            </w:tcBorders>
            <w:vAlign w:val="center"/>
          </w:tcPr>
          <w:p w14:paraId="1BE3CAEC">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5</w:t>
            </w:r>
          </w:p>
        </w:tc>
        <w:tc>
          <w:tcPr>
            <w:tcW w:w="851" w:type="dxa"/>
            <w:tcBorders>
              <w:top w:val="single" w:color="000000" w:sz="4" w:space="0"/>
              <w:left w:val="single" w:color="000000" w:sz="4" w:space="0"/>
              <w:bottom w:val="single" w:color="000000" w:sz="4" w:space="0"/>
              <w:right w:val="single" w:color="000000" w:sz="4" w:space="0"/>
            </w:tcBorders>
            <w:vAlign w:val="center"/>
          </w:tcPr>
          <w:p w14:paraId="0CEC8545">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信号放大器</w:t>
            </w:r>
          </w:p>
        </w:tc>
        <w:tc>
          <w:tcPr>
            <w:tcW w:w="6378" w:type="dxa"/>
            <w:tcBorders>
              <w:top w:val="single" w:color="000000" w:sz="4" w:space="0"/>
              <w:left w:val="single" w:color="000000" w:sz="4" w:space="0"/>
              <w:bottom w:val="single" w:color="000000" w:sz="4" w:space="0"/>
              <w:right w:val="single" w:color="000000" w:sz="4" w:space="0"/>
            </w:tcBorders>
            <w:vAlign w:val="center"/>
          </w:tcPr>
          <w:p w14:paraId="68C1711F">
            <w:pPr>
              <w:widowControl/>
              <w:numPr>
                <w:ilvl w:val="0"/>
                <w:numId w:val="44"/>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≥8路光电隔离DMX信号分配器，≥1路DMX512数码输入，≥1路DMX512直接输出。输入/输出光电隔离。</w:t>
            </w:r>
          </w:p>
          <w:p w14:paraId="601D8FEC">
            <w:pPr>
              <w:widowControl/>
              <w:numPr>
                <w:ilvl w:val="0"/>
                <w:numId w:val="44"/>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≥8路独立放大驱动输出。信号放大整形功能，延长信号传输距离。  增强数据总线接入设备数量的能力。保护灯光控制台DMX512输出接口，故障现场隔离，提高数字式灯光控制系统的安全运行可靠性。</w:t>
            </w:r>
          </w:p>
        </w:tc>
        <w:tc>
          <w:tcPr>
            <w:tcW w:w="567" w:type="dxa"/>
            <w:tcBorders>
              <w:top w:val="single" w:color="000000" w:sz="4" w:space="0"/>
              <w:left w:val="single" w:color="000000" w:sz="4" w:space="0"/>
              <w:bottom w:val="single" w:color="000000" w:sz="4" w:space="0"/>
              <w:right w:val="single" w:color="000000" w:sz="4" w:space="0"/>
            </w:tcBorders>
            <w:vAlign w:val="center"/>
          </w:tcPr>
          <w:p w14:paraId="69272C85">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台</w:t>
            </w:r>
          </w:p>
        </w:tc>
        <w:tc>
          <w:tcPr>
            <w:tcW w:w="870" w:type="dxa"/>
            <w:tcBorders>
              <w:top w:val="single" w:color="000000" w:sz="4" w:space="0"/>
              <w:left w:val="single" w:color="000000" w:sz="4" w:space="0"/>
              <w:bottom w:val="single" w:color="000000" w:sz="4" w:space="0"/>
              <w:right w:val="single" w:color="000000" w:sz="4" w:space="0"/>
            </w:tcBorders>
            <w:vAlign w:val="center"/>
          </w:tcPr>
          <w:p w14:paraId="1EE3D7B7">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425A75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644" w:type="dxa"/>
            <w:tcBorders>
              <w:top w:val="single" w:color="000000" w:sz="4" w:space="0"/>
              <w:left w:val="single" w:color="000000" w:sz="4" w:space="0"/>
              <w:bottom w:val="single" w:color="000000" w:sz="4" w:space="0"/>
              <w:right w:val="single" w:color="000000" w:sz="4" w:space="0"/>
            </w:tcBorders>
            <w:vAlign w:val="center"/>
          </w:tcPr>
          <w:p w14:paraId="4E1D0DBE">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6</w:t>
            </w:r>
          </w:p>
        </w:tc>
        <w:tc>
          <w:tcPr>
            <w:tcW w:w="851" w:type="dxa"/>
            <w:tcBorders>
              <w:top w:val="single" w:color="000000" w:sz="4" w:space="0"/>
              <w:left w:val="single" w:color="000000" w:sz="4" w:space="0"/>
              <w:bottom w:val="single" w:color="000000" w:sz="4" w:space="0"/>
              <w:right w:val="single" w:color="000000" w:sz="4" w:space="0"/>
            </w:tcBorders>
            <w:vAlign w:val="center"/>
          </w:tcPr>
          <w:p w14:paraId="4BA5154E">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电源直通箱</w:t>
            </w:r>
          </w:p>
        </w:tc>
        <w:tc>
          <w:tcPr>
            <w:tcW w:w="6378" w:type="dxa"/>
            <w:tcBorders>
              <w:top w:val="single" w:color="000000" w:sz="4" w:space="0"/>
              <w:left w:val="single" w:color="000000" w:sz="4" w:space="0"/>
              <w:bottom w:val="single" w:color="000000" w:sz="4" w:space="0"/>
              <w:right w:val="single" w:color="000000" w:sz="4" w:space="0"/>
            </w:tcBorders>
            <w:vAlign w:val="center"/>
          </w:tcPr>
          <w:p w14:paraId="172F1EAA">
            <w:pPr>
              <w:widowControl/>
              <w:numPr>
                <w:ilvl w:val="0"/>
                <w:numId w:val="45"/>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定电压: 三相五线制AC380V±10％，≥50Hz</w:t>
            </w:r>
          </w:p>
          <w:p w14:paraId="05B8249F">
            <w:pPr>
              <w:widowControl/>
              <w:numPr>
                <w:ilvl w:val="0"/>
                <w:numId w:val="45"/>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额定功率: ≥12路×4KW，可适用于任何负载</w:t>
            </w:r>
          </w:p>
          <w:p w14:paraId="04619878">
            <w:pPr>
              <w:widowControl/>
              <w:numPr>
                <w:ilvl w:val="0"/>
                <w:numId w:val="45"/>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开关: 过载与短路双重保护高分断空气开关</w:t>
            </w:r>
          </w:p>
          <w:p w14:paraId="2F22E99E">
            <w:pPr>
              <w:widowControl/>
              <w:numPr>
                <w:ilvl w:val="0"/>
                <w:numId w:val="45"/>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功能: A、B、C三相工作指示灯，设两脚和三脚万能备用插座方便使用</w:t>
            </w:r>
          </w:p>
        </w:tc>
        <w:tc>
          <w:tcPr>
            <w:tcW w:w="567" w:type="dxa"/>
            <w:tcBorders>
              <w:top w:val="single" w:color="000000" w:sz="4" w:space="0"/>
              <w:left w:val="single" w:color="000000" w:sz="4" w:space="0"/>
              <w:bottom w:val="single" w:color="000000" w:sz="4" w:space="0"/>
              <w:right w:val="single" w:color="000000" w:sz="4" w:space="0"/>
            </w:tcBorders>
            <w:vAlign w:val="center"/>
          </w:tcPr>
          <w:p w14:paraId="69692AD0">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台</w:t>
            </w:r>
          </w:p>
        </w:tc>
        <w:tc>
          <w:tcPr>
            <w:tcW w:w="870" w:type="dxa"/>
            <w:tcBorders>
              <w:top w:val="single" w:color="000000" w:sz="4" w:space="0"/>
              <w:left w:val="single" w:color="000000" w:sz="4" w:space="0"/>
              <w:bottom w:val="single" w:color="000000" w:sz="4" w:space="0"/>
              <w:right w:val="single" w:color="000000" w:sz="4" w:space="0"/>
            </w:tcBorders>
            <w:vAlign w:val="center"/>
          </w:tcPr>
          <w:p w14:paraId="029C544B">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26F785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644" w:type="dxa"/>
            <w:tcBorders>
              <w:top w:val="single" w:color="000000" w:sz="4" w:space="0"/>
              <w:left w:val="single" w:color="000000" w:sz="4" w:space="0"/>
              <w:bottom w:val="single" w:color="000000" w:sz="4" w:space="0"/>
              <w:right w:val="single" w:color="000000" w:sz="4" w:space="0"/>
            </w:tcBorders>
            <w:vAlign w:val="center"/>
          </w:tcPr>
          <w:p w14:paraId="2367CCF2">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7</w:t>
            </w:r>
          </w:p>
        </w:tc>
        <w:tc>
          <w:tcPr>
            <w:tcW w:w="851" w:type="dxa"/>
            <w:tcBorders>
              <w:top w:val="single" w:color="000000" w:sz="4" w:space="0"/>
              <w:left w:val="single" w:color="000000" w:sz="4" w:space="0"/>
              <w:bottom w:val="single" w:color="000000" w:sz="4" w:space="0"/>
              <w:right w:val="single" w:color="000000" w:sz="4" w:space="0"/>
            </w:tcBorders>
            <w:vAlign w:val="center"/>
          </w:tcPr>
          <w:p w14:paraId="602E127D">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灯光控制台</w:t>
            </w:r>
          </w:p>
        </w:tc>
        <w:tc>
          <w:tcPr>
            <w:tcW w:w="6378" w:type="dxa"/>
            <w:tcBorders>
              <w:top w:val="single" w:color="000000" w:sz="4" w:space="0"/>
              <w:left w:val="single" w:color="000000" w:sz="4" w:space="0"/>
              <w:bottom w:val="single" w:color="000000" w:sz="4" w:space="0"/>
              <w:right w:val="single" w:color="000000" w:sz="4" w:space="0"/>
            </w:tcBorders>
            <w:vAlign w:val="center"/>
          </w:tcPr>
          <w:p w14:paraId="6288368D">
            <w:pPr>
              <w:widowControl/>
              <w:numPr>
                <w:ilvl w:val="0"/>
                <w:numId w:val="46"/>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512/1990标准，最大1024个控制通道，光电隔离信号输出                                                         最大控制96台电脑灯或96路调光，使用珍珠灯库。</w:t>
            </w:r>
          </w:p>
          <w:p w14:paraId="1EA1A3B4">
            <w:pPr>
              <w:widowControl/>
              <w:numPr>
                <w:ilvl w:val="0"/>
                <w:numId w:val="46"/>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内置图形轨迹发生器，有≥135个内置图形，方便用户对电脑灯进行图形轨迹控制，如画圆、螺旋、彩虹、追逐等多种效果。图形参数（如：振幅、速度、间隔、波浪、方向）均可独立设置。</w:t>
            </w:r>
          </w:p>
          <w:p w14:paraId="3A11FA1F">
            <w:pPr>
              <w:widowControl/>
              <w:numPr>
                <w:ilvl w:val="0"/>
                <w:numId w:val="46"/>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≥60个重演场景，用于储存多步场景和单步场景。多步场景最多可储存600步。</w:t>
            </w:r>
          </w:p>
          <w:p w14:paraId="5EB546E9">
            <w:pPr>
              <w:widowControl/>
              <w:numPr>
                <w:ilvl w:val="0"/>
                <w:numId w:val="46"/>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带背光的LCD显示屏，中英文显示</w:t>
            </w:r>
          </w:p>
        </w:tc>
        <w:tc>
          <w:tcPr>
            <w:tcW w:w="567" w:type="dxa"/>
            <w:tcBorders>
              <w:top w:val="single" w:color="000000" w:sz="4" w:space="0"/>
              <w:left w:val="single" w:color="000000" w:sz="4" w:space="0"/>
              <w:bottom w:val="single" w:color="000000" w:sz="4" w:space="0"/>
              <w:right w:val="single" w:color="000000" w:sz="4" w:space="0"/>
            </w:tcBorders>
            <w:vAlign w:val="center"/>
          </w:tcPr>
          <w:p w14:paraId="6B6E35B4">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台</w:t>
            </w:r>
          </w:p>
        </w:tc>
        <w:tc>
          <w:tcPr>
            <w:tcW w:w="870" w:type="dxa"/>
            <w:tcBorders>
              <w:top w:val="single" w:color="000000" w:sz="4" w:space="0"/>
              <w:left w:val="single" w:color="000000" w:sz="4" w:space="0"/>
              <w:bottom w:val="single" w:color="000000" w:sz="4" w:space="0"/>
              <w:right w:val="single" w:color="000000" w:sz="4" w:space="0"/>
            </w:tcBorders>
            <w:vAlign w:val="center"/>
          </w:tcPr>
          <w:p w14:paraId="7E0F2B27">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4D380A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644" w:type="dxa"/>
            <w:tcBorders>
              <w:top w:val="single" w:color="000000" w:sz="4" w:space="0"/>
              <w:left w:val="single" w:color="000000" w:sz="4" w:space="0"/>
              <w:bottom w:val="single" w:color="000000" w:sz="4" w:space="0"/>
              <w:right w:val="single" w:color="000000" w:sz="4" w:space="0"/>
            </w:tcBorders>
            <w:vAlign w:val="center"/>
          </w:tcPr>
          <w:p w14:paraId="00CD70B1">
            <w:pPr>
              <w:widowControl/>
              <w:jc w:val="center"/>
              <w:textAlignment w:val="center"/>
              <w:rPr>
                <w:rFonts w:hint="eastAsia" w:ascii="宋体" w:hAnsi="宋体"/>
                <w:b/>
                <w:bCs/>
                <w:color w:val="auto"/>
                <w:szCs w:val="21"/>
                <w:highlight w:val="none"/>
              </w:rPr>
            </w:pPr>
            <w:r>
              <w:rPr>
                <w:rFonts w:hint="eastAsia" w:ascii="宋体" w:hAnsi="宋体"/>
                <w:b/>
                <w:bCs/>
                <w:color w:val="auto"/>
                <w:kern w:val="0"/>
                <w:szCs w:val="21"/>
                <w:highlight w:val="none"/>
                <w:lang w:bidi="ar"/>
              </w:rPr>
              <w:t>（三）</w:t>
            </w:r>
          </w:p>
        </w:tc>
        <w:tc>
          <w:tcPr>
            <w:tcW w:w="851" w:type="dxa"/>
            <w:tcBorders>
              <w:top w:val="single" w:color="000000" w:sz="4" w:space="0"/>
              <w:left w:val="single" w:color="000000" w:sz="4" w:space="0"/>
              <w:bottom w:val="single" w:color="000000" w:sz="4" w:space="0"/>
              <w:right w:val="single" w:color="000000" w:sz="4" w:space="0"/>
            </w:tcBorders>
            <w:vAlign w:val="center"/>
          </w:tcPr>
          <w:p w14:paraId="6468E08F">
            <w:pPr>
              <w:widowControl/>
              <w:jc w:val="center"/>
              <w:textAlignment w:val="center"/>
              <w:rPr>
                <w:rFonts w:hint="eastAsia" w:ascii="宋体" w:hAnsi="宋体"/>
                <w:b/>
                <w:bCs/>
                <w:color w:val="auto"/>
                <w:szCs w:val="21"/>
                <w:highlight w:val="none"/>
              </w:rPr>
            </w:pPr>
            <w:r>
              <w:rPr>
                <w:rFonts w:hint="eastAsia" w:ascii="宋体" w:hAnsi="宋体"/>
                <w:b/>
                <w:bCs/>
                <w:color w:val="auto"/>
                <w:kern w:val="0"/>
                <w:szCs w:val="21"/>
                <w:highlight w:val="none"/>
                <w:lang w:bidi="ar"/>
              </w:rPr>
              <w:t>其它</w:t>
            </w:r>
          </w:p>
        </w:tc>
        <w:tc>
          <w:tcPr>
            <w:tcW w:w="6378" w:type="dxa"/>
            <w:tcBorders>
              <w:top w:val="single" w:color="000000" w:sz="4" w:space="0"/>
              <w:left w:val="single" w:color="000000" w:sz="4" w:space="0"/>
              <w:bottom w:val="single" w:color="000000" w:sz="4" w:space="0"/>
              <w:right w:val="single" w:color="000000" w:sz="4" w:space="0"/>
            </w:tcBorders>
            <w:vAlign w:val="center"/>
          </w:tcPr>
          <w:p w14:paraId="267BB8E0">
            <w:pPr>
              <w:jc w:val="left"/>
              <w:rPr>
                <w:rFonts w:hint="eastAsia" w:ascii="宋体" w:hAnsi="宋体"/>
                <w:b/>
                <w:bCs/>
                <w:color w:val="auto"/>
                <w:szCs w:val="21"/>
                <w:highlight w:val="none"/>
              </w:rPr>
            </w:pPr>
          </w:p>
        </w:tc>
        <w:tc>
          <w:tcPr>
            <w:tcW w:w="567" w:type="dxa"/>
            <w:tcBorders>
              <w:top w:val="single" w:color="000000" w:sz="4" w:space="0"/>
              <w:left w:val="single" w:color="000000" w:sz="4" w:space="0"/>
              <w:bottom w:val="single" w:color="000000" w:sz="4" w:space="0"/>
              <w:right w:val="single" w:color="000000" w:sz="4" w:space="0"/>
            </w:tcBorders>
            <w:vAlign w:val="center"/>
          </w:tcPr>
          <w:p w14:paraId="73703008">
            <w:pPr>
              <w:jc w:val="center"/>
              <w:rPr>
                <w:rFonts w:hint="eastAsia" w:ascii="宋体" w:hAnsi="宋体"/>
                <w:b/>
                <w:bCs/>
                <w:color w:val="auto"/>
                <w:szCs w:val="21"/>
                <w:highlight w:val="none"/>
              </w:rPr>
            </w:pPr>
          </w:p>
        </w:tc>
        <w:tc>
          <w:tcPr>
            <w:tcW w:w="870" w:type="dxa"/>
            <w:tcBorders>
              <w:top w:val="single" w:color="000000" w:sz="4" w:space="0"/>
              <w:left w:val="single" w:color="000000" w:sz="4" w:space="0"/>
              <w:bottom w:val="single" w:color="000000" w:sz="4" w:space="0"/>
              <w:right w:val="single" w:color="000000" w:sz="4" w:space="0"/>
            </w:tcBorders>
            <w:vAlign w:val="center"/>
          </w:tcPr>
          <w:p w14:paraId="31EF87C3">
            <w:pPr>
              <w:jc w:val="center"/>
              <w:rPr>
                <w:rFonts w:hint="eastAsia" w:ascii="宋体" w:hAnsi="宋体"/>
                <w:b/>
                <w:bCs/>
                <w:color w:val="auto"/>
                <w:szCs w:val="21"/>
                <w:highlight w:val="none"/>
              </w:rPr>
            </w:pPr>
          </w:p>
        </w:tc>
      </w:tr>
      <w:tr w14:paraId="0DED91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644" w:type="dxa"/>
            <w:tcBorders>
              <w:top w:val="single" w:color="000000" w:sz="4" w:space="0"/>
              <w:left w:val="single" w:color="000000" w:sz="4" w:space="0"/>
              <w:bottom w:val="single" w:color="000000" w:sz="4" w:space="0"/>
              <w:right w:val="single" w:color="000000" w:sz="4" w:space="0"/>
            </w:tcBorders>
            <w:vAlign w:val="center"/>
          </w:tcPr>
          <w:p w14:paraId="79EC0F81">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c>
          <w:tcPr>
            <w:tcW w:w="851" w:type="dxa"/>
            <w:tcBorders>
              <w:top w:val="single" w:color="000000" w:sz="4" w:space="0"/>
              <w:left w:val="single" w:color="000000" w:sz="4" w:space="0"/>
              <w:bottom w:val="single" w:color="000000" w:sz="4" w:space="0"/>
              <w:right w:val="single" w:color="000000" w:sz="4" w:space="0"/>
            </w:tcBorders>
            <w:vAlign w:val="center"/>
          </w:tcPr>
          <w:p w14:paraId="701BC4EA">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机柜</w:t>
            </w:r>
          </w:p>
        </w:tc>
        <w:tc>
          <w:tcPr>
            <w:tcW w:w="6378" w:type="dxa"/>
            <w:tcBorders>
              <w:top w:val="single" w:color="000000" w:sz="4" w:space="0"/>
              <w:left w:val="single" w:color="000000" w:sz="4" w:space="0"/>
              <w:bottom w:val="single" w:color="000000" w:sz="4" w:space="0"/>
              <w:right w:val="single" w:color="000000" w:sz="4" w:space="0"/>
            </w:tcBorders>
            <w:vAlign w:val="center"/>
          </w:tcPr>
          <w:p w14:paraId="745E4B5A">
            <w:pPr>
              <w:widowControl/>
              <w:numPr>
                <w:ilvl w:val="0"/>
                <w:numId w:val="47"/>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 xml:space="preserve">容量：≥32U </w:t>
            </w:r>
          </w:p>
          <w:p w14:paraId="607DAFC2">
            <w:pPr>
              <w:widowControl/>
              <w:numPr>
                <w:ilvl w:val="0"/>
                <w:numId w:val="47"/>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标准：≥19英寸国际标准</w:t>
            </w:r>
          </w:p>
          <w:p w14:paraId="50CC8D40">
            <w:pPr>
              <w:widowControl/>
              <w:numPr>
                <w:ilvl w:val="0"/>
                <w:numId w:val="47"/>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 xml:space="preserve">门及门锁：前门：钢化玻璃前门，带锁；后门：全金属后门，带锁 </w:t>
            </w:r>
          </w:p>
          <w:p w14:paraId="5253C00B">
            <w:pPr>
              <w:widowControl/>
              <w:numPr>
                <w:ilvl w:val="0"/>
                <w:numId w:val="47"/>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 xml:space="preserve">材料及工艺：钢化玻璃前门和网孔后门  </w:t>
            </w:r>
          </w:p>
          <w:p w14:paraId="71FB4022">
            <w:pPr>
              <w:widowControl/>
              <w:numPr>
                <w:ilvl w:val="0"/>
                <w:numId w:val="47"/>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附加功能：侧板：速装卸侧板</w:t>
            </w:r>
          </w:p>
          <w:p w14:paraId="4ED845E5">
            <w:pPr>
              <w:widowControl/>
              <w:numPr>
                <w:ilvl w:val="0"/>
                <w:numId w:val="47"/>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底座：四重载轮和四调节脚</w:t>
            </w:r>
          </w:p>
          <w:p w14:paraId="59FE519C">
            <w:pPr>
              <w:widowControl/>
              <w:numPr>
                <w:ilvl w:val="0"/>
                <w:numId w:val="47"/>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顶盖：侧通风顶盖</w:t>
            </w:r>
          </w:p>
          <w:p w14:paraId="0C8DAB56">
            <w:pPr>
              <w:widowControl/>
              <w:numPr>
                <w:ilvl w:val="0"/>
                <w:numId w:val="47"/>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最大载重：≥500Kg</w:t>
            </w:r>
          </w:p>
          <w:p w14:paraId="31F2B7AB">
            <w:pPr>
              <w:widowControl/>
              <w:numPr>
                <w:ilvl w:val="0"/>
                <w:numId w:val="47"/>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风扇单元（2 风机）；固定托架2个；六孔PDU一个； 地脚轮4个； 地脚钉4颗；安装螺丝50颗</w:t>
            </w:r>
          </w:p>
          <w:p w14:paraId="477CE227">
            <w:pPr>
              <w:widowControl/>
              <w:numPr>
                <w:ilvl w:val="0"/>
                <w:numId w:val="47"/>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 xml:space="preserve">外观参数 高度：≥1600mm   宽度：≥600mm   深度：≥800mm </w:t>
            </w:r>
          </w:p>
        </w:tc>
        <w:tc>
          <w:tcPr>
            <w:tcW w:w="567" w:type="dxa"/>
            <w:tcBorders>
              <w:top w:val="single" w:color="000000" w:sz="4" w:space="0"/>
              <w:left w:val="single" w:color="000000" w:sz="4" w:space="0"/>
              <w:bottom w:val="single" w:color="000000" w:sz="4" w:space="0"/>
              <w:right w:val="single" w:color="000000" w:sz="4" w:space="0"/>
            </w:tcBorders>
            <w:vAlign w:val="center"/>
          </w:tcPr>
          <w:p w14:paraId="1CFCD381">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台</w:t>
            </w:r>
          </w:p>
        </w:tc>
        <w:tc>
          <w:tcPr>
            <w:tcW w:w="870" w:type="dxa"/>
            <w:tcBorders>
              <w:top w:val="single" w:color="000000" w:sz="4" w:space="0"/>
              <w:left w:val="single" w:color="000000" w:sz="4" w:space="0"/>
              <w:bottom w:val="single" w:color="000000" w:sz="4" w:space="0"/>
              <w:right w:val="single" w:color="000000" w:sz="4" w:space="0"/>
            </w:tcBorders>
            <w:vAlign w:val="center"/>
          </w:tcPr>
          <w:p w14:paraId="2A4AAD78">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w:t>
            </w:r>
          </w:p>
        </w:tc>
      </w:tr>
      <w:tr w14:paraId="2770D5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644" w:type="dxa"/>
            <w:tcBorders>
              <w:top w:val="single" w:color="000000" w:sz="4" w:space="0"/>
              <w:left w:val="single" w:color="000000" w:sz="4" w:space="0"/>
              <w:bottom w:val="single" w:color="000000" w:sz="4" w:space="0"/>
              <w:right w:val="single" w:color="000000" w:sz="4" w:space="0"/>
            </w:tcBorders>
            <w:vAlign w:val="center"/>
          </w:tcPr>
          <w:p w14:paraId="6DF41BEA">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w:t>
            </w:r>
          </w:p>
        </w:tc>
        <w:tc>
          <w:tcPr>
            <w:tcW w:w="851" w:type="dxa"/>
            <w:tcBorders>
              <w:top w:val="single" w:color="000000" w:sz="4" w:space="0"/>
              <w:left w:val="single" w:color="000000" w:sz="4" w:space="0"/>
              <w:bottom w:val="single" w:color="000000" w:sz="4" w:space="0"/>
              <w:right w:val="single" w:color="000000" w:sz="4" w:space="0"/>
            </w:tcBorders>
            <w:vAlign w:val="center"/>
          </w:tcPr>
          <w:p w14:paraId="48DFCB3B">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辅材</w:t>
            </w:r>
          </w:p>
        </w:tc>
        <w:tc>
          <w:tcPr>
            <w:tcW w:w="6378" w:type="dxa"/>
            <w:tcBorders>
              <w:top w:val="single" w:color="000000" w:sz="4" w:space="0"/>
              <w:left w:val="single" w:color="000000" w:sz="4" w:space="0"/>
              <w:bottom w:val="single" w:color="000000" w:sz="4" w:space="0"/>
              <w:right w:val="single" w:color="000000" w:sz="4" w:space="0"/>
            </w:tcBorders>
            <w:vAlign w:val="center"/>
          </w:tcPr>
          <w:p w14:paraId="4C846D93">
            <w:pPr>
              <w:widowControl/>
              <w:numPr>
                <w:ilvl w:val="0"/>
                <w:numId w:val="48"/>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音响线、音响线缆、话筒线、地插、灯光线缆、音响臂架、灯勾、电源线、灯光架子、线管、线槽等设备跳线接头</w:t>
            </w:r>
          </w:p>
        </w:tc>
        <w:tc>
          <w:tcPr>
            <w:tcW w:w="567" w:type="dxa"/>
            <w:tcBorders>
              <w:top w:val="single" w:color="000000" w:sz="4" w:space="0"/>
              <w:left w:val="single" w:color="000000" w:sz="4" w:space="0"/>
              <w:bottom w:val="single" w:color="000000" w:sz="4" w:space="0"/>
              <w:right w:val="single" w:color="000000" w:sz="4" w:space="0"/>
            </w:tcBorders>
            <w:vAlign w:val="center"/>
          </w:tcPr>
          <w:p w14:paraId="0F6C83C3">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批</w:t>
            </w:r>
          </w:p>
        </w:tc>
        <w:tc>
          <w:tcPr>
            <w:tcW w:w="870" w:type="dxa"/>
            <w:tcBorders>
              <w:top w:val="single" w:color="000000" w:sz="4" w:space="0"/>
              <w:left w:val="single" w:color="000000" w:sz="4" w:space="0"/>
              <w:bottom w:val="single" w:color="000000" w:sz="4" w:space="0"/>
              <w:right w:val="single" w:color="000000" w:sz="4" w:space="0"/>
            </w:tcBorders>
            <w:vAlign w:val="center"/>
          </w:tcPr>
          <w:p w14:paraId="51077DC5">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400BF5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644" w:type="dxa"/>
            <w:tcBorders>
              <w:top w:val="single" w:color="000000" w:sz="4" w:space="0"/>
              <w:left w:val="single" w:color="000000" w:sz="4" w:space="0"/>
              <w:bottom w:val="single" w:color="000000" w:sz="4" w:space="0"/>
              <w:right w:val="single" w:color="000000" w:sz="4" w:space="0"/>
            </w:tcBorders>
            <w:vAlign w:val="center"/>
          </w:tcPr>
          <w:p w14:paraId="2EC1D890">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3</w:t>
            </w:r>
          </w:p>
        </w:tc>
        <w:tc>
          <w:tcPr>
            <w:tcW w:w="851" w:type="dxa"/>
            <w:tcBorders>
              <w:top w:val="single" w:color="000000" w:sz="4" w:space="0"/>
              <w:left w:val="single" w:color="000000" w:sz="4" w:space="0"/>
              <w:bottom w:val="single" w:color="000000" w:sz="4" w:space="0"/>
              <w:right w:val="single" w:color="000000" w:sz="4" w:space="0"/>
            </w:tcBorders>
            <w:vAlign w:val="center"/>
          </w:tcPr>
          <w:p w14:paraId="5D9DE52D">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安装调试</w:t>
            </w:r>
          </w:p>
        </w:tc>
        <w:tc>
          <w:tcPr>
            <w:tcW w:w="6378" w:type="dxa"/>
            <w:tcBorders>
              <w:top w:val="single" w:color="000000" w:sz="4" w:space="0"/>
              <w:left w:val="single" w:color="000000" w:sz="4" w:space="0"/>
              <w:bottom w:val="single" w:color="000000" w:sz="4" w:space="0"/>
              <w:right w:val="single" w:color="000000" w:sz="4" w:space="0"/>
            </w:tcBorders>
            <w:vAlign w:val="center"/>
          </w:tcPr>
          <w:p w14:paraId="0D6DD986">
            <w:pPr>
              <w:widowControl/>
              <w:numPr>
                <w:ilvl w:val="0"/>
                <w:numId w:val="49"/>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设备的安装调试培训等</w:t>
            </w:r>
          </w:p>
        </w:tc>
        <w:tc>
          <w:tcPr>
            <w:tcW w:w="567" w:type="dxa"/>
            <w:tcBorders>
              <w:top w:val="single" w:color="000000" w:sz="4" w:space="0"/>
              <w:left w:val="single" w:color="000000" w:sz="4" w:space="0"/>
              <w:bottom w:val="single" w:color="000000" w:sz="4" w:space="0"/>
              <w:right w:val="single" w:color="000000" w:sz="4" w:space="0"/>
            </w:tcBorders>
            <w:vAlign w:val="center"/>
          </w:tcPr>
          <w:p w14:paraId="4A3EABEA">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项</w:t>
            </w:r>
          </w:p>
        </w:tc>
        <w:tc>
          <w:tcPr>
            <w:tcW w:w="870" w:type="dxa"/>
            <w:tcBorders>
              <w:top w:val="single" w:color="000000" w:sz="4" w:space="0"/>
              <w:left w:val="single" w:color="000000" w:sz="4" w:space="0"/>
              <w:bottom w:val="single" w:color="000000" w:sz="4" w:space="0"/>
              <w:right w:val="single" w:color="000000" w:sz="4" w:space="0"/>
            </w:tcBorders>
            <w:vAlign w:val="center"/>
          </w:tcPr>
          <w:p w14:paraId="61561FB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3021FC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644" w:type="dxa"/>
            <w:tcBorders>
              <w:top w:val="single" w:color="000000" w:sz="4" w:space="0"/>
              <w:left w:val="single" w:color="000000" w:sz="4" w:space="0"/>
              <w:bottom w:val="single" w:color="000000" w:sz="4" w:space="0"/>
              <w:right w:val="single" w:color="000000" w:sz="4" w:space="0"/>
            </w:tcBorders>
            <w:vAlign w:val="center"/>
          </w:tcPr>
          <w:p w14:paraId="25DF4554">
            <w:pPr>
              <w:widowControl/>
              <w:jc w:val="center"/>
              <w:textAlignment w:val="center"/>
              <w:rPr>
                <w:rFonts w:hint="eastAsia" w:ascii="宋体" w:hAnsi="宋体"/>
                <w:b/>
                <w:bCs/>
                <w:color w:val="auto"/>
                <w:szCs w:val="21"/>
                <w:highlight w:val="none"/>
              </w:rPr>
            </w:pPr>
            <w:r>
              <w:rPr>
                <w:rFonts w:hint="eastAsia" w:ascii="宋体" w:hAnsi="宋体"/>
                <w:b/>
                <w:bCs/>
                <w:color w:val="auto"/>
                <w:kern w:val="0"/>
                <w:szCs w:val="21"/>
                <w:highlight w:val="none"/>
                <w:lang w:bidi="ar"/>
              </w:rPr>
              <w:t>二</w:t>
            </w:r>
          </w:p>
        </w:tc>
        <w:tc>
          <w:tcPr>
            <w:tcW w:w="851" w:type="dxa"/>
            <w:tcBorders>
              <w:top w:val="single" w:color="000000" w:sz="4" w:space="0"/>
              <w:left w:val="single" w:color="000000" w:sz="4" w:space="0"/>
              <w:bottom w:val="single" w:color="000000" w:sz="4" w:space="0"/>
              <w:right w:val="single" w:color="000000" w:sz="4" w:space="0"/>
            </w:tcBorders>
            <w:vAlign w:val="center"/>
          </w:tcPr>
          <w:p w14:paraId="0173700D">
            <w:pPr>
              <w:widowControl/>
              <w:jc w:val="center"/>
              <w:textAlignment w:val="center"/>
              <w:rPr>
                <w:rFonts w:hint="eastAsia" w:ascii="宋体" w:hAnsi="宋体"/>
                <w:b/>
                <w:bCs/>
                <w:color w:val="auto"/>
                <w:szCs w:val="21"/>
                <w:highlight w:val="none"/>
              </w:rPr>
            </w:pPr>
            <w:r>
              <w:rPr>
                <w:rFonts w:hint="eastAsia" w:ascii="宋体" w:hAnsi="宋体"/>
                <w:b/>
                <w:bCs/>
                <w:color w:val="auto"/>
                <w:kern w:val="0"/>
                <w:szCs w:val="21"/>
                <w:highlight w:val="none"/>
                <w:lang w:bidi="ar"/>
              </w:rPr>
              <w:t>报告厅LED屏</w:t>
            </w:r>
          </w:p>
        </w:tc>
        <w:tc>
          <w:tcPr>
            <w:tcW w:w="6378" w:type="dxa"/>
            <w:tcBorders>
              <w:top w:val="single" w:color="000000" w:sz="4" w:space="0"/>
              <w:left w:val="single" w:color="000000" w:sz="4" w:space="0"/>
              <w:bottom w:val="single" w:color="000000" w:sz="4" w:space="0"/>
              <w:right w:val="single" w:color="000000" w:sz="4" w:space="0"/>
            </w:tcBorders>
            <w:vAlign w:val="center"/>
          </w:tcPr>
          <w:p w14:paraId="449E4F9B">
            <w:pPr>
              <w:jc w:val="center"/>
              <w:rPr>
                <w:rFonts w:hint="eastAsia" w:ascii="宋体" w:hAnsi="宋体"/>
                <w:color w:val="auto"/>
                <w:szCs w:val="21"/>
                <w:highlight w:val="none"/>
              </w:rPr>
            </w:pPr>
          </w:p>
        </w:tc>
        <w:tc>
          <w:tcPr>
            <w:tcW w:w="567" w:type="dxa"/>
            <w:tcBorders>
              <w:top w:val="single" w:color="000000" w:sz="4" w:space="0"/>
              <w:left w:val="single" w:color="000000" w:sz="4" w:space="0"/>
              <w:bottom w:val="single" w:color="000000" w:sz="4" w:space="0"/>
              <w:right w:val="single" w:color="000000" w:sz="4" w:space="0"/>
            </w:tcBorders>
            <w:vAlign w:val="center"/>
          </w:tcPr>
          <w:p w14:paraId="0860BF96">
            <w:pPr>
              <w:jc w:val="center"/>
              <w:rPr>
                <w:rFonts w:hint="eastAsia" w:ascii="宋体" w:hAnsi="宋体"/>
                <w:color w:val="auto"/>
                <w:szCs w:val="21"/>
                <w:highlight w:val="none"/>
              </w:rPr>
            </w:pPr>
          </w:p>
        </w:tc>
        <w:tc>
          <w:tcPr>
            <w:tcW w:w="870" w:type="dxa"/>
            <w:tcBorders>
              <w:top w:val="single" w:color="000000" w:sz="4" w:space="0"/>
              <w:left w:val="single" w:color="000000" w:sz="4" w:space="0"/>
              <w:bottom w:val="single" w:color="000000" w:sz="4" w:space="0"/>
              <w:right w:val="single" w:color="000000" w:sz="4" w:space="0"/>
            </w:tcBorders>
            <w:vAlign w:val="center"/>
          </w:tcPr>
          <w:p w14:paraId="02A28702">
            <w:pPr>
              <w:jc w:val="center"/>
              <w:rPr>
                <w:rFonts w:hint="eastAsia" w:ascii="宋体" w:hAnsi="宋体"/>
                <w:color w:val="auto"/>
                <w:szCs w:val="21"/>
                <w:highlight w:val="none"/>
              </w:rPr>
            </w:pPr>
          </w:p>
        </w:tc>
      </w:tr>
      <w:tr w14:paraId="0B0691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0" w:hRule="atLeast"/>
          <w:jc w:val="center"/>
        </w:trPr>
        <w:tc>
          <w:tcPr>
            <w:tcW w:w="644" w:type="dxa"/>
            <w:tcBorders>
              <w:top w:val="single" w:color="000000" w:sz="4" w:space="0"/>
              <w:left w:val="single" w:color="000000" w:sz="4" w:space="0"/>
              <w:bottom w:val="single" w:color="000000" w:sz="4" w:space="0"/>
              <w:right w:val="single" w:color="000000" w:sz="4" w:space="0"/>
            </w:tcBorders>
            <w:vAlign w:val="center"/>
          </w:tcPr>
          <w:p w14:paraId="22F27424">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c>
          <w:tcPr>
            <w:tcW w:w="851" w:type="dxa"/>
            <w:tcBorders>
              <w:top w:val="single" w:color="000000" w:sz="4" w:space="0"/>
              <w:left w:val="single" w:color="000000" w:sz="4" w:space="0"/>
              <w:bottom w:val="single" w:color="000000" w:sz="4" w:space="0"/>
              <w:right w:val="single" w:color="000000" w:sz="4" w:space="0"/>
            </w:tcBorders>
            <w:vAlign w:val="center"/>
          </w:tcPr>
          <w:p w14:paraId="4A5E3C7B">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户内全彩</w:t>
            </w:r>
            <w:r>
              <w:rPr>
                <w:rFonts w:hint="eastAsia" w:ascii="宋体" w:hAnsi="宋体"/>
                <w:color w:val="auto"/>
                <w:kern w:val="0"/>
                <w:szCs w:val="21"/>
                <w:highlight w:val="none"/>
                <w:lang w:bidi="ar"/>
              </w:rPr>
              <w:br w:type="textWrapping"/>
            </w:r>
            <w:r>
              <w:rPr>
                <w:rFonts w:hint="eastAsia" w:ascii="宋体" w:hAnsi="宋体"/>
                <w:color w:val="auto"/>
                <w:kern w:val="0"/>
                <w:szCs w:val="21"/>
                <w:highlight w:val="none"/>
                <w:lang w:bidi="ar"/>
              </w:rPr>
              <w:t>LED显示屏</w:t>
            </w:r>
          </w:p>
        </w:tc>
        <w:tc>
          <w:tcPr>
            <w:tcW w:w="6378" w:type="dxa"/>
            <w:tcBorders>
              <w:top w:val="single" w:color="000000" w:sz="4" w:space="0"/>
              <w:left w:val="single" w:color="000000" w:sz="4" w:space="0"/>
              <w:bottom w:val="single" w:color="000000" w:sz="4" w:space="0"/>
              <w:right w:val="single" w:color="000000" w:sz="4" w:space="0"/>
            </w:tcBorders>
            <w:vAlign w:val="center"/>
          </w:tcPr>
          <w:p w14:paraId="1C430564">
            <w:pPr>
              <w:widowControl/>
              <w:numPr>
                <w:ilvl w:val="0"/>
                <w:numId w:val="50"/>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像素点间距：≤2.0mm</w:t>
            </w:r>
          </w:p>
          <w:p w14:paraId="52328479">
            <w:pPr>
              <w:widowControl/>
              <w:numPr>
                <w:ilvl w:val="0"/>
                <w:numId w:val="50"/>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像素密度：≥250000 Dots/m2</w:t>
            </w:r>
          </w:p>
          <w:p w14:paraId="77110A2B">
            <w:pPr>
              <w:widowControl/>
              <w:numPr>
                <w:ilvl w:val="0"/>
                <w:numId w:val="50"/>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单元板分辨率：≥12800 Dots</w:t>
            </w:r>
          </w:p>
          <w:p w14:paraId="63C00942">
            <w:pPr>
              <w:widowControl/>
              <w:numPr>
                <w:ilvl w:val="0"/>
                <w:numId w:val="50"/>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显示效果：4K超清显示、色温均匀性好、亮度均匀性好，对比度高、色域广</w:t>
            </w:r>
          </w:p>
          <w:p w14:paraId="593009B5">
            <w:pPr>
              <w:widowControl/>
              <w:numPr>
                <w:ilvl w:val="0"/>
                <w:numId w:val="50"/>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驱动方式：恒流驱动</w:t>
            </w:r>
          </w:p>
          <w:p w14:paraId="22F151B4">
            <w:pPr>
              <w:widowControl/>
              <w:numPr>
                <w:ilvl w:val="0"/>
                <w:numId w:val="50"/>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供电方式：支持电源均流DC4.2V～DC5V，供电支持电源双输出电压DC2.8V/DC3.8V</w:t>
            </w:r>
          </w:p>
          <w:p w14:paraId="1ED81DEA">
            <w:pPr>
              <w:widowControl/>
              <w:numPr>
                <w:ilvl w:val="0"/>
                <w:numId w:val="50"/>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整屏平整度：≤0.04mm</w:t>
            </w:r>
          </w:p>
          <w:p w14:paraId="64006456">
            <w:pPr>
              <w:widowControl/>
              <w:numPr>
                <w:ilvl w:val="0"/>
                <w:numId w:val="50"/>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模组平整度：≤0.03mm</w:t>
            </w:r>
          </w:p>
          <w:p w14:paraId="7E161845">
            <w:pPr>
              <w:widowControl/>
              <w:numPr>
                <w:ilvl w:val="0"/>
                <w:numId w:val="50"/>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拼接缝：≤0.03mm</w:t>
            </w:r>
          </w:p>
          <w:p w14:paraId="30AE17E3">
            <w:pPr>
              <w:widowControl/>
              <w:numPr>
                <w:ilvl w:val="0"/>
                <w:numId w:val="50"/>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白平衡亮度：≥600Cd/m²</w:t>
            </w:r>
          </w:p>
          <w:p w14:paraId="21D72D05">
            <w:pPr>
              <w:widowControl/>
              <w:numPr>
                <w:ilvl w:val="0"/>
                <w:numId w:val="50"/>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亮度均匀性：≥99%</w:t>
            </w:r>
          </w:p>
          <w:p w14:paraId="56E6CC37">
            <w:pPr>
              <w:widowControl/>
              <w:numPr>
                <w:ilvl w:val="0"/>
                <w:numId w:val="50"/>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色度均匀性：±0.001Cx、Cy内</w:t>
            </w:r>
          </w:p>
          <w:p w14:paraId="6F354B0B">
            <w:pPr>
              <w:widowControl/>
              <w:numPr>
                <w:ilvl w:val="0"/>
                <w:numId w:val="50"/>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色温：800-18000K</w:t>
            </w:r>
          </w:p>
          <w:p w14:paraId="6A8CE8DE">
            <w:pPr>
              <w:widowControl/>
              <w:numPr>
                <w:ilvl w:val="0"/>
                <w:numId w:val="50"/>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水平视角：≥170°</w:t>
            </w:r>
          </w:p>
          <w:p w14:paraId="3ACE80DD">
            <w:pPr>
              <w:widowControl/>
              <w:numPr>
                <w:ilvl w:val="0"/>
                <w:numId w:val="50"/>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垂直视角：≥170°</w:t>
            </w:r>
          </w:p>
          <w:p w14:paraId="1F326D90">
            <w:pPr>
              <w:widowControl/>
              <w:numPr>
                <w:ilvl w:val="0"/>
                <w:numId w:val="50"/>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对比度：≥8000：1</w:t>
            </w:r>
          </w:p>
          <w:p w14:paraId="6CA1E788">
            <w:pPr>
              <w:widowControl/>
              <w:numPr>
                <w:ilvl w:val="0"/>
                <w:numId w:val="50"/>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刷新率：≥3840Hz</w:t>
            </w:r>
          </w:p>
          <w:p w14:paraId="1A3C2B6B">
            <w:pPr>
              <w:widowControl/>
              <w:numPr>
                <w:ilvl w:val="0"/>
                <w:numId w:val="50"/>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像素失控率：＜1/100000</w:t>
            </w:r>
          </w:p>
          <w:p w14:paraId="115A67A3">
            <w:pPr>
              <w:widowControl/>
              <w:numPr>
                <w:ilvl w:val="0"/>
                <w:numId w:val="50"/>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发光点中心偏距：＜0.8%</w:t>
            </w:r>
          </w:p>
          <w:p w14:paraId="5446A1CB">
            <w:pPr>
              <w:widowControl/>
              <w:numPr>
                <w:ilvl w:val="0"/>
                <w:numId w:val="50"/>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峰值功耗：≤300W/m²</w:t>
            </w:r>
          </w:p>
          <w:p w14:paraId="34B9D0D3">
            <w:pPr>
              <w:widowControl/>
              <w:numPr>
                <w:ilvl w:val="0"/>
                <w:numId w:val="50"/>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平均功耗：≤120W/m²</w:t>
            </w:r>
          </w:p>
          <w:p w14:paraId="578CED97">
            <w:pPr>
              <w:widowControl/>
              <w:numPr>
                <w:ilvl w:val="0"/>
                <w:numId w:val="50"/>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最大电流：≤5A</w:t>
            </w:r>
          </w:p>
          <w:p w14:paraId="5483A9DF">
            <w:pPr>
              <w:widowControl/>
              <w:numPr>
                <w:ilvl w:val="0"/>
                <w:numId w:val="50"/>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电流增益：电流增益调节范围：1%～199%，电流增益调节级别≥8位</w:t>
            </w:r>
          </w:p>
          <w:p w14:paraId="5A18BF0E">
            <w:pPr>
              <w:widowControl/>
              <w:numPr>
                <w:ilvl w:val="0"/>
                <w:numId w:val="50"/>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具有列下消隐功能、倍频刷新率提升2/4/8倍、低灰偏色改善</w:t>
            </w:r>
          </w:p>
          <w:p w14:paraId="02665D46">
            <w:pPr>
              <w:widowControl/>
              <w:numPr>
                <w:ilvl w:val="0"/>
                <w:numId w:val="50"/>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色温为6500K时，100%、75%、50%、25%四档电平白场调节色温误差≤200K</w:t>
            </w:r>
          </w:p>
          <w:p w14:paraId="2C14EA19">
            <w:pPr>
              <w:widowControl/>
              <w:numPr>
                <w:ilvl w:val="0"/>
                <w:numId w:val="50"/>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PCB板材采用玻璃化温度≥150℃的覆铜板；PCB板采用FR-4材质，电路采用多层设计。</w:t>
            </w:r>
          </w:p>
          <w:p w14:paraId="3965863E">
            <w:pPr>
              <w:widowControl/>
              <w:numPr>
                <w:ilvl w:val="0"/>
                <w:numId w:val="50"/>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每个灯芯的波长误差值在±1nm以内，每个灯芯的亮度误差在5%以内</w:t>
            </w:r>
          </w:p>
          <w:p w14:paraId="06DBDC1B">
            <w:pPr>
              <w:widowControl/>
              <w:numPr>
                <w:ilvl w:val="0"/>
                <w:numId w:val="50"/>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具有H2S宽动态处理技术，解决主控机二次重复播放时的衰减等现象</w:t>
            </w:r>
          </w:p>
          <w:p w14:paraId="3B97BAA5">
            <w:pPr>
              <w:widowControl/>
              <w:numPr>
                <w:ilvl w:val="0"/>
                <w:numId w:val="50"/>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屏幕表面光反射率：照度=10Lux/5600K条件下， 显示屏屏幕表面光反射率 （单位面积反射亮度）＜3.0cd/m²</w:t>
            </w:r>
            <w:r>
              <w:rPr>
                <w:rFonts w:hint="eastAsia" w:ascii="宋体" w:hAnsi="宋体"/>
                <w:color w:val="auto"/>
                <w:kern w:val="0"/>
                <w:szCs w:val="21"/>
                <w:highlight w:val="none"/>
                <w:lang w:bidi="ar"/>
              </w:rPr>
              <w:br w:type="textWrapping"/>
            </w:r>
            <w:r>
              <w:rPr>
                <w:rFonts w:hint="eastAsia" w:ascii="宋体" w:hAnsi="宋体"/>
                <w:color w:val="auto"/>
                <w:kern w:val="0"/>
                <w:szCs w:val="21"/>
                <w:highlight w:val="none"/>
                <w:lang w:bidi="ar"/>
              </w:rPr>
              <w:t>30、绝缘电阻：在器具输入插座端或者电源引入端子与外壳裸露金属部件之间的绝缘电阻在正常大气条件下应≥100MΩ，湿热条件下应≥2MΩ</w:t>
            </w:r>
          </w:p>
          <w:p w14:paraId="46E026AE">
            <w:pPr>
              <w:widowControl/>
              <w:numPr>
                <w:ilvl w:val="0"/>
                <w:numId w:val="50"/>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抗拉强度：≥230Mpa</w:t>
            </w:r>
          </w:p>
          <w:p w14:paraId="2038B9C7">
            <w:pPr>
              <w:widowControl/>
              <w:numPr>
                <w:ilvl w:val="0"/>
                <w:numId w:val="50"/>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屈服强度：≥170Mpa</w:t>
            </w:r>
          </w:p>
          <w:p w14:paraId="3B3BD598">
            <w:pPr>
              <w:widowControl/>
              <w:numPr>
                <w:ilvl w:val="0"/>
                <w:numId w:val="50"/>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灰度等级：采用14bit技术</w:t>
            </w:r>
          </w:p>
          <w:p w14:paraId="017DFAF2">
            <w:pPr>
              <w:widowControl/>
              <w:numPr>
                <w:ilvl w:val="0"/>
                <w:numId w:val="50"/>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采用EPWM 灰阶控制技术提升低灰视觉效果，100%亮度时，14bit灰度；70%亮度，14bit灰度；50%亮度，14bit灰度；20%亮度，12bit灰度，显示画面无单列或单行像素失控现象；支持0-100%亮度时，8-14bits灰度自定义设置</w:t>
            </w:r>
          </w:p>
          <w:p w14:paraId="5910B768">
            <w:pPr>
              <w:widowControl/>
              <w:numPr>
                <w:ilvl w:val="0"/>
                <w:numId w:val="50"/>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支持鬼影消除、首行暗亮消除、低灰偏色补偿、低灰均匀性、低灰横条纹消除、慢速开启、十字架消除、去坏点、毛毛虫消除、余辉消除、亮度缓慢变亮功能</w:t>
            </w:r>
          </w:p>
          <w:p w14:paraId="7158F209">
            <w:pPr>
              <w:widowControl/>
              <w:numPr>
                <w:ilvl w:val="0"/>
                <w:numId w:val="50"/>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抗电强度：在器具输入插座端与屏正面之间施加试验电压3kv/50Hz，保持1min，不应出现飞弧和击穿现象</w:t>
            </w:r>
          </w:p>
          <w:p w14:paraId="7C4A4617">
            <w:pPr>
              <w:widowControl/>
              <w:numPr>
                <w:ilvl w:val="0"/>
                <w:numId w:val="50"/>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LED显示屏图像质量主观评价优、支持4K超清技术、HDR高动态光照渲染技术；符合LED显示屏绿色健康分级认证技术</w:t>
            </w:r>
          </w:p>
          <w:p w14:paraId="486FE641">
            <w:pPr>
              <w:widowControl/>
              <w:numPr>
                <w:ilvl w:val="0"/>
                <w:numId w:val="50"/>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具有多点测温系统、通讯检测、电源检测、可实现远程监督控制，对可能发生的潜在故障记录日志，并向操作员发出警报信息</w:t>
            </w:r>
          </w:p>
          <w:p w14:paraId="07E115DF">
            <w:pPr>
              <w:widowControl/>
              <w:numPr>
                <w:ilvl w:val="0"/>
                <w:numId w:val="50"/>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具有单点亮度校正，校正后亮度损失≤8%；具有颜色校正功能，具有灰度校正，支持模组校正，具有校正数据存储及自动回读功能</w:t>
            </w:r>
          </w:p>
          <w:p w14:paraId="6110BFB6">
            <w:pPr>
              <w:widowControl/>
              <w:numPr>
                <w:ilvl w:val="0"/>
                <w:numId w:val="50"/>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可实现LED单点检测，通讯检测、温度检测、电源检测、温度监控等功能。</w:t>
            </w:r>
          </w:p>
        </w:tc>
        <w:tc>
          <w:tcPr>
            <w:tcW w:w="567" w:type="dxa"/>
            <w:tcBorders>
              <w:top w:val="single" w:color="000000" w:sz="4" w:space="0"/>
              <w:left w:val="single" w:color="000000" w:sz="4" w:space="0"/>
              <w:bottom w:val="single" w:color="000000" w:sz="4" w:space="0"/>
              <w:right w:val="single" w:color="000000" w:sz="4" w:space="0"/>
            </w:tcBorders>
            <w:vAlign w:val="center"/>
          </w:tcPr>
          <w:p w14:paraId="5A978FB1">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平方米</w:t>
            </w:r>
          </w:p>
        </w:tc>
        <w:tc>
          <w:tcPr>
            <w:tcW w:w="870" w:type="dxa"/>
            <w:tcBorders>
              <w:top w:val="single" w:color="000000" w:sz="4" w:space="0"/>
              <w:left w:val="single" w:color="000000" w:sz="4" w:space="0"/>
              <w:bottom w:val="single" w:color="000000" w:sz="4" w:space="0"/>
              <w:right w:val="single" w:color="000000" w:sz="4" w:space="0"/>
            </w:tcBorders>
            <w:vAlign w:val="center"/>
          </w:tcPr>
          <w:p w14:paraId="03706CB2">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33.2</w:t>
            </w:r>
          </w:p>
        </w:tc>
      </w:tr>
      <w:tr w14:paraId="20171D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644" w:type="dxa"/>
            <w:tcBorders>
              <w:top w:val="single" w:color="000000" w:sz="4" w:space="0"/>
              <w:left w:val="single" w:color="000000" w:sz="4" w:space="0"/>
              <w:bottom w:val="single" w:color="000000" w:sz="4" w:space="0"/>
              <w:right w:val="single" w:color="000000" w:sz="4" w:space="0"/>
            </w:tcBorders>
            <w:vAlign w:val="center"/>
          </w:tcPr>
          <w:p w14:paraId="160E74DC">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w:t>
            </w:r>
          </w:p>
        </w:tc>
        <w:tc>
          <w:tcPr>
            <w:tcW w:w="851" w:type="dxa"/>
            <w:tcBorders>
              <w:top w:val="single" w:color="000000" w:sz="4" w:space="0"/>
              <w:left w:val="single" w:color="000000" w:sz="4" w:space="0"/>
              <w:bottom w:val="single" w:color="000000" w:sz="4" w:space="0"/>
              <w:right w:val="single" w:color="000000" w:sz="4" w:space="0"/>
            </w:tcBorders>
            <w:vAlign w:val="center"/>
          </w:tcPr>
          <w:p w14:paraId="43A5D072">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接收卡</w:t>
            </w:r>
          </w:p>
        </w:tc>
        <w:tc>
          <w:tcPr>
            <w:tcW w:w="6378" w:type="dxa"/>
            <w:tcBorders>
              <w:top w:val="single" w:color="000000" w:sz="4" w:space="0"/>
              <w:left w:val="single" w:color="000000" w:sz="4" w:space="0"/>
              <w:bottom w:val="single" w:color="000000" w:sz="4" w:space="0"/>
              <w:right w:val="single" w:color="000000" w:sz="4" w:space="0"/>
            </w:tcBorders>
            <w:vAlign w:val="center"/>
          </w:tcPr>
          <w:p w14:paraId="4B3A8BEA">
            <w:pPr>
              <w:widowControl/>
              <w:numPr>
                <w:ilvl w:val="0"/>
                <w:numId w:val="51"/>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支持常规芯片实现高刷新、高灰度、高亮度</w:t>
            </w:r>
          </w:p>
          <w:p w14:paraId="20167C6E">
            <w:pPr>
              <w:widowControl/>
              <w:numPr>
                <w:ilvl w:val="0"/>
                <w:numId w:val="51"/>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支持市场主流常规芯片、PWM芯片、士兰芯片</w:t>
            </w:r>
          </w:p>
          <w:p w14:paraId="19B05B6F">
            <w:pPr>
              <w:widowControl/>
              <w:numPr>
                <w:ilvl w:val="0"/>
                <w:numId w:val="51"/>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全新灰度引擎，低灰度表现更佳</w:t>
            </w:r>
          </w:p>
          <w:p w14:paraId="1DB07224">
            <w:pPr>
              <w:widowControl/>
              <w:numPr>
                <w:ilvl w:val="0"/>
                <w:numId w:val="51"/>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可消除单元板设计引起的某行偏暗、低灰偏红、鬼影等细节问题</w:t>
            </w:r>
          </w:p>
          <w:p w14:paraId="15178721">
            <w:pPr>
              <w:widowControl/>
              <w:numPr>
                <w:ilvl w:val="0"/>
                <w:numId w:val="51"/>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支持高精度的色度、亮度一体化逐点校正</w:t>
            </w:r>
          </w:p>
          <w:p w14:paraId="42A7AB5E">
            <w:pPr>
              <w:widowControl/>
              <w:numPr>
                <w:ilvl w:val="0"/>
                <w:numId w:val="51"/>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支持静态到128扫之间的任意扫描类型</w:t>
            </w:r>
          </w:p>
          <w:p w14:paraId="35661FB3">
            <w:pPr>
              <w:widowControl/>
              <w:numPr>
                <w:ilvl w:val="0"/>
                <w:numId w:val="51"/>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支持灵活抽点、抽行抽列、数据组偏移，可轻松实现各种异型屏、创意显示屏</w:t>
            </w:r>
          </w:p>
          <w:p w14:paraId="29DAD4BE">
            <w:pPr>
              <w:widowControl/>
              <w:numPr>
                <w:ilvl w:val="0"/>
                <w:numId w:val="51"/>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单卡支持24组RGB信号输出</w:t>
            </w:r>
          </w:p>
          <w:p w14:paraId="4B205823">
            <w:pPr>
              <w:widowControl/>
              <w:numPr>
                <w:ilvl w:val="0"/>
                <w:numId w:val="51"/>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支持箱体标定标序</w:t>
            </w:r>
          </w:p>
          <w:p w14:paraId="32E20BC2">
            <w:pPr>
              <w:widowControl/>
              <w:numPr>
                <w:ilvl w:val="0"/>
                <w:numId w:val="51"/>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支持超大带载面积</w:t>
            </w:r>
          </w:p>
          <w:p w14:paraId="24E9F189">
            <w:pPr>
              <w:widowControl/>
              <w:numPr>
                <w:ilvl w:val="0"/>
                <w:numId w:val="51"/>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支持DC 3.8V~5.5V超宽工作电压</w:t>
            </w:r>
          </w:p>
        </w:tc>
        <w:tc>
          <w:tcPr>
            <w:tcW w:w="567" w:type="dxa"/>
            <w:tcBorders>
              <w:top w:val="single" w:color="000000" w:sz="4" w:space="0"/>
              <w:left w:val="single" w:color="000000" w:sz="4" w:space="0"/>
              <w:bottom w:val="single" w:color="000000" w:sz="4" w:space="0"/>
              <w:right w:val="single" w:color="000000" w:sz="4" w:space="0"/>
            </w:tcBorders>
            <w:vAlign w:val="center"/>
          </w:tcPr>
          <w:p w14:paraId="3DE3E95D">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项</w:t>
            </w:r>
          </w:p>
        </w:tc>
        <w:tc>
          <w:tcPr>
            <w:tcW w:w="870" w:type="dxa"/>
            <w:tcBorders>
              <w:top w:val="single" w:color="000000" w:sz="4" w:space="0"/>
              <w:left w:val="single" w:color="000000" w:sz="4" w:space="0"/>
              <w:bottom w:val="single" w:color="000000" w:sz="4" w:space="0"/>
              <w:right w:val="single" w:color="000000" w:sz="4" w:space="0"/>
            </w:tcBorders>
            <w:vAlign w:val="center"/>
          </w:tcPr>
          <w:p w14:paraId="6B7C7165">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20447D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644" w:type="dxa"/>
            <w:tcBorders>
              <w:top w:val="single" w:color="000000" w:sz="4" w:space="0"/>
              <w:left w:val="single" w:color="000000" w:sz="4" w:space="0"/>
              <w:bottom w:val="single" w:color="000000" w:sz="4" w:space="0"/>
              <w:right w:val="single" w:color="000000" w:sz="4" w:space="0"/>
            </w:tcBorders>
            <w:vAlign w:val="center"/>
          </w:tcPr>
          <w:p w14:paraId="31C0D688">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3</w:t>
            </w:r>
          </w:p>
        </w:tc>
        <w:tc>
          <w:tcPr>
            <w:tcW w:w="851" w:type="dxa"/>
            <w:tcBorders>
              <w:top w:val="single" w:color="000000" w:sz="4" w:space="0"/>
              <w:left w:val="single" w:color="000000" w:sz="4" w:space="0"/>
              <w:bottom w:val="single" w:color="000000" w:sz="4" w:space="0"/>
              <w:right w:val="single" w:color="000000" w:sz="4" w:space="0"/>
            </w:tcBorders>
            <w:vAlign w:val="center"/>
          </w:tcPr>
          <w:p w14:paraId="4DF2DC1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电源</w:t>
            </w:r>
          </w:p>
        </w:tc>
        <w:tc>
          <w:tcPr>
            <w:tcW w:w="6378" w:type="dxa"/>
            <w:tcBorders>
              <w:top w:val="single" w:color="000000" w:sz="4" w:space="0"/>
              <w:left w:val="single" w:color="000000" w:sz="4" w:space="0"/>
              <w:bottom w:val="single" w:color="000000" w:sz="4" w:space="0"/>
              <w:right w:val="single" w:color="000000" w:sz="4" w:space="0"/>
            </w:tcBorders>
            <w:vAlign w:val="center"/>
          </w:tcPr>
          <w:p w14:paraId="78F289DD">
            <w:pPr>
              <w:widowControl/>
              <w:numPr>
                <w:ilvl w:val="0"/>
                <w:numId w:val="52"/>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 xml:space="preserve">工作温度 -25℃-+70℃ </w:t>
            </w:r>
          </w:p>
          <w:p w14:paraId="0B9FDAE0">
            <w:pPr>
              <w:widowControl/>
              <w:numPr>
                <w:ilvl w:val="0"/>
                <w:numId w:val="52"/>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低温启动特性 @-40℃ -25℃，220Vac 输入,热机 5 分钟，带载 40A，</w:t>
            </w:r>
          </w:p>
          <w:p w14:paraId="0E9C72F5">
            <w:pPr>
              <w:widowControl/>
              <w:numPr>
                <w:ilvl w:val="0"/>
                <w:numId w:val="52"/>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可以启动储存温度  -40℃-85℃</w:t>
            </w:r>
          </w:p>
          <w:p w14:paraId="22F2E198">
            <w:pPr>
              <w:widowControl/>
              <w:numPr>
                <w:ilvl w:val="0"/>
                <w:numId w:val="52"/>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 xml:space="preserve">工作湿度 20%RH-90%RH </w:t>
            </w:r>
          </w:p>
          <w:p w14:paraId="5AC54DB9">
            <w:pPr>
              <w:widowControl/>
              <w:numPr>
                <w:ilvl w:val="0"/>
                <w:numId w:val="52"/>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 xml:space="preserve">储存湿度 10%RH-95%RH </w:t>
            </w:r>
          </w:p>
          <w:p w14:paraId="5E439350">
            <w:pPr>
              <w:widowControl/>
              <w:numPr>
                <w:ilvl w:val="0"/>
                <w:numId w:val="52"/>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散热方式  自然对流散热，需紧贴客户金属机箱外壳散热</w:t>
            </w:r>
            <w:r>
              <w:rPr>
                <w:rFonts w:hint="eastAsia" w:ascii="宋体" w:hAnsi="宋体"/>
                <w:color w:val="auto"/>
                <w:kern w:val="0"/>
                <w:szCs w:val="21"/>
                <w:highlight w:val="none"/>
                <w:lang w:bidi="ar"/>
              </w:rPr>
              <w:br w:type="textWrapping"/>
            </w:r>
            <w:r>
              <w:rPr>
                <w:rFonts w:hint="eastAsia" w:ascii="宋体" w:hAnsi="宋体"/>
                <w:color w:val="auto"/>
                <w:kern w:val="0"/>
                <w:szCs w:val="21"/>
                <w:highlight w:val="none"/>
                <w:lang w:bidi="ar"/>
              </w:rPr>
              <w:t xml:space="preserve">大气压  70-106KPa </w:t>
            </w:r>
          </w:p>
          <w:p w14:paraId="61774D7C">
            <w:pPr>
              <w:widowControl/>
              <w:numPr>
                <w:ilvl w:val="0"/>
                <w:numId w:val="52"/>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可用最高海拔高度 Altitude 3000m</w:t>
            </w:r>
          </w:p>
          <w:p w14:paraId="38E47DB1">
            <w:pPr>
              <w:widowControl/>
              <w:numPr>
                <w:ilvl w:val="0"/>
                <w:numId w:val="52"/>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输入端子 9.5mm-5P pitch terminal, L N FG</w:t>
            </w:r>
          </w:p>
          <w:p w14:paraId="30B6BB81">
            <w:pPr>
              <w:widowControl/>
              <w:numPr>
                <w:ilvl w:val="0"/>
                <w:numId w:val="52"/>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输出端子 9.5mm-6P pitch terminal, V+ V+ V+ V- V- V</w:t>
            </w:r>
          </w:p>
          <w:p w14:paraId="6D441349">
            <w:pPr>
              <w:widowControl/>
              <w:numPr>
                <w:ilvl w:val="0"/>
                <w:numId w:val="52"/>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短路保护  可长期短路，消除短路后自动恢复工作过流保护  48~76A 故障消除后自动恢复工作</w:t>
            </w:r>
          </w:p>
          <w:p w14:paraId="67A4C609">
            <w:pPr>
              <w:widowControl/>
              <w:numPr>
                <w:ilvl w:val="0"/>
                <w:numId w:val="52"/>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额定输出电压 V1:+4.5Vdc</w:t>
            </w:r>
          </w:p>
          <w:p w14:paraId="374E447A">
            <w:pPr>
              <w:widowControl/>
              <w:numPr>
                <w:ilvl w:val="0"/>
                <w:numId w:val="52"/>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额定输出电流范围 0～40.0A</w:t>
            </w:r>
          </w:p>
          <w:p w14:paraId="50A5C3CD">
            <w:pPr>
              <w:widowControl/>
              <w:numPr>
                <w:ilvl w:val="0"/>
                <w:numId w:val="52"/>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稳压精度  ±2%</w:t>
            </w:r>
          </w:p>
          <w:p w14:paraId="02557441">
            <w:pPr>
              <w:widowControl/>
              <w:numPr>
                <w:ilvl w:val="0"/>
                <w:numId w:val="52"/>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负载调整率  ±2%</w:t>
            </w:r>
          </w:p>
          <w:p w14:paraId="2359A0DB">
            <w:pPr>
              <w:widowControl/>
              <w:numPr>
                <w:ilvl w:val="0"/>
                <w:numId w:val="52"/>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电压过冲 ＜5.0%</w:t>
            </w:r>
          </w:p>
          <w:p w14:paraId="407CB0BA">
            <w:pPr>
              <w:widowControl/>
              <w:numPr>
                <w:ilvl w:val="0"/>
                <w:numId w:val="52"/>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启动时间  3Sec.</w:t>
            </w:r>
          </w:p>
          <w:p w14:paraId="0A949EC6">
            <w:pPr>
              <w:widowControl/>
              <w:numPr>
                <w:ilvl w:val="0"/>
                <w:numId w:val="52"/>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纹波噪声 ＜200mV</w:t>
            </w:r>
          </w:p>
          <w:p w14:paraId="029BC52F">
            <w:pPr>
              <w:widowControl/>
              <w:numPr>
                <w:ilvl w:val="0"/>
                <w:numId w:val="52"/>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容性负载≥5000uF</w:t>
            </w:r>
          </w:p>
        </w:tc>
        <w:tc>
          <w:tcPr>
            <w:tcW w:w="567" w:type="dxa"/>
            <w:tcBorders>
              <w:top w:val="single" w:color="000000" w:sz="4" w:space="0"/>
              <w:left w:val="single" w:color="000000" w:sz="4" w:space="0"/>
              <w:bottom w:val="single" w:color="000000" w:sz="4" w:space="0"/>
              <w:right w:val="single" w:color="000000" w:sz="4" w:space="0"/>
            </w:tcBorders>
            <w:vAlign w:val="center"/>
          </w:tcPr>
          <w:p w14:paraId="2CE858D8">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项</w:t>
            </w:r>
          </w:p>
        </w:tc>
        <w:tc>
          <w:tcPr>
            <w:tcW w:w="870" w:type="dxa"/>
            <w:tcBorders>
              <w:top w:val="single" w:color="000000" w:sz="4" w:space="0"/>
              <w:left w:val="single" w:color="000000" w:sz="4" w:space="0"/>
              <w:bottom w:val="single" w:color="000000" w:sz="4" w:space="0"/>
              <w:right w:val="single" w:color="000000" w:sz="4" w:space="0"/>
            </w:tcBorders>
            <w:vAlign w:val="center"/>
          </w:tcPr>
          <w:p w14:paraId="68A515DC">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2281EE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644" w:type="dxa"/>
            <w:tcBorders>
              <w:top w:val="single" w:color="000000" w:sz="4" w:space="0"/>
              <w:left w:val="single" w:color="000000" w:sz="4" w:space="0"/>
              <w:bottom w:val="single" w:color="000000" w:sz="4" w:space="0"/>
              <w:right w:val="single" w:color="000000" w:sz="4" w:space="0"/>
            </w:tcBorders>
            <w:vAlign w:val="center"/>
          </w:tcPr>
          <w:p w14:paraId="7E7D42CA">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4</w:t>
            </w:r>
          </w:p>
        </w:tc>
        <w:tc>
          <w:tcPr>
            <w:tcW w:w="851" w:type="dxa"/>
            <w:tcBorders>
              <w:top w:val="single" w:color="000000" w:sz="4" w:space="0"/>
              <w:left w:val="single" w:color="000000" w:sz="4" w:space="0"/>
              <w:bottom w:val="single" w:color="000000" w:sz="4" w:space="0"/>
              <w:right w:val="single" w:color="000000" w:sz="4" w:space="0"/>
            </w:tcBorders>
            <w:vAlign w:val="center"/>
          </w:tcPr>
          <w:p w14:paraId="26784A01">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专业主控</w:t>
            </w:r>
          </w:p>
        </w:tc>
        <w:tc>
          <w:tcPr>
            <w:tcW w:w="6378" w:type="dxa"/>
            <w:tcBorders>
              <w:top w:val="single" w:color="000000" w:sz="4" w:space="0"/>
              <w:left w:val="single" w:color="000000" w:sz="4" w:space="0"/>
              <w:bottom w:val="single" w:color="000000" w:sz="4" w:space="0"/>
              <w:right w:val="single" w:color="000000" w:sz="4" w:space="0"/>
            </w:tcBorders>
            <w:vAlign w:val="center"/>
          </w:tcPr>
          <w:p w14:paraId="6FBBBD56">
            <w:pPr>
              <w:widowControl/>
              <w:numPr>
                <w:ilvl w:val="0"/>
                <w:numId w:val="53"/>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支持≥4096×2160@60Hz输入分辨率</w:t>
            </w:r>
          </w:p>
          <w:p w14:paraId="105B7632">
            <w:pPr>
              <w:widowControl/>
              <w:numPr>
                <w:ilvl w:val="0"/>
                <w:numId w:val="53"/>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支持≥2路4K输入：1×DP1.2，1×HDMI2.0</w:t>
            </w:r>
          </w:p>
          <w:p w14:paraId="1FD209A6">
            <w:pPr>
              <w:widowControl/>
              <w:numPr>
                <w:ilvl w:val="0"/>
                <w:numId w:val="53"/>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支持≥4路2K输入：2×HDMI1.4，2×DVI</w:t>
            </w:r>
          </w:p>
          <w:p w14:paraId="57C8E298">
            <w:pPr>
              <w:widowControl/>
              <w:numPr>
                <w:ilvl w:val="0"/>
                <w:numId w:val="53"/>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支持≥1路U盘接口</w:t>
            </w:r>
          </w:p>
          <w:p w14:paraId="50A9D163">
            <w:pPr>
              <w:widowControl/>
              <w:numPr>
                <w:ilvl w:val="0"/>
                <w:numId w:val="53"/>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支持最大带载≥1703万像素</w:t>
            </w:r>
          </w:p>
          <w:p w14:paraId="1DD29996">
            <w:pPr>
              <w:widowControl/>
              <w:numPr>
                <w:ilvl w:val="0"/>
                <w:numId w:val="53"/>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支持≥26路千兆网口输出或≥3路万兆光口输出，任选一种</w:t>
            </w:r>
          </w:p>
          <w:p w14:paraId="335AC212">
            <w:pPr>
              <w:widowControl/>
              <w:numPr>
                <w:ilvl w:val="0"/>
                <w:numId w:val="53"/>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支持≥1路独立音频输入</w:t>
            </w:r>
          </w:p>
          <w:p w14:paraId="3BD3F751">
            <w:pPr>
              <w:widowControl/>
              <w:numPr>
                <w:ilvl w:val="0"/>
                <w:numId w:val="53"/>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支持≥1路独立音频输出</w:t>
            </w:r>
          </w:p>
          <w:p w14:paraId="4DC3C2E7">
            <w:pPr>
              <w:widowControl/>
              <w:numPr>
                <w:ilvl w:val="0"/>
                <w:numId w:val="53"/>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支持HDMI和DP音频解析输出</w:t>
            </w:r>
          </w:p>
          <w:p w14:paraId="6A190802">
            <w:pPr>
              <w:widowControl/>
              <w:numPr>
                <w:ilvl w:val="0"/>
                <w:numId w:val="53"/>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支持≥6窗口显示，每个窗口≥1个图层，图层之间相互覆盖（≥1个4K输入信号时，同时可支持≥4路高清输入）</w:t>
            </w:r>
          </w:p>
          <w:p w14:paraId="5D552ABD">
            <w:pPr>
              <w:widowControl/>
              <w:numPr>
                <w:ilvl w:val="0"/>
                <w:numId w:val="53"/>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支持窗口任意漫游、自由缩放窗口，最小64×64分辨率</w:t>
            </w:r>
          </w:p>
          <w:p w14:paraId="275571B9">
            <w:pPr>
              <w:widowControl/>
              <w:numPr>
                <w:ilvl w:val="0"/>
                <w:numId w:val="53"/>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视频信号任意裁剪、无缝切换，裁剪框大小可自由调节，最小64×64分辨率</w:t>
            </w:r>
          </w:p>
          <w:p w14:paraId="13F8909D">
            <w:pPr>
              <w:widowControl/>
              <w:numPr>
                <w:ilvl w:val="0"/>
                <w:numId w:val="53"/>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精确颜色管理，可调节显示屏色域，需对应型号接收卡支持</w:t>
            </w:r>
          </w:p>
          <w:p w14:paraId="41D098AC">
            <w:pPr>
              <w:widowControl/>
              <w:numPr>
                <w:ilvl w:val="0"/>
                <w:numId w:val="53"/>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视频同步锁相技术，支持锁定内部vsync、输入信号源、自动锁相（按照图层锁相）</w:t>
            </w:r>
          </w:p>
          <w:p w14:paraId="7A7DDCD1">
            <w:pPr>
              <w:widowControl/>
              <w:numPr>
                <w:ilvl w:val="0"/>
                <w:numId w:val="53"/>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支持亮度和色温调节，支持精确色温</w:t>
            </w:r>
          </w:p>
          <w:p w14:paraId="498D3210">
            <w:pPr>
              <w:widowControl/>
              <w:numPr>
                <w:ilvl w:val="0"/>
                <w:numId w:val="53"/>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低亮高灰，可有效保持低亮度下灰阶的完整显示</w:t>
            </w:r>
          </w:p>
          <w:p w14:paraId="48C67EA2">
            <w:pPr>
              <w:widowControl/>
              <w:numPr>
                <w:ilvl w:val="0"/>
                <w:numId w:val="53"/>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支持≥128个场景保存和调用</w:t>
            </w:r>
          </w:p>
          <w:p w14:paraId="01F4D922">
            <w:pPr>
              <w:widowControl/>
              <w:numPr>
                <w:ilvl w:val="0"/>
                <w:numId w:val="53"/>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支持U盘播放和升级</w:t>
            </w:r>
          </w:p>
          <w:p w14:paraId="293A9D62">
            <w:pPr>
              <w:widowControl/>
              <w:numPr>
                <w:ilvl w:val="0"/>
                <w:numId w:val="53"/>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支持OSD(屏幕菜单调节，外接蓝牙接收盒子，通过蓝牙遥控器达到控制显示屏休眠与唤醒、亮度、色温调节等功能)</w:t>
            </w:r>
          </w:p>
          <w:p w14:paraId="48B47CA3">
            <w:pPr>
              <w:widowControl/>
              <w:numPr>
                <w:ilvl w:val="0"/>
                <w:numId w:val="53"/>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支持显示字幕，可设置显示位置字体大小颜色等</w:t>
            </w:r>
          </w:p>
          <w:p w14:paraId="4F1E675C">
            <w:pPr>
              <w:widowControl/>
              <w:numPr>
                <w:ilvl w:val="0"/>
                <w:numId w:val="53"/>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USB接口控制及级联</w:t>
            </w:r>
          </w:p>
          <w:p w14:paraId="5C700EB6">
            <w:pPr>
              <w:widowControl/>
              <w:numPr>
                <w:ilvl w:val="0"/>
                <w:numId w:val="53"/>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RS232串口协议控制</w:t>
            </w:r>
          </w:p>
          <w:p w14:paraId="51F1313C">
            <w:pPr>
              <w:widowControl/>
              <w:numPr>
                <w:ilvl w:val="0"/>
                <w:numId w:val="53"/>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支持LAN口控制</w:t>
            </w:r>
          </w:p>
          <w:p w14:paraId="2CFAB1D3">
            <w:pPr>
              <w:widowControl/>
              <w:numPr>
                <w:ilvl w:val="0"/>
                <w:numId w:val="53"/>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支持手机APP控制</w:t>
            </w:r>
          </w:p>
        </w:tc>
        <w:tc>
          <w:tcPr>
            <w:tcW w:w="567" w:type="dxa"/>
            <w:tcBorders>
              <w:top w:val="single" w:color="000000" w:sz="4" w:space="0"/>
              <w:left w:val="single" w:color="000000" w:sz="4" w:space="0"/>
              <w:bottom w:val="single" w:color="000000" w:sz="4" w:space="0"/>
              <w:right w:val="single" w:color="000000" w:sz="4" w:space="0"/>
            </w:tcBorders>
            <w:vAlign w:val="center"/>
          </w:tcPr>
          <w:p w14:paraId="2884BC21">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台</w:t>
            </w:r>
          </w:p>
        </w:tc>
        <w:tc>
          <w:tcPr>
            <w:tcW w:w="870" w:type="dxa"/>
            <w:tcBorders>
              <w:top w:val="single" w:color="000000" w:sz="4" w:space="0"/>
              <w:left w:val="single" w:color="000000" w:sz="4" w:space="0"/>
              <w:bottom w:val="single" w:color="000000" w:sz="4" w:space="0"/>
              <w:right w:val="single" w:color="000000" w:sz="4" w:space="0"/>
            </w:tcBorders>
            <w:vAlign w:val="center"/>
          </w:tcPr>
          <w:p w14:paraId="0731F49D">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75873A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644" w:type="dxa"/>
            <w:tcBorders>
              <w:top w:val="single" w:color="000000" w:sz="4" w:space="0"/>
              <w:left w:val="single" w:color="000000" w:sz="4" w:space="0"/>
              <w:bottom w:val="single" w:color="000000" w:sz="4" w:space="0"/>
              <w:right w:val="single" w:color="000000" w:sz="4" w:space="0"/>
            </w:tcBorders>
            <w:vAlign w:val="center"/>
          </w:tcPr>
          <w:p w14:paraId="6DA65DB6">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5</w:t>
            </w:r>
          </w:p>
        </w:tc>
        <w:tc>
          <w:tcPr>
            <w:tcW w:w="851" w:type="dxa"/>
            <w:tcBorders>
              <w:top w:val="single" w:color="000000" w:sz="4" w:space="0"/>
              <w:left w:val="single" w:color="000000" w:sz="4" w:space="0"/>
              <w:bottom w:val="single" w:color="000000" w:sz="4" w:space="0"/>
              <w:right w:val="single" w:color="000000" w:sz="4" w:space="0"/>
            </w:tcBorders>
            <w:vAlign w:val="center"/>
          </w:tcPr>
          <w:p w14:paraId="22661371">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配电柜</w:t>
            </w:r>
          </w:p>
        </w:tc>
        <w:tc>
          <w:tcPr>
            <w:tcW w:w="6378" w:type="dxa"/>
            <w:tcBorders>
              <w:top w:val="single" w:color="000000" w:sz="4" w:space="0"/>
              <w:left w:val="single" w:color="000000" w:sz="4" w:space="0"/>
              <w:bottom w:val="single" w:color="000000" w:sz="4" w:space="0"/>
              <w:right w:val="single" w:color="000000" w:sz="4" w:space="0"/>
            </w:tcBorders>
            <w:vAlign w:val="center"/>
          </w:tcPr>
          <w:p w14:paraId="4104A780">
            <w:pPr>
              <w:widowControl/>
              <w:numPr>
                <w:ilvl w:val="0"/>
                <w:numId w:val="54"/>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配电柜基础参数</w:t>
            </w:r>
          </w:p>
          <w:p w14:paraId="6A9A9DFB">
            <w:pPr>
              <w:widowControl/>
              <w:numPr>
                <w:ilvl w:val="0"/>
                <w:numId w:val="54"/>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箱体尺寸：≥1200*700*300MM</w:t>
            </w:r>
          </w:p>
          <w:p w14:paraId="48ABA723">
            <w:pPr>
              <w:widowControl/>
              <w:numPr>
                <w:ilvl w:val="0"/>
                <w:numId w:val="54"/>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 xml:space="preserve">显示屏输出路数：18路或36路 </w:t>
            </w:r>
          </w:p>
          <w:p w14:paraId="7C37B457">
            <w:pPr>
              <w:widowControl/>
              <w:numPr>
                <w:ilvl w:val="0"/>
                <w:numId w:val="54"/>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 xml:space="preserve">延时启动/停止：≥6次 </w:t>
            </w:r>
          </w:p>
          <w:p w14:paraId="000E6A84">
            <w:pPr>
              <w:widowControl/>
              <w:numPr>
                <w:ilvl w:val="0"/>
                <w:numId w:val="54"/>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 xml:space="preserve">检修插座：≥1组 </w:t>
            </w:r>
          </w:p>
          <w:p w14:paraId="4418F5A3">
            <w:pPr>
              <w:widowControl/>
              <w:numPr>
                <w:ilvl w:val="0"/>
                <w:numId w:val="54"/>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 xml:space="preserve">远程控制端子：≥1组 </w:t>
            </w:r>
          </w:p>
          <w:p w14:paraId="0C944416">
            <w:pPr>
              <w:widowControl/>
              <w:numPr>
                <w:ilvl w:val="0"/>
                <w:numId w:val="54"/>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 xml:space="preserve">远程控制开关：≥1个 </w:t>
            </w:r>
          </w:p>
          <w:p w14:paraId="2F04C740">
            <w:pPr>
              <w:widowControl/>
              <w:numPr>
                <w:ilvl w:val="0"/>
                <w:numId w:val="54"/>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 xml:space="preserve">风机线路输出端子：≥1组 </w:t>
            </w:r>
          </w:p>
          <w:p w14:paraId="655CB21F">
            <w:pPr>
              <w:widowControl/>
              <w:numPr>
                <w:ilvl w:val="0"/>
                <w:numId w:val="54"/>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 xml:space="preserve">空调线路输出路数：≥3路 </w:t>
            </w:r>
          </w:p>
          <w:p w14:paraId="302A413B">
            <w:pPr>
              <w:widowControl/>
              <w:numPr>
                <w:ilvl w:val="0"/>
                <w:numId w:val="54"/>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可调高温断电：≥1组</w:t>
            </w:r>
          </w:p>
        </w:tc>
        <w:tc>
          <w:tcPr>
            <w:tcW w:w="567" w:type="dxa"/>
            <w:tcBorders>
              <w:top w:val="single" w:color="000000" w:sz="4" w:space="0"/>
              <w:left w:val="single" w:color="000000" w:sz="4" w:space="0"/>
              <w:bottom w:val="single" w:color="000000" w:sz="4" w:space="0"/>
              <w:right w:val="single" w:color="000000" w:sz="4" w:space="0"/>
            </w:tcBorders>
            <w:vAlign w:val="center"/>
          </w:tcPr>
          <w:p w14:paraId="6015327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台</w:t>
            </w:r>
          </w:p>
        </w:tc>
        <w:tc>
          <w:tcPr>
            <w:tcW w:w="870" w:type="dxa"/>
            <w:tcBorders>
              <w:top w:val="single" w:color="000000" w:sz="4" w:space="0"/>
              <w:left w:val="single" w:color="000000" w:sz="4" w:space="0"/>
              <w:bottom w:val="single" w:color="000000" w:sz="4" w:space="0"/>
              <w:right w:val="single" w:color="000000" w:sz="4" w:space="0"/>
            </w:tcBorders>
            <w:vAlign w:val="center"/>
          </w:tcPr>
          <w:p w14:paraId="283E3515">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3DD1DE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644" w:type="dxa"/>
            <w:tcBorders>
              <w:top w:val="single" w:color="000000" w:sz="4" w:space="0"/>
              <w:left w:val="single" w:color="000000" w:sz="4" w:space="0"/>
              <w:bottom w:val="single" w:color="000000" w:sz="4" w:space="0"/>
              <w:right w:val="single" w:color="000000" w:sz="4" w:space="0"/>
            </w:tcBorders>
            <w:vAlign w:val="center"/>
          </w:tcPr>
          <w:p w14:paraId="5FD837BD">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6</w:t>
            </w:r>
          </w:p>
        </w:tc>
        <w:tc>
          <w:tcPr>
            <w:tcW w:w="851" w:type="dxa"/>
            <w:tcBorders>
              <w:top w:val="single" w:color="000000" w:sz="4" w:space="0"/>
              <w:left w:val="single" w:color="000000" w:sz="4" w:space="0"/>
              <w:bottom w:val="single" w:color="000000" w:sz="4" w:space="0"/>
              <w:right w:val="single" w:color="000000" w:sz="4" w:space="0"/>
            </w:tcBorders>
            <w:vAlign w:val="center"/>
          </w:tcPr>
          <w:p w14:paraId="04DF4207">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主屏结构</w:t>
            </w:r>
          </w:p>
        </w:tc>
        <w:tc>
          <w:tcPr>
            <w:tcW w:w="6378" w:type="dxa"/>
            <w:tcBorders>
              <w:top w:val="single" w:color="000000" w:sz="4" w:space="0"/>
              <w:left w:val="single" w:color="000000" w:sz="4" w:space="0"/>
              <w:bottom w:val="single" w:color="000000" w:sz="4" w:space="0"/>
              <w:right w:val="single" w:color="000000" w:sz="4" w:space="0"/>
            </w:tcBorders>
            <w:vAlign w:val="center"/>
          </w:tcPr>
          <w:p w14:paraId="03F4BD65">
            <w:pPr>
              <w:widowControl/>
              <w:numPr>
                <w:ilvl w:val="0"/>
                <w:numId w:val="55"/>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采用国标钢材，符合国家标准</w:t>
            </w:r>
          </w:p>
        </w:tc>
        <w:tc>
          <w:tcPr>
            <w:tcW w:w="567" w:type="dxa"/>
            <w:tcBorders>
              <w:top w:val="single" w:color="000000" w:sz="4" w:space="0"/>
              <w:left w:val="single" w:color="000000" w:sz="4" w:space="0"/>
              <w:bottom w:val="single" w:color="000000" w:sz="4" w:space="0"/>
              <w:right w:val="single" w:color="000000" w:sz="4" w:space="0"/>
            </w:tcBorders>
            <w:vAlign w:val="center"/>
          </w:tcPr>
          <w:p w14:paraId="5F127DAB">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平方米</w:t>
            </w:r>
          </w:p>
        </w:tc>
        <w:tc>
          <w:tcPr>
            <w:tcW w:w="870" w:type="dxa"/>
            <w:tcBorders>
              <w:top w:val="single" w:color="000000" w:sz="4" w:space="0"/>
              <w:left w:val="single" w:color="000000" w:sz="4" w:space="0"/>
              <w:bottom w:val="single" w:color="000000" w:sz="4" w:space="0"/>
              <w:right w:val="single" w:color="000000" w:sz="4" w:space="0"/>
            </w:tcBorders>
            <w:vAlign w:val="center"/>
          </w:tcPr>
          <w:p w14:paraId="636BE8E1">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35</w:t>
            </w:r>
          </w:p>
        </w:tc>
      </w:tr>
      <w:tr w14:paraId="57AA12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644" w:type="dxa"/>
            <w:tcBorders>
              <w:top w:val="single" w:color="000000" w:sz="4" w:space="0"/>
              <w:left w:val="single" w:color="000000" w:sz="4" w:space="0"/>
              <w:bottom w:val="single" w:color="000000" w:sz="4" w:space="0"/>
              <w:right w:val="single" w:color="000000" w:sz="4" w:space="0"/>
            </w:tcBorders>
            <w:vAlign w:val="center"/>
          </w:tcPr>
          <w:p w14:paraId="375E0B63">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7</w:t>
            </w:r>
          </w:p>
        </w:tc>
        <w:tc>
          <w:tcPr>
            <w:tcW w:w="851" w:type="dxa"/>
            <w:tcBorders>
              <w:top w:val="single" w:color="000000" w:sz="4" w:space="0"/>
              <w:left w:val="single" w:color="000000" w:sz="4" w:space="0"/>
              <w:bottom w:val="single" w:color="000000" w:sz="4" w:space="0"/>
              <w:right w:val="single" w:color="000000" w:sz="4" w:space="0"/>
            </w:tcBorders>
            <w:vAlign w:val="center"/>
          </w:tcPr>
          <w:p w14:paraId="2DE79A6D">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辅材</w:t>
            </w:r>
          </w:p>
        </w:tc>
        <w:tc>
          <w:tcPr>
            <w:tcW w:w="6378" w:type="dxa"/>
            <w:tcBorders>
              <w:top w:val="single" w:color="000000" w:sz="4" w:space="0"/>
              <w:left w:val="single" w:color="000000" w:sz="4" w:space="0"/>
              <w:bottom w:val="single" w:color="000000" w:sz="4" w:space="0"/>
              <w:right w:val="single" w:color="000000" w:sz="4" w:space="0"/>
            </w:tcBorders>
            <w:vAlign w:val="center"/>
          </w:tcPr>
          <w:p w14:paraId="291C09B0">
            <w:pPr>
              <w:widowControl/>
              <w:numPr>
                <w:ilvl w:val="0"/>
                <w:numId w:val="56"/>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包含网线，电源线，光纤，信号线，水晶头、视频线、PVC线槽</w:t>
            </w:r>
          </w:p>
        </w:tc>
        <w:tc>
          <w:tcPr>
            <w:tcW w:w="567" w:type="dxa"/>
            <w:tcBorders>
              <w:top w:val="single" w:color="000000" w:sz="4" w:space="0"/>
              <w:left w:val="single" w:color="000000" w:sz="4" w:space="0"/>
              <w:bottom w:val="single" w:color="000000" w:sz="4" w:space="0"/>
              <w:right w:val="single" w:color="000000" w:sz="4" w:space="0"/>
            </w:tcBorders>
            <w:vAlign w:val="center"/>
          </w:tcPr>
          <w:p w14:paraId="33AC605B">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批</w:t>
            </w:r>
          </w:p>
        </w:tc>
        <w:tc>
          <w:tcPr>
            <w:tcW w:w="870" w:type="dxa"/>
            <w:tcBorders>
              <w:top w:val="single" w:color="000000" w:sz="4" w:space="0"/>
              <w:left w:val="single" w:color="000000" w:sz="4" w:space="0"/>
              <w:bottom w:val="single" w:color="000000" w:sz="4" w:space="0"/>
              <w:right w:val="single" w:color="000000" w:sz="4" w:space="0"/>
            </w:tcBorders>
            <w:vAlign w:val="center"/>
          </w:tcPr>
          <w:p w14:paraId="76F95E78">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49BF38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644" w:type="dxa"/>
            <w:tcBorders>
              <w:top w:val="single" w:color="000000" w:sz="4" w:space="0"/>
              <w:left w:val="single" w:color="000000" w:sz="4" w:space="0"/>
              <w:bottom w:val="single" w:color="000000" w:sz="4" w:space="0"/>
              <w:right w:val="single" w:color="000000" w:sz="4" w:space="0"/>
            </w:tcBorders>
            <w:vAlign w:val="center"/>
          </w:tcPr>
          <w:p w14:paraId="3294FB3D">
            <w:pPr>
              <w:widowControl/>
              <w:jc w:val="center"/>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8</w:t>
            </w:r>
          </w:p>
        </w:tc>
        <w:tc>
          <w:tcPr>
            <w:tcW w:w="851" w:type="dxa"/>
            <w:tcBorders>
              <w:top w:val="single" w:color="000000" w:sz="4" w:space="0"/>
              <w:left w:val="single" w:color="000000" w:sz="4" w:space="0"/>
              <w:bottom w:val="single" w:color="000000" w:sz="4" w:space="0"/>
              <w:right w:val="single" w:color="000000" w:sz="4" w:space="0"/>
            </w:tcBorders>
            <w:vAlign w:val="center"/>
          </w:tcPr>
          <w:p w14:paraId="18773039">
            <w:pPr>
              <w:widowControl/>
              <w:jc w:val="center"/>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安装调试</w:t>
            </w:r>
          </w:p>
        </w:tc>
        <w:tc>
          <w:tcPr>
            <w:tcW w:w="6378" w:type="dxa"/>
            <w:tcBorders>
              <w:top w:val="single" w:color="000000" w:sz="4" w:space="0"/>
              <w:left w:val="single" w:color="000000" w:sz="4" w:space="0"/>
              <w:bottom w:val="single" w:color="000000" w:sz="4" w:space="0"/>
              <w:right w:val="single" w:color="000000" w:sz="4" w:space="0"/>
            </w:tcBorders>
            <w:vAlign w:val="center"/>
          </w:tcPr>
          <w:p w14:paraId="2F81C51D">
            <w:pPr>
              <w:widowControl/>
              <w:numPr>
                <w:ilvl w:val="0"/>
                <w:numId w:val="57"/>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包括整体设备的安装、调试、培训，要求安装到指定的位置，并达到正常使用状态。</w:t>
            </w:r>
          </w:p>
        </w:tc>
        <w:tc>
          <w:tcPr>
            <w:tcW w:w="567" w:type="dxa"/>
            <w:tcBorders>
              <w:top w:val="single" w:color="000000" w:sz="4" w:space="0"/>
              <w:left w:val="single" w:color="000000" w:sz="4" w:space="0"/>
              <w:bottom w:val="single" w:color="000000" w:sz="4" w:space="0"/>
              <w:right w:val="single" w:color="000000" w:sz="4" w:space="0"/>
            </w:tcBorders>
            <w:vAlign w:val="center"/>
          </w:tcPr>
          <w:p w14:paraId="2073AB2D">
            <w:pPr>
              <w:widowControl/>
              <w:jc w:val="center"/>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项</w:t>
            </w:r>
          </w:p>
        </w:tc>
        <w:tc>
          <w:tcPr>
            <w:tcW w:w="870" w:type="dxa"/>
            <w:tcBorders>
              <w:top w:val="single" w:color="000000" w:sz="4" w:space="0"/>
              <w:left w:val="single" w:color="000000" w:sz="4" w:space="0"/>
              <w:bottom w:val="single" w:color="000000" w:sz="4" w:space="0"/>
              <w:right w:val="single" w:color="000000" w:sz="4" w:space="0"/>
            </w:tcBorders>
            <w:vAlign w:val="center"/>
          </w:tcPr>
          <w:p w14:paraId="107A9553">
            <w:pPr>
              <w:widowControl/>
              <w:jc w:val="center"/>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1</w:t>
            </w:r>
          </w:p>
        </w:tc>
      </w:tr>
      <w:tr w14:paraId="41221C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644" w:type="dxa"/>
            <w:tcBorders>
              <w:top w:val="single" w:color="000000" w:sz="4" w:space="0"/>
              <w:left w:val="single" w:color="000000" w:sz="4" w:space="0"/>
              <w:bottom w:val="single" w:color="000000" w:sz="4" w:space="0"/>
              <w:right w:val="single" w:color="000000" w:sz="4" w:space="0"/>
            </w:tcBorders>
            <w:vAlign w:val="center"/>
          </w:tcPr>
          <w:p w14:paraId="47E9DAFB">
            <w:pPr>
              <w:widowControl/>
              <w:jc w:val="center"/>
              <w:textAlignment w:val="center"/>
              <w:rPr>
                <w:rFonts w:hint="eastAsia" w:ascii="宋体" w:hAnsi="宋体"/>
                <w:b/>
                <w:bCs/>
                <w:color w:val="auto"/>
                <w:szCs w:val="21"/>
                <w:highlight w:val="none"/>
              </w:rPr>
            </w:pPr>
            <w:r>
              <w:rPr>
                <w:rFonts w:hint="eastAsia" w:ascii="宋体" w:hAnsi="宋体"/>
                <w:b/>
                <w:bCs/>
                <w:color w:val="auto"/>
                <w:kern w:val="0"/>
                <w:szCs w:val="21"/>
                <w:highlight w:val="none"/>
                <w:lang w:bidi="ar"/>
              </w:rPr>
              <w:t>三</w:t>
            </w:r>
          </w:p>
        </w:tc>
        <w:tc>
          <w:tcPr>
            <w:tcW w:w="851" w:type="dxa"/>
            <w:tcBorders>
              <w:top w:val="single" w:color="000000" w:sz="4" w:space="0"/>
              <w:left w:val="single" w:color="000000" w:sz="4" w:space="0"/>
              <w:bottom w:val="single" w:color="000000" w:sz="4" w:space="0"/>
              <w:right w:val="single" w:color="000000" w:sz="4" w:space="0"/>
            </w:tcBorders>
            <w:vAlign w:val="center"/>
          </w:tcPr>
          <w:p w14:paraId="7182B3E2">
            <w:pPr>
              <w:widowControl/>
              <w:jc w:val="center"/>
              <w:textAlignment w:val="center"/>
              <w:rPr>
                <w:rFonts w:hint="eastAsia" w:ascii="宋体" w:hAnsi="宋体"/>
                <w:b/>
                <w:bCs/>
                <w:color w:val="auto"/>
                <w:szCs w:val="21"/>
                <w:highlight w:val="none"/>
              </w:rPr>
            </w:pPr>
            <w:r>
              <w:rPr>
                <w:rFonts w:hint="eastAsia" w:ascii="宋体" w:hAnsi="宋体"/>
                <w:b/>
                <w:bCs/>
                <w:color w:val="auto"/>
                <w:kern w:val="0"/>
                <w:szCs w:val="21"/>
                <w:highlight w:val="none"/>
                <w:lang w:bidi="ar"/>
              </w:rPr>
              <w:t>报告厅环境改造</w:t>
            </w:r>
          </w:p>
        </w:tc>
        <w:tc>
          <w:tcPr>
            <w:tcW w:w="6378" w:type="dxa"/>
            <w:tcBorders>
              <w:top w:val="single" w:color="000000" w:sz="4" w:space="0"/>
              <w:left w:val="single" w:color="000000" w:sz="4" w:space="0"/>
              <w:bottom w:val="single" w:color="000000" w:sz="4" w:space="0"/>
              <w:right w:val="single" w:color="000000" w:sz="4" w:space="0"/>
            </w:tcBorders>
            <w:vAlign w:val="center"/>
          </w:tcPr>
          <w:p w14:paraId="3E3BEA1A">
            <w:pPr>
              <w:jc w:val="left"/>
              <w:rPr>
                <w:rFonts w:hint="eastAsia" w:ascii="宋体" w:hAnsi="宋体"/>
                <w:b/>
                <w:bCs/>
                <w:color w:val="auto"/>
                <w:szCs w:val="21"/>
                <w:highlight w:val="none"/>
              </w:rPr>
            </w:pPr>
          </w:p>
        </w:tc>
        <w:tc>
          <w:tcPr>
            <w:tcW w:w="567" w:type="dxa"/>
            <w:tcBorders>
              <w:top w:val="single" w:color="000000" w:sz="4" w:space="0"/>
              <w:left w:val="single" w:color="000000" w:sz="4" w:space="0"/>
              <w:bottom w:val="single" w:color="000000" w:sz="4" w:space="0"/>
              <w:right w:val="single" w:color="000000" w:sz="4" w:space="0"/>
            </w:tcBorders>
            <w:vAlign w:val="center"/>
          </w:tcPr>
          <w:p w14:paraId="1B90AACF">
            <w:pPr>
              <w:jc w:val="center"/>
              <w:rPr>
                <w:rFonts w:hint="eastAsia" w:ascii="宋体" w:hAnsi="宋体"/>
                <w:b/>
                <w:bCs/>
                <w:color w:val="auto"/>
                <w:szCs w:val="21"/>
                <w:highlight w:val="none"/>
              </w:rPr>
            </w:pPr>
          </w:p>
        </w:tc>
        <w:tc>
          <w:tcPr>
            <w:tcW w:w="870" w:type="dxa"/>
            <w:tcBorders>
              <w:top w:val="single" w:color="000000" w:sz="4" w:space="0"/>
              <w:left w:val="single" w:color="000000" w:sz="4" w:space="0"/>
              <w:bottom w:val="single" w:color="000000" w:sz="4" w:space="0"/>
              <w:right w:val="single" w:color="000000" w:sz="4" w:space="0"/>
            </w:tcBorders>
            <w:vAlign w:val="center"/>
          </w:tcPr>
          <w:p w14:paraId="17F585FE">
            <w:pPr>
              <w:jc w:val="center"/>
              <w:rPr>
                <w:rFonts w:hint="eastAsia" w:ascii="宋体" w:hAnsi="宋体"/>
                <w:b/>
                <w:bCs/>
                <w:color w:val="auto"/>
                <w:szCs w:val="21"/>
                <w:highlight w:val="none"/>
              </w:rPr>
            </w:pPr>
          </w:p>
        </w:tc>
      </w:tr>
      <w:tr w14:paraId="14A68E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644" w:type="dxa"/>
            <w:tcBorders>
              <w:top w:val="single" w:color="000000" w:sz="4" w:space="0"/>
              <w:left w:val="single" w:color="000000" w:sz="4" w:space="0"/>
              <w:bottom w:val="single" w:color="000000" w:sz="4" w:space="0"/>
              <w:right w:val="single" w:color="000000" w:sz="4" w:space="0"/>
            </w:tcBorders>
            <w:vAlign w:val="center"/>
          </w:tcPr>
          <w:p w14:paraId="54BF0D32">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c>
          <w:tcPr>
            <w:tcW w:w="851" w:type="dxa"/>
            <w:tcBorders>
              <w:top w:val="single" w:color="000000" w:sz="4" w:space="0"/>
              <w:left w:val="single" w:color="000000" w:sz="4" w:space="0"/>
              <w:bottom w:val="single" w:color="000000" w:sz="4" w:space="0"/>
              <w:right w:val="single" w:color="000000" w:sz="4" w:space="0"/>
            </w:tcBorders>
            <w:vAlign w:val="center"/>
          </w:tcPr>
          <w:p w14:paraId="406A179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环境改造</w:t>
            </w:r>
          </w:p>
        </w:tc>
        <w:tc>
          <w:tcPr>
            <w:tcW w:w="6378" w:type="dxa"/>
            <w:tcBorders>
              <w:top w:val="single" w:color="000000" w:sz="4" w:space="0"/>
              <w:left w:val="single" w:color="000000" w:sz="4" w:space="0"/>
              <w:bottom w:val="single" w:color="000000" w:sz="4" w:space="0"/>
              <w:right w:val="single" w:color="000000" w:sz="4" w:space="0"/>
            </w:tcBorders>
            <w:vAlign w:val="center"/>
          </w:tcPr>
          <w:p w14:paraId="411819A8">
            <w:pPr>
              <w:widowControl/>
              <w:numPr>
                <w:ilvl w:val="0"/>
                <w:numId w:val="58"/>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舞台改造：根据报告厅需求对舞台进行改造，保证满足其使用需求，表面铺设木地板，并铺地毯。</w:t>
            </w:r>
          </w:p>
          <w:p w14:paraId="549D0A09">
            <w:pPr>
              <w:widowControl/>
              <w:numPr>
                <w:ilvl w:val="0"/>
                <w:numId w:val="58"/>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设备安装：包含报告厅座椅的安装固定，及各类设备的搬运及安装连接调试，各使每项产品达到最佳使用状态。</w:t>
            </w:r>
          </w:p>
          <w:p w14:paraId="2796EA77">
            <w:pPr>
              <w:widowControl/>
              <w:numPr>
                <w:ilvl w:val="0"/>
                <w:numId w:val="58"/>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垃圾清运：在本功能室全部安装调试完毕后，将产生的装修及安装垃圾全部清运至学校指定地点，并将教室进行保洁。</w:t>
            </w:r>
          </w:p>
        </w:tc>
        <w:tc>
          <w:tcPr>
            <w:tcW w:w="567" w:type="dxa"/>
            <w:tcBorders>
              <w:top w:val="single" w:color="000000" w:sz="4" w:space="0"/>
              <w:left w:val="single" w:color="000000" w:sz="4" w:space="0"/>
              <w:bottom w:val="single" w:color="000000" w:sz="4" w:space="0"/>
              <w:right w:val="single" w:color="000000" w:sz="4" w:space="0"/>
            </w:tcBorders>
            <w:vAlign w:val="center"/>
          </w:tcPr>
          <w:p w14:paraId="63AD9FFC">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项</w:t>
            </w:r>
          </w:p>
        </w:tc>
        <w:tc>
          <w:tcPr>
            <w:tcW w:w="870" w:type="dxa"/>
            <w:tcBorders>
              <w:top w:val="single" w:color="000000" w:sz="4" w:space="0"/>
              <w:left w:val="single" w:color="000000" w:sz="4" w:space="0"/>
              <w:bottom w:val="single" w:color="000000" w:sz="4" w:space="0"/>
              <w:right w:val="single" w:color="000000" w:sz="4" w:space="0"/>
            </w:tcBorders>
            <w:vAlign w:val="center"/>
          </w:tcPr>
          <w:p w14:paraId="16DF6EB3">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3633A6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644" w:type="dxa"/>
            <w:tcBorders>
              <w:top w:val="single" w:color="000000" w:sz="4" w:space="0"/>
              <w:left w:val="single" w:color="000000" w:sz="4" w:space="0"/>
              <w:bottom w:val="single" w:color="000000" w:sz="4" w:space="0"/>
              <w:right w:val="single" w:color="000000" w:sz="4" w:space="0"/>
            </w:tcBorders>
            <w:vAlign w:val="center"/>
          </w:tcPr>
          <w:p w14:paraId="54C652B8">
            <w:pPr>
              <w:widowControl/>
              <w:jc w:val="center"/>
              <w:textAlignment w:val="center"/>
              <w:rPr>
                <w:rFonts w:hint="eastAsia" w:ascii="宋体" w:hAnsi="宋体"/>
                <w:b/>
                <w:bCs/>
                <w:color w:val="auto"/>
                <w:szCs w:val="21"/>
                <w:highlight w:val="none"/>
              </w:rPr>
            </w:pPr>
            <w:r>
              <w:rPr>
                <w:rFonts w:hint="eastAsia" w:ascii="宋体" w:hAnsi="宋体"/>
                <w:b/>
                <w:bCs/>
                <w:color w:val="auto"/>
                <w:kern w:val="0"/>
                <w:szCs w:val="21"/>
                <w:highlight w:val="none"/>
                <w:lang w:bidi="ar"/>
              </w:rPr>
              <w:t>四</w:t>
            </w:r>
          </w:p>
        </w:tc>
        <w:tc>
          <w:tcPr>
            <w:tcW w:w="851" w:type="dxa"/>
            <w:tcBorders>
              <w:top w:val="single" w:color="000000" w:sz="4" w:space="0"/>
              <w:left w:val="single" w:color="000000" w:sz="4" w:space="0"/>
              <w:bottom w:val="single" w:color="000000" w:sz="4" w:space="0"/>
              <w:right w:val="single" w:color="000000" w:sz="4" w:space="0"/>
            </w:tcBorders>
            <w:vAlign w:val="center"/>
          </w:tcPr>
          <w:p w14:paraId="57604C43">
            <w:pPr>
              <w:widowControl/>
              <w:jc w:val="center"/>
              <w:textAlignment w:val="center"/>
              <w:rPr>
                <w:rFonts w:hint="eastAsia" w:ascii="宋体" w:hAnsi="宋体"/>
                <w:b/>
                <w:bCs/>
                <w:color w:val="auto"/>
                <w:szCs w:val="21"/>
                <w:highlight w:val="none"/>
              </w:rPr>
            </w:pPr>
            <w:r>
              <w:rPr>
                <w:rFonts w:hint="eastAsia" w:ascii="宋体" w:hAnsi="宋体"/>
                <w:b/>
                <w:bCs/>
                <w:color w:val="auto"/>
                <w:kern w:val="0"/>
                <w:szCs w:val="21"/>
                <w:highlight w:val="none"/>
                <w:lang w:bidi="ar"/>
              </w:rPr>
              <w:t>合班教室音响</w:t>
            </w:r>
          </w:p>
        </w:tc>
        <w:tc>
          <w:tcPr>
            <w:tcW w:w="6378" w:type="dxa"/>
            <w:tcBorders>
              <w:top w:val="single" w:color="000000" w:sz="4" w:space="0"/>
              <w:left w:val="single" w:color="000000" w:sz="4" w:space="0"/>
              <w:bottom w:val="single" w:color="000000" w:sz="4" w:space="0"/>
              <w:right w:val="single" w:color="000000" w:sz="4" w:space="0"/>
            </w:tcBorders>
            <w:vAlign w:val="center"/>
          </w:tcPr>
          <w:p w14:paraId="245A8401">
            <w:pPr>
              <w:jc w:val="left"/>
              <w:rPr>
                <w:rFonts w:hint="eastAsia" w:ascii="宋体" w:hAnsi="宋体"/>
                <w:b/>
                <w:bCs/>
                <w:color w:val="auto"/>
                <w:szCs w:val="21"/>
                <w:highlight w:val="none"/>
              </w:rPr>
            </w:pPr>
          </w:p>
        </w:tc>
        <w:tc>
          <w:tcPr>
            <w:tcW w:w="567" w:type="dxa"/>
            <w:tcBorders>
              <w:top w:val="single" w:color="000000" w:sz="4" w:space="0"/>
              <w:left w:val="single" w:color="000000" w:sz="4" w:space="0"/>
              <w:bottom w:val="single" w:color="000000" w:sz="4" w:space="0"/>
              <w:right w:val="single" w:color="000000" w:sz="4" w:space="0"/>
            </w:tcBorders>
            <w:vAlign w:val="center"/>
          </w:tcPr>
          <w:p w14:paraId="3F86CFCA">
            <w:pPr>
              <w:jc w:val="center"/>
              <w:rPr>
                <w:rFonts w:hint="eastAsia" w:ascii="宋体" w:hAnsi="宋体"/>
                <w:b/>
                <w:bCs/>
                <w:color w:val="auto"/>
                <w:szCs w:val="21"/>
                <w:highlight w:val="none"/>
              </w:rPr>
            </w:pPr>
          </w:p>
        </w:tc>
        <w:tc>
          <w:tcPr>
            <w:tcW w:w="870" w:type="dxa"/>
            <w:tcBorders>
              <w:top w:val="single" w:color="000000" w:sz="4" w:space="0"/>
              <w:left w:val="single" w:color="000000" w:sz="4" w:space="0"/>
              <w:bottom w:val="single" w:color="000000" w:sz="4" w:space="0"/>
              <w:right w:val="single" w:color="000000" w:sz="4" w:space="0"/>
            </w:tcBorders>
            <w:vAlign w:val="center"/>
          </w:tcPr>
          <w:p w14:paraId="31DE3F6B">
            <w:pPr>
              <w:jc w:val="center"/>
              <w:rPr>
                <w:rFonts w:hint="eastAsia" w:ascii="宋体" w:hAnsi="宋体"/>
                <w:b/>
                <w:bCs/>
                <w:color w:val="auto"/>
                <w:szCs w:val="21"/>
                <w:highlight w:val="none"/>
              </w:rPr>
            </w:pPr>
          </w:p>
        </w:tc>
      </w:tr>
      <w:tr w14:paraId="5D73C9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644" w:type="dxa"/>
            <w:tcBorders>
              <w:top w:val="single" w:color="000000" w:sz="4" w:space="0"/>
              <w:left w:val="single" w:color="000000" w:sz="4" w:space="0"/>
              <w:bottom w:val="single" w:color="000000" w:sz="4" w:space="0"/>
              <w:right w:val="single" w:color="000000" w:sz="4" w:space="0"/>
            </w:tcBorders>
            <w:vAlign w:val="center"/>
          </w:tcPr>
          <w:p w14:paraId="76945E11">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c>
          <w:tcPr>
            <w:tcW w:w="851" w:type="dxa"/>
            <w:tcBorders>
              <w:top w:val="single" w:color="000000" w:sz="4" w:space="0"/>
              <w:left w:val="single" w:color="000000" w:sz="4" w:space="0"/>
              <w:bottom w:val="single" w:color="000000" w:sz="4" w:space="0"/>
              <w:right w:val="single" w:color="000000" w:sz="4" w:space="0"/>
            </w:tcBorders>
            <w:vAlign w:val="center"/>
          </w:tcPr>
          <w:p w14:paraId="34E9BBD2">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音响</w:t>
            </w:r>
          </w:p>
        </w:tc>
        <w:tc>
          <w:tcPr>
            <w:tcW w:w="6378" w:type="dxa"/>
            <w:tcBorders>
              <w:top w:val="single" w:color="000000" w:sz="4" w:space="0"/>
              <w:left w:val="single" w:color="000000" w:sz="4" w:space="0"/>
              <w:bottom w:val="single" w:color="000000" w:sz="4" w:space="0"/>
              <w:right w:val="single" w:color="000000" w:sz="4" w:space="0"/>
            </w:tcBorders>
            <w:vAlign w:val="center"/>
          </w:tcPr>
          <w:p w14:paraId="05D734B2">
            <w:pPr>
              <w:widowControl/>
              <w:numPr>
                <w:ilvl w:val="0"/>
                <w:numId w:val="59"/>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单10寸全频音响</w:t>
            </w:r>
          </w:p>
          <w:p w14:paraId="2C0D3621">
            <w:pPr>
              <w:widowControl/>
              <w:numPr>
                <w:ilvl w:val="0"/>
                <w:numId w:val="59"/>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 xml:space="preserve">单元组合:LF 1×10"HF 2×3" </w:t>
            </w:r>
          </w:p>
          <w:p w14:paraId="11E262F0">
            <w:pPr>
              <w:widowControl/>
              <w:numPr>
                <w:ilvl w:val="0"/>
                <w:numId w:val="59"/>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低音38芯140磁</w:t>
            </w:r>
          </w:p>
          <w:p w14:paraId="34FA4796">
            <w:pPr>
              <w:widowControl/>
              <w:numPr>
                <w:ilvl w:val="0"/>
                <w:numId w:val="59"/>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阻抗≥8Ω</w:t>
            </w:r>
          </w:p>
          <w:p w14:paraId="00991A64">
            <w:pPr>
              <w:widowControl/>
              <w:numPr>
                <w:ilvl w:val="0"/>
                <w:numId w:val="59"/>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额定功率≥180W,最大功率≥720W</w:t>
            </w:r>
          </w:p>
          <w:p w14:paraId="0C961A17">
            <w:pPr>
              <w:widowControl/>
              <w:numPr>
                <w:ilvl w:val="0"/>
                <w:numId w:val="59"/>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灵敏度≥90dB,声压级111dB peak,@1m.</w:t>
            </w:r>
          </w:p>
          <w:p w14:paraId="75739AD4">
            <w:pPr>
              <w:widowControl/>
              <w:numPr>
                <w:ilvl w:val="0"/>
                <w:numId w:val="59"/>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频率响应:45Hz～20KHz (±3dB)</w:t>
            </w:r>
          </w:p>
          <w:p w14:paraId="6F079E60">
            <w:pPr>
              <w:widowControl/>
              <w:numPr>
                <w:ilvl w:val="0"/>
                <w:numId w:val="59"/>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辐射角度(1KHz)(H×V):≥90°× 60°</w:t>
            </w:r>
          </w:p>
        </w:tc>
        <w:tc>
          <w:tcPr>
            <w:tcW w:w="567" w:type="dxa"/>
            <w:tcBorders>
              <w:top w:val="single" w:color="000000" w:sz="4" w:space="0"/>
              <w:left w:val="single" w:color="000000" w:sz="4" w:space="0"/>
              <w:bottom w:val="single" w:color="000000" w:sz="4" w:space="0"/>
              <w:right w:val="single" w:color="000000" w:sz="4" w:space="0"/>
            </w:tcBorders>
            <w:vAlign w:val="center"/>
          </w:tcPr>
          <w:p w14:paraId="1253CBED">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只</w:t>
            </w:r>
          </w:p>
        </w:tc>
        <w:tc>
          <w:tcPr>
            <w:tcW w:w="870" w:type="dxa"/>
            <w:tcBorders>
              <w:top w:val="single" w:color="000000" w:sz="4" w:space="0"/>
              <w:left w:val="single" w:color="000000" w:sz="4" w:space="0"/>
              <w:bottom w:val="single" w:color="000000" w:sz="4" w:space="0"/>
              <w:right w:val="single" w:color="000000" w:sz="4" w:space="0"/>
            </w:tcBorders>
            <w:vAlign w:val="center"/>
          </w:tcPr>
          <w:p w14:paraId="33C3111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4</w:t>
            </w:r>
          </w:p>
        </w:tc>
      </w:tr>
      <w:tr w14:paraId="6C98B7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644" w:type="dxa"/>
            <w:tcBorders>
              <w:top w:val="single" w:color="000000" w:sz="4" w:space="0"/>
              <w:left w:val="single" w:color="000000" w:sz="4" w:space="0"/>
              <w:bottom w:val="single" w:color="000000" w:sz="4" w:space="0"/>
              <w:right w:val="single" w:color="000000" w:sz="4" w:space="0"/>
            </w:tcBorders>
            <w:vAlign w:val="center"/>
          </w:tcPr>
          <w:p w14:paraId="3DFE1A96">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w:t>
            </w:r>
          </w:p>
        </w:tc>
        <w:tc>
          <w:tcPr>
            <w:tcW w:w="851" w:type="dxa"/>
            <w:tcBorders>
              <w:top w:val="single" w:color="000000" w:sz="4" w:space="0"/>
              <w:left w:val="single" w:color="000000" w:sz="4" w:space="0"/>
              <w:bottom w:val="single" w:color="000000" w:sz="4" w:space="0"/>
              <w:right w:val="single" w:color="000000" w:sz="4" w:space="0"/>
            </w:tcBorders>
            <w:vAlign w:val="center"/>
          </w:tcPr>
          <w:p w14:paraId="584ECC40">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功放</w:t>
            </w:r>
          </w:p>
        </w:tc>
        <w:tc>
          <w:tcPr>
            <w:tcW w:w="6378" w:type="dxa"/>
            <w:tcBorders>
              <w:top w:val="single" w:color="000000" w:sz="4" w:space="0"/>
              <w:left w:val="single" w:color="000000" w:sz="4" w:space="0"/>
              <w:bottom w:val="single" w:color="000000" w:sz="4" w:space="0"/>
              <w:right w:val="single" w:color="000000" w:sz="4" w:space="0"/>
            </w:tcBorders>
            <w:vAlign w:val="center"/>
          </w:tcPr>
          <w:p w14:paraId="61FE9255">
            <w:pPr>
              <w:widowControl/>
              <w:numPr>
                <w:ilvl w:val="0"/>
                <w:numId w:val="60"/>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额定功率RMS：≥(4Ω)4×375W；</w:t>
            </w:r>
          </w:p>
          <w:p w14:paraId="7E40B3F9">
            <w:pPr>
              <w:widowControl/>
              <w:numPr>
                <w:ilvl w:val="0"/>
                <w:numId w:val="60"/>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额定功率RMS：≥(桥接8Ω)2×750W；</w:t>
            </w:r>
          </w:p>
          <w:p w14:paraId="13454348">
            <w:pPr>
              <w:widowControl/>
              <w:numPr>
                <w:ilvl w:val="0"/>
                <w:numId w:val="60"/>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额定功率RMS：≥(桥接100V)2×600W；</w:t>
            </w:r>
          </w:p>
          <w:p w14:paraId="6332E351">
            <w:pPr>
              <w:widowControl/>
              <w:numPr>
                <w:ilvl w:val="0"/>
                <w:numId w:val="60"/>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频响：20Hz-20KHz  ±0.5dB；</w:t>
            </w:r>
          </w:p>
          <w:p w14:paraId="3247832D">
            <w:pPr>
              <w:widowControl/>
              <w:numPr>
                <w:ilvl w:val="0"/>
                <w:numId w:val="60"/>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输入灵敏度：≥1V</w:t>
            </w:r>
          </w:p>
          <w:p w14:paraId="7C802CA3">
            <w:pPr>
              <w:widowControl/>
              <w:numPr>
                <w:ilvl w:val="0"/>
                <w:numId w:val="60"/>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 xml:space="preserve">信噪比:≥100dB </w:t>
            </w:r>
          </w:p>
          <w:p w14:paraId="5C3D5A81">
            <w:pPr>
              <w:widowControl/>
              <w:numPr>
                <w:ilvl w:val="0"/>
                <w:numId w:val="60"/>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失真度（THD）:≤0.03%</w:t>
            </w:r>
          </w:p>
          <w:p w14:paraId="38C5F948">
            <w:pPr>
              <w:widowControl/>
              <w:numPr>
                <w:ilvl w:val="0"/>
                <w:numId w:val="60"/>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输入阻抗:20KΩ(平衡)10KΩ(非平衡)</w:t>
            </w:r>
          </w:p>
          <w:p w14:paraId="1DF900A5">
            <w:pPr>
              <w:widowControl/>
              <w:numPr>
                <w:ilvl w:val="0"/>
                <w:numId w:val="60"/>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额定输出功率8Ω1KHz时分离度:65dB</w:t>
            </w:r>
          </w:p>
          <w:p w14:paraId="749A8A56">
            <w:pPr>
              <w:widowControl/>
              <w:numPr>
                <w:ilvl w:val="0"/>
                <w:numId w:val="60"/>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阻尼系数（5Hz-1KHz）:＞100</w:t>
            </w:r>
          </w:p>
          <w:p w14:paraId="67BA019F">
            <w:pPr>
              <w:widowControl/>
              <w:numPr>
                <w:ilvl w:val="0"/>
                <w:numId w:val="60"/>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转换速率:≥13V/uS</w:t>
            </w:r>
          </w:p>
          <w:p w14:paraId="65DD1EAE">
            <w:pPr>
              <w:widowControl/>
              <w:numPr>
                <w:ilvl w:val="0"/>
                <w:numId w:val="60"/>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保护功能:软启动保护、过热保护、过流保护、直流保护、射频保护</w:t>
            </w:r>
          </w:p>
        </w:tc>
        <w:tc>
          <w:tcPr>
            <w:tcW w:w="567" w:type="dxa"/>
            <w:tcBorders>
              <w:top w:val="single" w:color="000000" w:sz="4" w:space="0"/>
              <w:left w:val="single" w:color="000000" w:sz="4" w:space="0"/>
              <w:bottom w:val="single" w:color="000000" w:sz="4" w:space="0"/>
              <w:right w:val="single" w:color="000000" w:sz="4" w:space="0"/>
            </w:tcBorders>
            <w:vAlign w:val="center"/>
          </w:tcPr>
          <w:p w14:paraId="6EEEE4F5">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台</w:t>
            </w:r>
          </w:p>
        </w:tc>
        <w:tc>
          <w:tcPr>
            <w:tcW w:w="870" w:type="dxa"/>
            <w:tcBorders>
              <w:top w:val="single" w:color="000000" w:sz="4" w:space="0"/>
              <w:left w:val="single" w:color="000000" w:sz="4" w:space="0"/>
              <w:bottom w:val="single" w:color="000000" w:sz="4" w:space="0"/>
              <w:right w:val="single" w:color="000000" w:sz="4" w:space="0"/>
            </w:tcBorders>
            <w:vAlign w:val="center"/>
          </w:tcPr>
          <w:p w14:paraId="5DD26C7C">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5BBD2D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644" w:type="dxa"/>
            <w:tcBorders>
              <w:top w:val="single" w:color="000000" w:sz="4" w:space="0"/>
              <w:left w:val="single" w:color="000000" w:sz="4" w:space="0"/>
              <w:bottom w:val="single" w:color="000000" w:sz="4" w:space="0"/>
              <w:right w:val="single" w:color="000000" w:sz="4" w:space="0"/>
            </w:tcBorders>
            <w:vAlign w:val="center"/>
          </w:tcPr>
          <w:p w14:paraId="39B24330">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3</w:t>
            </w:r>
          </w:p>
        </w:tc>
        <w:tc>
          <w:tcPr>
            <w:tcW w:w="851" w:type="dxa"/>
            <w:tcBorders>
              <w:top w:val="single" w:color="000000" w:sz="4" w:space="0"/>
              <w:left w:val="single" w:color="000000" w:sz="4" w:space="0"/>
              <w:bottom w:val="single" w:color="000000" w:sz="4" w:space="0"/>
              <w:right w:val="single" w:color="000000" w:sz="4" w:space="0"/>
            </w:tcBorders>
            <w:vAlign w:val="center"/>
          </w:tcPr>
          <w:p w14:paraId="06C85265">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调音台</w:t>
            </w:r>
          </w:p>
        </w:tc>
        <w:tc>
          <w:tcPr>
            <w:tcW w:w="6378" w:type="dxa"/>
            <w:tcBorders>
              <w:top w:val="single" w:color="000000" w:sz="4" w:space="0"/>
              <w:left w:val="single" w:color="000000" w:sz="4" w:space="0"/>
              <w:bottom w:val="single" w:color="000000" w:sz="4" w:space="0"/>
              <w:right w:val="single" w:color="000000" w:sz="4" w:space="0"/>
            </w:tcBorders>
            <w:vAlign w:val="center"/>
          </w:tcPr>
          <w:p w14:paraId="4E0DAAE2">
            <w:pPr>
              <w:widowControl/>
              <w:numPr>
                <w:ilvl w:val="0"/>
                <w:numId w:val="61"/>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≥8路输入，≥2个编组设有独立输出端，使连接更灵活</w:t>
            </w:r>
          </w:p>
          <w:p w14:paraId="7D6170CC">
            <w:pPr>
              <w:widowControl/>
              <w:numPr>
                <w:ilvl w:val="0"/>
                <w:numId w:val="61"/>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 xml:space="preserve">内置≥16种DSP效果， </w:t>
            </w:r>
          </w:p>
          <w:p w14:paraId="1E313401">
            <w:pPr>
              <w:widowControl/>
              <w:numPr>
                <w:ilvl w:val="0"/>
                <w:numId w:val="61"/>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 xml:space="preserve">单独+48v幻想电源 </w:t>
            </w:r>
          </w:p>
          <w:p w14:paraId="60A4C16F">
            <w:pPr>
              <w:widowControl/>
              <w:numPr>
                <w:ilvl w:val="0"/>
                <w:numId w:val="61"/>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MP3大屏播放器，</w:t>
            </w:r>
          </w:p>
          <w:p w14:paraId="2B9DAC92">
            <w:pPr>
              <w:widowControl/>
              <w:numPr>
                <w:ilvl w:val="0"/>
                <w:numId w:val="61"/>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 xml:space="preserve">≥2个辅助发送，方便扩展设备，≥1个效果发送，≥1个返回，                                                                                                                                                                                                                                                                                                                                                                                                </w:t>
            </w:r>
          </w:p>
        </w:tc>
        <w:tc>
          <w:tcPr>
            <w:tcW w:w="567" w:type="dxa"/>
            <w:tcBorders>
              <w:top w:val="single" w:color="000000" w:sz="4" w:space="0"/>
              <w:left w:val="single" w:color="000000" w:sz="4" w:space="0"/>
              <w:bottom w:val="single" w:color="000000" w:sz="4" w:space="0"/>
              <w:right w:val="single" w:color="000000" w:sz="4" w:space="0"/>
            </w:tcBorders>
            <w:vAlign w:val="center"/>
          </w:tcPr>
          <w:p w14:paraId="5AF2306F">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台</w:t>
            </w:r>
          </w:p>
        </w:tc>
        <w:tc>
          <w:tcPr>
            <w:tcW w:w="870" w:type="dxa"/>
            <w:tcBorders>
              <w:top w:val="single" w:color="000000" w:sz="4" w:space="0"/>
              <w:left w:val="single" w:color="000000" w:sz="4" w:space="0"/>
              <w:bottom w:val="single" w:color="000000" w:sz="4" w:space="0"/>
              <w:right w:val="single" w:color="000000" w:sz="4" w:space="0"/>
            </w:tcBorders>
            <w:vAlign w:val="center"/>
          </w:tcPr>
          <w:p w14:paraId="1838F28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50FAF5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644" w:type="dxa"/>
            <w:tcBorders>
              <w:top w:val="single" w:color="000000" w:sz="4" w:space="0"/>
              <w:left w:val="single" w:color="000000" w:sz="4" w:space="0"/>
              <w:bottom w:val="single" w:color="000000" w:sz="4" w:space="0"/>
              <w:right w:val="single" w:color="000000" w:sz="4" w:space="0"/>
            </w:tcBorders>
            <w:vAlign w:val="center"/>
          </w:tcPr>
          <w:p w14:paraId="03982490">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4</w:t>
            </w:r>
          </w:p>
        </w:tc>
        <w:tc>
          <w:tcPr>
            <w:tcW w:w="851" w:type="dxa"/>
            <w:tcBorders>
              <w:top w:val="single" w:color="000000" w:sz="4" w:space="0"/>
              <w:left w:val="single" w:color="000000" w:sz="4" w:space="0"/>
              <w:bottom w:val="single" w:color="000000" w:sz="4" w:space="0"/>
              <w:right w:val="single" w:color="000000" w:sz="4" w:space="0"/>
            </w:tcBorders>
            <w:vAlign w:val="center"/>
          </w:tcPr>
          <w:p w14:paraId="7EBF49A7">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时序器</w:t>
            </w:r>
          </w:p>
        </w:tc>
        <w:tc>
          <w:tcPr>
            <w:tcW w:w="6378" w:type="dxa"/>
            <w:tcBorders>
              <w:top w:val="single" w:color="000000" w:sz="4" w:space="0"/>
              <w:left w:val="single" w:color="000000" w:sz="4" w:space="0"/>
              <w:bottom w:val="single" w:color="000000" w:sz="4" w:space="0"/>
              <w:right w:val="single" w:color="000000" w:sz="4" w:space="0"/>
            </w:tcBorders>
            <w:vAlign w:val="center"/>
          </w:tcPr>
          <w:p w14:paraId="0B79855B">
            <w:pPr>
              <w:widowControl/>
              <w:numPr>
                <w:ilvl w:val="0"/>
                <w:numId w:val="62"/>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面板颜色：铁黑色</w:t>
            </w:r>
          </w:p>
          <w:p w14:paraId="4FFDA6EF">
            <w:pPr>
              <w:widowControl/>
              <w:numPr>
                <w:ilvl w:val="0"/>
                <w:numId w:val="62"/>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电力输入条件(单相3线)：AC90-260V 50-60HZ两相（三线：零，火，地）</w:t>
            </w:r>
          </w:p>
          <w:p w14:paraId="50FA057A">
            <w:pPr>
              <w:widowControl/>
              <w:numPr>
                <w:ilvl w:val="0"/>
                <w:numId w:val="62"/>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通道数量：≥8路万用插座继电器受控与≥2路万用插座直接输出</w:t>
            </w:r>
          </w:p>
          <w:p w14:paraId="22B0ED51">
            <w:pPr>
              <w:widowControl/>
              <w:numPr>
                <w:ilvl w:val="0"/>
                <w:numId w:val="62"/>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继电器受控输出最大承受单路功率/总功率(无功功率）：1500W/3000W</w:t>
            </w:r>
          </w:p>
          <w:p w14:paraId="788D07A7">
            <w:pPr>
              <w:widowControl/>
              <w:numPr>
                <w:ilvl w:val="0"/>
                <w:numId w:val="62"/>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输出电源插座规格：阻燃ABS材料，最大可承受16A电流，黄铜材质，标准万用插座</w:t>
            </w:r>
          </w:p>
          <w:p w14:paraId="556B7998">
            <w:pPr>
              <w:widowControl/>
              <w:numPr>
                <w:ilvl w:val="0"/>
                <w:numId w:val="62"/>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功能特点：1.顺序开启逆序关闭 2.PASS键可全通道同时打开 3.精准电压显示</w:t>
            </w:r>
          </w:p>
          <w:p w14:paraId="172493AA">
            <w:pPr>
              <w:widowControl/>
              <w:numPr>
                <w:ilvl w:val="0"/>
                <w:numId w:val="62"/>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每路开关间隔时间：≥1秒</w:t>
            </w:r>
          </w:p>
          <w:p w14:paraId="71419342">
            <w:pPr>
              <w:widowControl/>
              <w:numPr>
                <w:ilvl w:val="0"/>
                <w:numId w:val="62"/>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输出继电器触点电流：15Ａ、30A 277VAC</w:t>
            </w:r>
          </w:p>
          <w:p w14:paraId="7BBB3526">
            <w:pPr>
              <w:widowControl/>
              <w:numPr>
                <w:ilvl w:val="0"/>
                <w:numId w:val="62"/>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电路板规格：双面纤维板，主电源走线二次加厚加粗处理</w:t>
            </w:r>
          </w:p>
          <w:p w14:paraId="57F2DB7A">
            <w:pPr>
              <w:widowControl/>
              <w:numPr>
                <w:ilvl w:val="0"/>
                <w:numId w:val="62"/>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供电规格：内置开关电源，适用全球电压AC90-260V 50-60HZ</w:t>
            </w:r>
          </w:p>
          <w:p w14:paraId="1ADACE16">
            <w:pPr>
              <w:widowControl/>
              <w:numPr>
                <w:ilvl w:val="0"/>
                <w:numId w:val="62"/>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主电缆线规格：3*2.5平方电缆线，总长度≥1.0米</w:t>
            </w:r>
          </w:p>
          <w:p w14:paraId="5720D1A5">
            <w:pPr>
              <w:widowControl/>
              <w:numPr>
                <w:ilvl w:val="0"/>
                <w:numId w:val="62"/>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开启类型：方船型开关</w:t>
            </w:r>
          </w:p>
          <w:p w14:paraId="211794DD">
            <w:pPr>
              <w:widowControl/>
              <w:numPr>
                <w:ilvl w:val="0"/>
                <w:numId w:val="62"/>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功能显示电压显示表类型：白色数码管显示电压表</w:t>
            </w:r>
          </w:p>
        </w:tc>
        <w:tc>
          <w:tcPr>
            <w:tcW w:w="567" w:type="dxa"/>
            <w:tcBorders>
              <w:top w:val="single" w:color="000000" w:sz="4" w:space="0"/>
              <w:left w:val="single" w:color="000000" w:sz="4" w:space="0"/>
              <w:bottom w:val="single" w:color="000000" w:sz="4" w:space="0"/>
              <w:right w:val="single" w:color="000000" w:sz="4" w:space="0"/>
            </w:tcBorders>
            <w:vAlign w:val="center"/>
          </w:tcPr>
          <w:p w14:paraId="20B6A7AC">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台</w:t>
            </w:r>
          </w:p>
        </w:tc>
        <w:tc>
          <w:tcPr>
            <w:tcW w:w="870" w:type="dxa"/>
            <w:tcBorders>
              <w:top w:val="single" w:color="000000" w:sz="4" w:space="0"/>
              <w:left w:val="single" w:color="000000" w:sz="4" w:space="0"/>
              <w:bottom w:val="single" w:color="000000" w:sz="4" w:space="0"/>
              <w:right w:val="single" w:color="000000" w:sz="4" w:space="0"/>
            </w:tcBorders>
            <w:vAlign w:val="center"/>
          </w:tcPr>
          <w:p w14:paraId="1A4B2C9B">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4F6722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644" w:type="dxa"/>
            <w:tcBorders>
              <w:top w:val="single" w:color="000000" w:sz="4" w:space="0"/>
              <w:left w:val="single" w:color="000000" w:sz="4" w:space="0"/>
              <w:bottom w:val="single" w:color="000000" w:sz="4" w:space="0"/>
              <w:right w:val="single" w:color="000000" w:sz="4" w:space="0"/>
            </w:tcBorders>
            <w:vAlign w:val="center"/>
          </w:tcPr>
          <w:p w14:paraId="46B660DF">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5</w:t>
            </w:r>
          </w:p>
        </w:tc>
        <w:tc>
          <w:tcPr>
            <w:tcW w:w="851" w:type="dxa"/>
            <w:tcBorders>
              <w:top w:val="single" w:color="000000" w:sz="4" w:space="0"/>
              <w:left w:val="single" w:color="000000" w:sz="4" w:space="0"/>
              <w:bottom w:val="single" w:color="000000" w:sz="4" w:space="0"/>
              <w:right w:val="single" w:color="000000" w:sz="4" w:space="0"/>
            </w:tcBorders>
            <w:vAlign w:val="center"/>
          </w:tcPr>
          <w:p w14:paraId="5DAF1916">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真分集无线一拖二头戴麦克风</w:t>
            </w:r>
          </w:p>
        </w:tc>
        <w:tc>
          <w:tcPr>
            <w:tcW w:w="6378" w:type="dxa"/>
            <w:tcBorders>
              <w:top w:val="single" w:color="000000" w:sz="4" w:space="0"/>
              <w:left w:val="single" w:color="000000" w:sz="4" w:space="0"/>
              <w:bottom w:val="single" w:color="000000" w:sz="4" w:space="0"/>
              <w:right w:val="single" w:color="000000" w:sz="4" w:space="0"/>
            </w:tcBorders>
            <w:vAlign w:val="center"/>
          </w:tcPr>
          <w:p w14:paraId="2162452C">
            <w:pPr>
              <w:widowControl/>
              <w:numPr>
                <w:ilvl w:val="0"/>
                <w:numId w:val="63"/>
              </w:numPr>
              <w:jc w:val="left"/>
              <w:textAlignment w:val="center"/>
              <w:rPr>
                <w:rFonts w:hint="eastAsia" w:ascii="宋体" w:hAnsi="宋体"/>
                <w:color w:val="auto"/>
                <w:szCs w:val="21"/>
                <w:highlight w:val="none"/>
              </w:rPr>
            </w:pPr>
            <w:r>
              <w:rPr>
                <w:rFonts w:ascii="宋体" w:hAnsi="宋体"/>
                <w:color w:val="auto"/>
                <w:szCs w:val="21"/>
                <w:highlight w:val="none"/>
                <w:lang w:bidi="ar"/>
              </w:rPr>
              <w:t xml:space="preserve">采用双通道真分集式接收技术. 每一路话筒信号都标配两组接收电路同时接收信号,有效增强信号稳定性. </w:t>
            </w:r>
          </w:p>
          <w:p w14:paraId="52047D34">
            <w:pPr>
              <w:widowControl/>
              <w:numPr>
                <w:ilvl w:val="0"/>
                <w:numId w:val="63"/>
              </w:numPr>
              <w:jc w:val="left"/>
              <w:textAlignment w:val="center"/>
              <w:rPr>
                <w:rFonts w:hint="eastAsia" w:ascii="宋体" w:hAnsi="宋体"/>
                <w:color w:val="auto"/>
                <w:szCs w:val="21"/>
                <w:highlight w:val="none"/>
              </w:rPr>
            </w:pPr>
            <w:r>
              <w:rPr>
                <w:rFonts w:ascii="宋体" w:hAnsi="宋体"/>
                <w:color w:val="auto"/>
                <w:szCs w:val="21"/>
                <w:highlight w:val="none"/>
                <w:lang w:bidi="ar"/>
              </w:rPr>
              <w:t>采用彩色显示大屏显示出每通道话筒的射频/音频/电池电量/SQ 距离/锁止等工作状态.高档实用.</w:t>
            </w:r>
          </w:p>
          <w:p w14:paraId="11441407">
            <w:pPr>
              <w:widowControl/>
              <w:numPr>
                <w:ilvl w:val="0"/>
                <w:numId w:val="63"/>
              </w:numPr>
              <w:jc w:val="left"/>
              <w:textAlignment w:val="center"/>
              <w:rPr>
                <w:rFonts w:hint="eastAsia" w:ascii="宋体" w:hAnsi="宋体"/>
                <w:color w:val="auto"/>
                <w:szCs w:val="21"/>
                <w:highlight w:val="none"/>
              </w:rPr>
            </w:pPr>
            <w:r>
              <w:rPr>
                <w:rFonts w:ascii="宋体" w:hAnsi="宋体"/>
                <w:color w:val="auto"/>
                <w:szCs w:val="21"/>
                <w:highlight w:val="none"/>
                <w:lang w:bidi="ar"/>
              </w:rPr>
              <w:t xml:space="preserve">系统标配工作频率独立可调,音量独立可调. SQ独立可调. IR红外独立控制.独立搜频功能.一键独立锁止.一键编组调 </w:t>
            </w:r>
            <w:r>
              <w:rPr>
                <w:rFonts w:ascii="宋体" w:hAnsi="宋体"/>
                <w:color w:val="auto"/>
                <w:szCs w:val="21"/>
                <w:highlight w:val="none"/>
                <w:lang w:bidi="ar"/>
              </w:rPr>
              <w:br w:type="textWrapping"/>
            </w:r>
            <w:r>
              <w:rPr>
                <w:rFonts w:ascii="宋体" w:hAnsi="宋体"/>
                <w:color w:val="auto"/>
                <w:szCs w:val="21"/>
                <w:highlight w:val="none"/>
                <w:lang w:bidi="ar"/>
              </w:rPr>
              <w:t xml:space="preserve">取等实用功能. </w:t>
            </w:r>
          </w:p>
          <w:p w14:paraId="7BC105BD">
            <w:pPr>
              <w:widowControl/>
              <w:numPr>
                <w:ilvl w:val="0"/>
                <w:numId w:val="63"/>
              </w:numPr>
              <w:jc w:val="left"/>
              <w:textAlignment w:val="center"/>
              <w:rPr>
                <w:rFonts w:hint="eastAsia" w:ascii="宋体" w:hAnsi="宋体"/>
                <w:color w:val="auto"/>
                <w:szCs w:val="21"/>
                <w:highlight w:val="none"/>
              </w:rPr>
            </w:pPr>
            <w:r>
              <w:rPr>
                <w:rFonts w:ascii="宋体" w:hAnsi="宋体"/>
                <w:color w:val="auto"/>
                <w:szCs w:val="21"/>
                <w:highlight w:val="none"/>
                <w:lang w:bidi="ar"/>
              </w:rPr>
              <w:t>系统标配内置 8 组叠机频率可供调用.为同一场所同时叠机使用 1-8 套系统提供便捷安装支持. 线路板电源内置工作模式电感，可减少电源的电磁干扰</w:t>
            </w:r>
          </w:p>
          <w:p w14:paraId="37062284">
            <w:pPr>
              <w:widowControl/>
              <w:numPr>
                <w:ilvl w:val="0"/>
                <w:numId w:val="63"/>
              </w:numPr>
              <w:jc w:val="left"/>
              <w:textAlignment w:val="center"/>
              <w:rPr>
                <w:rFonts w:hint="eastAsia" w:ascii="宋体" w:hAnsi="宋体"/>
                <w:color w:val="auto"/>
                <w:szCs w:val="21"/>
                <w:highlight w:val="none"/>
              </w:rPr>
            </w:pPr>
            <w:r>
              <w:rPr>
                <w:rFonts w:ascii="宋体" w:hAnsi="宋体"/>
                <w:color w:val="auto"/>
                <w:szCs w:val="21"/>
                <w:highlight w:val="none"/>
                <w:lang w:bidi="ar"/>
              </w:rPr>
              <w:t>标配的相位锁定电路,配合杂讯静噪控制与数码导频技术, 当发射器关闭时，导频控制电路将接收机AF 信号静音以抑制噪声，保证了对干忧信号的有效阻隔.</w:t>
            </w:r>
          </w:p>
          <w:p w14:paraId="0166E95D">
            <w:pPr>
              <w:widowControl/>
              <w:numPr>
                <w:ilvl w:val="0"/>
                <w:numId w:val="63"/>
              </w:numPr>
              <w:jc w:val="left"/>
              <w:textAlignment w:val="center"/>
              <w:rPr>
                <w:rFonts w:hint="eastAsia" w:ascii="宋体" w:hAnsi="宋体"/>
                <w:color w:val="auto"/>
                <w:szCs w:val="21"/>
                <w:highlight w:val="none"/>
              </w:rPr>
            </w:pPr>
            <w:r>
              <w:rPr>
                <w:rFonts w:ascii="宋体" w:hAnsi="宋体"/>
                <w:color w:val="auto"/>
                <w:szCs w:val="21"/>
                <w:highlight w:val="none"/>
                <w:lang w:bidi="ar"/>
              </w:rPr>
              <w:t>系统工作频率范围为 564～615MHz. 每个通道均设有 100 个频点可调.双通道共 200 个频点可调. 频率库设计</w:t>
            </w:r>
          </w:p>
          <w:p w14:paraId="64134C3B">
            <w:pPr>
              <w:widowControl/>
              <w:numPr>
                <w:ilvl w:val="0"/>
                <w:numId w:val="63"/>
              </w:numPr>
              <w:jc w:val="left"/>
              <w:textAlignment w:val="center"/>
              <w:rPr>
                <w:rFonts w:hint="eastAsia" w:ascii="宋体" w:hAnsi="宋体"/>
                <w:color w:val="auto"/>
                <w:szCs w:val="21"/>
                <w:highlight w:val="none"/>
              </w:rPr>
            </w:pPr>
            <w:r>
              <w:rPr>
                <w:rFonts w:ascii="宋体" w:hAnsi="宋体"/>
                <w:color w:val="auto"/>
                <w:szCs w:val="21"/>
                <w:highlight w:val="none"/>
                <w:lang w:bidi="ar"/>
              </w:rPr>
              <w:t xml:space="preserve">发射器技术指标： </w:t>
            </w:r>
            <w:r>
              <w:rPr>
                <w:rFonts w:ascii="宋体" w:hAnsi="宋体"/>
                <w:color w:val="auto"/>
                <w:szCs w:val="21"/>
                <w:highlight w:val="none"/>
                <w:lang w:bidi="ar"/>
              </w:rPr>
              <w:br w:type="textWrapping"/>
            </w:r>
            <w:r>
              <w:rPr>
                <w:rFonts w:ascii="宋体" w:hAnsi="宋体"/>
                <w:color w:val="auto"/>
                <w:szCs w:val="21"/>
                <w:highlight w:val="none"/>
                <w:lang w:bidi="ar"/>
              </w:rPr>
              <w:t xml:space="preserve">管身材质：全铝金属管体或铝壳领夹 </w:t>
            </w:r>
            <w:r>
              <w:rPr>
                <w:rFonts w:ascii="宋体" w:hAnsi="宋体"/>
                <w:color w:val="auto"/>
                <w:szCs w:val="21"/>
                <w:highlight w:val="none"/>
                <w:lang w:bidi="ar"/>
              </w:rPr>
              <w:br w:type="textWrapping"/>
            </w:r>
            <w:r>
              <w:rPr>
                <w:rFonts w:ascii="宋体" w:hAnsi="宋体"/>
                <w:color w:val="auto"/>
                <w:szCs w:val="21"/>
                <w:highlight w:val="none"/>
                <w:lang w:bidi="ar"/>
              </w:rPr>
              <w:t xml:space="preserve">载波频段：UHF564～615MHz </w:t>
            </w:r>
            <w:r>
              <w:rPr>
                <w:rFonts w:ascii="宋体" w:hAnsi="宋体"/>
                <w:color w:val="auto"/>
                <w:szCs w:val="21"/>
                <w:highlight w:val="none"/>
                <w:lang w:bidi="ar"/>
              </w:rPr>
              <w:br w:type="textWrapping"/>
            </w:r>
            <w:r>
              <w:rPr>
                <w:rFonts w:ascii="宋体" w:hAnsi="宋体"/>
                <w:color w:val="auto"/>
                <w:szCs w:val="21"/>
                <w:highlight w:val="none"/>
                <w:lang w:bidi="ar"/>
              </w:rPr>
              <w:t xml:space="preserve">频带宽度：≥50MHz </w:t>
            </w:r>
            <w:r>
              <w:rPr>
                <w:rFonts w:ascii="宋体" w:hAnsi="宋体"/>
                <w:color w:val="auto"/>
                <w:szCs w:val="21"/>
                <w:highlight w:val="none"/>
                <w:lang w:bidi="ar"/>
              </w:rPr>
              <w:br w:type="textWrapping"/>
            </w:r>
            <w:r>
              <w:rPr>
                <w:rFonts w:ascii="宋体" w:hAnsi="宋体"/>
                <w:color w:val="auto"/>
                <w:szCs w:val="21"/>
                <w:highlight w:val="none"/>
                <w:lang w:bidi="ar"/>
              </w:rPr>
              <w:t xml:space="preserve">频率调整：红外对频/手动调节 </w:t>
            </w:r>
            <w:r>
              <w:rPr>
                <w:rFonts w:ascii="宋体" w:hAnsi="宋体"/>
                <w:color w:val="auto"/>
                <w:szCs w:val="21"/>
                <w:highlight w:val="none"/>
                <w:lang w:bidi="ar"/>
              </w:rPr>
              <w:br w:type="textWrapping"/>
            </w:r>
            <w:r>
              <w:rPr>
                <w:rFonts w:ascii="宋体" w:hAnsi="宋体"/>
                <w:color w:val="auto"/>
                <w:szCs w:val="21"/>
                <w:highlight w:val="none"/>
                <w:lang w:bidi="ar"/>
              </w:rPr>
              <w:t xml:space="preserve">输出功率：≥30mW </w:t>
            </w:r>
            <w:r>
              <w:rPr>
                <w:rFonts w:ascii="宋体" w:hAnsi="宋体"/>
                <w:color w:val="auto"/>
                <w:szCs w:val="21"/>
                <w:highlight w:val="none"/>
                <w:lang w:bidi="ar"/>
              </w:rPr>
              <w:br w:type="textWrapping"/>
            </w:r>
            <w:r>
              <w:rPr>
                <w:rFonts w:ascii="宋体" w:hAnsi="宋体"/>
                <w:color w:val="auto"/>
                <w:szCs w:val="21"/>
                <w:highlight w:val="none"/>
                <w:lang w:bidi="ar"/>
              </w:rPr>
              <w:t xml:space="preserve">谐波幅射：＜55dBc </w:t>
            </w:r>
            <w:r>
              <w:rPr>
                <w:rFonts w:ascii="宋体" w:hAnsi="宋体"/>
                <w:color w:val="auto"/>
                <w:szCs w:val="21"/>
                <w:highlight w:val="none"/>
                <w:lang w:bidi="ar"/>
              </w:rPr>
              <w:br w:type="textWrapping"/>
            </w:r>
            <w:r>
              <w:rPr>
                <w:rFonts w:ascii="宋体" w:hAnsi="宋体"/>
                <w:color w:val="auto"/>
                <w:szCs w:val="21"/>
                <w:highlight w:val="none"/>
                <w:lang w:bidi="ar"/>
              </w:rPr>
              <w:t xml:space="preserve">手持式音头：动圈式 / 领夹与会议: 电容式 </w:t>
            </w:r>
            <w:r>
              <w:rPr>
                <w:rFonts w:ascii="宋体" w:hAnsi="宋体"/>
                <w:color w:val="auto"/>
                <w:szCs w:val="21"/>
                <w:highlight w:val="none"/>
                <w:lang w:bidi="ar"/>
              </w:rPr>
              <w:br w:type="textWrapping"/>
            </w:r>
            <w:r>
              <w:rPr>
                <w:rFonts w:ascii="宋体" w:hAnsi="宋体"/>
                <w:color w:val="auto"/>
                <w:szCs w:val="21"/>
                <w:highlight w:val="none"/>
                <w:lang w:bidi="ar"/>
              </w:rPr>
              <w:t>使用电池：5 号电池两只</w:t>
            </w:r>
            <w:r>
              <w:rPr>
                <w:rFonts w:ascii="宋体" w:hAnsi="宋体"/>
                <w:color w:val="auto"/>
                <w:szCs w:val="21"/>
                <w:highlight w:val="none"/>
                <w:lang w:bidi="ar"/>
              </w:rPr>
              <w:br w:type="textWrapping"/>
            </w:r>
            <w:r>
              <w:rPr>
                <w:rFonts w:ascii="宋体" w:hAnsi="宋体"/>
                <w:color w:val="auto"/>
                <w:szCs w:val="21"/>
                <w:highlight w:val="none"/>
                <w:lang w:bidi="ar"/>
              </w:rPr>
              <w:t>操作显示：LCD 同时显示电池容量，频道</w:t>
            </w:r>
          </w:p>
          <w:p w14:paraId="53605D28">
            <w:pPr>
              <w:widowControl/>
              <w:numPr>
                <w:ilvl w:val="0"/>
                <w:numId w:val="63"/>
              </w:numPr>
              <w:jc w:val="left"/>
              <w:textAlignment w:val="center"/>
              <w:rPr>
                <w:rFonts w:hint="eastAsia" w:ascii="宋体" w:hAnsi="宋体"/>
                <w:color w:val="auto"/>
                <w:szCs w:val="21"/>
                <w:highlight w:val="none"/>
              </w:rPr>
            </w:pPr>
            <w:r>
              <w:rPr>
                <w:rFonts w:ascii="宋体" w:hAnsi="宋体"/>
                <w:color w:val="auto"/>
                <w:szCs w:val="21"/>
                <w:highlight w:val="none"/>
                <w:lang w:bidi="ar"/>
              </w:rPr>
              <w:t xml:space="preserve">接收机技术指标： </w:t>
            </w:r>
            <w:r>
              <w:rPr>
                <w:rFonts w:ascii="宋体" w:hAnsi="宋体"/>
                <w:color w:val="auto"/>
                <w:szCs w:val="21"/>
                <w:highlight w:val="none"/>
                <w:lang w:bidi="ar"/>
              </w:rPr>
              <w:br w:type="textWrapping"/>
            </w:r>
            <w:r>
              <w:rPr>
                <w:rFonts w:ascii="宋体" w:hAnsi="宋体"/>
                <w:color w:val="auto"/>
                <w:szCs w:val="21"/>
                <w:highlight w:val="none"/>
                <w:lang w:bidi="ar"/>
              </w:rPr>
              <w:t xml:space="preserve">射频稳定度：±0.005%（-10~50℃） </w:t>
            </w:r>
            <w:r>
              <w:rPr>
                <w:rFonts w:ascii="宋体" w:hAnsi="宋体"/>
                <w:color w:val="auto"/>
                <w:szCs w:val="21"/>
                <w:highlight w:val="none"/>
                <w:lang w:bidi="ar"/>
              </w:rPr>
              <w:br w:type="textWrapping"/>
            </w:r>
            <w:r>
              <w:rPr>
                <w:rFonts w:ascii="宋体" w:hAnsi="宋体"/>
                <w:color w:val="auto"/>
                <w:szCs w:val="21"/>
                <w:highlight w:val="none"/>
                <w:lang w:bidi="ar"/>
              </w:rPr>
              <w:t xml:space="preserve">载波频率：UHF564～615MHz  </w:t>
            </w:r>
            <w:r>
              <w:rPr>
                <w:rFonts w:ascii="宋体" w:hAnsi="宋体"/>
                <w:color w:val="auto"/>
                <w:szCs w:val="21"/>
                <w:highlight w:val="none"/>
                <w:lang w:bidi="ar"/>
              </w:rPr>
              <w:br w:type="textWrapping"/>
            </w:r>
            <w:r>
              <w:rPr>
                <w:rFonts w:ascii="宋体" w:hAnsi="宋体"/>
                <w:color w:val="auto"/>
                <w:szCs w:val="21"/>
                <w:highlight w:val="none"/>
                <w:lang w:bidi="ar"/>
              </w:rPr>
              <w:t xml:space="preserve">频率宽度：≥50MHz </w:t>
            </w:r>
            <w:r>
              <w:rPr>
                <w:rFonts w:ascii="宋体" w:hAnsi="宋体"/>
                <w:color w:val="auto"/>
                <w:szCs w:val="21"/>
                <w:highlight w:val="none"/>
                <w:lang w:bidi="ar"/>
              </w:rPr>
              <w:br w:type="textWrapping"/>
            </w:r>
            <w:r>
              <w:rPr>
                <w:rFonts w:ascii="宋体" w:hAnsi="宋体"/>
                <w:color w:val="auto"/>
                <w:szCs w:val="21"/>
                <w:highlight w:val="none"/>
                <w:lang w:bidi="ar"/>
              </w:rPr>
              <w:t xml:space="preserve">操作方式：手动调整 </w:t>
            </w:r>
            <w:r>
              <w:rPr>
                <w:rFonts w:ascii="宋体" w:hAnsi="宋体"/>
                <w:color w:val="auto"/>
                <w:szCs w:val="21"/>
                <w:highlight w:val="none"/>
                <w:lang w:bidi="ar"/>
              </w:rPr>
              <w:br w:type="textWrapping"/>
            </w:r>
            <w:r>
              <w:rPr>
                <w:rFonts w:ascii="宋体" w:hAnsi="宋体"/>
                <w:color w:val="auto"/>
                <w:szCs w:val="21"/>
                <w:highlight w:val="none"/>
                <w:lang w:bidi="ar"/>
              </w:rPr>
              <w:t xml:space="preserve">灵敏度：在偏移度等于 25KHz。输入–95dBm 时，S/N＞80Db </w:t>
            </w:r>
            <w:r>
              <w:rPr>
                <w:rFonts w:ascii="宋体" w:hAnsi="宋体"/>
                <w:color w:val="auto"/>
                <w:szCs w:val="21"/>
                <w:highlight w:val="none"/>
                <w:lang w:bidi="ar"/>
              </w:rPr>
              <w:br w:type="textWrapping"/>
            </w:r>
            <w:r>
              <w:rPr>
                <w:rFonts w:ascii="宋体" w:hAnsi="宋体"/>
                <w:color w:val="auto"/>
                <w:szCs w:val="21"/>
                <w:highlight w:val="none"/>
                <w:lang w:bidi="ar"/>
              </w:rPr>
              <w:t xml:space="preserve">综合 T.H.D：＜0.5%@1KHz </w:t>
            </w:r>
            <w:r>
              <w:rPr>
                <w:rFonts w:ascii="宋体" w:hAnsi="宋体"/>
                <w:color w:val="auto"/>
                <w:szCs w:val="21"/>
                <w:highlight w:val="none"/>
                <w:lang w:bidi="ar"/>
              </w:rPr>
              <w:br w:type="textWrapping"/>
            </w:r>
            <w:r>
              <w:rPr>
                <w:rFonts w:ascii="宋体" w:hAnsi="宋体"/>
                <w:color w:val="auto"/>
                <w:szCs w:val="21"/>
                <w:highlight w:val="none"/>
                <w:lang w:bidi="ar"/>
              </w:rPr>
              <w:t xml:space="preserve">频率响应：60Hz～15KHz </w:t>
            </w:r>
            <w:r>
              <w:rPr>
                <w:rFonts w:ascii="宋体" w:hAnsi="宋体"/>
                <w:color w:val="auto"/>
                <w:szCs w:val="21"/>
                <w:highlight w:val="none"/>
                <w:lang w:bidi="ar"/>
              </w:rPr>
              <w:br w:type="textWrapping"/>
            </w:r>
            <w:r>
              <w:rPr>
                <w:rFonts w:ascii="宋体" w:hAnsi="宋体"/>
                <w:color w:val="auto"/>
                <w:szCs w:val="21"/>
                <w:highlight w:val="none"/>
                <w:lang w:bidi="ar"/>
              </w:rPr>
              <w:t xml:space="preserve">最大输出电压：0dbV@45KHz </w:t>
            </w:r>
            <w:r>
              <w:rPr>
                <w:rFonts w:ascii="宋体" w:hAnsi="宋体"/>
                <w:color w:val="auto"/>
                <w:szCs w:val="21"/>
                <w:highlight w:val="none"/>
                <w:lang w:bidi="ar"/>
              </w:rPr>
              <w:br w:type="textWrapping"/>
            </w:r>
            <w:r>
              <w:rPr>
                <w:rFonts w:ascii="宋体" w:hAnsi="宋体"/>
                <w:color w:val="auto"/>
                <w:szCs w:val="21"/>
                <w:highlight w:val="none"/>
                <w:lang w:bidi="ar"/>
              </w:rPr>
              <w:t xml:space="preserve">输出插座：XLR 平衡式及 6.3 不平衡式 </w:t>
            </w:r>
            <w:r>
              <w:rPr>
                <w:rFonts w:ascii="宋体" w:hAnsi="宋体"/>
                <w:color w:val="auto"/>
                <w:szCs w:val="21"/>
                <w:highlight w:val="none"/>
                <w:lang w:bidi="ar"/>
              </w:rPr>
              <w:br w:type="textWrapping"/>
            </w:r>
            <w:r>
              <w:rPr>
                <w:rFonts w:ascii="宋体" w:hAnsi="宋体"/>
                <w:color w:val="auto"/>
                <w:szCs w:val="21"/>
                <w:highlight w:val="none"/>
                <w:lang w:bidi="ar"/>
              </w:rPr>
              <w:t xml:space="preserve">静音控制模式：音码及杂讯双重静音控制 </w:t>
            </w:r>
            <w:r>
              <w:rPr>
                <w:rFonts w:ascii="宋体" w:hAnsi="宋体"/>
                <w:color w:val="auto"/>
                <w:szCs w:val="21"/>
                <w:highlight w:val="none"/>
                <w:lang w:bidi="ar"/>
              </w:rPr>
              <w:br w:type="textWrapping"/>
            </w:r>
            <w:r>
              <w:rPr>
                <w:rFonts w:ascii="宋体" w:hAnsi="宋体"/>
                <w:color w:val="auto"/>
                <w:szCs w:val="21"/>
                <w:highlight w:val="none"/>
                <w:lang w:bidi="ar"/>
              </w:rPr>
              <w:t xml:space="preserve">有效工作距离: 理想工况下约 50 米～250 米. </w:t>
            </w:r>
            <w:r>
              <w:rPr>
                <w:rFonts w:ascii="宋体" w:hAnsi="宋体"/>
                <w:color w:val="auto"/>
                <w:szCs w:val="21"/>
                <w:highlight w:val="none"/>
                <w:lang w:bidi="ar"/>
              </w:rPr>
              <w:br w:type="textWrapping"/>
            </w:r>
            <w:r>
              <w:rPr>
                <w:rFonts w:ascii="宋体" w:hAnsi="宋体"/>
                <w:color w:val="auto"/>
                <w:szCs w:val="21"/>
                <w:highlight w:val="none"/>
                <w:lang w:bidi="ar"/>
              </w:rPr>
              <w:t>工作电压：DC12V/1000mA</w:t>
            </w:r>
          </w:p>
        </w:tc>
        <w:tc>
          <w:tcPr>
            <w:tcW w:w="567" w:type="dxa"/>
            <w:tcBorders>
              <w:top w:val="single" w:color="000000" w:sz="4" w:space="0"/>
              <w:left w:val="single" w:color="000000" w:sz="4" w:space="0"/>
              <w:bottom w:val="single" w:color="000000" w:sz="4" w:space="0"/>
              <w:right w:val="single" w:color="000000" w:sz="4" w:space="0"/>
            </w:tcBorders>
            <w:vAlign w:val="center"/>
          </w:tcPr>
          <w:p w14:paraId="32E2B826">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台</w:t>
            </w:r>
          </w:p>
        </w:tc>
        <w:tc>
          <w:tcPr>
            <w:tcW w:w="870" w:type="dxa"/>
            <w:tcBorders>
              <w:top w:val="single" w:color="000000" w:sz="4" w:space="0"/>
              <w:left w:val="single" w:color="000000" w:sz="4" w:space="0"/>
              <w:bottom w:val="single" w:color="000000" w:sz="4" w:space="0"/>
              <w:right w:val="single" w:color="000000" w:sz="4" w:space="0"/>
            </w:tcBorders>
            <w:vAlign w:val="center"/>
          </w:tcPr>
          <w:p w14:paraId="3EBF63DE">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7924D9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644" w:type="dxa"/>
            <w:tcBorders>
              <w:top w:val="single" w:color="000000" w:sz="4" w:space="0"/>
              <w:left w:val="single" w:color="000000" w:sz="4" w:space="0"/>
              <w:bottom w:val="single" w:color="000000" w:sz="4" w:space="0"/>
              <w:right w:val="single" w:color="000000" w:sz="4" w:space="0"/>
            </w:tcBorders>
            <w:vAlign w:val="center"/>
          </w:tcPr>
          <w:p w14:paraId="4298D81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6</w:t>
            </w:r>
          </w:p>
        </w:tc>
        <w:tc>
          <w:tcPr>
            <w:tcW w:w="851" w:type="dxa"/>
            <w:tcBorders>
              <w:top w:val="single" w:color="000000" w:sz="4" w:space="0"/>
              <w:left w:val="single" w:color="000000" w:sz="4" w:space="0"/>
              <w:bottom w:val="single" w:color="000000" w:sz="4" w:space="0"/>
              <w:right w:val="single" w:color="000000" w:sz="4" w:space="0"/>
            </w:tcBorders>
            <w:vAlign w:val="center"/>
          </w:tcPr>
          <w:p w14:paraId="7CA7066D">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有线桌面话筒</w:t>
            </w:r>
          </w:p>
        </w:tc>
        <w:tc>
          <w:tcPr>
            <w:tcW w:w="6378" w:type="dxa"/>
            <w:tcBorders>
              <w:top w:val="single" w:color="000000" w:sz="4" w:space="0"/>
              <w:left w:val="single" w:color="000000" w:sz="4" w:space="0"/>
              <w:bottom w:val="single" w:color="000000" w:sz="4" w:space="0"/>
              <w:right w:val="single" w:color="000000" w:sz="4" w:space="0"/>
            </w:tcBorders>
            <w:vAlign w:val="center"/>
          </w:tcPr>
          <w:p w14:paraId="2EAE9183">
            <w:pPr>
              <w:widowControl/>
              <w:numPr>
                <w:ilvl w:val="0"/>
                <w:numId w:val="64"/>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 xml:space="preserve">换能方式：电容式 </w:t>
            </w:r>
          </w:p>
          <w:p w14:paraId="7A1129A0">
            <w:pPr>
              <w:widowControl/>
              <w:numPr>
                <w:ilvl w:val="0"/>
                <w:numId w:val="64"/>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频率响应(Hz)：40Hz-16KHz</w:t>
            </w:r>
          </w:p>
          <w:p w14:paraId="7F76D38F">
            <w:pPr>
              <w:widowControl/>
              <w:numPr>
                <w:ilvl w:val="0"/>
                <w:numId w:val="64"/>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指向性：超心型指向</w:t>
            </w:r>
          </w:p>
          <w:p w14:paraId="0C9F1FA5">
            <w:pPr>
              <w:widowControl/>
              <w:numPr>
                <w:ilvl w:val="0"/>
                <w:numId w:val="64"/>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输出阻抗（欧姆）：200Ω</w:t>
            </w:r>
          </w:p>
          <w:p w14:paraId="4F8DB8CF">
            <w:pPr>
              <w:widowControl/>
              <w:numPr>
                <w:ilvl w:val="0"/>
                <w:numId w:val="64"/>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灵敏度：-40dB±2dB</w:t>
            </w:r>
          </w:p>
          <w:p w14:paraId="0AF7BC10">
            <w:pPr>
              <w:widowControl/>
              <w:numPr>
                <w:ilvl w:val="0"/>
                <w:numId w:val="64"/>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供电电压(V)： DC3V/幻象48V</w:t>
            </w:r>
          </w:p>
          <w:p w14:paraId="5CF663A3">
            <w:pPr>
              <w:widowControl/>
              <w:numPr>
                <w:ilvl w:val="0"/>
                <w:numId w:val="64"/>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有效适音距：≥50cm</w:t>
            </w:r>
          </w:p>
          <w:p w14:paraId="73595C66">
            <w:pPr>
              <w:widowControl/>
              <w:numPr>
                <w:ilvl w:val="0"/>
                <w:numId w:val="64"/>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音频线配置：8米双芯、卡龙母+ 卡龙公</w:t>
            </w:r>
          </w:p>
          <w:p w14:paraId="463A9C61">
            <w:pPr>
              <w:widowControl/>
              <w:numPr>
                <w:ilvl w:val="0"/>
                <w:numId w:val="64"/>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开关：电子轻触</w:t>
            </w:r>
          </w:p>
          <w:p w14:paraId="518E21A9">
            <w:pPr>
              <w:widowControl/>
              <w:numPr>
                <w:ilvl w:val="0"/>
                <w:numId w:val="64"/>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电池连续使用时间：≥200小时（5号电池）</w:t>
            </w:r>
          </w:p>
        </w:tc>
        <w:tc>
          <w:tcPr>
            <w:tcW w:w="567" w:type="dxa"/>
            <w:tcBorders>
              <w:top w:val="single" w:color="000000" w:sz="4" w:space="0"/>
              <w:left w:val="single" w:color="000000" w:sz="4" w:space="0"/>
              <w:bottom w:val="single" w:color="000000" w:sz="4" w:space="0"/>
              <w:right w:val="single" w:color="000000" w:sz="4" w:space="0"/>
            </w:tcBorders>
            <w:vAlign w:val="center"/>
          </w:tcPr>
          <w:p w14:paraId="54AE23DD">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台</w:t>
            </w:r>
          </w:p>
        </w:tc>
        <w:tc>
          <w:tcPr>
            <w:tcW w:w="870" w:type="dxa"/>
            <w:tcBorders>
              <w:top w:val="single" w:color="000000" w:sz="4" w:space="0"/>
              <w:left w:val="single" w:color="000000" w:sz="4" w:space="0"/>
              <w:bottom w:val="single" w:color="000000" w:sz="4" w:space="0"/>
              <w:right w:val="single" w:color="000000" w:sz="4" w:space="0"/>
            </w:tcBorders>
            <w:vAlign w:val="center"/>
          </w:tcPr>
          <w:p w14:paraId="37A2BC76">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05DA7E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644" w:type="dxa"/>
            <w:tcBorders>
              <w:top w:val="single" w:color="000000" w:sz="4" w:space="0"/>
              <w:left w:val="single" w:color="000000" w:sz="4" w:space="0"/>
              <w:bottom w:val="single" w:color="000000" w:sz="4" w:space="0"/>
              <w:right w:val="single" w:color="000000" w:sz="4" w:space="0"/>
            </w:tcBorders>
            <w:vAlign w:val="center"/>
          </w:tcPr>
          <w:p w14:paraId="15B04D8A">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7</w:t>
            </w:r>
          </w:p>
        </w:tc>
        <w:tc>
          <w:tcPr>
            <w:tcW w:w="851" w:type="dxa"/>
            <w:tcBorders>
              <w:top w:val="single" w:color="000000" w:sz="4" w:space="0"/>
              <w:left w:val="single" w:color="000000" w:sz="4" w:space="0"/>
              <w:bottom w:val="single" w:color="000000" w:sz="4" w:space="0"/>
              <w:right w:val="single" w:color="000000" w:sz="4" w:space="0"/>
            </w:tcBorders>
            <w:vAlign w:val="center"/>
          </w:tcPr>
          <w:p w14:paraId="279B6B65">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机柜</w:t>
            </w:r>
          </w:p>
        </w:tc>
        <w:tc>
          <w:tcPr>
            <w:tcW w:w="6378" w:type="dxa"/>
            <w:tcBorders>
              <w:top w:val="single" w:color="000000" w:sz="4" w:space="0"/>
              <w:left w:val="single" w:color="000000" w:sz="4" w:space="0"/>
              <w:bottom w:val="single" w:color="000000" w:sz="4" w:space="0"/>
              <w:right w:val="single" w:color="000000" w:sz="4" w:space="0"/>
            </w:tcBorders>
            <w:vAlign w:val="center"/>
          </w:tcPr>
          <w:p w14:paraId="1073C761">
            <w:pPr>
              <w:widowControl/>
              <w:numPr>
                <w:ilvl w:val="0"/>
                <w:numId w:val="65"/>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≥16U机柜</w:t>
            </w:r>
          </w:p>
        </w:tc>
        <w:tc>
          <w:tcPr>
            <w:tcW w:w="567" w:type="dxa"/>
            <w:tcBorders>
              <w:top w:val="single" w:color="000000" w:sz="4" w:space="0"/>
              <w:left w:val="single" w:color="000000" w:sz="4" w:space="0"/>
              <w:bottom w:val="single" w:color="000000" w:sz="4" w:space="0"/>
              <w:right w:val="single" w:color="000000" w:sz="4" w:space="0"/>
            </w:tcBorders>
            <w:vAlign w:val="center"/>
          </w:tcPr>
          <w:p w14:paraId="44B484DE">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台</w:t>
            </w:r>
          </w:p>
        </w:tc>
        <w:tc>
          <w:tcPr>
            <w:tcW w:w="870" w:type="dxa"/>
            <w:tcBorders>
              <w:top w:val="single" w:color="000000" w:sz="4" w:space="0"/>
              <w:left w:val="single" w:color="000000" w:sz="4" w:space="0"/>
              <w:bottom w:val="single" w:color="000000" w:sz="4" w:space="0"/>
              <w:right w:val="single" w:color="000000" w:sz="4" w:space="0"/>
            </w:tcBorders>
            <w:vAlign w:val="center"/>
          </w:tcPr>
          <w:p w14:paraId="5C5A0E11">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2FEB81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644" w:type="dxa"/>
            <w:tcBorders>
              <w:top w:val="single" w:color="000000" w:sz="4" w:space="0"/>
              <w:left w:val="single" w:color="000000" w:sz="4" w:space="0"/>
              <w:bottom w:val="single" w:color="000000" w:sz="4" w:space="0"/>
              <w:right w:val="single" w:color="000000" w:sz="4" w:space="0"/>
            </w:tcBorders>
            <w:vAlign w:val="center"/>
          </w:tcPr>
          <w:p w14:paraId="2A3BF27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8</w:t>
            </w:r>
          </w:p>
        </w:tc>
        <w:tc>
          <w:tcPr>
            <w:tcW w:w="851" w:type="dxa"/>
            <w:tcBorders>
              <w:top w:val="single" w:color="000000" w:sz="4" w:space="0"/>
              <w:left w:val="single" w:color="000000" w:sz="4" w:space="0"/>
              <w:bottom w:val="single" w:color="000000" w:sz="4" w:space="0"/>
              <w:right w:val="single" w:color="000000" w:sz="4" w:space="0"/>
            </w:tcBorders>
            <w:vAlign w:val="center"/>
          </w:tcPr>
          <w:p w14:paraId="58D1C414">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辅材</w:t>
            </w:r>
          </w:p>
        </w:tc>
        <w:tc>
          <w:tcPr>
            <w:tcW w:w="6378" w:type="dxa"/>
            <w:tcBorders>
              <w:top w:val="single" w:color="000000" w:sz="4" w:space="0"/>
              <w:left w:val="single" w:color="000000" w:sz="4" w:space="0"/>
              <w:bottom w:val="single" w:color="000000" w:sz="4" w:space="0"/>
              <w:right w:val="single" w:color="000000" w:sz="4" w:space="0"/>
            </w:tcBorders>
            <w:vAlign w:val="center"/>
          </w:tcPr>
          <w:p w14:paraId="025C0EFB">
            <w:pPr>
              <w:widowControl/>
              <w:numPr>
                <w:ilvl w:val="0"/>
                <w:numId w:val="66"/>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音响线、电源线、灯光架子、线管、线槽等设备跳线接头</w:t>
            </w:r>
          </w:p>
        </w:tc>
        <w:tc>
          <w:tcPr>
            <w:tcW w:w="567" w:type="dxa"/>
            <w:tcBorders>
              <w:top w:val="single" w:color="000000" w:sz="4" w:space="0"/>
              <w:left w:val="single" w:color="000000" w:sz="4" w:space="0"/>
              <w:bottom w:val="single" w:color="000000" w:sz="4" w:space="0"/>
              <w:right w:val="single" w:color="000000" w:sz="4" w:space="0"/>
            </w:tcBorders>
            <w:vAlign w:val="center"/>
          </w:tcPr>
          <w:p w14:paraId="20B77340">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批</w:t>
            </w:r>
          </w:p>
        </w:tc>
        <w:tc>
          <w:tcPr>
            <w:tcW w:w="870" w:type="dxa"/>
            <w:tcBorders>
              <w:top w:val="single" w:color="000000" w:sz="4" w:space="0"/>
              <w:left w:val="single" w:color="000000" w:sz="4" w:space="0"/>
              <w:bottom w:val="single" w:color="000000" w:sz="4" w:space="0"/>
              <w:right w:val="single" w:color="000000" w:sz="4" w:space="0"/>
            </w:tcBorders>
            <w:vAlign w:val="center"/>
          </w:tcPr>
          <w:p w14:paraId="38CD1D58">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05398A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644" w:type="dxa"/>
            <w:tcBorders>
              <w:top w:val="single" w:color="000000" w:sz="4" w:space="0"/>
              <w:left w:val="single" w:color="000000" w:sz="4" w:space="0"/>
              <w:bottom w:val="single" w:color="000000" w:sz="4" w:space="0"/>
              <w:right w:val="single" w:color="000000" w:sz="4" w:space="0"/>
            </w:tcBorders>
            <w:vAlign w:val="center"/>
          </w:tcPr>
          <w:p w14:paraId="78C85F42">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9</w:t>
            </w:r>
          </w:p>
        </w:tc>
        <w:tc>
          <w:tcPr>
            <w:tcW w:w="851" w:type="dxa"/>
            <w:tcBorders>
              <w:top w:val="single" w:color="000000" w:sz="4" w:space="0"/>
              <w:left w:val="single" w:color="000000" w:sz="4" w:space="0"/>
              <w:bottom w:val="single" w:color="000000" w:sz="4" w:space="0"/>
              <w:right w:val="single" w:color="000000" w:sz="4" w:space="0"/>
            </w:tcBorders>
            <w:vAlign w:val="center"/>
          </w:tcPr>
          <w:p w14:paraId="39FB701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安装调试</w:t>
            </w:r>
          </w:p>
        </w:tc>
        <w:tc>
          <w:tcPr>
            <w:tcW w:w="6378" w:type="dxa"/>
            <w:tcBorders>
              <w:top w:val="single" w:color="000000" w:sz="4" w:space="0"/>
              <w:left w:val="single" w:color="000000" w:sz="4" w:space="0"/>
              <w:bottom w:val="single" w:color="000000" w:sz="4" w:space="0"/>
              <w:right w:val="single" w:color="000000" w:sz="4" w:space="0"/>
            </w:tcBorders>
            <w:vAlign w:val="center"/>
          </w:tcPr>
          <w:p w14:paraId="7E083224">
            <w:pPr>
              <w:widowControl/>
              <w:numPr>
                <w:ilvl w:val="0"/>
                <w:numId w:val="67"/>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设备的安装调试培训等</w:t>
            </w:r>
          </w:p>
        </w:tc>
        <w:tc>
          <w:tcPr>
            <w:tcW w:w="567" w:type="dxa"/>
            <w:tcBorders>
              <w:top w:val="single" w:color="000000" w:sz="4" w:space="0"/>
              <w:left w:val="single" w:color="000000" w:sz="4" w:space="0"/>
              <w:bottom w:val="single" w:color="000000" w:sz="4" w:space="0"/>
              <w:right w:val="single" w:color="000000" w:sz="4" w:space="0"/>
            </w:tcBorders>
            <w:vAlign w:val="center"/>
          </w:tcPr>
          <w:p w14:paraId="1B787EB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项</w:t>
            </w:r>
          </w:p>
        </w:tc>
        <w:tc>
          <w:tcPr>
            <w:tcW w:w="870" w:type="dxa"/>
            <w:tcBorders>
              <w:top w:val="single" w:color="000000" w:sz="4" w:space="0"/>
              <w:left w:val="single" w:color="000000" w:sz="4" w:space="0"/>
              <w:bottom w:val="single" w:color="000000" w:sz="4" w:space="0"/>
              <w:right w:val="single" w:color="000000" w:sz="4" w:space="0"/>
            </w:tcBorders>
            <w:vAlign w:val="center"/>
          </w:tcPr>
          <w:p w14:paraId="78A24B8E">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14831F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644" w:type="dxa"/>
            <w:tcBorders>
              <w:top w:val="single" w:color="000000" w:sz="4" w:space="0"/>
              <w:left w:val="single" w:color="000000" w:sz="4" w:space="0"/>
              <w:bottom w:val="single" w:color="000000" w:sz="4" w:space="0"/>
              <w:right w:val="single" w:color="000000" w:sz="4" w:space="0"/>
            </w:tcBorders>
            <w:vAlign w:val="center"/>
          </w:tcPr>
          <w:p w14:paraId="0B7BDF21">
            <w:pPr>
              <w:widowControl/>
              <w:jc w:val="center"/>
              <w:textAlignment w:val="center"/>
              <w:rPr>
                <w:rFonts w:hint="eastAsia" w:ascii="宋体" w:hAnsi="宋体"/>
                <w:b/>
                <w:bCs/>
                <w:color w:val="auto"/>
                <w:szCs w:val="21"/>
                <w:highlight w:val="none"/>
              </w:rPr>
            </w:pPr>
            <w:r>
              <w:rPr>
                <w:rFonts w:hint="eastAsia" w:ascii="宋体" w:hAnsi="宋体"/>
                <w:b/>
                <w:bCs/>
                <w:color w:val="auto"/>
                <w:kern w:val="0"/>
                <w:szCs w:val="21"/>
                <w:highlight w:val="none"/>
                <w:lang w:bidi="ar"/>
              </w:rPr>
              <w:t>五</w:t>
            </w:r>
          </w:p>
        </w:tc>
        <w:tc>
          <w:tcPr>
            <w:tcW w:w="851" w:type="dxa"/>
            <w:tcBorders>
              <w:top w:val="single" w:color="000000" w:sz="4" w:space="0"/>
              <w:left w:val="single" w:color="000000" w:sz="4" w:space="0"/>
              <w:bottom w:val="single" w:color="000000" w:sz="4" w:space="0"/>
              <w:right w:val="single" w:color="000000" w:sz="4" w:space="0"/>
            </w:tcBorders>
            <w:vAlign w:val="center"/>
          </w:tcPr>
          <w:p w14:paraId="2A2BB414">
            <w:pPr>
              <w:widowControl/>
              <w:jc w:val="center"/>
              <w:textAlignment w:val="center"/>
              <w:rPr>
                <w:rFonts w:hint="eastAsia" w:ascii="宋体" w:hAnsi="宋体"/>
                <w:b/>
                <w:bCs/>
                <w:color w:val="auto"/>
                <w:szCs w:val="21"/>
                <w:highlight w:val="none"/>
              </w:rPr>
            </w:pPr>
            <w:r>
              <w:rPr>
                <w:rFonts w:hint="eastAsia" w:ascii="宋体" w:hAnsi="宋体"/>
                <w:b/>
                <w:bCs/>
                <w:color w:val="auto"/>
                <w:kern w:val="0"/>
                <w:szCs w:val="21"/>
                <w:highlight w:val="none"/>
                <w:lang w:bidi="ar"/>
              </w:rPr>
              <w:t>合班教室LED屏</w:t>
            </w:r>
          </w:p>
        </w:tc>
        <w:tc>
          <w:tcPr>
            <w:tcW w:w="6378" w:type="dxa"/>
            <w:tcBorders>
              <w:top w:val="single" w:color="000000" w:sz="4" w:space="0"/>
              <w:left w:val="single" w:color="000000" w:sz="4" w:space="0"/>
              <w:bottom w:val="single" w:color="000000" w:sz="4" w:space="0"/>
              <w:right w:val="single" w:color="000000" w:sz="4" w:space="0"/>
            </w:tcBorders>
            <w:vAlign w:val="center"/>
          </w:tcPr>
          <w:p w14:paraId="69A83ADB">
            <w:pPr>
              <w:jc w:val="center"/>
              <w:rPr>
                <w:rFonts w:hint="eastAsia" w:ascii="宋体" w:hAnsi="宋体"/>
                <w:color w:val="auto"/>
                <w:szCs w:val="21"/>
                <w:highlight w:val="none"/>
              </w:rPr>
            </w:pPr>
          </w:p>
        </w:tc>
        <w:tc>
          <w:tcPr>
            <w:tcW w:w="567" w:type="dxa"/>
            <w:tcBorders>
              <w:top w:val="single" w:color="000000" w:sz="4" w:space="0"/>
              <w:left w:val="single" w:color="000000" w:sz="4" w:space="0"/>
              <w:bottom w:val="single" w:color="000000" w:sz="4" w:space="0"/>
              <w:right w:val="single" w:color="000000" w:sz="4" w:space="0"/>
            </w:tcBorders>
            <w:vAlign w:val="center"/>
          </w:tcPr>
          <w:p w14:paraId="75E6CA5B">
            <w:pPr>
              <w:jc w:val="center"/>
              <w:rPr>
                <w:rFonts w:hint="eastAsia" w:ascii="宋体" w:hAnsi="宋体"/>
                <w:color w:val="auto"/>
                <w:szCs w:val="21"/>
                <w:highlight w:val="none"/>
              </w:rPr>
            </w:pPr>
          </w:p>
        </w:tc>
        <w:tc>
          <w:tcPr>
            <w:tcW w:w="870" w:type="dxa"/>
            <w:tcBorders>
              <w:top w:val="single" w:color="000000" w:sz="4" w:space="0"/>
              <w:left w:val="single" w:color="000000" w:sz="4" w:space="0"/>
              <w:bottom w:val="single" w:color="000000" w:sz="4" w:space="0"/>
              <w:right w:val="single" w:color="000000" w:sz="4" w:space="0"/>
            </w:tcBorders>
            <w:vAlign w:val="center"/>
          </w:tcPr>
          <w:p w14:paraId="31EE0D5B">
            <w:pPr>
              <w:jc w:val="center"/>
              <w:rPr>
                <w:rFonts w:hint="eastAsia" w:ascii="宋体" w:hAnsi="宋体"/>
                <w:color w:val="auto"/>
                <w:szCs w:val="21"/>
                <w:highlight w:val="none"/>
              </w:rPr>
            </w:pPr>
          </w:p>
        </w:tc>
      </w:tr>
      <w:tr w14:paraId="5F773A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644" w:type="dxa"/>
            <w:tcBorders>
              <w:top w:val="single" w:color="000000" w:sz="4" w:space="0"/>
              <w:left w:val="single" w:color="000000" w:sz="4" w:space="0"/>
              <w:bottom w:val="single" w:color="000000" w:sz="4" w:space="0"/>
              <w:right w:val="single" w:color="000000" w:sz="4" w:space="0"/>
            </w:tcBorders>
            <w:vAlign w:val="center"/>
          </w:tcPr>
          <w:p w14:paraId="054DB18C">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c>
          <w:tcPr>
            <w:tcW w:w="851" w:type="dxa"/>
            <w:tcBorders>
              <w:top w:val="single" w:color="000000" w:sz="4" w:space="0"/>
              <w:left w:val="single" w:color="000000" w:sz="4" w:space="0"/>
              <w:bottom w:val="single" w:color="000000" w:sz="4" w:space="0"/>
              <w:right w:val="single" w:color="000000" w:sz="4" w:space="0"/>
            </w:tcBorders>
            <w:vAlign w:val="center"/>
          </w:tcPr>
          <w:p w14:paraId="10A0EDB4">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户内全彩</w:t>
            </w:r>
            <w:r>
              <w:rPr>
                <w:rFonts w:hint="eastAsia" w:ascii="宋体" w:hAnsi="宋体"/>
                <w:color w:val="auto"/>
                <w:kern w:val="0"/>
                <w:szCs w:val="21"/>
                <w:highlight w:val="none"/>
                <w:lang w:bidi="ar"/>
              </w:rPr>
              <w:br w:type="textWrapping"/>
            </w:r>
            <w:r>
              <w:rPr>
                <w:rFonts w:hint="eastAsia" w:ascii="宋体" w:hAnsi="宋体"/>
                <w:color w:val="auto"/>
                <w:kern w:val="0"/>
                <w:szCs w:val="21"/>
                <w:highlight w:val="none"/>
                <w:lang w:bidi="ar"/>
              </w:rPr>
              <w:t>LED显示屏</w:t>
            </w:r>
          </w:p>
        </w:tc>
        <w:tc>
          <w:tcPr>
            <w:tcW w:w="6378" w:type="dxa"/>
            <w:tcBorders>
              <w:top w:val="single" w:color="000000" w:sz="4" w:space="0"/>
              <w:left w:val="single" w:color="000000" w:sz="4" w:space="0"/>
              <w:bottom w:val="single" w:color="000000" w:sz="4" w:space="0"/>
              <w:right w:val="single" w:color="000000" w:sz="4" w:space="0"/>
            </w:tcBorders>
            <w:vAlign w:val="center"/>
          </w:tcPr>
          <w:p w14:paraId="08CBBB74">
            <w:pPr>
              <w:widowControl/>
              <w:numPr>
                <w:ilvl w:val="0"/>
                <w:numId w:val="68"/>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像素点间距：≤2.0mm</w:t>
            </w:r>
          </w:p>
          <w:p w14:paraId="0AE3194D">
            <w:pPr>
              <w:widowControl/>
              <w:numPr>
                <w:ilvl w:val="0"/>
                <w:numId w:val="68"/>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像素密度：≥250000 Dots/m2</w:t>
            </w:r>
          </w:p>
          <w:p w14:paraId="454E4F60">
            <w:pPr>
              <w:widowControl/>
              <w:numPr>
                <w:ilvl w:val="0"/>
                <w:numId w:val="68"/>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单元板分辨率：≥12800 Dots</w:t>
            </w:r>
          </w:p>
          <w:p w14:paraId="6847FCC0">
            <w:pPr>
              <w:widowControl/>
              <w:numPr>
                <w:ilvl w:val="0"/>
                <w:numId w:val="68"/>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显示效果：4K超清显示、色温均匀性好、亮度均匀性好，对比度高、色域广</w:t>
            </w:r>
          </w:p>
          <w:p w14:paraId="2CB83AA7">
            <w:pPr>
              <w:widowControl/>
              <w:numPr>
                <w:ilvl w:val="0"/>
                <w:numId w:val="68"/>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驱动方式：恒流驱动</w:t>
            </w:r>
          </w:p>
          <w:p w14:paraId="32AED789">
            <w:pPr>
              <w:widowControl/>
              <w:numPr>
                <w:ilvl w:val="0"/>
                <w:numId w:val="68"/>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供电方式：支持电源均流DC4.2V～DC5V，供电支持电源双输出电压DC2.8V/DC3.8V</w:t>
            </w:r>
          </w:p>
          <w:p w14:paraId="788F6574">
            <w:pPr>
              <w:widowControl/>
              <w:numPr>
                <w:ilvl w:val="0"/>
                <w:numId w:val="68"/>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整屏平整度：≤0.04mm</w:t>
            </w:r>
          </w:p>
          <w:p w14:paraId="3034064F">
            <w:pPr>
              <w:widowControl/>
              <w:numPr>
                <w:ilvl w:val="0"/>
                <w:numId w:val="68"/>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模组平整度：≤0.03mm</w:t>
            </w:r>
          </w:p>
          <w:p w14:paraId="56E2BF38">
            <w:pPr>
              <w:widowControl/>
              <w:numPr>
                <w:ilvl w:val="0"/>
                <w:numId w:val="68"/>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拼接缝：≤0.03mm</w:t>
            </w:r>
          </w:p>
          <w:p w14:paraId="53CE9BDD">
            <w:pPr>
              <w:widowControl/>
              <w:numPr>
                <w:ilvl w:val="0"/>
                <w:numId w:val="68"/>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白平衡亮度：≥600Cd/m²</w:t>
            </w:r>
          </w:p>
          <w:p w14:paraId="383E42EE">
            <w:pPr>
              <w:widowControl/>
              <w:numPr>
                <w:ilvl w:val="0"/>
                <w:numId w:val="68"/>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亮度均匀性：≥99%</w:t>
            </w:r>
          </w:p>
          <w:p w14:paraId="479A6F8A">
            <w:pPr>
              <w:widowControl/>
              <w:numPr>
                <w:ilvl w:val="0"/>
                <w:numId w:val="68"/>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色度均匀性：±0.001Cx、Cy内</w:t>
            </w:r>
          </w:p>
          <w:p w14:paraId="0AB5DB20">
            <w:pPr>
              <w:widowControl/>
              <w:numPr>
                <w:ilvl w:val="0"/>
                <w:numId w:val="68"/>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色温：800-18000K</w:t>
            </w:r>
          </w:p>
          <w:p w14:paraId="7DA413DE">
            <w:pPr>
              <w:widowControl/>
              <w:numPr>
                <w:ilvl w:val="0"/>
                <w:numId w:val="68"/>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水平视角：≥170°</w:t>
            </w:r>
          </w:p>
          <w:p w14:paraId="1A9B2329">
            <w:pPr>
              <w:widowControl/>
              <w:numPr>
                <w:ilvl w:val="0"/>
                <w:numId w:val="68"/>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垂直视角：≥170°</w:t>
            </w:r>
          </w:p>
          <w:p w14:paraId="4CA0AAF2">
            <w:pPr>
              <w:widowControl/>
              <w:numPr>
                <w:ilvl w:val="0"/>
                <w:numId w:val="68"/>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对比度：≥8000：1</w:t>
            </w:r>
          </w:p>
          <w:p w14:paraId="4ACAD197">
            <w:pPr>
              <w:widowControl/>
              <w:numPr>
                <w:ilvl w:val="0"/>
                <w:numId w:val="68"/>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刷新率：≥3840Hz</w:t>
            </w:r>
          </w:p>
          <w:p w14:paraId="61D7793A">
            <w:pPr>
              <w:widowControl/>
              <w:numPr>
                <w:ilvl w:val="0"/>
                <w:numId w:val="68"/>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像素失控率：&lt;1/100000</w:t>
            </w:r>
          </w:p>
          <w:p w14:paraId="22528B13">
            <w:pPr>
              <w:widowControl/>
              <w:numPr>
                <w:ilvl w:val="0"/>
                <w:numId w:val="68"/>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发光点中心偏距：＜0.8%</w:t>
            </w:r>
          </w:p>
          <w:p w14:paraId="53AE2C0C">
            <w:pPr>
              <w:widowControl/>
              <w:numPr>
                <w:ilvl w:val="0"/>
                <w:numId w:val="68"/>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峰值功耗：≤300W/m²</w:t>
            </w:r>
          </w:p>
          <w:p w14:paraId="5BDCA186">
            <w:pPr>
              <w:widowControl/>
              <w:numPr>
                <w:ilvl w:val="0"/>
                <w:numId w:val="68"/>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平均功耗：≤120W/m²</w:t>
            </w:r>
          </w:p>
          <w:p w14:paraId="3A2D715D">
            <w:pPr>
              <w:widowControl/>
              <w:numPr>
                <w:ilvl w:val="0"/>
                <w:numId w:val="68"/>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最大电流：≤5A</w:t>
            </w:r>
          </w:p>
          <w:p w14:paraId="7C62D4E6">
            <w:pPr>
              <w:widowControl/>
              <w:numPr>
                <w:ilvl w:val="0"/>
                <w:numId w:val="68"/>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电流增益：电流增益调节范围：1%～199%，电流增益调节级别≥8位</w:t>
            </w:r>
          </w:p>
          <w:p w14:paraId="768E6CC5">
            <w:pPr>
              <w:widowControl/>
              <w:numPr>
                <w:ilvl w:val="0"/>
                <w:numId w:val="68"/>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具有列下消隐功能、倍频刷新率提升2/4/8倍、低灰偏色改善</w:t>
            </w:r>
          </w:p>
          <w:p w14:paraId="50EFAD16">
            <w:pPr>
              <w:widowControl/>
              <w:numPr>
                <w:ilvl w:val="0"/>
                <w:numId w:val="68"/>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色温为6500K时，100%、75%、50%、25%四档电平白场调节色温误差≤200K</w:t>
            </w:r>
          </w:p>
          <w:p w14:paraId="15D01803">
            <w:pPr>
              <w:widowControl/>
              <w:numPr>
                <w:ilvl w:val="0"/>
                <w:numId w:val="68"/>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PCB板材采用玻璃化温度≥150℃的覆铜板；PCB板采用FR-4材质，电路采用多层设计，符合CQC13-471301-2018国家标准</w:t>
            </w:r>
          </w:p>
          <w:p w14:paraId="6B35D798">
            <w:pPr>
              <w:widowControl/>
              <w:numPr>
                <w:ilvl w:val="0"/>
                <w:numId w:val="68"/>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每个灯芯的波长误差值在±1nm以内，每个灯芯的亮度误差在5%以内</w:t>
            </w:r>
          </w:p>
          <w:p w14:paraId="0B9CDE61">
            <w:pPr>
              <w:widowControl/>
              <w:numPr>
                <w:ilvl w:val="0"/>
                <w:numId w:val="68"/>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具有H2S宽动态处理技术，解决主控机二次重复播放时的衰减等现象</w:t>
            </w:r>
          </w:p>
          <w:p w14:paraId="1C0BE1F8">
            <w:pPr>
              <w:widowControl/>
              <w:numPr>
                <w:ilvl w:val="0"/>
                <w:numId w:val="68"/>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屏幕表面光反射率：照度=10Lux/5600K条件下， 显示屏屏幕表面光反射率 （单位面积反射亮度）＜3.0cd/m²</w:t>
            </w:r>
          </w:p>
          <w:p w14:paraId="0EE89973">
            <w:pPr>
              <w:widowControl/>
              <w:numPr>
                <w:ilvl w:val="0"/>
                <w:numId w:val="68"/>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具有多点测温系统、通讯检测、电源检测、可实现远程监督控制，对可能发生的潜在故障记录日志，并向操作员发出警报信息</w:t>
            </w:r>
          </w:p>
          <w:p w14:paraId="0C5386A7">
            <w:pPr>
              <w:widowControl/>
              <w:numPr>
                <w:ilvl w:val="0"/>
                <w:numId w:val="68"/>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具有单点亮度校正，校正后亮度损失≤8%；具有颜色校正功能，具有灰度校正，支持模组校正，具有校正数据存储及自动回读功能</w:t>
            </w:r>
          </w:p>
          <w:p w14:paraId="7B617F25">
            <w:pPr>
              <w:widowControl/>
              <w:numPr>
                <w:ilvl w:val="0"/>
                <w:numId w:val="68"/>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可实现LED单点检测，通讯检测、温度检测、电源检测、温度监控等功能。</w:t>
            </w:r>
          </w:p>
        </w:tc>
        <w:tc>
          <w:tcPr>
            <w:tcW w:w="567" w:type="dxa"/>
            <w:tcBorders>
              <w:top w:val="single" w:color="000000" w:sz="4" w:space="0"/>
              <w:left w:val="single" w:color="000000" w:sz="4" w:space="0"/>
              <w:bottom w:val="single" w:color="000000" w:sz="4" w:space="0"/>
              <w:right w:val="single" w:color="000000" w:sz="4" w:space="0"/>
            </w:tcBorders>
            <w:vAlign w:val="center"/>
          </w:tcPr>
          <w:p w14:paraId="66579D68">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平方米</w:t>
            </w:r>
          </w:p>
        </w:tc>
        <w:tc>
          <w:tcPr>
            <w:tcW w:w="870" w:type="dxa"/>
            <w:tcBorders>
              <w:top w:val="single" w:color="000000" w:sz="4" w:space="0"/>
              <w:left w:val="single" w:color="000000" w:sz="4" w:space="0"/>
              <w:bottom w:val="single" w:color="000000" w:sz="4" w:space="0"/>
              <w:right w:val="single" w:color="000000" w:sz="4" w:space="0"/>
            </w:tcBorders>
            <w:vAlign w:val="center"/>
          </w:tcPr>
          <w:p w14:paraId="4A3E9F6F">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10.5</w:t>
            </w:r>
          </w:p>
        </w:tc>
      </w:tr>
      <w:tr w14:paraId="267F0C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644" w:type="dxa"/>
            <w:tcBorders>
              <w:top w:val="single" w:color="000000" w:sz="4" w:space="0"/>
              <w:left w:val="single" w:color="000000" w:sz="4" w:space="0"/>
              <w:bottom w:val="single" w:color="000000" w:sz="4" w:space="0"/>
              <w:right w:val="single" w:color="000000" w:sz="4" w:space="0"/>
            </w:tcBorders>
            <w:vAlign w:val="center"/>
          </w:tcPr>
          <w:p w14:paraId="7C09E813">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w:t>
            </w:r>
          </w:p>
        </w:tc>
        <w:tc>
          <w:tcPr>
            <w:tcW w:w="851" w:type="dxa"/>
            <w:tcBorders>
              <w:top w:val="single" w:color="000000" w:sz="4" w:space="0"/>
              <w:left w:val="single" w:color="000000" w:sz="4" w:space="0"/>
              <w:bottom w:val="single" w:color="000000" w:sz="4" w:space="0"/>
              <w:right w:val="single" w:color="000000" w:sz="4" w:space="0"/>
            </w:tcBorders>
            <w:vAlign w:val="center"/>
          </w:tcPr>
          <w:p w14:paraId="231917BE">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接收卡</w:t>
            </w:r>
          </w:p>
        </w:tc>
        <w:tc>
          <w:tcPr>
            <w:tcW w:w="6378" w:type="dxa"/>
            <w:tcBorders>
              <w:top w:val="single" w:color="000000" w:sz="4" w:space="0"/>
              <w:left w:val="single" w:color="000000" w:sz="4" w:space="0"/>
              <w:bottom w:val="single" w:color="000000" w:sz="4" w:space="0"/>
              <w:right w:val="single" w:color="000000" w:sz="4" w:space="0"/>
            </w:tcBorders>
            <w:vAlign w:val="center"/>
          </w:tcPr>
          <w:p w14:paraId="14B08ACD">
            <w:pPr>
              <w:widowControl/>
              <w:numPr>
                <w:ilvl w:val="0"/>
                <w:numId w:val="69"/>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集成HUB75接口</w:t>
            </w:r>
            <w:r>
              <w:rPr>
                <w:rFonts w:ascii="宋体" w:hAnsi="宋体"/>
                <w:color w:val="auto"/>
                <w:szCs w:val="21"/>
                <w:highlight w:val="none"/>
              </w:rPr>
              <w:t xml:space="preserve"> </w:t>
            </w:r>
          </w:p>
          <w:p w14:paraId="53C9857B">
            <w:pPr>
              <w:widowControl/>
              <w:numPr>
                <w:ilvl w:val="0"/>
                <w:numId w:val="69"/>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支持常规芯片实现高刷新、高灰度、高亮度</w:t>
            </w:r>
          </w:p>
          <w:p w14:paraId="7512A38F">
            <w:pPr>
              <w:widowControl/>
              <w:numPr>
                <w:ilvl w:val="0"/>
                <w:numId w:val="69"/>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支持市场主流常规芯片、PWM芯片、士兰芯片</w:t>
            </w:r>
          </w:p>
          <w:p w14:paraId="6719AA05">
            <w:pPr>
              <w:widowControl/>
              <w:numPr>
                <w:ilvl w:val="0"/>
                <w:numId w:val="69"/>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全新灰度引擎，低灰度表现更佳</w:t>
            </w:r>
          </w:p>
          <w:p w14:paraId="5E9C726F">
            <w:pPr>
              <w:widowControl/>
              <w:numPr>
                <w:ilvl w:val="0"/>
                <w:numId w:val="69"/>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可消除单元板设计引起的某行偏暗、低灰偏红、鬼影等细节问题</w:t>
            </w:r>
          </w:p>
          <w:p w14:paraId="32DEE664">
            <w:pPr>
              <w:widowControl/>
              <w:numPr>
                <w:ilvl w:val="0"/>
                <w:numId w:val="69"/>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支持高精度的色度、亮度一体化逐点校正</w:t>
            </w:r>
          </w:p>
          <w:p w14:paraId="2C394A8B">
            <w:pPr>
              <w:widowControl/>
              <w:numPr>
                <w:ilvl w:val="0"/>
                <w:numId w:val="69"/>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支持静态到128扫之间的任意扫描类型</w:t>
            </w:r>
          </w:p>
          <w:p w14:paraId="2CED8386">
            <w:pPr>
              <w:widowControl/>
              <w:numPr>
                <w:ilvl w:val="0"/>
                <w:numId w:val="69"/>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支持灵活抽点、抽行抽列、数据组偏移，可轻松实现各种异型屏、创意显示屏</w:t>
            </w:r>
          </w:p>
          <w:p w14:paraId="2EDB7B08">
            <w:pPr>
              <w:widowControl/>
              <w:numPr>
                <w:ilvl w:val="0"/>
                <w:numId w:val="69"/>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单卡支持≥24组RGB信号输出</w:t>
            </w:r>
          </w:p>
          <w:p w14:paraId="350BA318">
            <w:pPr>
              <w:widowControl/>
              <w:numPr>
                <w:ilvl w:val="0"/>
                <w:numId w:val="69"/>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支持箱体标定标序</w:t>
            </w:r>
          </w:p>
          <w:p w14:paraId="1A7CAA9C">
            <w:pPr>
              <w:widowControl/>
              <w:numPr>
                <w:ilvl w:val="0"/>
                <w:numId w:val="69"/>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支持超大带载面积</w:t>
            </w:r>
          </w:p>
          <w:p w14:paraId="3BA9E2D0">
            <w:pPr>
              <w:widowControl/>
              <w:numPr>
                <w:ilvl w:val="0"/>
                <w:numId w:val="69"/>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支持DC 3.8V~5.5V超宽工作电压</w:t>
            </w:r>
          </w:p>
        </w:tc>
        <w:tc>
          <w:tcPr>
            <w:tcW w:w="567" w:type="dxa"/>
            <w:tcBorders>
              <w:top w:val="single" w:color="000000" w:sz="4" w:space="0"/>
              <w:left w:val="single" w:color="000000" w:sz="4" w:space="0"/>
              <w:bottom w:val="single" w:color="000000" w:sz="4" w:space="0"/>
              <w:right w:val="single" w:color="000000" w:sz="4" w:space="0"/>
            </w:tcBorders>
            <w:vAlign w:val="center"/>
          </w:tcPr>
          <w:p w14:paraId="7F6F0B9E">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项</w:t>
            </w:r>
          </w:p>
        </w:tc>
        <w:tc>
          <w:tcPr>
            <w:tcW w:w="870" w:type="dxa"/>
            <w:tcBorders>
              <w:top w:val="single" w:color="000000" w:sz="4" w:space="0"/>
              <w:left w:val="single" w:color="000000" w:sz="4" w:space="0"/>
              <w:bottom w:val="single" w:color="000000" w:sz="4" w:space="0"/>
              <w:right w:val="single" w:color="000000" w:sz="4" w:space="0"/>
            </w:tcBorders>
            <w:vAlign w:val="center"/>
          </w:tcPr>
          <w:p w14:paraId="621DA63B">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35EF8B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644" w:type="dxa"/>
            <w:tcBorders>
              <w:top w:val="single" w:color="000000" w:sz="4" w:space="0"/>
              <w:left w:val="single" w:color="000000" w:sz="4" w:space="0"/>
              <w:bottom w:val="single" w:color="000000" w:sz="4" w:space="0"/>
              <w:right w:val="single" w:color="000000" w:sz="4" w:space="0"/>
            </w:tcBorders>
            <w:vAlign w:val="center"/>
          </w:tcPr>
          <w:p w14:paraId="73195AD2">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3</w:t>
            </w:r>
          </w:p>
        </w:tc>
        <w:tc>
          <w:tcPr>
            <w:tcW w:w="851" w:type="dxa"/>
            <w:tcBorders>
              <w:top w:val="single" w:color="000000" w:sz="4" w:space="0"/>
              <w:left w:val="single" w:color="000000" w:sz="4" w:space="0"/>
              <w:bottom w:val="single" w:color="000000" w:sz="4" w:space="0"/>
              <w:right w:val="single" w:color="000000" w:sz="4" w:space="0"/>
            </w:tcBorders>
            <w:vAlign w:val="center"/>
          </w:tcPr>
          <w:p w14:paraId="2EBE1D28">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电源</w:t>
            </w:r>
          </w:p>
        </w:tc>
        <w:tc>
          <w:tcPr>
            <w:tcW w:w="6378" w:type="dxa"/>
            <w:tcBorders>
              <w:top w:val="single" w:color="000000" w:sz="4" w:space="0"/>
              <w:left w:val="single" w:color="000000" w:sz="4" w:space="0"/>
              <w:bottom w:val="single" w:color="000000" w:sz="4" w:space="0"/>
              <w:right w:val="single" w:color="000000" w:sz="4" w:space="0"/>
            </w:tcBorders>
            <w:vAlign w:val="center"/>
          </w:tcPr>
          <w:p w14:paraId="4E714C8A">
            <w:pPr>
              <w:widowControl/>
              <w:numPr>
                <w:ilvl w:val="0"/>
                <w:numId w:val="70"/>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 xml:space="preserve">工作温度 -25℃-+70℃ </w:t>
            </w:r>
          </w:p>
          <w:p w14:paraId="6B922F22">
            <w:pPr>
              <w:widowControl/>
              <w:numPr>
                <w:ilvl w:val="0"/>
                <w:numId w:val="70"/>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低温启动特性 @-40℃ -25℃，220Vac输入,热机 5 分钟，带载 40A，</w:t>
            </w:r>
          </w:p>
          <w:p w14:paraId="622725DC">
            <w:pPr>
              <w:widowControl/>
              <w:numPr>
                <w:ilvl w:val="0"/>
                <w:numId w:val="70"/>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可以启动储存温度  -40℃-85℃</w:t>
            </w:r>
          </w:p>
          <w:p w14:paraId="12E4422A">
            <w:pPr>
              <w:widowControl/>
              <w:numPr>
                <w:ilvl w:val="0"/>
                <w:numId w:val="70"/>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 xml:space="preserve">工作湿度 20%RH-90%RH </w:t>
            </w:r>
          </w:p>
          <w:p w14:paraId="59CB058C">
            <w:pPr>
              <w:widowControl/>
              <w:numPr>
                <w:ilvl w:val="0"/>
                <w:numId w:val="70"/>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 xml:space="preserve">储存湿度 10%RH-95%RH </w:t>
            </w:r>
          </w:p>
          <w:p w14:paraId="5CA09FDA">
            <w:pPr>
              <w:widowControl/>
              <w:numPr>
                <w:ilvl w:val="0"/>
                <w:numId w:val="70"/>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散热方式  自然对流散热，需紧贴客户金属机箱外壳散热</w:t>
            </w:r>
            <w:r>
              <w:rPr>
                <w:rFonts w:hint="eastAsia" w:ascii="宋体" w:hAnsi="宋体"/>
                <w:color w:val="auto"/>
                <w:kern w:val="0"/>
                <w:szCs w:val="21"/>
                <w:highlight w:val="none"/>
                <w:lang w:bidi="ar"/>
              </w:rPr>
              <w:br w:type="textWrapping"/>
            </w:r>
            <w:r>
              <w:rPr>
                <w:rFonts w:hint="eastAsia" w:ascii="宋体" w:hAnsi="宋体"/>
                <w:color w:val="auto"/>
                <w:kern w:val="0"/>
                <w:szCs w:val="21"/>
                <w:highlight w:val="none"/>
                <w:lang w:bidi="ar"/>
              </w:rPr>
              <w:t xml:space="preserve">大气压  70-106KPa </w:t>
            </w:r>
          </w:p>
          <w:p w14:paraId="19215FCA">
            <w:pPr>
              <w:widowControl/>
              <w:numPr>
                <w:ilvl w:val="0"/>
                <w:numId w:val="70"/>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可用最高海拔高度 Altitude 3000m</w:t>
            </w:r>
          </w:p>
          <w:p w14:paraId="306489F2">
            <w:pPr>
              <w:widowControl/>
              <w:numPr>
                <w:ilvl w:val="0"/>
                <w:numId w:val="70"/>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短路保护  可长期短路，消除短路后自动恢复工作过流保护  48~76A 故障消除后自动恢复工作</w:t>
            </w:r>
          </w:p>
          <w:p w14:paraId="1C0CE048">
            <w:pPr>
              <w:widowControl/>
              <w:numPr>
                <w:ilvl w:val="0"/>
                <w:numId w:val="70"/>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额定输出电压 V1:+4.5Vdc</w:t>
            </w:r>
          </w:p>
          <w:p w14:paraId="3504FC0E">
            <w:pPr>
              <w:widowControl/>
              <w:numPr>
                <w:ilvl w:val="0"/>
                <w:numId w:val="70"/>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额定输出电流范围 0～40.0A</w:t>
            </w:r>
          </w:p>
          <w:p w14:paraId="1B466D05">
            <w:pPr>
              <w:widowControl/>
              <w:numPr>
                <w:ilvl w:val="0"/>
                <w:numId w:val="70"/>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稳压精度  ±2%</w:t>
            </w:r>
          </w:p>
          <w:p w14:paraId="77D11AAD">
            <w:pPr>
              <w:widowControl/>
              <w:numPr>
                <w:ilvl w:val="0"/>
                <w:numId w:val="70"/>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负载调整率  ±2%</w:t>
            </w:r>
          </w:p>
          <w:p w14:paraId="2BF95217">
            <w:pPr>
              <w:widowControl/>
              <w:numPr>
                <w:ilvl w:val="0"/>
                <w:numId w:val="70"/>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电压过冲 ＜5.0%</w:t>
            </w:r>
          </w:p>
          <w:p w14:paraId="16CEFDEC">
            <w:pPr>
              <w:widowControl/>
              <w:numPr>
                <w:ilvl w:val="0"/>
                <w:numId w:val="70"/>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启动时间  3Sec.</w:t>
            </w:r>
          </w:p>
          <w:p w14:paraId="1DEFF7BD">
            <w:pPr>
              <w:widowControl/>
              <w:numPr>
                <w:ilvl w:val="0"/>
                <w:numId w:val="70"/>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纹波噪声 ＜200mV</w:t>
            </w:r>
          </w:p>
          <w:p w14:paraId="19FFDF8F">
            <w:pPr>
              <w:widowControl/>
              <w:numPr>
                <w:ilvl w:val="0"/>
                <w:numId w:val="70"/>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容性负载≥5000uF</w:t>
            </w:r>
          </w:p>
        </w:tc>
        <w:tc>
          <w:tcPr>
            <w:tcW w:w="567" w:type="dxa"/>
            <w:tcBorders>
              <w:top w:val="single" w:color="000000" w:sz="4" w:space="0"/>
              <w:left w:val="single" w:color="000000" w:sz="4" w:space="0"/>
              <w:bottom w:val="single" w:color="000000" w:sz="4" w:space="0"/>
              <w:right w:val="single" w:color="000000" w:sz="4" w:space="0"/>
            </w:tcBorders>
            <w:vAlign w:val="center"/>
          </w:tcPr>
          <w:p w14:paraId="083038E2">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项</w:t>
            </w:r>
          </w:p>
        </w:tc>
        <w:tc>
          <w:tcPr>
            <w:tcW w:w="870" w:type="dxa"/>
            <w:tcBorders>
              <w:top w:val="single" w:color="000000" w:sz="4" w:space="0"/>
              <w:left w:val="single" w:color="000000" w:sz="4" w:space="0"/>
              <w:bottom w:val="single" w:color="000000" w:sz="4" w:space="0"/>
              <w:right w:val="single" w:color="000000" w:sz="4" w:space="0"/>
            </w:tcBorders>
            <w:vAlign w:val="center"/>
          </w:tcPr>
          <w:p w14:paraId="3D02F7F7">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35F6F3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644" w:type="dxa"/>
            <w:tcBorders>
              <w:top w:val="single" w:color="000000" w:sz="4" w:space="0"/>
              <w:left w:val="single" w:color="000000" w:sz="4" w:space="0"/>
              <w:bottom w:val="single" w:color="000000" w:sz="4" w:space="0"/>
              <w:right w:val="single" w:color="000000" w:sz="4" w:space="0"/>
            </w:tcBorders>
            <w:vAlign w:val="center"/>
          </w:tcPr>
          <w:p w14:paraId="41CBA116">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4</w:t>
            </w:r>
          </w:p>
        </w:tc>
        <w:tc>
          <w:tcPr>
            <w:tcW w:w="851" w:type="dxa"/>
            <w:tcBorders>
              <w:top w:val="single" w:color="000000" w:sz="4" w:space="0"/>
              <w:left w:val="single" w:color="000000" w:sz="4" w:space="0"/>
              <w:bottom w:val="single" w:color="000000" w:sz="4" w:space="0"/>
              <w:right w:val="single" w:color="000000" w:sz="4" w:space="0"/>
            </w:tcBorders>
            <w:vAlign w:val="center"/>
          </w:tcPr>
          <w:p w14:paraId="3BEF926C">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专业主控</w:t>
            </w:r>
          </w:p>
        </w:tc>
        <w:tc>
          <w:tcPr>
            <w:tcW w:w="6378" w:type="dxa"/>
            <w:tcBorders>
              <w:top w:val="single" w:color="000000" w:sz="4" w:space="0"/>
              <w:left w:val="single" w:color="000000" w:sz="4" w:space="0"/>
              <w:bottom w:val="single" w:color="000000" w:sz="4" w:space="0"/>
              <w:right w:val="single" w:color="000000" w:sz="4" w:space="0"/>
            </w:tcBorders>
            <w:vAlign w:val="center"/>
          </w:tcPr>
          <w:p w14:paraId="70D1135F">
            <w:pPr>
              <w:widowControl/>
              <w:numPr>
                <w:ilvl w:val="0"/>
                <w:numId w:val="71"/>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支持最大≥4096×2160@60Hz输入分辨率</w:t>
            </w:r>
          </w:p>
          <w:p w14:paraId="1FE1110F">
            <w:pPr>
              <w:widowControl/>
              <w:numPr>
                <w:ilvl w:val="0"/>
                <w:numId w:val="71"/>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支持≥2路4K输入：1×DP1.2，1×HDMI2.0</w:t>
            </w:r>
          </w:p>
          <w:p w14:paraId="18583582">
            <w:pPr>
              <w:widowControl/>
              <w:numPr>
                <w:ilvl w:val="0"/>
                <w:numId w:val="71"/>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支持≥4路2K输入：2×HDMI1.4，2×DVI</w:t>
            </w:r>
          </w:p>
          <w:p w14:paraId="0B097387">
            <w:pPr>
              <w:widowControl/>
              <w:numPr>
                <w:ilvl w:val="0"/>
                <w:numId w:val="71"/>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支持≥1路U盘接口</w:t>
            </w:r>
          </w:p>
          <w:p w14:paraId="04A1B779">
            <w:pPr>
              <w:widowControl/>
              <w:numPr>
                <w:ilvl w:val="0"/>
                <w:numId w:val="71"/>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支持最大带载≥1703万像素</w:t>
            </w:r>
          </w:p>
          <w:p w14:paraId="4B083DA0">
            <w:pPr>
              <w:widowControl/>
              <w:numPr>
                <w:ilvl w:val="0"/>
                <w:numId w:val="71"/>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支持≥26路千兆网口输出或≥3路万兆光口输出，任选一种</w:t>
            </w:r>
          </w:p>
          <w:p w14:paraId="16310476">
            <w:pPr>
              <w:widowControl/>
              <w:numPr>
                <w:ilvl w:val="0"/>
                <w:numId w:val="71"/>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支持≥1路独立音频输入</w:t>
            </w:r>
          </w:p>
          <w:p w14:paraId="7184D478">
            <w:pPr>
              <w:widowControl/>
              <w:numPr>
                <w:ilvl w:val="0"/>
                <w:numId w:val="71"/>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支持≥1路独立音频输出</w:t>
            </w:r>
          </w:p>
          <w:p w14:paraId="0FD7E2E1">
            <w:pPr>
              <w:widowControl/>
              <w:numPr>
                <w:ilvl w:val="0"/>
                <w:numId w:val="71"/>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支持HDMI和DP音频解析输出</w:t>
            </w:r>
          </w:p>
          <w:p w14:paraId="682778C6">
            <w:pPr>
              <w:widowControl/>
              <w:numPr>
                <w:ilvl w:val="0"/>
                <w:numId w:val="71"/>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支持最多≥6窗口显示，每个窗口≥1个图层，图层之间相互覆盖（≥1个4K输入信号时，同时可支持≥4路高清输入）</w:t>
            </w:r>
          </w:p>
          <w:p w14:paraId="4D51361F">
            <w:pPr>
              <w:widowControl/>
              <w:numPr>
                <w:ilvl w:val="0"/>
                <w:numId w:val="71"/>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支持窗口任意漫游、自由缩放窗口，最小64×64分辨率</w:t>
            </w:r>
          </w:p>
          <w:p w14:paraId="3F961635">
            <w:pPr>
              <w:widowControl/>
              <w:numPr>
                <w:ilvl w:val="0"/>
                <w:numId w:val="71"/>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视频信号任意裁剪、无缝切换，裁剪框大小可自由调节，最小64×64分辨率</w:t>
            </w:r>
          </w:p>
          <w:p w14:paraId="7BDECC03">
            <w:pPr>
              <w:widowControl/>
              <w:numPr>
                <w:ilvl w:val="0"/>
                <w:numId w:val="71"/>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精确颜色管理，可调节显示屏色域，需对应型号接收卡支持</w:t>
            </w:r>
          </w:p>
          <w:p w14:paraId="2D458A59">
            <w:pPr>
              <w:widowControl/>
              <w:numPr>
                <w:ilvl w:val="0"/>
                <w:numId w:val="71"/>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视频同步锁相技术，支持锁定内部vsync、输入信号源、自动锁相（按照图层锁相）</w:t>
            </w:r>
          </w:p>
          <w:p w14:paraId="5FD94A87">
            <w:pPr>
              <w:widowControl/>
              <w:numPr>
                <w:ilvl w:val="0"/>
                <w:numId w:val="71"/>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支持亮度和色温调节，支持精确色温</w:t>
            </w:r>
          </w:p>
          <w:p w14:paraId="2E0D00D9">
            <w:pPr>
              <w:widowControl/>
              <w:numPr>
                <w:ilvl w:val="0"/>
                <w:numId w:val="71"/>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支持3D（选配）</w:t>
            </w:r>
          </w:p>
          <w:p w14:paraId="43E65C93">
            <w:pPr>
              <w:widowControl/>
              <w:numPr>
                <w:ilvl w:val="0"/>
                <w:numId w:val="71"/>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低亮高灰，可有效保持低亮度下灰阶的完整显示</w:t>
            </w:r>
          </w:p>
          <w:p w14:paraId="777A41C6">
            <w:pPr>
              <w:widowControl/>
              <w:numPr>
                <w:ilvl w:val="0"/>
                <w:numId w:val="71"/>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支持≥128个场景保存和调用</w:t>
            </w:r>
          </w:p>
          <w:p w14:paraId="283A48FC">
            <w:pPr>
              <w:widowControl/>
              <w:numPr>
                <w:ilvl w:val="0"/>
                <w:numId w:val="71"/>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支持U盘播放和升级</w:t>
            </w:r>
          </w:p>
          <w:p w14:paraId="5F0EAF5B">
            <w:pPr>
              <w:widowControl/>
              <w:numPr>
                <w:ilvl w:val="0"/>
                <w:numId w:val="71"/>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支持OSD(屏幕菜单调节，外接蓝牙接收盒子，通过蓝牙遥控器达到控制显示屏休眠与唤醒、亮度、色温调节等功能)</w:t>
            </w:r>
          </w:p>
          <w:p w14:paraId="516A1EA8">
            <w:pPr>
              <w:widowControl/>
              <w:numPr>
                <w:ilvl w:val="0"/>
                <w:numId w:val="71"/>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支持显示字幕，可设置显示位置字体大小颜色等</w:t>
            </w:r>
          </w:p>
        </w:tc>
        <w:tc>
          <w:tcPr>
            <w:tcW w:w="567" w:type="dxa"/>
            <w:tcBorders>
              <w:top w:val="single" w:color="000000" w:sz="4" w:space="0"/>
              <w:left w:val="single" w:color="000000" w:sz="4" w:space="0"/>
              <w:bottom w:val="single" w:color="000000" w:sz="4" w:space="0"/>
              <w:right w:val="single" w:color="000000" w:sz="4" w:space="0"/>
            </w:tcBorders>
            <w:vAlign w:val="center"/>
          </w:tcPr>
          <w:p w14:paraId="6F2702BF">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台</w:t>
            </w:r>
          </w:p>
        </w:tc>
        <w:tc>
          <w:tcPr>
            <w:tcW w:w="870" w:type="dxa"/>
            <w:tcBorders>
              <w:top w:val="single" w:color="000000" w:sz="4" w:space="0"/>
              <w:left w:val="single" w:color="000000" w:sz="4" w:space="0"/>
              <w:bottom w:val="single" w:color="000000" w:sz="4" w:space="0"/>
              <w:right w:val="single" w:color="000000" w:sz="4" w:space="0"/>
            </w:tcBorders>
            <w:vAlign w:val="center"/>
          </w:tcPr>
          <w:p w14:paraId="46A152EC">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095707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644" w:type="dxa"/>
            <w:tcBorders>
              <w:top w:val="single" w:color="000000" w:sz="4" w:space="0"/>
              <w:left w:val="single" w:color="000000" w:sz="4" w:space="0"/>
              <w:bottom w:val="single" w:color="000000" w:sz="4" w:space="0"/>
              <w:right w:val="single" w:color="000000" w:sz="4" w:space="0"/>
            </w:tcBorders>
            <w:vAlign w:val="center"/>
          </w:tcPr>
          <w:p w14:paraId="5DDC4EE7">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5</w:t>
            </w:r>
          </w:p>
        </w:tc>
        <w:tc>
          <w:tcPr>
            <w:tcW w:w="851" w:type="dxa"/>
            <w:tcBorders>
              <w:top w:val="single" w:color="000000" w:sz="4" w:space="0"/>
              <w:left w:val="single" w:color="000000" w:sz="4" w:space="0"/>
              <w:bottom w:val="single" w:color="000000" w:sz="4" w:space="0"/>
              <w:right w:val="single" w:color="000000" w:sz="4" w:space="0"/>
            </w:tcBorders>
            <w:vAlign w:val="center"/>
          </w:tcPr>
          <w:p w14:paraId="67CBE548">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配电柜</w:t>
            </w:r>
          </w:p>
        </w:tc>
        <w:tc>
          <w:tcPr>
            <w:tcW w:w="6378" w:type="dxa"/>
            <w:tcBorders>
              <w:top w:val="single" w:color="000000" w:sz="4" w:space="0"/>
              <w:left w:val="single" w:color="000000" w:sz="4" w:space="0"/>
              <w:bottom w:val="single" w:color="000000" w:sz="4" w:space="0"/>
              <w:right w:val="single" w:color="000000" w:sz="4" w:space="0"/>
            </w:tcBorders>
            <w:vAlign w:val="center"/>
          </w:tcPr>
          <w:p w14:paraId="1427F48B">
            <w:pPr>
              <w:widowControl/>
              <w:numPr>
                <w:ilvl w:val="0"/>
                <w:numId w:val="72"/>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配电柜基础参数</w:t>
            </w:r>
          </w:p>
          <w:p w14:paraId="5BDD35DC">
            <w:pPr>
              <w:widowControl/>
              <w:numPr>
                <w:ilvl w:val="0"/>
                <w:numId w:val="72"/>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箱体尺寸：≥1200*700*300MM</w:t>
            </w:r>
          </w:p>
          <w:p w14:paraId="5068300F">
            <w:pPr>
              <w:widowControl/>
              <w:numPr>
                <w:ilvl w:val="0"/>
                <w:numId w:val="72"/>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显示屏输出路数：18路或36路</w:t>
            </w:r>
          </w:p>
          <w:p w14:paraId="480881F2">
            <w:pPr>
              <w:widowControl/>
              <w:numPr>
                <w:ilvl w:val="0"/>
                <w:numId w:val="72"/>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 xml:space="preserve">延时启动/停止：≥6次 </w:t>
            </w:r>
          </w:p>
          <w:p w14:paraId="096DFA3B">
            <w:pPr>
              <w:widowControl/>
              <w:numPr>
                <w:ilvl w:val="0"/>
                <w:numId w:val="72"/>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 xml:space="preserve">检修插座：≥1组 </w:t>
            </w:r>
          </w:p>
          <w:p w14:paraId="5B2570B0">
            <w:pPr>
              <w:widowControl/>
              <w:numPr>
                <w:ilvl w:val="0"/>
                <w:numId w:val="72"/>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 xml:space="preserve">远程控制端子：≥1组 </w:t>
            </w:r>
          </w:p>
          <w:p w14:paraId="4661062D">
            <w:pPr>
              <w:widowControl/>
              <w:numPr>
                <w:ilvl w:val="0"/>
                <w:numId w:val="72"/>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远程控制开关：≥1个</w:t>
            </w:r>
          </w:p>
          <w:p w14:paraId="1336B7F4">
            <w:pPr>
              <w:widowControl/>
              <w:numPr>
                <w:ilvl w:val="0"/>
                <w:numId w:val="72"/>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风机线路输出端子：≥1组</w:t>
            </w:r>
          </w:p>
          <w:p w14:paraId="353BC9AF">
            <w:pPr>
              <w:widowControl/>
              <w:numPr>
                <w:ilvl w:val="0"/>
                <w:numId w:val="72"/>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空调线路输出路数：≥3路</w:t>
            </w:r>
          </w:p>
          <w:p w14:paraId="51B50156">
            <w:pPr>
              <w:widowControl/>
              <w:numPr>
                <w:ilvl w:val="0"/>
                <w:numId w:val="72"/>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可调高温断电：≥1组</w:t>
            </w:r>
          </w:p>
        </w:tc>
        <w:tc>
          <w:tcPr>
            <w:tcW w:w="567" w:type="dxa"/>
            <w:tcBorders>
              <w:top w:val="single" w:color="000000" w:sz="4" w:space="0"/>
              <w:left w:val="single" w:color="000000" w:sz="4" w:space="0"/>
              <w:bottom w:val="single" w:color="000000" w:sz="4" w:space="0"/>
              <w:right w:val="single" w:color="000000" w:sz="4" w:space="0"/>
            </w:tcBorders>
            <w:vAlign w:val="center"/>
          </w:tcPr>
          <w:p w14:paraId="28011404">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台</w:t>
            </w:r>
          </w:p>
        </w:tc>
        <w:tc>
          <w:tcPr>
            <w:tcW w:w="870" w:type="dxa"/>
            <w:tcBorders>
              <w:top w:val="single" w:color="000000" w:sz="4" w:space="0"/>
              <w:left w:val="single" w:color="000000" w:sz="4" w:space="0"/>
              <w:bottom w:val="single" w:color="000000" w:sz="4" w:space="0"/>
              <w:right w:val="single" w:color="000000" w:sz="4" w:space="0"/>
            </w:tcBorders>
            <w:vAlign w:val="center"/>
          </w:tcPr>
          <w:p w14:paraId="4C6993C7">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6BA62E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644" w:type="dxa"/>
            <w:tcBorders>
              <w:top w:val="single" w:color="000000" w:sz="4" w:space="0"/>
              <w:left w:val="single" w:color="000000" w:sz="4" w:space="0"/>
              <w:bottom w:val="single" w:color="000000" w:sz="4" w:space="0"/>
              <w:right w:val="single" w:color="000000" w:sz="4" w:space="0"/>
            </w:tcBorders>
            <w:vAlign w:val="center"/>
          </w:tcPr>
          <w:p w14:paraId="6ABCC595">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6</w:t>
            </w:r>
          </w:p>
        </w:tc>
        <w:tc>
          <w:tcPr>
            <w:tcW w:w="851" w:type="dxa"/>
            <w:tcBorders>
              <w:top w:val="single" w:color="000000" w:sz="4" w:space="0"/>
              <w:left w:val="single" w:color="000000" w:sz="4" w:space="0"/>
              <w:bottom w:val="single" w:color="000000" w:sz="4" w:space="0"/>
              <w:right w:val="single" w:color="000000" w:sz="4" w:space="0"/>
            </w:tcBorders>
            <w:vAlign w:val="center"/>
          </w:tcPr>
          <w:p w14:paraId="66F4E7F4">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主屏结构</w:t>
            </w:r>
          </w:p>
        </w:tc>
        <w:tc>
          <w:tcPr>
            <w:tcW w:w="6378" w:type="dxa"/>
            <w:tcBorders>
              <w:top w:val="single" w:color="000000" w:sz="4" w:space="0"/>
              <w:left w:val="single" w:color="000000" w:sz="4" w:space="0"/>
              <w:bottom w:val="single" w:color="000000" w:sz="4" w:space="0"/>
              <w:right w:val="single" w:color="000000" w:sz="4" w:space="0"/>
            </w:tcBorders>
            <w:vAlign w:val="center"/>
          </w:tcPr>
          <w:p w14:paraId="5C735B06">
            <w:pPr>
              <w:widowControl/>
              <w:numPr>
                <w:ilvl w:val="0"/>
                <w:numId w:val="73"/>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采用国标钢材，符合国家标准</w:t>
            </w:r>
          </w:p>
        </w:tc>
        <w:tc>
          <w:tcPr>
            <w:tcW w:w="567" w:type="dxa"/>
            <w:tcBorders>
              <w:top w:val="single" w:color="000000" w:sz="4" w:space="0"/>
              <w:left w:val="single" w:color="000000" w:sz="4" w:space="0"/>
              <w:bottom w:val="single" w:color="000000" w:sz="4" w:space="0"/>
              <w:right w:val="single" w:color="000000" w:sz="4" w:space="0"/>
            </w:tcBorders>
            <w:vAlign w:val="center"/>
          </w:tcPr>
          <w:p w14:paraId="5077D7C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平方米</w:t>
            </w:r>
          </w:p>
        </w:tc>
        <w:tc>
          <w:tcPr>
            <w:tcW w:w="870" w:type="dxa"/>
            <w:tcBorders>
              <w:top w:val="single" w:color="000000" w:sz="4" w:space="0"/>
              <w:left w:val="single" w:color="000000" w:sz="4" w:space="0"/>
              <w:bottom w:val="single" w:color="000000" w:sz="4" w:space="0"/>
              <w:right w:val="single" w:color="000000" w:sz="4" w:space="0"/>
            </w:tcBorders>
            <w:vAlign w:val="center"/>
          </w:tcPr>
          <w:p w14:paraId="209E155C">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10.85</w:t>
            </w:r>
          </w:p>
        </w:tc>
      </w:tr>
      <w:tr w14:paraId="5CE30C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644" w:type="dxa"/>
            <w:tcBorders>
              <w:top w:val="single" w:color="000000" w:sz="4" w:space="0"/>
              <w:left w:val="single" w:color="000000" w:sz="4" w:space="0"/>
              <w:bottom w:val="single" w:color="000000" w:sz="4" w:space="0"/>
              <w:right w:val="single" w:color="000000" w:sz="4" w:space="0"/>
            </w:tcBorders>
            <w:vAlign w:val="center"/>
          </w:tcPr>
          <w:p w14:paraId="613FD66B">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7</w:t>
            </w:r>
          </w:p>
        </w:tc>
        <w:tc>
          <w:tcPr>
            <w:tcW w:w="851" w:type="dxa"/>
            <w:tcBorders>
              <w:top w:val="single" w:color="000000" w:sz="4" w:space="0"/>
              <w:left w:val="single" w:color="000000" w:sz="4" w:space="0"/>
              <w:bottom w:val="single" w:color="000000" w:sz="4" w:space="0"/>
              <w:right w:val="single" w:color="000000" w:sz="4" w:space="0"/>
            </w:tcBorders>
            <w:vAlign w:val="center"/>
          </w:tcPr>
          <w:p w14:paraId="6911C306">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辅材</w:t>
            </w:r>
          </w:p>
        </w:tc>
        <w:tc>
          <w:tcPr>
            <w:tcW w:w="6378" w:type="dxa"/>
            <w:tcBorders>
              <w:top w:val="single" w:color="000000" w:sz="4" w:space="0"/>
              <w:left w:val="single" w:color="000000" w:sz="4" w:space="0"/>
              <w:bottom w:val="single" w:color="000000" w:sz="4" w:space="0"/>
              <w:right w:val="single" w:color="000000" w:sz="4" w:space="0"/>
            </w:tcBorders>
            <w:vAlign w:val="center"/>
          </w:tcPr>
          <w:p w14:paraId="6973BC8E">
            <w:pPr>
              <w:widowControl/>
              <w:numPr>
                <w:ilvl w:val="0"/>
                <w:numId w:val="74"/>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包含网线，电源线，光纤，信号线，水晶头、视频线、PVC线槽</w:t>
            </w:r>
          </w:p>
        </w:tc>
        <w:tc>
          <w:tcPr>
            <w:tcW w:w="567" w:type="dxa"/>
            <w:tcBorders>
              <w:top w:val="single" w:color="000000" w:sz="4" w:space="0"/>
              <w:left w:val="single" w:color="000000" w:sz="4" w:space="0"/>
              <w:bottom w:val="single" w:color="000000" w:sz="4" w:space="0"/>
              <w:right w:val="single" w:color="000000" w:sz="4" w:space="0"/>
            </w:tcBorders>
            <w:vAlign w:val="center"/>
          </w:tcPr>
          <w:p w14:paraId="18158BB3">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批</w:t>
            </w:r>
          </w:p>
        </w:tc>
        <w:tc>
          <w:tcPr>
            <w:tcW w:w="870" w:type="dxa"/>
            <w:tcBorders>
              <w:top w:val="single" w:color="000000" w:sz="4" w:space="0"/>
              <w:left w:val="single" w:color="000000" w:sz="4" w:space="0"/>
              <w:bottom w:val="single" w:color="000000" w:sz="4" w:space="0"/>
              <w:right w:val="single" w:color="000000" w:sz="4" w:space="0"/>
            </w:tcBorders>
            <w:vAlign w:val="center"/>
          </w:tcPr>
          <w:p w14:paraId="0D9D0C06">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34E508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644" w:type="dxa"/>
            <w:tcBorders>
              <w:top w:val="single" w:color="000000" w:sz="4" w:space="0"/>
              <w:left w:val="single" w:color="000000" w:sz="4" w:space="0"/>
              <w:bottom w:val="single" w:color="000000" w:sz="4" w:space="0"/>
              <w:right w:val="single" w:color="000000" w:sz="4" w:space="0"/>
            </w:tcBorders>
            <w:vAlign w:val="center"/>
          </w:tcPr>
          <w:p w14:paraId="0D5B18A6">
            <w:pPr>
              <w:widowControl/>
              <w:jc w:val="center"/>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8</w:t>
            </w:r>
          </w:p>
        </w:tc>
        <w:tc>
          <w:tcPr>
            <w:tcW w:w="851" w:type="dxa"/>
            <w:tcBorders>
              <w:top w:val="single" w:color="000000" w:sz="4" w:space="0"/>
              <w:left w:val="single" w:color="000000" w:sz="4" w:space="0"/>
              <w:bottom w:val="single" w:color="000000" w:sz="4" w:space="0"/>
              <w:right w:val="single" w:color="000000" w:sz="4" w:space="0"/>
            </w:tcBorders>
            <w:vAlign w:val="center"/>
          </w:tcPr>
          <w:p w14:paraId="7ACD60C2">
            <w:pPr>
              <w:widowControl/>
              <w:jc w:val="center"/>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安装调试</w:t>
            </w:r>
          </w:p>
        </w:tc>
        <w:tc>
          <w:tcPr>
            <w:tcW w:w="6378" w:type="dxa"/>
            <w:tcBorders>
              <w:top w:val="single" w:color="000000" w:sz="4" w:space="0"/>
              <w:left w:val="single" w:color="000000" w:sz="4" w:space="0"/>
              <w:bottom w:val="single" w:color="000000" w:sz="4" w:space="0"/>
              <w:right w:val="single" w:color="000000" w:sz="4" w:space="0"/>
            </w:tcBorders>
            <w:vAlign w:val="center"/>
          </w:tcPr>
          <w:p w14:paraId="3405E51E">
            <w:pPr>
              <w:widowControl/>
              <w:numPr>
                <w:ilvl w:val="0"/>
                <w:numId w:val="75"/>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包括整体设备的安装、调试、培训，要求安装到指定的位置，并达到正常使用状态。</w:t>
            </w:r>
          </w:p>
        </w:tc>
        <w:tc>
          <w:tcPr>
            <w:tcW w:w="567" w:type="dxa"/>
            <w:tcBorders>
              <w:top w:val="single" w:color="000000" w:sz="4" w:space="0"/>
              <w:left w:val="single" w:color="000000" w:sz="4" w:space="0"/>
              <w:bottom w:val="single" w:color="000000" w:sz="4" w:space="0"/>
              <w:right w:val="single" w:color="000000" w:sz="4" w:space="0"/>
            </w:tcBorders>
            <w:vAlign w:val="center"/>
          </w:tcPr>
          <w:p w14:paraId="61338670">
            <w:pPr>
              <w:widowControl/>
              <w:jc w:val="center"/>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项</w:t>
            </w:r>
          </w:p>
        </w:tc>
        <w:tc>
          <w:tcPr>
            <w:tcW w:w="870" w:type="dxa"/>
            <w:tcBorders>
              <w:top w:val="single" w:color="000000" w:sz="4" w:space="0"/>
              <w:left w:val="single" w:color="000000" w:sz="4" w:space="0"/>
              <w:bottom w:val="single" w:color="000000" w:sz="4" w:space="0"/>
              <w:right w:val="single" w:color="000000" w:sz="4" w:space="0"/>
            </w:tcBorders>
            <w:vAlign w:val="center"/>
          </w:tcPr>
          <w:p w14:paraId="10B96F07">
            <w:pPr>
              <w:widowControl/>
              <w:jc w:val="center"/>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1</w:t>
            </w:r>
          </w:p>
        </w:tc>
      </w:tr>
      <w:tr w14:paraId="21695D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644" w:type="dxa"/>
            <w:tcBorders>
              <w:top w:val="single" w:color="000000" w:sz="4" w:space="0"/>
              <w:left w:val="single" w:color="000000" w:sz="4" w:space="0"/>
              <w:bottom w:val="single" w:color="000000" w:sz="4" w:space="0"/>
              <w:right w:val="single" w:color="000000" w:sz="4" w:space="0"/>
            </w:tcBorders>
            <w:vAlign w:val="center"/>
          </w:tcPr>
          <w:p w14:paraId="5173CB5E">
            <w:pPr>
              <w:widowControl/>
              <w:jc w:val="center"/>
              <w:textAlignment w:val="center"/>
              <w:rPr>
                <w:rFonts w:hint="eastAsia" w:ascii="宋体" w:hAnsi="宋体"/>
                <w:color w:val="auto"/>
                <w:kern w:val="0"/>
                <w:szCs w:val="21"/>
                <w:highlight w:val="none"/>
                <w:lang w:bidi="ar"/>
              </w:rPr>
            </w:pPr>
            <w:r>
              <w:rPr>
                <w:rFonts w:hint="eastAsia" w:ascii="宋体" w:hAnsi="宋体"/>
                <w:b/>
                <w:bCs/>
                <w:color w:val="auto"/>
                <w:kern w:val="0"/>
                <w:szCs w:val="21"/>
                <w:highlight w:val="none"/>
                <w:lang w:bidi="ar"/>
              </w:rPr>
              <w:t>六</w:t>
            </w:r>
          </w:p>
        </w:tc>
        <w:tc>
          <w:tcPr>
            <w:tcW w:w="851" w:type="dxa"/>
            <w:tcBorders>
              <w:top w:val="single" w:color="000000" w:sz="4" w:space="0"/>
              <w:left w:val="single" w:color="000000" w:sz="4" w:space="0"/>
              <w:bottom w:val="single" w:color="000000" w:sz="4" w:space="0"/>
              <w:right w:val="single" w:color="000000" w:sz="4" w:space="0"/>
            </w:tcBorders>
            <w:vAlign w:val="center"/>
          </w:tcPr>
          <w:p w14:paraId="624DC8C3">
            <w:pPr>
              <w:widowControl/>
              <w:jc w:val="center"/>
              <w:textAlignment w:val="center"/>
              <w:rPr>
                <w:rFonts w:hint="eastAsia" w:ascii="宋体" w:hAnsi="宋体"/>
                <w:color w:val="auto"/>
                <w:kern w:val="0"/>
                <w:szCs w:val="21"/>
                <w:highlight w:val="none"/>
                <w:lang w:bidi="ar"/>
              </w:rPr>
            </w:pPr>
            <w:r>
              <w:rPr>
                <w:rFonts w:hint="eastAsia" w:ascii="宋体" w:hAnsi="宋体"/>
                <w:b/>
                <w:bCs/>
                <w:color w:val="auto"/>
                <w:kern w:val="0"/>
                <w:szCs w:val="21"/>
                <w:highlight w:val="none"/>
                <w:lang w:bidi="ar"/>
              </w:rPr>
              <w:t>合班教室环境改造</w:t>
            </w:r>
          </w:p>
        </w:tc>
        <w:tc>
          <w:tcPr>
            <w:tcW w:w="6378" w:type="dxa"/>
            <w:tcBorders>
              <w:top w:val="single" w:color="000000" w:sz="4" w:space="0"/>
              <w:left w:val="single" w:color="000000" w:sz="4" w:space="0"/>
              <w:bottom w:val="single" w:color="000000" w:sz="4" w:space="0"/>
              <w:right w:val="single" w:color="000000" w:sz="4" w:space="0"/>
            </w:tcBorders>
            <w:vAlign w:val="center"/>
          </w:tcPr>
          <w:p w14:paraId="5D1BC518">
            <w:pPr>
              <w:jc w:val="left"/>
              <w:rPr>
                <w:rFonts w:hint="eastAsia" w:ascii="宋体" w:hAnsi="宋体"/>
                <w:color w:val="auto"/>
                <w:kern w:val="0"/>
                <w:szCs w:val="21"/>
                <w:highlight w:val="none"/>
                <w:lang w:bidi="ar"/>
              </w:rPr>
            </w:pPr>
          </w:p>
        </w:tc>
        <w:tc>
          <w:tcPr>
            <w:tcW w:w="567" w:type="dxa"/>
            <w:tcBorders>
              <w:top w:val="single" w:color="000000" w:sz="4" w:space="0"/>
              <w:left w:val="single" w:color="000000" w:sz="4" w:space="0"/>
              <w:bottom w:val="single" w:color="000000" w:sz="4" w:space="0"/>
              <w:right w:val="single" w:color="000000" w:sz="4" w:space="0"/>
            </w:tcBorders>
            <w:vAlign w:val="center"/>
          </w:tcPr>
          <w:p w14:paraId="0D6504E9">
            <w:pPr>
              <w:jc w:val="center"/>
              <w:rPr>
                <w:rFonts w:hint="eastAsia" w:ascii="宋体" w:hAnsi="宋体"/>
                <w:color w:val="auto"/>
                <w:kern w:val="0"/>
                <w:szCs w:val="21"/>
                <w:highlight w:val="none"/>
                <w:lang w:bidi="ar"/>
              </w:rPr>
            </w:pPr>
          </w:p>
        </w:tc>
        <w:tc>
          <w:tcPr>
            <w:tcW w:w="870" w:type="dxa"/>
            <w:tcBorders>
              <w:top w:val="single" w:color="000000" w:sz="4" w:space="0"/>
              <w:left w:val="single" w:color="000000" w:sz="4" w:space="0"/>
              <w:bottom w:val="single" w:color="000000" w:sz="4" w:space="0"/>
              <w:right w:val="single" w:color="000000" w:sz="4" w:space="0"/>
            </w:tcBorders>
            <w:vAlign w:val="center"/>
          </w:tcPr>
          <w:p w14:paraId="777A144A">
            <w:pPr>
              <w:jc w:val="center"/>
              <w:rPr>
                <w:rFonts w:hint="eastAsia" w:ascii="宋体" w:hAnsi="宋体"/>
                <w:color w:val="auto"/>
                <w:kern w:val="0"/>
                <w:szCs w:val="21"/>
                <w:highlight w:val="none"/>
                <w:lang w:bidi="ar"/>
              </w:rPr>
            </w:pPr>
          </w:p>
        </w:tc>
      </w:tr>
      <w:tr w14:paraId="20066C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644" w:type="dxa"/>
            <w:tcBorders>
              <w:top w:val="single" w:color="000000" w:sz="4" w:space="0"/>
              <w:left w:val="single" w:color="000000" w:sz="4" w:space="0"/>
              <w:bottom w:val="single" w:color="000000" w:sz="4" w:space="0"/>
              <w:right w:val="single" w:color="000000" w:sz="4" w:space="0"/>
            </w:tcBorders>
            <w:vAlign w:val="center"/>
          </w:tcPr>
          <w:p w14:paraId="6228A91E">
            <w:pPr>
              <w:widowControl/>
              <w:jc w:val="center"/>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1</w:t>
            </w:r>
          </w:p>
        </w:tc>
        <w:tc>
          <w:tcPr>
            <w:tcW w:w="851" w:type="dxa"/>
            <w:tcBorders>
              <w:top w:val="single" w:color="000000" w:sz="4" w:space="0"/>
              <w:left w:val="single" w:color="000000" w:sz="4" w:space="0"/>
              <w:bottom w:val="single" w:color="000000" w:sz="4" w:space="0"/>
              <w:right w:val="single" w:color="000000" w:sz="4" w:space="0"/>
            </w:tcBorders>
            <w:vAlign w:val="center"/>
          </w:tcPr>
          <w:p w14:paraId="4CECC3F5">
            <w:pPr>
              <w:widowControl/>
              <w:jc w:val="center"/>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环境改造</w:t>
            </w:r>
          </w:p>
        </w:tc>
        <w:tc>
          <w:tcPr>
            <w:tcW w:w="6378" w:type="dxa"/>
            <w:tcBorders>
              <w:top w:val="single" w:color="000000" w:sz="4" w:space="0"/>
              <w:left w:val="single" w:color="000000" w:sz="4" w:space="0"/>
              <w:bottom w:val="single" w:color="000000" w:sz="4" w:space="0"/>
              <w:right w:val="single" w:color="000000" w:sz="4" w:space="0"/>
            </w:tcBorders>
            <w:vAlign w:val="center"/>
          </w:tcPr>
          <w:p w14:paraId="32266299">
            <w:pPr>
              <w:widowControl/>
              <w:numPr>
                <w:ilvl w:val="0"/>
                <w:numId w:val="76"/>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舞台改造：根据合班教室需求对舞台进行改造，保证满足其使用需求，表面铺设木地板，并铺地毯。</w:t>
            </w:r>
          </w:p>
          <w:p w14:paraId="05A16433">
            <w:pPr>
              <w:widowControl/>
              <w:numPr>
                <w:ilvl w:val="0"/>
                <w:numId w:val="76"/>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设备安装：包含合班教室座椅的安装固定，及各类设备的搬运及安装连接调试，各使每项产品达到最佳使用状态。</w:t>
            </w:r>
          </w:p>
          <w:p w14:paraId="1B8D9920">
            <w:pPr>
              <w:widowControl/>
              <w:numPr>
                <w:ilvl w:val="0"/>
                <w:numId w:val="76"/>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垃圾清运：在本功能室全部安装调试完毕后，将产生的装修及安装垃圾全部清运至学校指定地点，并将教室进行保洁。</w:t>
            </w:r>
          </w:p>
        </w:tc>
        <w:tc>
          <w:tcPr>
            <w:tcW w:w="567" w:type="dxa"/>
            <w:tcBorders>
              <w:top w:val="single" w:color="000000" w:sz="4" w:space="0"/>
              <w:left w:val="single" w:color="000000" w:sz="4" w:space="0"/>
              <w:bottom w:val="single" w:color="000000" w:sz="4" w:space="0"/>
              <w:right w:val="single" w:color="000000" w:sz="4" w:space="0"/>
            </w:tcBorders>
            <w:vAlign w:val="center"/>
          </w:tcPr>
          <w:p w14:paraId="223814A1">
            <w:pPr>
              <w:widowControl/>
              <w:jc w:val="center"/>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项</w:t>
            </w:r>
          </w:p>
        </w:tc>
        <w:tc>
          <w:tcPr>
            <w:tcW w:w="870" w:type="dxa"/>
            <w:tcBorders>
              <w:top w:val="single" w:color="000000" w:sz="4" w:space="0"/>
              <w:left w:val="single" w:color="000000" w:sz="4" w:space="0"/>
              <w:bottom w:val="single" w:color="000000" w:sz="4" w:space="0"/>
              <w:right w:val="single" w:color="000000" w:sz="4" w:space="0"/>
            </w:tcBorders>
            <w:vAlign w:val="center"/>
          </w:tcPr>
          <w:p w14:paraId="5C7C1A36">
            <w:pPr>
              <w:widowControl/>
              <w:jc w:val="center"/>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1</w:t>
            </w:r>
          </w:p>
        </w:tc>
      </w:tr>
      <w:tr w14:paraId="11D9A1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644" w:type="dxa"/>
            <w:tcBorders>
              <w:top w:val="single" w:color="000000" w:sz="4" w:space="0"/>
              <w:left w:val="single" w:color="000000" w:sz="4" w:space="0"/>
              <w:bottom w:val="single" w:color="000000" w:sz="4" w:space="0"/>
              <w:right w:val="single" w:color="000000" w:sz="4" w:space="0"/>
            </w:tcBorders>
            <w:vAlign w:val="center"/>
          </w:tcPr>
          <w:p w14:paraId="317E2187">
            <w:pPr>
              <w:widowControl/>
              <w:jc w:val="center"/>
              <w:textAlignment w:val="center"/>
              <w:rPr>
                <w:rFonts w:hint="eastAsia" w:ascii="宋体" w:hAnsi="宋体"/>
                <w:b/>
                <w:bCs/>
                <w:color w:val="auto"/>
                <w:szCs w:val="21"/>
                <w:highlight w:val="none"/>
              </w:rPr>
            </w:pPr>
            <w:r>
              <w:rPr>
                <w:rFonts w:hint="eastAsia" w:ascii="宋体" w:hAnsi="宋体"/>
                <w:b/>
                <w:bCs/>
                <w:color w:val="auto"/>
                <w:kern w:val="0"/>
                <w:szCs w:val="21"/>
                <w:highlight w:val="none"/>
                <w:lang w:bidi="ar"/>
              </w:rPr>
              <w:t>七</w:t>
            </w:r>
          </w:p>
        </w:tc>
        <w:tc>
          <w:tcPr>
            <w:tcW w:w="851" w:type="dxa"/>
            <w:tcBorders>
              <w:top w:val="single" w:color="000000" w:sz="4" w:space="0"/>
              <w:left w:val="single" w:color="000000" w:sz="4" w:space="0"/>
              <w:bottom w:val="single" w:color="000000" w:sz="4" w:space="0"/>
              <w:right w:val="single" w:color="000000" w:sz="4" w:space="0"/>
            </w:tcBorders>
            <w:vAlign w:val="center"/>
          </w:tcPr>
          <w:p w14:paraId="4ED91182">
            <w:pPr>
              <w:widowControl/>
              <w:jc w:val="center"/>
              <w:textAlignment w:val="center"/>
              <w:rPr>
                <w:rFonts w:hint="eastAsia" w:ascii="宋体" w:hAnsi="宋体"/>
                <w:b/>
                <w:bCs/>
                <w:color w:val="auto"/>
                <w:szCs w:val="21"/>
                <w:highlight w:val="none"/>
              </w:rPr>
            </w:pPr>
            <w:r>
              <w:rPr>
                <w:rFonts w:hint="eastAsia" w:ascii="宋体" w:hAnsi="宋体"/>
                <w:b/>
                <w:bCs/>
                <w:color w:val="auto"/>
                <w:kern w:val="0"/>
                <w:szCs w:val="21"/>
                <w:highlight w:val="none"/>
                <w:lang w:bidi="ar"/>
              </w:rPr>
              <w:t>报告厅桌椅</w:t>
            </w:r>
          </w:p>
        </w:tc>
        <w:tc>
          <w:tcPr>
            <w:tcW w:w="6378" w:type="dxa"/>
            <w:tcBorders>
              <w:top w:val="single" w:color="000000" w:sz="4" w:space="0"/>
              <w:left w:val="single" w:color="000000" w:sz="4" w:space="0"/>
              <w:bottom w:val="single" w:color="000000" w:sz="4" w:space="0"/>
              <w:right w:val="single" w:color="000000" w:sz="4" w:space="0"/>
            </w:tcBorders>
            <w:vAlign w:val="center"/>
          </w:tcPr>
          <w:p w14:paraId="78817D6B">
            <w:pPr>
              <w:jc w:val="left"/>
              <w:rPr>
                <w:rFonts w:hint="eastAsia" w:ascii="宋体" w:hAnsi="宋体"/>
                <w:b/>
                <w:bCs/>
                <w:color w:val="auto"/>
                <w:szCs w:val="21"/>
                <w:highlight w:val="none"/>
              </w:rPr>
            </w:pPr>
          </w:p>
        </w:tc>
        <w:tc>
          <w:tcPr>
            <w:tcW w:w="567" w:type="dxa"/>
            <w:tcBorders>
              <w:top w:val="single" w:color="000000" w:sz="4" w:space="0"/>
              <w:left w:val="single" w:color="000000" w:sz="4" w:space="0"/>
              <w:bottom w:val="single" w:color="000000" w:sz="4" w:space="0"/>
              <w:right w:val="single" w:color="000000" w:sz="4" w:space="0"/>
            </w:tcBorders>
            <w:vAlign w:val="center"/>
          </w:tcPr>
          <w:p w14:paraId="1AB55FDE">
            <w:pPr>
              <w:jc w:val="center"/>
              <w:rPr>
                <w:rFonts w:hint="eastAsia" w:ascii="宋体" w:hAnsi="宋体"/>
                <w:b/>
                <w:bCs/>
                <w:color w:val="auto"/>
                <w:szCs w:val="21"/>
                <w:highlight w:val="none"/>
              </w:rPr>
            </w:pPr>
          </w:p>
        </w:tc>
        <w:tc>
          <w:tcPr>
            <w:tcW w:w="870" w:type="dxa"/>
            <w:tcBorders>
              <w:top w:val="single" w:color="000000" w:sz="4" w:space="0"/>
              <w:left w:val="single" w:color="000000" w:sz="4" w:space="0"/>
              <w:bottom w:val="single" w:color="000000" w:sz="4" w:space="0"/>
              <w:right w:val="single" w:color="000000" w:sz="4" w:space="0"/>
            </w:tcBorders>
            <w:vAlign w:val="center"/>
          </w:tcPr>
          <w:p w14:paraId="3B2B9400">
            <w:pPr>
              <w:jc w:val="center"/>
              <w:rPr>
                <w:rFonts w:hint="eastAsia" w:ascii="宋体" w:hAnsi="宋体"/>
                <w:b/>
                <w:bCs/>
                <w:color w:val="auto"/>
                <w:szCs w:val="21"/>
                <w:highlight w:val="none"/>
              </w:rPr>
            </w:pPr>
          </w:p>
        </w:tc>
      </w:tr>
      <w:tr w14:paraId="36EB50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644" w:type="dxa"/>
            <w:tcBorders>
              <w:top w:val="single" w:color="000000" w:sz="4" w:space="0"/>
              <w:left w:val="single" w:color="000000" w:sz="4" w:space="0"/>
              <w:bottom w:val="single" w:color="000000" w:sz="4" w:space="0"/>
              <w:right w:val="single" w:color="000000" w:sz="4" w:space="0"/>
            </w:tcBorders>
            <w:vAlign w:val="center"/>
          </w:tcPr>
          <w:p w14:paraId="65102CB2">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c>
          <w:tcPr>
            <w:tcW w:w="851" w:type="dxa"/>
            <w:tcBorders>
              <w:top w:val="single" w:color="000000" w:sz="4" w:space="0"/>
              <w:left w:val="single" w:color="000000" w:sz="4" w:space="0"/>
              <w:bottom w:val="single" w:color="000000" w:sz="4" w:space="0"/>
              <w:right w:val="single" w:color="000000" w:sz="4" w:space="0"/>
            </w:tcBorders>
            <w:vAlign w:val="center"/>
          </w:tcPr>
          <w:p w14:paraId="388FA68B">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报告厅座椅</w:t>
            </w:r>
          </w:p>
        </w:tc>
        <w:tc>
          <w:tcPr>
            <w:tcW w:w="6378" w:type="dxa"/>
            <w:tcBorders>
              <w:top w:val="single" w:color="000000" w:sz="4" w:space="0"/>
              <w:left w:val="single" w:color="000000" w:sz="4" w:space="0"/>
              <w:bottom w:val="single" w:color="000000" w:sz="4" w:space="0"/>
              <w:right w:val="single" w:color="000000" w:sz="4" w:space="0"/>
            </w:tcBorders>
            <w:vAlign w:val="bottom"/>
          </w:tcPr>
          <w:p w14:paraId="79F50253">
            <w:pPr>
              <w:widowControl/>
              <w:numPr>
                <w:ilvl w:val="0"/>
                <w:numId w:val="77"/>
              </w:numPr>
              <w:jc w:val="left"/>
              <w:textAlignment w:val="bottom"/>
              <w:rPr>
                <w:rFonts w:hint="eastAsia" w:ascii="宋体" w:hAnsi="宋体"/>
                <w:color w:val="auto"/>
                <w:szCs w:val="21"/>
                <w:highlight w:val="none"/>
              </w:rPr>
            </w:pPr>
            <w:r>
              <w:rPr>
                <w:rFonts w:hint="eastAsia" w:ascii="宋体" w:hAnsi="宋体"/>
                <w:color w:val="auto"/>
                <w:kern w:val="0"/>
                <w:szCs w:val="21"/>
                <w:highlight w:val="none"/>
                <w:lang w:bidi="ar"/>
              </w:rPr>
              <w:t>规格：≥椅高1000×中心距550×椅深710㎜</w:t>
            </w:r>
          </w:p>
          <w:p w14:paraId="47673691">
            <w:pPr>
              <w:widowControl/>
              <w:numPr>
                <w:ilvl w:val="0"/>
                <w:numId w:val="77"/>
              </w:numPr>
              <w:jc w:val="left"/>
              <w:textAlignment w:val="bottom"/>
              <w:rPr>
                <w:rFonts w:hint="eastAsia" w:ascii="宋体" w:hAnsi="宋体"/>
                <w:color w:val="auto"/>
                <w:szCs w:val="21"/>
                <w:highlight w:val="none"/>
              </w:rPr>
            </w:pPr>
            <w:r>
              <w:rPr>
                <w:rFonts w:hint="eastAsia" w:ascii="宋体" w:hAnsi="宋体"/>
                <w:color w:val="auto"/>
                <w:kern w:val="0"/>
                <w:szCs w:val="21"/>
                <w:highlight w:val="none"/>
                <w:lang w:bidi="ar"/>
              </w:rPr>
              <w:t>该产品外形尺寸及倾斜角度是根据人体形态工程学曲线原理设计，能最大限度地贴合人体背部，座感舒适，坚固耐用,无疲劳感，产品美观大方、豪华。设计合理豪华、坐感舒适.</w:t>
            </w:r>
          </w:p>
          <w:p w14:paraId="5DA541CC">
            <w:pPr>
              <w:widowControl/>
              <w:numPr>
                <w:ilvl w:val="0"/>
                <w:numId w:val="77"/>
              </w:numPr>
              <w:jc w:val="left"/>
              <w:textAlignment w:val="bottom"/>
              <w:rPr>
                <w:rFonts w:hint="eastAsia" w:ascii="宋体" w:hAnsi="宋体"/>
                <w:color w:val="auto"/>
                <w:szCs w:val="21"/>
                <w:highlight w:val="none"/>
              </w:rPr>
            </w:pPr>
            <w:r>
              <w:rPr>
                <w:rFonts w:hint="eastAsia" w:ascii="宋体" w:hAnsi="宋体"/>
                <w:color w:val="auto"/>
                <w:kern w:val="0"/>
                <w:szCs w:val="21"/>
                <w:highlight w:val="none"/>
                <w:lang w:bidi="ar"/>
              </w:rPr>
              <w:t>座椅的靠背外板、座垫底板选用多层板外履进口红榉木经热压一次成型。靠外板厚度为≥3.8cm,实木镜框，坐外板厚度为≥1.2cm，带有吸音及排气孔。表面喷环保聚酯亚光漆，平滑细腻、雾光。并作防火、耐磨处理，具有精度高、环保、耐腐蚀、耐划痕、易清洗维护等特点。</w:t>
            </w:r>
          </w:p>
          <w:p w14:paraId="27DA293F">
            <w:pPr>
              <w:widowControl/>
              <w:numPr>
                <w:ilvl w:val="0"/>
                <w:numId w:val="77"/>
              </w:numPr>
              <w:jc w:val="left"/>
              <w:textAlignment w:val="bottom"/>
              <w:rPr>
                <w:rFonts w:hint="eastAsia" w:ascii="宋体" w:hAnsi="宋体"/>
                <w:color w:val="auto"/>
                <w:szCs w:val="21"/>
                <w:highlight w:val="none"/>
              </w:rPr>
            </w:pPr>
            <w:r>
              <w:rPr>
                <w:rFonts w:hint="eastAsia" w:ascii="宋体" w:hAnsi="宋体"/>
                <w:color w:val="auto"/>
                <w:kern w:val="0"/>
                <w:szCs w:val="21"/>
                <w:highlight w:val="none"/>
                <w:lang w:bidi="ar"/>
              </w:rPr>
              <w:t>座椅靠背海绵及座垫海绵采用高回弹聚氨酯冷发泡一次成型技术，靠背海绵密度45㎏/m3，座垫海绵密度55㎏/m3，该定型海绵不会因频繁使用而变形、起皱。软背形状符合人体原理设计、坐感舒适。</w:t>
            </w:r>
          </w:p>
          <w:p w14:paraId="776D0C35">
            <w:pPr>
              <w:widowControl/>
              <w:numPr>
                <w:ilvl w:val="0"/>
                <w:numId w:val="77"/>
              </w:numPr>
              <w:jc w:val="left"/>
              <w:textAlignment w:val="bottom"/>
              <w:rPr>
                <w:rFonts w:hint="eastAsia" w:ascii="宋体" w:hAnsi="宋体"/>
                <w:color w:val="auto"/>
                <w:szCs w:val="21"/>
                <w:highlight w:val="none"/>
              </w:rPr>
            </w:pPr>
            <w:r>
              <w:rPr>
                <w:rFonts w:hint="eastAsia" w:ascii="宋体" w:hAnsi="宋体"/>
                <w:color w:val="auto"/>
                <w:kern w:val="0"/>
                <w:szCs w:val="21"/>
                <w:highlight w:val="none"/>
                <w:lang w:bidi="ar"/>
              </w:rPr>
              <w:t>座椅缓冲机构内置纽簧+阻尼器自动回弹装置，保证座椅在人离开座垫后自动缓慢翻起，无冲击、无任何噪音。</w:t>
            </w:r>
          </w:p>
          <w:p w14:paraId="2D7A418B">
            <w:pPr>
              <w:widowControl/>
              <w:numPr>
                <w:ilvl w:val="0"/>
                <w:numId w:val="77"/>
              </w:numPr>
              <w:jc w:val="left"/>
              <w:textAlignment w:val="bottom"/>
              <w:rPr>
                <w:rFonts w:hint="eastAsia" w:ascii="宋体" w:hAnsi="宋体"/>
                <w:color w:val="auto"/>
                <w:szCs w:val="21"/>
                <w:highlight w:val="none"/>
              </w:rPr>
            </w:pPr>
            <w:r>
              <w:rPr>
                <w:rFonts w:hint="eastAsia" w:ascii="宋体" w:hAnsi="宋体"/>
                <w:color w:val="auto"/>
                <w:kern w:val="0"/>
                <w:szCs w:val="21"/>
                <w:highlight w:val="none"/>
                <w:lang w:bidi="ar"/>
              </w:rPr>
              <w:t>座椅面料选用优质耐磨毛麻纺织面料，软硬适中、手感舒适、粘接牢固，使用长时间无皱褶，无断裂、不起球、不褪色、防静电处理、耐磨、吸声、抗污。</w:t>
            </w:r>
          </w:p>
          <w:p w14:paraId="463147BD">
            <w:pPr>
              <w:widowControl/>
              <w:numPr>
                <w:ilvl w:val="0"/>
                <w:numId w:val="77"/>
              </w:numPr>
              <w:jc w:val="left"/>
              <w:textAlignment w:val="bottom"/>
              <w:rPr>
                <w:rFonts w:hint="eastAsia" w:ascii="宋体" w:hAnsi="宋体"/>
                <w:color w:val="auto"/>
                <w:szCs w:val="21"/>
                <w:highlight w:val="none"/>
              </w:rPr>
            </w:pPr>
            <w:r>
              <w:rPr>
                <w:rFonts w:hint="eastAsia" w:ascii="宋体" w:hAnsi="宋体"/>
                <w:color w:val="auto"/>
                <w:kern w:val="0"/>
                <w:szCs w:val="21"/>
                <w:highlight w:val="none"/>
                <w:lang w:bidi="ar"/>
              </w:rPr>
              <w:t>扶手面板采用进口红榉实木经脱水、脱脂及精加工处理，表面喷进口环保聚酯亚光漆，平滑细腻、雾光。消音效果好，豪华美观，手感舒适，耐磨耐用。</w:t>
            </w:r>
          </w:p>
          <w:p w14:paraId="6B99FA1F">
            <w:pPr>
              <w:widowControl/>
              <w:numPr>
                <w:ilvl w:val="0"/>
                <w:numId w:val="77"/>
              </w:numPr>
              <w:jc w:val="left"/>
              <w:textAlignment w:val="bottom"/>
              <w:rPr>
                <w:rFonts w:hint="eastAsia" w:ascii="宋体" w:hAnsi="宋体"/>
                <w:color w:val="auto"/>
                <w:szCs w:val="21"/>
                <w:highlight w:val="none"/>
              </w:rPr>
            </w:pPr>
            <w:r>
              <w:rPr>
                <w:rFonts w:hint="eastAsia" w:ascii="宋体" w:hAnsi="宋体"/>
                <w:color w:val="auto"/>
                <w:kern w:val="0"/>
                <w:szCs w:val="21"/>
                <w:highlight w:val="none"/>
                <w:lang w:bidi="ar"/>
              </w:rPr>
              <w:t>扶手侧板采用多层板外履进口红榉木经热压一次成型，脱脂及精加工处理，表面喷进口环保聚酯亚光漆，平滑细腻、雾光。消音效果好，豪华美观，手感舒适，耐磨耐用。</w:t>
            </w:r>
          </w:p>
          <w:p w14:paraId="0D1D56A6">
            <w:pPr>
              <w:widowControl/>
              <w:numPr>
                <w:ilvl w:val="0"/>
                <w:numId w:val="77"/>
              </w:numPr>
              <w:jc w:val="left"/>
              <w:textAlignment w:val="bottom"/>
              <w:rPr>
                <w:rFonts w:hint="eastAsia" w:ascii="宋体" w:hAnsi="宋体"/>
                <w:color w:val="auto"/>
                <w:szCs w:val="21"/>
                <w:highlight w:val="none"/>
              </w:rPr>
            </w:pPr>
            <w:r>
              <w:rPr>
                <w:rFonts w:hint="eastAsia" w:ascii="宋体" w:hAnsi="宋体"/>
                <w:color w:val="auto"/>
                <w:kern w:val="0"/>
                <w:szCs w:val="21"/>
                <w:highlight w:val="none"/>
                <w:lang w:bidi="ar"/>
              </w:rPr>
              <w:t>落地脚采用重力设计，能承受比一般座椅更大的压力，椅脚采用优质钢管，厚度≥1.8，采用隐蔽技术，与地面固定时用M10×80不锈钢螺栓隐藏在脚板内部，无积尘，美观大方。</w:t>
            </w:r>
          </w:p>
          <w:p w14:paraId="3991DA9F">
            <w:pPr>
              <w:widowControl/>
              <w:numPr>
                <w:ilvl w:val="0"/>
                <w:numId w:val="77"/>
              </w:numPr>
              <w:jc w:val="left"/>
              <w:textAlignment w:val="bottom"/>
              <w:rPr>
                <w:rFonts w:hint="eastAsia" w:ascii="宋体" w:hAnsi="宋体"/>
                <w:color w:val="auto"/>
                <w:szCs w:val="21"/>
                <w:highlight w:val="none"/>
              </w:rPr>
            </w:pPr>
            <w:r>
              <w:rPr>
                <w:rFonts w:hint="eastAsia" w:ascii="宋体" w:hAnsi="宋体"/>
                <w:color w:val="auto"/>
                <w:kern w:val="0"/>
                <w:szCs w:val="21"/>
                <w:highlight w:val="none"/>
                <w:lang w:bidi="ar"/>
              </w:rPr>
              <w:t>座椅金属件均经磷化、喷塑双重防锈处理，坚固耐用。承重机构（座支架）、座软垫、背软垫间拆装容易、安装方便，不同椅子间具有互换性。座椅的力学性能均达到GB103573.3规定的4级试验水平以上。</w:t>
            </w:r>
          </w:p>
          <w:p w14:paraId="2B7CE812">
            <w:pPr>
              <w:widowControl/>
              <w:numPr>
                <w:ilvl w:val="0"/>
                <w:numId w:val="77"/>
              </w:numPr>
              <w:jc w:val="left"/>
              <w:textAlignment w:val="bottom"/>
              <w:rPr>
                <w:rFonts w:hint="eastAsia" w:ascii="宋体" w:hAnsi="宋体"/>
                <w:color w:val="auto"/>
                <w:szCs w:val="21"/>
                <w:highlight w:val="none"/>
              </w:rPr>
            </w:pPr>
            <w:r>
              <w:rPr>
                <w:rFonts w:hint="eastAsia" w:ascii="宋体" w:hAnsi="宋体"/>
                <w:color w:val="auto"/>
                <w:kern w:val="0"/>
                <w:szCs w:val="21"/>
                <w:highlight w:val="none"/>
                <w:lang w:bidi="ar"/>
              </w:rPr>
              <w:t>每张座椅及每排座椅侧方均配有座号、排号，其原材料采用特殊的反光材料制作，荧光自发光，在微弱的灯光下清楚地显示。</w:t>
            </w:r>
          </w:p>
        </w:tc>
        <w:tc>
          <w:tcPr>
            <w:tcW w:w="567" w:type="dxa"/>
            <w:tcBorders>
              <w:top w:val="single" w:color="000000" w:sz="4" w:space="0"/>
              <w:left w:val="single" w:color="000000" w:sz="4" w:space="0"/>
              <w:bottom w:val="single" w:color="000000" w:sz="4" w:space="0"/>
              <w:right w:val="single" w:color="000000" w:sz="4" w:space="0"/>
            </w:tcBorders>
            <w:vAlign w:val="center"/>
          </w:tcPr>
          <w:p w14:paraId="71DFBA00">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位</w:t>
            </w:r>
          </w:p>
        </w:tc>
        <w:tc>
          <w:tcPr>
            <w:tcW w:w="870" w:type="dxa"/>
            <w:tcBorders>
              <w:top w:val="single" w:color="000000" w:sz="4" w:space="0"/>
              <w:left w:val="single" w:color="000000" w:sz="4" w:space="0"/>
              <w:bottom w:val="single" w:color="000000" w:sz="4" w:space="0"/>
              <w:right w:val="single" w:color="000000" w:sz="4" w:space="0"/>
            </w:tcBorders>
            <w:vAlign w:val="center"/>
          </w:tcPr>
          <w:p w14:paraId="2EEF8C6F">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400</w:t>
            </w:r>
          </w:p>
        </w:tc>
      </w:tr>
      <w:tr w14:paraId="7E1DEB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644" w:type="dxa"/>
            <w:tcBorders>
              <w:top w:val="single" w:color="000000" w:sz="4" w:space="0"/>
              <w:left w:val="single" w:color="000000" w:sz="4" w:space="0"/>
              <w:bottom w:val="single" w:color="000000" w:sz="4" w:space="0"/>
              <w:right w:val="single" w:color="000000" w:sz="4" w:space="0"/>
            </w:tcBorders>
            <w:vAlign w:val="center"/>
          </w:tcPr>
          <w:p w14:paraId="7C82A1DC">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w:t>
            </w:r>
          </w:p>
        </w:tc>
        <w:tc>
          <w:tcPr>
            <w:tcW w:w="851" w:type="dxa"/>
            <w:tcBorders>
              <w:top w:val="single" w:color="000000" w:sz="4" w:space="0"/>
              <w:left w:val="single" w:color="000000" w:sz="4" w:space="0"/>
              <w:bottom w:val="single" w:color="000000" w:sz="4" w:space="0"/>
              <w:right w:val="single" w:color="000000" w:sz="4" w:space="0"/>
            </w:tcBorders>
            <w:vAlign w:val="center"/>
          </w:tcPr>
          <w:p w14:paraId="3A886AC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主席台桌</w:t>
            </w:r>
          </w:p>
        </w:tc>
        <w:tc>
          <w:tcPr>
            <w:tcW w:w="6378" w:type="dxa"/>
            <w:tcBorders>
              <w:top w:val="single" w:color="000000" w:sz="4" w:space="0"/>
              <w:left w:val="single" w:color="000000" w:sz="4" w:space="0"/>
              <w:bottom w:val="single" w:color="000000" w:sz="4" w:space="0"/>
              <w:right w:val="single" w:color="000000" w:sz="4" w:space="0"/>
            </w:tcBorders>
            <w:vAlign w:val="bottom"/>
          </w:tcPr>
          <w:p w14:paraId="1E757039">
            <w:pPr>
              <w:widowControl/>
              <w:numPr>
                <w:ilvl w:val="0"/>
                <w:numId w:val="78"/>
              </w:numPr>
              <w:jc w:val="left"/>
              <w:textAlignment w:val="bottom"/>
              <w:rPr>
                <w:rFonts w:hint="eastAsia" w:ascii="宋体" w:hAnsi="宋体"/>
                <w:color w:val="auto"/>
                <w:szCs w:val="21"/>
                <w:highlight w:val="none"/>
              </w:rPr>
            </w:pPr>
            <w:r>
              <w:rPr>
                <w:rFonts w:hint="eastAsia" w:ascii="宋体" w:hAnsi="宋体"/>
                <w:color w:val="auto"/>
                <w:kern w:val="0"/>
                <w:szCs w:val="21"/>
                <w:highlight w:val="none"/>
                <w:lang w:bidi="ar"/>
              </w:rPr>
              <w:t xml:space="preserve">颜色：胡桃      </w:t>
            </w:r>
          </w:p>
          <w:p w14:paraId="1A5EEDF6">
            <w:pPr>
              <w:widowControl/>
              <w:numPr>
                <w:ilvl w:val="0"/>
                <w:numId w:val="78"/>
              </w:numPr>
              <w:jc w:val="left"/>
              <w:textAlignment w:val="bottom"/>
              <w:rPr>
                <w:rFonts w:hint="eastAsia" w:ascii="宋体" w:hAnsi="宋体"/>
                <w:color w:val="auto"/>
                <w:szCs w:val="21"/>
                <w:highlight w:val="none"/>
              </w:rPr>
            </w:pPr>
            <w:r>
              <w:rPr>
                <w:rFonts w:hint="eastAsia" w:ascii="宋体" w:hAnsi="宋体"/>
                <w:color w:val="auto"/>
                <w:kern w:val="0"/>
                <w:szCs w:val="21"/>
                <w:highlight w:val="none"/>
                <w:lang w:bidi="ar"/>
              </w:rPr>
              <w:t xml:space="preserve">规格：≥1400*600*760 </w:t>
            </w:r>
          </w:p>
          <w:p w14:paraId="46DBB322">
            <w:pPr>
              <w:widowControl/>
              <w:numPr>
                <w:ilvl w:val="0"/>
                <w:numId w:val="78"/>
              </w:numPr>
              <w:jc w:val="left"/>
              <w:textAlignment w:val="bottom"/>
              <w:rPr>
                <w:rFonts w:hint="eastAsia" w:ascii="宋体" w:hAnsi="宋体"/>
                <w:color w:val="auto"/>
                <w:szCs w:val="21"/>
                <w:highlight w:val="none"/>
              </w:rPr>
            </w:pPr>
            <w:r>
              <w:rPr>
                <w:rFonts w:hint="eastAsia" w:ascii="宋体" w:hAnsi="宋体"/>
                <w:color w:val="auto"/>
                <w:kern w:val="0"/>
                <w:szCs w:val="21"/>
                <w:highlight w:val="none"/>
                <w:lang w:bidi="ar"/>
              </w:rPr>
              <w:t>基材：高密度 E1 中纤板；</w:t>
            </w:r>
          </w:p>
          <w:p w14:paraId="7574051A">
            <w:pPr>
              <w:widowControl/>
              <w:numPr>
                <w:ilvl w:val="0"/>
                <w:numId w:val="78"/>
              </w:numPr>
              <w:jc w:val="left"/>
              <w:textAlignment w:val="bottom"/>
              <w:rPr>
                <w:rFonts w:hint="eastAsia" w:ascii="宋体" w:hAnsi="宋体"/>
                <w:color w:val="auto"/>
                <w:szCs w:val="21"/>
                <w:highlight w:val="none"/>
              </w:rPr>
            </w:pPr>
            <w:r>
              <w:rPr>
                <w:rFonts w:hint="eastAsia" w:ascii="宋体" w:hAnsi="宋体"/>
                <w:color w:val="auto"/>
                <w:kern w:val="0"/>
                <w:szCs w:val="21"/>
                <w:highlight w:val="none"/>
                <w:lang w:bidi="ar"/>
              </w:rPr>
              <w:t xml:space="preserve">饰面：所有板材双面贴胡桃木皮贴面，厚度≥0.6mm， 木皮宽度≥200mm； </w:t>
            </w:r>
          </w:p>
          <w:p w14:paraId="7EF4A9E8">
            <w:pPr>
              <w:widowControl/>
              <w:numPr>
                <w:ilvl w:val="0"/>
                <w:numId w:val="78"/>
              </w:numPr>
              <w:jc w:val="left"/>
              <w:textAlignment w:val="bottom"/>
              <w:rPr>
                <w:rFonts w:hint="eastAsia" w:ascii="宋体" w:hAnsi="宋体"/>
                <w:color w:val="auto"/>
                <w:szCs w:val="21"/>
                <w:highlight w:val="none"/>
              </w:rPr>
            </w:pPr>
            <w:r>
              <w:rPr>
                <w:rFonts w:hint="eastAsia" w:ascii="宋体" w:hAnsi="宋体"/>
                <w:color w:val="auto"/>
                <w:kern w:val="0"/>
                <w:szCs w:val="21"/>
                <w:highlight w:val="none"/>
                <w:lang w:bidi="ar"/>
              </w:rPr>
              <w:t>封边及侧面：与饰面材料一致.</w:t>
            </w:r>
          </w:p>
          <w:p w14:paraId="0B27260A">
            <w:pPr>
              <w:widowControl/>
              <w:numPr>
                <w:ilvl w:val="0"/>
                <w:numId w:val="78"/>
              </w:numPr>
              <w:jc w:val="left"/>
              <w:textAlignment w:val="bottom"/>
              <w:rPr>
                <w:rFonts w:hint="eastAsia" w:ascii="宋体" w:hAnsi="宋体"/>
                <w:color w:val="auto"/>
                <w:szCs w:val="21"/>
                <w:highlight w:val="none"/>
              </w:rPr>
            </w:pPr>
            <w:r>
              <w:rPr>
                <w:rFonts w:hint="eastAsia" w:ascii="宋体" w:hAnsi="宋体"/>
                <w:color w:val="auto"/>
                <w:kern w:val="0"/>
                <w:szCs w:val="21"/>
                <w:highlight w:val="none"/>
                <w:lang w:bidi="ar"/>
              </w:rPr>
              <w:t xml:space="preserve">进口五金配件 </w:t>
            </w:r>
          </w:p>
        </w:tc>
        <w:tc>
          <w:tcPr>
            <w:tcW w:w="567" w:type="dxa"/>
            <w:tcBorders>
              <w:top w:val="single" w:color="000000" w:sz="4" w:space="0"/>
              <w:left w:val="single" w:color="000000" w:sz="4" w:space="0"/>
              <w:bottom w:val="single" w:color="000000" w:sz="4" w:space="0"/>
              <w:right w:val="single" w:color="000000" w:sz="4" w:space="0"/>
            </w:tcBorders>
            <w:vAlign w:val="center"/>
          </w:tcPr>
          <w:p w14:paraId="77EB11BD">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张</w:t>
            </w:r>
          </w:p>
        </w:tc>
        <w:tc>
          <w:tcPr>
            <w:tcW w:w="870" w:type="dxa"/>
            <w:tcBorders>
              <w:top w:val="single" w:color="000000" w:sz="4" w:space="0"/>
              <w:left w:val="single" w:color="000000" w:sz="4" w:space="0"/>
              <w:bottom w:val="single" w:color="000000" w:sz="4" w:space="0"/>
              <w:right w:val="single" w:color="000000" w:sz="4" w:space="0"/>
            </w:tcBorders>
            <w:vAlign w:val="center"/>
          </w:tcPr>
          <w:p w14:paraId="10148423">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20</w:t>
            </w:r>
          </w:p>
        </w:tc>
      </w:tr>
      <w:tr w14:paraId="2130AE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644" w:type="dxa"/>
            <w:tcBorders>
              <w:top w:val="single" w:color="000000" w:sz="4" w:space="0"/>
              <w:left w:val="single" w:color="000000" w:sz="4" w:space="0"/>
              <w:bottom w:val="single" w:color="000000" w:sz="4" w:space="0"/>
              <w:right w:val="single" w:color="000000" w:sz="4" w:space="0"/>
            </w:tcBorders>
            <w:vAlign w:val="center"/>
          </w:tcPr>
          <w:p w14:paraId="5CE3AE2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3</w:t>
            </w:r>
          </w:p>
        </w:tc>
        <w:tc>
          <w:tcPr>
            <w:tcW w:w="851" w:type="dxa"/>
            <w:tcBorders>
              <w:top w:val="single" w:color="000000" w:sz="4" w:space="0"/>
              <w:left w:val="single" w:color="000000" w:sz="4" w:space="0"/>
              <w:bottom w:val="single" w:color="000000" w:sz="4" w:space="0"/>
              <w:right w:val="single" w:color="000000" w:sz="4" w:space="0"/>
            </w:tcBorders>
            <w:vAlign w:val="center"/>
          </w:tcPr>
          <w:p w14:paraId="259D3EA0">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演讲台</w:t>
            </w:r>
          </w:p>
        </w:tc>
        <w:tc>
          <w:tcPr>
            <w:tcW w:w="6378" w:type="dxa"/>
            <w:tcBorders>
              <w:top w:val="single" w:color="000000" w:sz="4" w:space="0"/>
              <w:left w:val="single" w:color="000000" w:sz="4" w:space="0"/>
              <w:bottom w:val="single" w:color="000000" w:sz="4" w:space="0"/>
              <w:right w:val="single" w:color="000000" w:sz="4" w:space="0"/>
            </w:tcBorders>
            <w:vAlign w:val="bottom"/>
          </w:tcPr>
          <w:p w14:paraId="1C7850E6">
            <w:pPr>
              <w:widowControl/>
              <w:numPr>
                <w:ilvl w:val="0"/>
                <w:numId w:val="79"/>
              </w:numPr>
              <w:jc w:val="left"/>
              <w:textAlignment w:val="bottom"/>
              <w:rPr>
                <w:rFonts w:hint="eastAsia" w:ascii="宋体" w:hAnsi="宋体"/>
                <w:color w:val="auto"/>
                <w:szCs w:val="21"/>
                <w:highlight w:val="none"/>
              </w:rPr>
            </w:pPr>
            <w:r>
              <w:rPr>
                <w:rFonts w:hint="eastAsia" w:ascii="宋体" w:hAnsi="宋体"/>
                <w:color w:val="auto"/>
                <w:kern w:val="0"/>
                <w:szCs w:val="21"/>
                <w:highlight w:val="none"/>
                <w:lang w:bidi="ar"/>
              </w:rPr>
              <w:t>规格：≥760*580*1150mm</w:t>
            </w:r>
          </w:p>
          <w:p w14:paraId="4EC45A0D">
            <w:pPr>
              <w:widowControl/>
              <w:numPr>
                <w:ilvl w:val="0"/>
                <w:numId w:val="79"/>
              </w:numPr>
              <w:jc w:val="left"/>
              <w:textAlignment w:val="bottom"/>
              <w:rPr>
                <w:rFonts w:hint="eastAsia" w:ascii="宋体" w:hAnsi="宋体"/>
                <w:color w:val="auto"/>
                <w:szCs w:val="21"/>
                <w:highlight w:val="none"/>
              </w:rPr>
            </w:pPr>
            <w:r>
              <w:rPr>
                <w:rFonts w:hint="eastAsia" w:ascii="宋体" w:hAnsi="宋体"/>
                <w:color w:val="auto"/>
                <w:kern w:val="0"/>
                <w:szCs w:val="21"/>
                <w:highlight w:val="none"/>
                <w:lang w:bidi="ar"/>
              </w:rPr>
              <w:t>基材：采用E1级优质环保中密度板、实木封边（甲醛释放量小于5mg/100g),经防虫、防潮、防腐及烘干处理，含水率低于10%，吸水厚度膨胀率≥9.0；</w:t>
            </w:r>
          </w:p>
          <w:p w14:paraId="5DBF7E09">
            <w:pPr>
              <w:widowControl/>
              <w:numPr>
                <w:ilvl w:val="0"/>
                <w:numId w:val="79"/>
              </w:numPr>
              <w:jc w:val="left"/>
              <w:textAlignment w:val="bottom"/>
              <w:rPr>
                <w:rFonts w:hint="eastAsia" w:ascii="宋体" w:hAnsi="宋体"/>
                <w:color w:val="auto"/>
                <w:szCs w:val="21"/>
                <w:highlight w:val="none"/>
              </w:rPr>
            </w:pPr>
            <w:r>
              <w:rPr>
                <w:rFonts w:hint="eastAsia" w:ascii="宋体" w:hAnsi="宋体"/>
                <w:color w:val="auto"/>
                <w:kern w:val="0"/>
                <w:szCs w:val="21"/>
                <w:highlight w:val="none"/>
                <w:lang w:bidi="ar"/>
              </w:rPr>
              <w:t>表面贴合≥0.6mm木皮饰面，木皮纹理颜色一致，无结巴 ，无瑕疵，游离甲醛含量符合国家标准（甲醛释放量小于5mg/100g）。</w:t>
            </w:r>
          </w:p>
          <w:p w14:paraId="16530CE4">
            <w:pPr>
              <w:widowControl/>
              <w:numPr>
                <w:ilvl w:val="0"/>
                <w:numId w:val="79"/>
              </w:numPr>
              <w:jc w:val="left"/>
              <w:textAlignment w:val="bottom"/>
              <w:rPr>
                <w:rFonts w:hint="eastAsia" w:ascii="宋体" w:hAnsi="宋体"/>
                <w:color w:val="auto"/>
                <w:szCs w:val="21"/>
                <w:highlight w:val="none"/>
              </w:rPr>
            </w:pPr>
            <w:r>
              <w:rPr>
                <w:rFonts w:hint="eastAsia" w:ascii="宋体" w:hAnsi="宋体"/>
                <w:color w:val="auto"/>
                <w:kern w:val="0"/>
                <w:szCs w:val="21"/>
                <w:highlight w:val="none"/>
                <w:lang w:bidi="ar"/>
              </w:rPr>
              <w:t>经环保亚光聚酯环保漆五底三面饰面处理，色泽美观，光滑耐用，无颗粒，无气泡，无渣点，颜色均匀。</w:t>
            </w:r>
          </w:p>
        </w:tc>
        <w:tc>
          <w:tcPr>
            <w:tcW w:w="567" w:type="dxa"/>
            <w:tcBorders>
              <w:top w:val="single" w:color="000000" w:sz="4" w:space="0"/>
              <w:left w:val="single" w:color="000000" w:sz="4" w:space="0"/>
              <w:bottom w:val="single" w:color="000000" w:sz="4" w:space="0"/>
              <w:right w:val="single" w:color="000000" w:sz="4" w:space="0"/>
            </w:tcBorders>
            <w:vAlign w:val="center"/>
          </w:tcPr>
          <w:p w14:paraId="0B2256B5">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张</w:t>
            </w:r>
          </w:p>
        </w:tc>
        <w:tc>
          <w:tcPr>
            <w:tcW w:w="870" w:type="dxa"/>
            <w:tcBorders>
              <w:top w:val="single" w:color="000000" w:sz="4" w:space="0"/>
              <w:left w:val="single" w:color="000000" w:sz="4" w:space="0"/>
              <w:bottom w:val="single" w:color="000000" w:sz="4" w:space="0"/>
              <w:right w:val="single" w:color="000000" w:sz="4" w:space="0"/>
            </w:tcBorders>
            <w:vAlign w:val="center"/>
          </w:tcPr>
          <w:p w14:paraId="3F6502FE">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w:t>
            </w:r>
          </w:p>
        </w:tc>
      </w:tr>
      <w:tr w14:paraId="545A04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3" w:hRule="atLeast"/>
          <w:jc w:val="center"/>
        </w:trPr>
        <w:tc>
          <w:tcPr>
            <w:tcW w:w="644" w:type="dxa"/>
            <w:tcBorders>
              <w:top w:val="single" w:color="000000" w:sz="4" w:space="0"/>
              <w:left w:val="single" w:color="000000" w:sz="4" w:space="0"/>
              <w:bottom w:val="single" w:color="000000" w:sz="4" w:space="0"/>
              <w:right w:val="single" w:color="000000" w:sz="4" w:space="0"/>
            </w:tcBorders>
            <w:vAlign w:val="center"/>
          </w:tcPr>
          <w:p w14:paraId="63AA0BF8">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4</w:t>
            </w:r>
          </w:p>
        </w:tc>
        <w:tc>
          <w:tcPr>
            <w:tcW w:w="851" w:type="dxa"/>
            <w:tcBorders>
              <w:top w:val="single" w:color="000000" w:sz="4" w:space="0"/>
              <w:left w:val="single" w:color="000000" w:sz="4" w:space="0"/>
              <w:bottom w:val="single" w:color="000000" w:sz="4" w:space="0"/>
              <w:right w:val="single" w:color="000000" w:sz="4" w:space="0"/>
            </w:tcBorders>
            <w:vAlign w:val="center"/>
          </w:tcPr>
          <w:p w14:paraId="0D9A233B">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主席台椅</w:t>
            </w:r>
          </w:p>
        </w:tc>
        <w:tc>
          <w:tcPr>
            <w:tcW w:w="6378" w:type="dxa"/>
            <w:tcBorders>
              <w:top w:val="single" w:color="000000" w:sz="4" w:space="0"/>
              <w:left w:val="single" w:color="000000" w:sz="4" w:space="0"/>
              <w:bottom w:val="single" w:color="000000" w:sz="4" w:space="0"/>
              <w:right w:val="single" w:color="000000" w:sz="4" w:space="0"/>
            </w:tcBorders>
            <w:vAlign w:val="bottom"/>
          </w:tcPr>
          <w:p w14:paraId="6D4644C1">
            <w:pPr>
              <w:widowControl/>
              <w:numPr>
                <w:ilvl w:val="0"/>
                <w:numId w:val="80"/>
              </w:numPr>
              <w:jc w:val="left"/>
              <w:textAlignment w:val="bottom"/>
              <w:rPr>
                <w:rFonts w:hint="eastAsia" w:ascii="宋体" w:hAnsi="宋体"/>
                <w:color w:val="auto"/>
                <w:szCs w:val="21"/>
                <w:highlight w:val="none"/>
              </w:rPr>
            </w:pPr>
            <w:r>
              <w:rPr>
                <w:rFonts w:hint="eastAsia" w:ascii="宋体" w:hAnsi="宋体"/>
                <w:color w:val="auto"/>
                <w:kern w:val="0"/>
                <w:szCs w:val="21"/>
                <w:highlight w:val="none"/>
                <w:lang w:bidi="ar"/>
              </w:rPr>
              <w:t>颜色：胡桃+黑牛皮</w:t>
            </w:r>
          </w:p>
          <w:p w14:paraId="3BC89467">
            <w:pPr>
              <w:widowControl/>
              <w:numPr>
                <w:ilvl w:val="0"/>
                <w:numId w:val="80"/>
              </w:numPr>
              <w:jc w:val="left"/>
              <w:textAlignment w:val="bottom"/>
              <w:rPr>
                <w:rFonts w:hint="eastAsia" w:ascii="宋体" w:hAnsi="宋体"/>
                <w:color w:val="auto"/>
                <w:szCs w:val="21"/>
                <w:highlight w:val="none"/>
              </w:rPr>
            </w:pPr>
            <w:r>
              <w:rPr>
                <w:rFonts w:hint="eastAsia" w:ascii="宋体" w:hAnsi="宋体"/>
                <w:color w:val="auto"/>
                <w:kern w:val="0"/>
                <w:szCs w:val="21"/>
                <w:highlight w:val="none"/>
                <w:lang w:bidi="ar"/>
              </w:rPr>
              <w:t xml:space="preserve">规格：≥620mm*670mm*1020mm </w:t>
            </w:r>
          </w:p>
          <w:p w14:paraId="18F209AA">
            <w:pPr>
              <w:widowControl/>
              <w:numPr>
                <w:ilvl w:val="0"/>
                <w:numId w:val="80"/>
              </w:numPr>
              <w:jc w:val="left"/>
              <w:textAlignment w:val="bottom"/>
              <w:rPr>
                <w:rFonts w:hint="eastAsia" w:ascii="宋体" w:hAnsi="宋体"/>
                <w:color w:val="auto"/>
                <w:szCs w:val="21"/>
                <w:highlight w:val="none"/>
              </w:rPr>
            </w:pPr>
            <w:r>
              <w:rPr>
                <w:rFonts w:hint="eastAsia" w:ascii="宋体" w:hAnsi="宋体"/>
                <w:color w:val="auto"/>
                <w:kern w:val="0"/>
                <w:szCs w:val="21"/>
                <w:highlight w:val="none"/>
                <w:lang w:bidi="ar"/>
              </w:rPr>
              <w:t>椅身、座板、框架橡木，椅面优质黑牛皮， 高密度 PU 气泡海绵。</w:t>
            </w:r>
          </w:p>
        </w:tc>
        <w:tc>
          <w:tcPr>
            <w:tcW w:w="567" w:type="dxa"/>
            <w:tcBorders>
              <w:top w:val="single" w:color="000000" w:sz="4" w:space="0"/>
              <w:left w:val="single" w:color="000000" w:sz="4" w:space="0"/>
              <w:bottom w:val="single" w:color="000000" w:sz="4" w:space="0"/>
              <w:right w:val="single" w:color="000000" w:sz="4" w:space="0"/>
            </w:tcBorders>
            <w:vAlign w:val="center"/>
          </w:tcPr>
          <w:p w14:paraId="186974DC">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把</w:t>
            </w:r>
          </w:p>
        </w:tc>
        <w:tc>
          <w:tcPr>
            <w:tcW w:w="870" w:type="dxa"/>
            <w:tcBorders>
              <w:top w:val="single" w:color="000000" w:sz="4" w:space="0"/>
              <w:left w:val="single" w:color="000000" w:sz="4" w:space="0"/>
              <w:bottom w:val="single" w:color="000000" w:sz="4" w:space="0"/>
              <w:right w:val="single" w:color="000000" w:sz="4" w:space="0"/>
            </w:tcBorders>
            <w:vAlign w:val="center"/>
          </w:tcPr>
          <w:p w14:paraId="20B4D4F2">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40</w:t>
            </w:r>
          </w:p>
        </w:tc>
      </w:tr>
      <w:tr w14:paraId="5339BE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644" w:type="dxa"/>
            <w:tcBorders>
              <w:top w:val="single" w:color="000000" w:sz="4" w:space="0"/>
              <w:left w:val="single" w:color="000000" w:sz="4" w:space="0"/>
              <w:bottom w:val="single" w:color="000000" w:sz="4" w:space="0"/>
              <w:right w:val="single" w:color="000000" w:sz="4" w:space="0"/>
            </w:tcBorders>
            <w:vAlign w:val="center"/>
          </w:tcPr>
          <w:p w14:paraId="1C5E4DDF">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5</w:t>
            </w:r>
          </w:p>
        </w:tc>
        <w:tc>
          <w:tcPr>
            <w:tcW w:w="851" w:type="dxa"/>
            <w:tcBorders>
              <w:top w:val="single" w:color="000000" w:sz="4" w:space="0"/>
              <w:left w:val="single" w:color="000000" w:sz="4" w:space="0"/>
              <w:bottom w:val="single" w:color="000000" w:sz="4" w:space="0"/>
              <w:right w:val="single" w:color="000000" w:sz="4" w:space="0"/>
            </w:tcBorders>
            <w:vAlign w:val="center"/>
          </w:tcPr>
          <w:p w14:paraId="68DE2798">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条桌</w:t>
            </w:r>
          </w:p>
        </w:tc>
        <w:tc>
          <w:tcPr>
            <w:tcW w:w="6378" w:type="dxa"/>
            <w:tcBorders>
              <w:top w:val="single" w:color="000000" w:sz="4" w:space="0"/>
              <w:left w:val="single" w:color="000000" w:sz="4" w:space="0"/>
              <w:bottom w:val="single" w:color="000000" w:sz="4" w:space="0"/>
              <w:right w:val="single" w:color="000000" w:sz="4" w:space="0"/>
            </w:tcBorders>
            <w:vAlign w:val="bottom"/>
          </w:tcPr>
          <w:p w14:paraId="2DA1EC47">
            <w:pPr>
              <w:widowControl/>
              <w:numPr>
                <w:ilvl w:val="0"/>
                <w:numId w:val="81"/>
              </w:numPr>
              <w:jc w:val="left"/>
              <w:textAlignment w:val="bottom"/>
              <w:rPr>
                <w:rFonts w:hint="eastAsia" w:ascii="宋体" w:hAnsi="宋体"/>
                <w:color w:val="auto"/>
                <w:szCs w:val="21"/>
                <w:highlight w:val="none"/>
              </w:rPr>
            </w:pPr>
            <w:r>
              <w:rPr>
                <w:rFonts w:hint="eastAsia" w:ascii="宋体" w:hAnsi="宋体"/>
                <w:color w:val="auto"/>
                <w:kern w:val="0"/>
                <w:szCs w:val="21"/>
                <w:highlight w:val="none"/>
                <w:lang w:bidi="ar"/>
              </w:rPr>
              <w:t>颜色：胡桃</w:t>
            </w:r>
          </w:p>
          <w:p w14:paraId="37F23583">
            <w:pPr>
              <w:widowControl/>
              <w:numPr>
                <w:ilvl w:val="0"/>
                <w:numId w:val="81"/>
              </w:numPr>
              <w:jc w:val="left"/>
              <w:textAlignment w:val="bottom"/>
              <w:rPr>
                <w:rFonts w:hint="eastAsia" w:ascii="宋体" w:hAnsi="宋体"/>
                <w:color w:val="auto"/>
                <w:szCs w:val="21"/>
                <w:highlight w:val="none"/>
              </w:rPr>
            </w:pPr>
            <w:r>
              <w:rPr>
                <w:rFonts w:hint="eastAsia" w:ascii="宋体" w:hAnsi="宋体"/>
                <w:color w:val="auto"/>
                <w:kern w:val="0"/>
                <w:szCs w:val="21"/>
                <w:highlight w:val="none"/>
                <w:lang w:bidi="ar"/>
              </w:rPr>
              <w:t xml:space="preserve">规格：≥1200*400*760 </w:t>
            </w:r>
          </w:p>
          <w:p w14:paraId="61FBB4A2">
            <w:pPr>
              <w:widowControl/>
              <w:numPr>
                <w:ilvl w:val="0"/>
                <w:numId w:val="81"/>
              </w:numPr>
              <w:jc w:val="left"/>
              <w:textAlignment w:val="bottom"/>
              <w:rPr>
                <w:rFonts w:hint="eastAsia" w:ascii="宋体" w:hAnsi="宋体"/>
                <w:color w:val="auto"/>
                <w:szCs w:val="21"/>
                <w:highlight w:val="none"/>
              </w:rPr>
            </w:pPr>
            <w:r>
              <w:rPr>
                <w:rFonts w:hint="eastAsia" w:ascii="宋体" w:hAnsi="宋体"/>
                <w:color w:val="auto"/>
                <w:kern w:val="0"/>
                <w:szCs w:val="21"/>
                <w:highlight w:val="none"/>
                <w:lang w:bidi="ar"/>
              </w:rPr>
              <w:t xml:space="preserve">基材：高密度 E1 中纤板； </w:t>
            </w:r>
          </w:p>
          <w:p w14:paraId="104DA716">
            <w:pPr>
              <w:widowControl/>
              <w:numPr>
                <w:ilvl w:val="0"/>
                <w:numId w:val="81"/>
              </w:numPr>
              <w:jc w:val="left"/>
              <w:textAlignment w:val="bottom"/>
              <w:rPr>
                <w:rFonts w:hint="eastAsia" w:ascii="宋体" w:hAnsi="宋体"/>
                <w:color w:val="auto"/>
                <w:szCs w:val="21"/>
                <w:highlight w:val="none"/>
              </w:rPr>
            </w:pPr>
            <w:r>
              <w:rPr>
                <w:rFonts w:hint="eastAsia" w:ascii="宋体" w:hAnsi="宋体"/>
                <w:color w:val="auto"/>
                <w:kern w:val="0"/>
                <w:szCs w:val="21"/>
                <w:highlight w:val="none"/>
                <w:lang w:bidi="ar"/>
              </w:rPr>
              <w:t xml:space="preserve">饰面：所有板材双面贴胡桃木皮贴面，厚度≥0.6mm， 木皮宽度≥200mm； </w:t>
            </w:r>
          </w:p>
          <w:p w14:paraId="0E0FB09E">
            <w:pPr>
              <w:widowControl/>
              <w:numPr>
                <w:ilvl w:val="0"/>
                <w:numId w:val="81"/>
              </w:numPr>
              <w:jc w:val="left"/>
              <w:textAlignment w:val="bottom"/>
              <w:rPr>
                <w:rFonts w:hint="eastAsia" w:ascii="宋体" w:hAnsi="宋体"/>
                <w:color w:val="auto"/>
                <w:szCs w:val="21"/>
                <w:highlight w:val="none"/>
              </w:rPr>
            </w:pPr>
            <w:r>
              <w:rPr>
                <w:rFonts w:hint="eastAsia" w:ascii="宋体" w:hAnsi="宋体"/>
                <w:color w:val="auto"/>
                <w:kern w:val="0"/>
                <w:szCs w:val="21"/>
                <w:highlight w:val="none"/>
                <w:lang w:bidi="ar"/>
              </w:rPr>
              <w:t xml:space="preserve">封边及侧面：与饰面材料一致. </w:t>
            </w:r>
          </w:p>
          <w:p w14:paraId="0AF744AA">
            <w:pPr>
              <w:widowControl/>
              <w:numPr>
                <w:ilvl w:val="0"/>
                <w:numId w:val="81"/>
              </w:numPr>
              <w:jc w:val="left"/>
              <w:textAlignment w:val="bottom"/>
              <w:rPr>
                <w:rFonts w:hint="eastAsia" w:ascii="宋体" w:hAnsi="宋体"/>
                <w:color w:val="auto"/>
                <w:szCs w:val="21"/>
                <w:highlight w:val="none"/>
              </w:rPr>
            </w:pPr>
            <w:r>
              <w:rPr>
                <w:rFonts w:hint="eastAsia" w:ascii="宋体" w:hAnsi="宋体"/>
                <w:color w:val="auto"/>
                <w:kern w:val="0"/>
                <w:szCs w:val="21"/>
                <w:highlight w:val="none"/>
                <w:lang w:bidi="ar"/>
              </w:rPr>
              <w:t xml:space="preserve">进口五金配件 </w:t>
            </w:r>
          </w:p>
        </w:tc>
        <w:tc>
          <w:tcPr>
            <w:tcW w:w="567" w:type="dxa"/>
            <w:tcBorders>
              <w:top w:val="single" w:color="000000" w:sz="4" w:space="0"/>
              <w:left w:val="single" w:color="000000" w:sz="4" w:space="0"/>
              <w:bottom w:val="single" w:color="000000" w:sz="4" w:space="0"/>
              <w:right w:val="single" w:color="000000" w:sz="4" w:space="0"/>
            </w:tcBorders>
            <w:vAlign w:val="center"/>
          </w:tcPr>
          <w:p w14:paraId="4B11E820">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张</w:t>
            </w:r>
          </w:p>
        </w:tc>
        <w:tc>
          <w:tcPr>
            <w:tcW w:w="870" w:type="dxa"/>
            <w:tcBorders>
              <w:top w:val="single" w:color="000000" w:sz="4" w:space="0"/>
              <w:left w:val="single" w:color="000000" w:sz="4" w:space="0"/>
              <w:bottom w:val="single" w:color="000000" w:sz="4" w:space="0"/>
              <w:right w:val="single" w:color="000000" w:sz="4" w:space="0"/>
            </w:tcBorders>
            <w:vAlign w:val="center"/>
          </w:tcPr>
          <w:p w14:paraId="09030093">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20</w:t>
            </w:r>
          </w:p>
        </w:tc>
      </w:tr>
      <w:tr w14:paraId="62D9BA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9310" w:type="dxa"/>
            <w:gridSpan w:val="5"/>
            <w:tcBorders>
              <w:top w:val="single" w:color="000000" w:sz="4" w:space="0"/>
              <w:left w:val="single" w:color="000000" w:sz="4" w:space="0"/>
              <w:bottom w:val="single" w:color="000000" w:sz="4" w:space="0"/>
              <w:right w:val="single" w:color="000000" w:sz="4" w:space="0"/>
            </w:tcBorders>
            <w:noWrap/>
            <w:vAlign w:val="center"/>
          </w:tcPr>
          <w:p w14:paraId="695E546D">
            <w:pPr>
              <w:widowControl/>
              <w:jc w:val="center"/>
              <w:textAlignment w:val="center"/>
              <w:rPr>
                <w:rFonts w:hint="eastAsia" w:ascii="宋体" w:hAnsi="宋体"/>
                <w:b/>
                <w:bCs/>
                <w:color w:val="auto"/>
                <w:szCs w:val="21"/>
                <w:highlight w:val="none"/>
              </w:rPr>
            </w:pPr>
            <w:r>
              <w:rPr>
                <w:rFonts w:hint="eastAsia" w:ascii="宋体" w:hAnsi="宋体"/>
                <w:b/>
                <w:bCs/>
                <w:color w:val="auto"/>
                <w:kern w:val="0"/>
                <w:szCs w:val="21"/>
                <w:highlight w:val="none"/>
                <w:lang w:bidi="ar"/>
              </w:rPr>
              <w:t>八、教学电子设备</w:t>
            </w:r>
          </w:p>
        </w:tc>
      </w:tr>
      <w:tr w14:paraId="534789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644" w:type="dxa"/>
            <w:tcBorders>
              <w:top w:val="single" w:color="000000" w:sz="4" w:space="0"/>
              <w:left w:val="single" w:color="000000" w:sz="4" w:space="0"/>
              <w:bottom w:val="single" w:color="000000" w:sz="4" w:space="0"/>
              <w:right w:val="single" w:color="000000" w:sz="4" w:space="0"/>
            </w:tcBorders>
            <w:noWrap/>
            <w:vAlign w:val="center"/>
          </w:tcPr>
          <w:p w14:paraId="55D994F1">
            <w:pPr>
              <w:widowControl/>
              <w:jc w:val="center"/>
              <w:textAlignment w:val="center"/>
              <w:rPr>
                <w:rFonts w:hint="eastAsia" w:ascii="宋体" w:hAnsi="宋体"/>
                <w:b/>
                <w:bCs/>
                <w:color w:val="auto"/>
                <w:kern w:val="0"/>
                <w:szCs w:val="21"/>
                <w:highlight w:val="none"/>
                <w:lang w:bidi="ar"/>
              </w:rPr>
            </w:pPr>
            <w:r>
              <w:rPr>
                <w:rFonts w:hint="eastAsia" w:ascii="宋体" w:hAnsi="宋体"/>
                <w:color w:val="auto"/>
                <w:kern w:val="0"/>
                <w:szCs w:val="21"/>
                <w:highlight w:val="none"/>
                <w:lang w:bidi="ar"/>
              </w:rPr>
              <w:t>1</w:t>
            </w:r>
          </w:p>
        </w:tc>
        <w:tc>
          <w:tcPr>
            <w:tcW w:w="851" w:type="dxa"/>
            <w:tcBorders>
              <w:top w:val="single" w:color="000000" w:sz="4" w:space="0"/>
              <w:left w:val="single" w:color="000000" w:sz="4" w:space="0"/>
              <w:bottom w:val="single" w:color="000000" w:sz="4" w:space="0"/>
              <w:right w:val="single" w:color="000000" w:sz="4" w:space="0"/>
            </w:tcBorders>
            <w:noWrap/>
            <w:vAlign w:val="center"/>
          </w:tcPr>
          <w:p w14:paraId="1733D551">
            <w:pPr>
              <w:widowControl/>
              <w:jc w:val="center"/>
              <w:textAlignment w:val="center"/>
              <w:rPr>
                <w:rFonts w:hint="eastAsia" w:ascii="宋体" w:hAnsi="宋体"/>
                <w:b/>
                <w:bCs/>
                <w:color w:val="auto"/>
                <w:kern w:val="0"/>
                <w:szCs w:val="21"/>
                <w:highlight w:val="none"/>
                <w:lang w:bidi="ar"/>
              </w:rPr>
            </w:pPr>
            <w:r>
              <w:rPr>
                <w:rFonts w:hint="eastAsia" w:ascii="宋体" w:hAnsi="宋体"/>
                <w:color w:val="auto"/>
                <w:kern w:val="0"/>
                <w:szCs w:val="21"/>
                <w:highlight w:val="none"/>
                <w:lang w:bidi="ar"/>
              </w:rPr>
              <w:t>办公电脑</w:t>
            </w:r>
          </w:p>
        </w:tc>
        <w:tc>
          <w:tcPr>
            <w:tcW w:w="6378" w:type="dxa"/>
            <w:tcBorders>
              <w:top w:val="single" w:color="000000" w:sz="4" w:space="0"/>
              <w:left w:val="single" w:color="000000" w:sz="4" w:space="0"/>
              <w:bottom w:val="single" w:color="000000" w:sz="4" w:space="0"/>
              <w:right w:val="single" w:color="000000" w:sz="4" w:space="0"/>
            </w:tcBorders>
            <w:noWrap/>
            <w:vAlign w:val="center"/>
          </w:tcPr>
          <w:p w14:paraId="3A8B5041">
            <w:pPr>
              <w:rPr>
                <w:rFonts w:cs="Times New Roman"/>
                <w:color w:val="auto"/>
                <w:highlight w:val="none"/>
              </w:rPr>
            </w:pPr>
            <w:r>
              <w:rPr>
                <w:rFonts w:hint="eastAsia" w:cs="Times New Roman"/>
                <w:color w:val="auto"/>
                <w:highlight w:val="none"/>
              </w:rPr>
              <w:t>1、品牌：为保证信息安全，须中国品牌计算机</w:t>
            </w:r>
          </w:p>
          <w:p w14:paraId="0D92A090">
            <w:pPr>
              <w:rPr>
                <w:rFonts w:cs="Times New Roman"/>
                <w:color w:val="auto"/>
                <w:highlight w:val="none"/>
              </w:rPr>
            </w:pPr>
            <w:r>
              <w:rPr>
                <w:rFonts w:hint="eastAsia" w:cs="Times New Roman"/>
                <w:color w:val="auto"/>
                <w:highlight w:val="none"/>
              </w:rPr>
              <w:t>2、中央处理器：采用完全自主知识产权的指令集系统，提供第三方权威检测机构的检测报告或认证证书，并且由自主指令集厂商提供针对该项目的技术支持承诺函，参照中国信息安全测评中心《安全可靠测评结果公告(2023年第1号)》、《安全可靠测评结果公(2024年第1号)》评测结果，中央处理器(CPU)的安全可靠等级为Ⅱ级。CPU物理核心数≥4核，主频≥2.4GHz,末级缓存≥6MB，支持内存频率≥2666MHz；</w:t>
            </w:r>
          </w:p>
          <w:p w14:paraId="4D266AB6">
            <w:pPr>
              <w:rPr>
                <w:rFonts w:cs="Times New Roman"/>
                <w:color w:val="auto"/>
                <w:highlight w:val="none"/>
              </w:rPr>
            </w:pPr>
            <w:r>
              <w:rPr>
                <w:rFonts w:hint="eastAsia" w:cs="Times New Roman"/>
                <w:color w:val="auto"/>
                <w:highlight w:val="none"/>
              </w:rPr>
              <w:t>3、内存：≥8GB DDR4，内存插槽≥2个；</w:t>
            </w:r>
          </w:p>
          <w:p w14:paraId="55D89D03">
            <w:pPr>
              <w:rPr>
                <w:rFonts w:cs="Times New Roman"/>
                <w:color w:val="auto"/>
                <w:highlight w:val="none"/>
              </w:rPr>
            </w:pPr>
            <w:r>
              <w:rPr>
                <w:rFonts w:hint="eastAsia" w:cs="Times New Roman"/>
                <w:color w:val="auto"/>
                <w:highlight w:val="none"/>
              </w:rPr>
              <w:t>4、硬盘：≥256GB M.2 SSD，并支持SSD+HDD硬盘扩展；</w:t>
            </w:r>
          </w:p>
          <w:p w14:paraId="720C4E35">
            <w:pPr>
              <w:rPr>
                <w:rFonts w:cs="Times New Roman"/>
                <w:color w:val="auto"/>
                <w:highlight w:val="none"/>
              </w:rPr>
            </w:pPr>
            <w:r>
              <w:rPr>
                <w:rFonts w:hint="eastAsia" w:cs="Times New Roman"/>
                <w:color w:val="auto"/>
                <w:highlight w:val="none"/>
              </w:rPr>
              <w:t>5、显卡：集成显卡，支持VGA 、HDMI双显；</w:t>
            </w:r>
          </w:p>
          <w:p w14:paraId="5D214A74">
            <w:pPr>
              <w:rPr>
                <w:rFonts w:cs="Times New Roman"/>
                <w:color w:val="auto"/>
                <w:highlight w:val="none"/>
              </w:rPr>
            </w:pPr>
            <w:r>
              <w:rPr>
                <w:rFonts w:hint="eastAsia" w:cs="Times New Roman"/>
                <w:color w:val="auto"/>
                <w:highlight w:val="none"/>
              </w:rPr>
              <w:t>6、接口：前置USB3.0接口、音频接口；后置USB3.0接口≥2个、USB2.0接口≥2个，标配音频接口；</w:t>
            </w:r>
          </w:p>
          <w:p w14:paraId="61322013">
            <w:pPr>
              <w:rPr>
                <w:rFonts w:cs="Times New Roman"/>
                <w:color w:val="auto"/>
                <w:highlight w:val="none"/>
              </w:rPr>
            </w:pPr>
            <w:r>
              <w:rPr>
                <w:rFonts w:hint="eastAsia" w:cs="Times New Roman"/>
                <w:color w:val="auto"/>
                <w:highlight w:val="none"/>
              </w:rPr>
              <w:t>7、显示器：主机同品牌，≥23.8英寸，分辨率≥1920*1080；</w:t>
            </w:r>
          </w:p>
          <w:p w14:paraId="5B05743C">
            <w:pPr>
              <w:rPr>
                <w:rFonts w:cs="Times New Roman"/>
                <w:color w:val="auto"/>
                <w:highlight w:val="none"/>
              </w:rPr>
            </w:pPr>
            <w:r>
              <w:rPr>
                <w:rFonts w:hint="eastAsia" w:cs="Times New Roman"/>
                <w:color w:val="auto"/>
                <w:highlight w:val="none"/>
              </w:rPr>
              <w:t>8、电源：≥200W节能电源；</w:t>
            </w:r>
          </w:p>
          <w:p w14:paraId="7B48FAE2">
            <w:pPr>
              <w:rPr>
                <w:rFonts w:cs="Times New Roman"/>
                <w:color w:val="auto"/>
                <w:highlight w:val="none"/>
              </w:rPr>
            </w:pPr>
            <w:r>
              <w:rPr>
                <w:rFonts w:hint="eastAsia" w:cs="Times New Roman"/>
                <w:color w:val="auto"/>
                <w:highlight w:val="none"/>
              </w:rPr>
              <w:t>9、整机具有3C、节能认证证书，环境标志产品认证证书；</w:t>
            </w:r>
          </w:p>
          <w:p w14:paraId="39CDAF2E">
            <w:pPr>
              <w:rPr>
                <w:rFonts w:cs="Times New Roman"/>
                <w:color w:val="auto"/>
                <w:highlight w:val="none"/>
              </w:rPr>
            </w:pPr>
            <w:r>
              <w:rPr>
                <w:rFonts w:hint="eastAsia" w:cs="Times New Roman"/>
                <w:color w:val="auto"/>
                <w:highlight w:val="none"/>
              </w:rPr>
              <w:t>10、原厂同品牌USB有线鼠标、键盘；</w:t>
            </w:r>
          </w:p>
          <w:p w14:paraId="22C653F3">
            <w:pPr>
              <w:rPr>
                <w:rFonts w:cs="Times New Roman"/>
                <w:color w:val="auto"/>
                <w:highlight w:val="none"/>
              </w:rPr>
            </w:pPr>
            <w:r>
              <w:rPr>
                <w:rFonts w:hint="eastAsia" w:cs="Times New Roman"/>
                <w:color w:val="auto"/>
                <w:highlight w:val="none"/>
              </w:rPr>
              <w:t>11、操作系统：支持教育专用版国产操作系统；</w:t>
            </w:r>
          </w:p>
          <w:p w14:paraId="2D8F5BC2">
            <w:pPr>
              <w:rPr>
                <w:rFonts w:hint="eastAsia" w:ascii="宋体" w:hAnsi="宋体"/>
                <w:color w:val="auto"/>
                <w:kern w:val="0"/>
                <w:szCs w:val="21"/>
                <w:highlight w:val="none"/>
                <w:lang w:bidi="ar"/>
              </w:rPr>
            </w:pPr>
            <w:r>
              <w:rPr>
                <w:rFonts w:hint="eastAsia" w:cs="Times New Roman"/>
                <w:color w:val="auto"/>
                <w:highlight w:val="none"/>
              </w:rPr>
              <w:t>12、服务：原厂商三年上门质保。</w:t>
            </w:r>
          </w:p>
        </w:tc>
        <w:tc>
          <w:tcPr>
            <w:tcW w:w="567" w:type="dxa"/>
            <w:tcBorders>
              <w:top w:val="single" w:color="000000" w:sz="4" w:space="0"/>
              <w:left w:val="single" w:color="000000" w:sz="4" w:space="0"/>
              <w:bottom w:val="single" w:color="000000" w:sz="4" w:space="0"/>
              <w:right w:val="single" w:color="000000" w:sz="4" w:space="0"/>
            </w:tcBorders>
            <w:vAlign w:val="center"/>
          </w:tcPr>
          <w:p w14:paraId="6FBFEA14">
            <w:pPr>
              <w:widowControl/>
              <w:jc w:val="center"/>
              <w:textAlignment w:val="center"/>
              <w:rPr>
                <w:rFonts w:hint="eastAsia" w:ascii="宋体" w:hAnsi="宋体"/>
                <w:b/>
                <w:bCs/>
                <w:color w:val="auto"/>
                <w:kern w:val="0"/>
                <w:szCs w:val="21"/>
                <w:highlight w:val="none"/>
                <w:lang w:bidi="ar"/>
              </w:rPr>
            </w:pPr>
            <w:r>
              <w:rPr>
                <w:rFonts w:hint="eastAsia" w:ascii="宋体" w:hAnsi="宋体"/>
                <w:color w:val="auto"/>
                <w:kern w:val="0"/>
                <w:szCs w:val="21"/>
                <w:highlight w:val="none"/>
                <w:lang w:bidi="ar"/>
              </w:rPr>
              <w:t>台</w:t>
            </w:r>
          </w:p>
        </w:tc>
        <w:tc>
          <w:tcPr>
            <w:tcW w:w="870" w:type="dxa"/>
            <w:tcBorders>
              <w:top w:val="single" w:color="000000" w:sz="4" w:space="0"/>
              <w:left w:val="single" w:color="000000" w:sz="4" w:space="0"/>
              <w:bottom w:val="single" w:color="000000" w:sz="4" w:space="0"/>
              <w:right w:val="single" w:color="000000" w:sz="4" w:space="0"/>
            </w:tcBorders>
            <w:vAlign w:val="center"/>
          </w:tcPr>
          <w:p w14:paraId="308401D8">
            <w:pPr>
              <w:widowControl/>
              <w:jc w:val="center"/>
              <w:textAlignment w:val="center"/>
              <w:rPr>
                <w:rFonts w:hint="eastAsia" w:ascii="宋体" w:hAnsi="宋体"/>
                <w:b/>
                <w:bCs/>
                <w:color w:val="auto"/>
                <w:kern w:val="0"/>
                <w:szCs w:val="21"/>
                <w:highlight w:val="none"/>
                <w:lang w:bidi="ar"/>
              </w:rPr>
            </w:pPr>
            <w:r>
              <w:rPr>
                <w:rFonts w:hint="eastAsia" w:ascii="宋体" w:hAnsi="宋体"/>
                <w:color w:val="auto"/>
                <w:kern w:val="0"/>
                <w:szCs w:val="21"/>
                <w:highlight w:val="none"/>
                <w:lang w:bidi="ar"/>
              </w:rPr>
              <w:t>150</w:t>
            </w:r>
          </w:p>
        </w:tc>
      </w:tr>
      <w:tr w14:paraId="47E6BE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644" w:type="dxa"/>
            <w:tcBorders>
              <w:top w:val="single" w:color="000000" w:sz="4" w:space="0"/>
              <w:left w:val="single" w:color="000000" w:sz="4" w:space="0"/>
              <w:bottom w:val="single" w:color="000000" w:sz="4" w:space="0"/>
              <w:right w:val="single" w:color="000000" w:sz="4" w:space="0"/>
            </w:tcBorders>
            <w:vAlign w:val="center"/>
          </w:tcPr>
          <w:p w14:paraId="7A775D8B">
            <w:pPr>
              <w:widowControl/>
              <w:jc w:val="center"/>
              <w:textAlignment w:val="center"/>
              <w:rPr>
                <w:rFonts w:hint="eastAsia" w:ascii="宋体" w:hAnsi="宋体"/>
                <w:b/>
                <w:bCs/>
                <w:color w:val="auto"/>
                <w:kern w:val="0"/>
                <w:szCs w:val="21"/>
                <w:highlight w:val="none"/>
                <w:lang w:bidi="ar"/>
              </w:rPr>
            </w:pPr>
            <w:r>
              <w:rPr>
                <w:rFonts w:hint="eastAsia" w:ascii="宋体" w:hAnsi="宋体"/>
                <w:color w:val="auto"/>
                <w:kern w:val="0"/>
                <w:szCs w:val="21"/>
                <w:highlight w:val="none"/>
                <w:lang w:bidi="ar"/>
              </w:rPr>
              <w:t>2</w:t>
            </w:r>
          </w:p>
        </w:tc>
        <w:tc>
          <w:tcPr>
            <w:tcW w:w="851" w:type="dxa"/>
            <w:tcBorders>
              <w:top w:val="single" w:color="000000" w:sz="4" w:space="0"/>
              <w:left w:val="single" w:color="000000" w:sz="4" w:space="0"/>
              <w:bottom w:val="single" w:color="000000" w:sz="4" w:space="0"/>
              <w:right w:val="single" w:color="000000" w:sz="4" w:space="0"/>
            </w:tcBorders>
            <w:vAlign w:val="center"/>
          </w:tcPr>
          <w:p w14:paraId="504C93F5">
            <w:pPr>
              <w:widowControl/>
              <w:jc w:val="center"/>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A3激光打印复印扫描一体机</w:t>
            </w:r>
          </w:p>
        </w:tc>
        <w:tc>
          <w:tcPr>
            <w:tcW w:w="6378" w:type="dxa"/>
            <w:tcBorders>
              <w:top w:val="single" w:color="000000" w:sz="4" w:space="0"/>
              <w:left w:val="single" w:color="000000" w:sz="4" w:space="0"/>
              <w:bottom w:val="single" w:color="000000" w:sz="4" w:space="0"/>
              <w:right w:val="single" w:color="000000" w:sz="4" w:space="0"/>
            </w:tcBorders>
            <w:vAlign w:val="center"/>
          </w:tcPr>
          <w:p w14:paraId="24D4FE97">
            <w:pPr>
              <w:widowControl/>
              <w:numPr>
                <w:ilvl w:val="0"/>
                <w:numId w:val="82"/>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颜色类型:黑白涵盖功能:复印/打印/扫描</w:t>
            </w:r>
          </w:p>
          <w:p w14:paraId="1A379F81">
            <w:pPr>
              <w:widowControl/>
              <w:numPr>
                <w:ilvl w:val="0"/>
                <w:numId w:val="82"/>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最大原稿尺寸:≥A3</w:t>
            </w:r>
          </w:p>
          <w:p w14:paraId="62EED7A0">
            <w:pPr>
              <w:widowControl/>
              <w:numPr>
                <w:ilvl w:val="0"/>
                <w:numId w:val="82"/>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内存容量:≥256MB</w:t>
            </w:r>
          </w:p>
          <w:p w14:paraId="7FD30510">
            <w:pPr>
              <w:widowControl/>
              <w:numPr>
                <w:ilvl w:val="0"/>
                <w:numId w:val="82"/>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 xml:space="preserve">双面器:标配 </w:t>
            </w:r>
          </w:p>
          <w:p w14:paraId="5D764540">
            <w:pPr>
              <w:widowControl/>
              <w:numPr>
                <w:ilvl w:val="0"/>
                <w:numId w:val="82"/>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接口类型:USB2.0</w:t>
            </w:r>
          </w:p>
          <w:p w14:paraId="1D4B8DA1">
            <w:pPr>
              <w:widowControl/>
              <w:numPr>
                <w:ilvl w:val="0"/>
                <w:numId w:val="82"/>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复印速度:A4 横向/ JIS B5 横向：23 张/分钟 A3：12 张/分钟</w:t>
            </w:r>
          </w:p>
          <w:p w14:paraId="76852A1C">
            <w:pPr>
              <w:widowControl/>
              <w:numPr>
                <w:ilvl w:val="0"/>
                <w:numId w:val="82"/>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复印分辨率:≥600×600dpi</w:t>
            </w:r>
          </w:p>
          <w:p w14:paraId="6DAD5F18">
            <w:pPr>
              <w:widowControl/>
              <w:numPr>
                <w:ilvl w:val="0"/>
                <w:numId w:val="82"/>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打印功能打印控制器:标准配置，打印分辨率：600×600/400×400/300×300/200×200 dpi ）</w:t>
            </w:r>
          </w:p>
          <w:p w14:paraId="2F25FD5A">
            <w:pPr>
              <w:widowControl/>
              <w:numPr>
                <w:ilvl w:val="0"/>
                <w:numId w:val="82"/>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扫描功能扫描控制器：标准配置扫描速度：黑白：≤25ipm，彩色：≤24ipm</w:t>
            </w:r>
          </w:p>
        </w:tc>
        <w:tc>
          <w:tcPr>
            <w:tcW w:w="567" w:type="dxa"/>
            <w:tcBorders>
              <w:top w:val="single" w:color="000000" w:sz="4" w:space="0"/>
              <w:left w:val="single" w:color="000000" w:sz="4" w:space="0"/>
              <w:bottom w:val="single" w:color="000000" w:sz="4" w:space="0"/>
              <w:right w:val="single" w:color="000000" w:sz="4" w:space="0"/>
            </w:tcBorders>
            <w:vAlign w:val="center"/>
          </w:tcPr>
          <w:p w14:paraId="5F75333F">
            <w:pPr>
              <w:widowControl/>
              <w:jc w:val="center"/>
              <w:textAlignment w:val="center"/>
              <w:rPr>
                <w:rFonts w:hint="eastAsia" w:ascii="宋体" w:hAnsi="宋体"/>
                <w:b/>
                <w:bCs/>
                <w:color w:val="auto"/>
                <w:kern w:val="0"/>
                <w:szCs w:val="21"/>
                <w:highlight w:val="none"/>
                <w:lang w:bidi="ar"/>
              </w:rPr>
            </w:pPr>
            <w:r>
              <w:rPr>
                <w:rFonts w:hint="eastAsia" w:ascii="宋体" w:hAnsi="宋体"/>
                <w:color w:val="auto"/>
                <w:kern w:val="0"/>
                <w:szCs w:val="21"/>
                <w:highlight w:val="none"/>
                <w:lang w:bidi="ar"/>
              </w:rPr>
              <w:t>台</w:t>
            </w:r>
          </w:p>
        </w:tc>
        <w:tc>
          <w:tcPr>
            <w:tcW w:w="870" w:type="dxa"/>
            <w:tcBorders>
              <w:top w:val="single" w:color="000000" w:sz="4" w:space="0"/>
              <w:left w:val="single" w:color="000000" w:sz="4" w:space="0"/>
              <w:bottom w:val="single" w:color="000000" w:sz="4" w:space="0"/>
              <w:right w:val="single" w:color="000000" w:sz="4" w:space="0"/>
            </w:tcBorders>
            <w:vAlign w:val="center"/>
          </w:tcPr>
          <w:p w14:paraId="2E3BD1A7">
            <w:pPr>
              <w:widowControl/>
              <w:jc w:val="center"/>
              <w:textAlignment w:val="center"/>
              <w:rPr>
                <w:rFonts w:hint="eastAsia" w:ascii="宋体" w:hAnsi="宋体"/>
                <w:b/>
                <w:bCs/>
                <w:color w:val="auto"/>
                <w:kern w:val="0"/>
                <w:szCs w:val="21"/>
                <w:highlight w:val="none"/>
                <w:lang w:bidi="ar"/>
              </w:rPr>
            </w:pPr>
            <w:r>
              <w:rPr>
                <w:rFonts w:hint="eastAsia" w:ascii="宋体" w:hAnsi="宋体"/>
                <w:color w:val="auto"/>
                <w:kern w:val="0"/>
                <w:szCs w:val="21"/>
                <w:highlight w:val="none"/>
                <w:lang w:bidi="ar"/>
              </w:rPr>
              <w:t>1</w:t>
            </w:r>
          </w:p>
        </w:tc>
      </w:tr>
      <w:tr w14:paraId="40FB6A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644" w:type="dxa"/>
            <w:tcBorders>
              <w:top w:val="single" w:color="000000" w:sz="4" w:space="0"/>
              <w:left w:val="single" w:color="000000" w:sz="4" w:space="0"/>
              <w:bottom w:val="single" w:color="000000" w:sz="4" w:space="0"/>
              <w:right w:val="single" w:color="000000" w:sz="4" w:space="0"/>
            </w:tcBorders>
            <w:vAlign w:val="center"/>
          </w:tcPr>
          <w:p w14:paraId="7A222005">
            <w:pPr>
              <w:widowControl/>
              <w:jc w:val="center"/>
              <w:textAlignment w:val="center"/>
              <w:rPr>
                <w:rFonts w:hint="eastAsia" w:ascii="宋体" w:hAnsi="宋体"/>
                <w:b/>
                <w:bCs/>
                <w:color w:val="auto"/>
                <w:kern w:val="0"/>
                <w:szCs w:val="21"/>
                <w:highlight w:val="none"/>
                <w:lang w:bidi="ar"/>
              </w:rPr>
            </w:pPr>
            <w:r>
              <w:rPr>
                <w:rFonts w:hint="eastAsia" w:ascii="宋体" w:hAnsi="宋体"/>
                <w:color w:val="auto"/>
                <w:kern w:val="0"/>
                <w:szCs w:val="21"/>
                <w:highlight w:val="none"/>
                <w:lang w:bidi="ar"/>
              </w:rPr>
              <w:t>3</w:t>
            </w:r>
          </w:p>
        </w:tc>
        <w:tc>
          <w:tcPr>
            <w:tcW w:w="851" w:type="dxa"/>
            <w:tcBorders>
              <w:top w:val="single" w:color="000000" w:sz="4" w:space="0"/>
              <w:left w:val="single" w:color="000000" w:sz="4" w:space="0"/>
              <w:bottom w:val="single" w:color="000000" w:sz="4" w:space="0"/>
              <w:right w:val="single" w:color="000000" w:sz="4" w:space="0"/>
            </w:tcBorders>
            <w:vAlign w:val="center"/>
          </w:tcPr>
          <w:p w14:paraId="0A335409">
            <w:pPr>
              <w:widowControl/>
              <w:jc w:val="center"/>
              <w:textAlignment w:val="center"/>
              <w:rPr>
                <w:rFonts w:hint="eastAsia" w:ascii="宋体" w:hAnsi="宋体"/>
                <w:b/>
                <w:bCs/>
                <w:color w:val="auto"/>
                <w:kern w:val="0"/>
                <w:szCs w:val="21"/>
                <w:highlight w:val="none"/>
                <w:lang w:bidi="ar"/>
              </w:rPr>
            </w:pPr>
            <w:r>
              <w:rPr>
                <w:rFonts w:hint="eastAsia" w:ascii="宋体" w:hAnsi="宋体"/>
                <w:color w:val="auto"/>
                <w:kern w:val="0"/>
                <w:szCs w:val="21"/>
                <w:highlight w:val="none"/>
                <w:lang w:bidi="ar"/>
              </w:rPr>
              <w:t>A4打印复印扫描一体机（彩色）</w:t>
            </w:r>
          </w:p>
        </w:tc>
        <w:tc>
          <w:tcPr>
            <w:tcW w:w="6378" w:type="dxa"/>
            <w:tcBorders>
              <w:top w:val="single" w:color="000000" w:sz="4" w:space="0"/>
              <w:left w:val="single" w:color="000000" w:sz="4" w:space="0"/>
              <w:bottom w:val="single" w:color="000000" w:sz="4" w:space="0"/>
              <w:right w:val="single" w:color="000000" w:sz="4" w:space="0"/>
            </w:tcBorders>
            <w:vAlign w:val="center"/>
          </w:tcPr>
          <w:p w14:paraId="6E2B8641">
            <w:pPr>
              <w:widowControl/>
              <w:numPr>
                <w:ilvl w:val="0"/>
                <w:numId w:val="83"/>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规格：≥A4，彩色；打印/复印/扫描；</w:t>
            </w:r>
          </w:p>
          <w:p w14:paraId="16CA532B">
            <w:pPr>
              <w:widowControl/>
              <w:numPr>
                <w:ilvl w:val="0"/>
                <w:numId w:val="83"/>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操作面板：≥2.8 英寸彩色触摸屏；</w:t>
            </w:r>
          </w:p>
          <w:p w14:paraId="6AE54D4B">
            <w:pPr>
              <w:widowControl/>
              <w:numPr>
                <w:ilvl w:val="0"/>
                <w:numId w:val="83"/>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打印/复印速度：22 页/分钟黑彩同速；</w:t>
            </w:r>
          </w:p>
          <w:p w14:paraId="79D32AAE">
            <w:pPr>
              <w:widowControl/>
              <w:numPr>
                <w:ilvl w:val="0"/>
                <w:numId w:val="83"/>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双面打印：自动双面打印；</w:t>
            </w:r>
          </w:p>
          <w:p w14:paraId="35195FE7">
            <w:pPr>
              <w:widowControl/>
              <w:numPr>
                <w:ilvl w:val="0"/>
                <w:numId w:val="83"/>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≥512MB 内存；</w:t>
            </w:r>
          </w:p>
          <w:p w14:paraId="29810327">
            <w:pPr>
              <w:widowControl/>
              <w:numPr>
                <w:ilvl w:val="0"/>
                <w:numId w:val="83"/>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首页输出时间 ≤14 秒；</w:t>
            </w:r>
          </w:p>
          <w:p w14:paraId="5562A7AA">
            <w:pPr>
              <w:widowControl/>
              <w:numPr>
                <w:ilvl w:val="0"/>
                <w:numId w:val="83"/>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打印分辨率：黑白/彩色：600*600dpi，4800dpi 图像质量；</w:t>
            </w:r>
          </w:p>
          <w:p w14:paraId="44C6FCF3">
            <w:pPr>
              <w:widowControl/>
              <w:numPr>
                <w:ilvl w:val="0"/>
                <w:numId w:val="83"/>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打印介质：进纸容量：250+1 页，60-200gsm，双面打印时 60-176gsm；出纸容量：100页；</w:t>
            </w:r>
          </w:p>
          <w:p w14:paraId="20E2C81A">
            <w:pPr>
              <w:widowControl/>
              <w:numPr>
                <w:ilvl w:val="0"/>
                <w:numId w:val="83"/>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接口：USB2.0+千兆网口+WIFI，支持 AirPrint 和 Mopria,轻松实现移动打印和手机直连；</w:t>
            </w:r>
          </w:p>
          <w:p w14:paraId="37234E69">
            <w:pPr>
              <w:widowControl/>
              <w:numPr>
                <w:ilvl w:val="0"/>
                <w:numId w:val="83"/>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打印语言：PCL6/PCL5/PS3 仿真；</w:t>
            </w:r>
          </w:p>
          <w:p w14:paraId="6083D820">
            <w:pPr>
              <w:widowControl/>
              <w:numPr>
                <w:ilvl w:val="0"/>
                <w:numId w:val="83"/>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ADF 及容量：≥50 页；</w:t>
            </w:r>
          </w:p>
          <w:p w14:paraId="3D07367E">
            <w:pPr>
              <w:widowControl/>
              <w:numPr>
                <w:ilvl w:val="0"/>
                <w:numId w:val="83"/>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机器特性：支持直接扫描到邮箱，扫描到 U 盘，扫描到网络文件夹和扫描到 FTP；身份证/ID 卡一次复印到一张纸上。</w:t>
            </w:r>
          </w:p>
        </w:tc>
        <w:tc>
          <w:tcPr>
            <w:tcW w:w="567" w:type="dxa"/>
            <w:tcBorders>
              <w:top w:val="single" w:color="000000" w:sz="4" w:space="0"/>
              <w:left w:val="single" w:color="000000" w:sz="4" w:space="0"/>
              <w:bottom w:val="single" w:color="000000" w:sz="4" w:space="0"/>
              <w:right w:val="single" w:color="000000" w:sz="4" w:space="0"/>
            </w:tcBorders>
            <w:vAlign w:val="center"/>
          </w:tcPr>
          <w:p w14:paraId="58C244B5">
            <w:pPr>
              <w:widowControl/>
              <w:jc w:val="center"/>
              <w:textAlignment w:val="center"/>
              <w:rPr>
                <w:rFonts w:hint="eastAsia" w:ascii="宋体" w:hAnsi="宋体"/>
                <w:b/>
                <w:bCs/>
                <w:color w:val="auto"/>
                <w:kern w:val="0"/>
                <w:szCs w:val="21"/>
                <w:highlight w:val="none"/>
                <w:lang w:bidi="ar"/>
              </w:rPr>
            </w:pPr>
            <w:r>
              <w:rPr>
                <w:rFonts w:hint="eastAsia" w:ascii="宋体" w:hAnsi="宋体"/>
                <w:color w:val="auto"/>
                <w:kern w:val="0"/>
                <w:szCs w:val="21"/>
                <w:highlight w:val="none"/>
                <w:lang w:bidi="ar"/>
              </w:rPr>
              <w:t>台</w:t>
            </w:r>
          </w:p>
        </w:tc>
        <w:tc>
          <w:tcPr>
            <w:tcW w:w="870" w:type="dxa"/>
            <w:tcBorders>
              <w:top w:val="single" w:color="000000" w:sz="4" w:space="0"/>
              <w:left w:val="single" w:color="000000" w:sz="4" w:space="0"/>
              <w:bottom w:val="single" w:color="000000" w:sz="4" w:space="0"/>
              <w:right w:val="single" w:color="000000" w:sz="4" w:space="0"/>
            </w:tcBorders>
            <w:vAlign w:val="center"/>
          </w:tcPr>
          <w:p w14:paraId="2FD2B1CA">
            <w:pPr>
              <w:widowControl/>
              <w:jc w:val="center"/>
              <w:textAlignment w:val="center"/>
              <w:rPr>
                <w:rFonts w:hint="eastAsia" w:ascii="宋体" w:hAnsi="宋体"/>
                <w:b/>
                <w:bCs/>
                <w:color w:val="auto"/>
                <w:kern w:val="0"/>
                <w:szCs w:val="21"/>
                <w:highlight w:val="none"/>
                <w:lang w:bidi="ar"/>
              </w:rPr>
            </w:pPr>
            <w:r>
              <w:rPr>
                <w:rFonts w:hint="eastAsia" w:ascii="宋体" w:hAnsi="宋体"/>
                <w:color w:val="auto"/>
                <w:kern w:val="0"/>
                <w:szCs w:val="21"/>
                <w:highlight w:val="none"/>
                <w:lang w:bidi="ar"/>
              </w:rPr>
              <w:t>3</w:t>
            </w:r>
          </w:p>
        </w:tc>
      </w:tr>
      <w:tr w14:paraId="354728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644" w:type="dxa"/>
            <w:tcBorders>
              <w:top w:val="single" w:color="000000" w:sz="4" w:space="0"/>
              <w:left w:val="single" w:color="000000" w:sz="4" w:space="0"/>
              <w:bottom w:val="single" w:color="000000" w:sz="4" w:space="0"/>
              <w:right w:val="single" w:color="000000" w:sz="4" w:space="0"/>
            </w:tcBorders>
            <w:vAlign w:val="center"/>
          </w:tcPr>
          <w:p w14:paraId="08373B19">
            <w:pPr>
              <w:widowControl/>
              <w:jc w:val="center"/>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4</w:t>
            </w:r>
          </w:p>
        </w:tc>
        <w:tc>
          <w:tcPr>
            <w:tcW w:w="851" w:type="dxa"/>
            <w:tcBorders>
              <w:top w:val="single" w:color="000000" w:sz="4" w:space="0"/>
              <w:left w:val="single" w:color="000000" w:sz="4" w:space="0"/>
              <w:bottom w:val="single" w:color="000000" w:sz="4" w:space="0"/>
              <w:right w:val="single" w:color="000000" w:sz="4" w:space="0"/>
            </w:tcBorders>
            <w:vAlign w:val="center"/>
          </w:tcPr>
          <w:p w14:paraId="49E2EAEC">
            <w:pPr>
              <w:widowControl/>
              <w:jc w:val="center"/>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速印机</w:t>
            </w:r>
          </w:p>
        </w:tc>
        <w:tc>
          <w:tcPr>
            <w:tcW w:w="6378" w:type="dxa"/>
            <w:tcBorders>
              <w:top w:val="single" w:color="000000" w:sz="4" w:space="0"/>
              <w:left w:val="single" w:color="000000" w:sz="4" w:space="0"/>
              <w:bottom w:val="single" w:color="000000" w:sz="4" w:space="0"/>
              <w:right w:val="single" w:color="000000" w:sz="4" w:space="0"/>
            </w:tcBorders>
            <w:vAlign w:val="center"/>
          </w:tcPr>
          <w:p w14:paraId="215B4C75">
            <w:pPr>
              <w:widowControl/>
              <w:numPr>
                <w:ilvl w:val="0"/>
                <w:numId w:val="84"/>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印刷过程：全自动印筒制版印刷系统</w:t>
            </w:r>
          </w:p>
          <w:p w14:paraId="4690ED7C">
            <w:pPr>
              <w:widowControl/>
              <w:numPr>
                <w:ilvl w:val="0"/>
                <w:numId w:val="84"/>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原稿类型：单页，书本</w:t>
            </w:r>
          </w:p>
          <w:p w14:paraId="40F384BD">
            <w:pPr>
              <w:widowControl/>
              <w:numPr>
                <w:ilvl w:val="0"/>
                <w:numId w:val="84"/>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原稿尺寸：最大：297mm x 432mm（A3）</w:t>
            </w:r>
          </w:p>
          <w:p w14:paraId="59382691">
            <w:pPr>
              <w:widowControl/>
              <w:numPr>
                <w:ilvl w:val="0"/>
                <w:numId w:val="84"/>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分辨率：制版：300dpix300dpi扫描：600dpix600dpi</w:t>
            </w:r>
          </w:p>
          <w:p w14:paraId="5A2C75B2">
            <w:pPr>
              <w:widowControl/>
              <w:numPr>
                <w:ilvl w:val="0"/>
                <w:numId w:val="84"/>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图像模式：文字模式，图片模式，文字/图片模式，铅笔模式</w:t>
            </w:r>
          </w:p>
          <w:p w14:paraId="76AC1284">
            <w:pPr>
              <w:widowControl/>
              <w:numPr>
                <w:ilvl w:val="0"/>
                <w:numId w:val="84"/>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图像浓度：淡，正常， 深 1， 深 2 （4 级）</w:t>
            </w:r>
          </w:p>
          <w:p w14:paraId="424F3E86">
            <w:pPr>
              <w:widowControl/>
              <w:numPr>
                <w:ilvl w:val="0"/>
                <w:numId w:val="84"/>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预设缩放比率：4 种缩小：71，82，87，93％ 3 种放大：115，122，141％</w:t>
            </w:r>
          </w:p>
          <w:p w14:paraId="751E7C29">
            <w:pPr>
              <w:widowControl/>
              <w:numPr>
                <w:ilvl w:val="0"/>
                <w:numId w:val="84"/>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 xml:space="preserve">印刷面积（最大）：＞250mm x 355mm </w:t>
            </w:r>
          </w:p>
          <w:p w14:paraId="2D8E16CC">
            <w:pPr>
              <w:widowControl/>
              <w:numPr>
                <w:ilvl w:val="0"/>
                <w:numId w:val="84"/>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制版时间：≤31 秒（A4 边长，无人像）</w:t>
            </w:r>
          </w:p>
          <w:p w14:paraId="3F0D6B26">
            <w:pPr>
              <w:widowControl/>
              <w:numPr>
                <w:ilvl w:val="0"/>
                <w:numId w:val="84"/>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 xml:space="preserve">印刷纸张尺寸： 最大：275mm*379 最小：90mm*140mmA3 </w:t>
            </w:r>
          </w:p>
          <w:p w14:paraId="00D45EE2">
            <w:pPr>
              <w:widowControl/>
              <w:numPr>
                <w:ilvl w:val="0"/>
                <w:numId w:val="84"/>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 xml:space="preserve">印刷速度：80，100，130 张/分钟（3 级）A3 </w:t>
            </w:r>
          </w:p>
          <w:p w14:paraId="6E48C1EA">
            <w:pPr>
              <w:widowControl/>
              <w:numPr>
                <w:ilvl w:val="0"/>
                <w:numId w:val="84"/>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进纸模式：≤80 张/分钟（1 级）</w:t>
            </w:r>
          </w:p>
          <w:p w14:paraId="78442897">
            <w:pPr>
              <w:widowControl/>
              <w:numPr>
                <w:ilvl w:val="0"/>
                <w:numId w:val="84"/>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精细模式分辨率：制版：300dpix400dpi扫描：600dpix60dpi</w:t>
            </w:r>
          </w:p>
          <w:p w14:paraId="69D61486">
            <w:pPr>
              <w:widowControl/>
              <w:numPr>
                <w:ilvl w:val="0"/>
                <w:numId w:val="84"/>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图象位置调整：天地方向：± 10 mm水平方向：± 10 mm</w:t>
            </w:r>
          </w:p>
          <w:p w14:paraId="54DE59A1">
            <w:pPr>
              <w:widowControl/>
              <w:numPr>
                <w:ilvl w:val="0"/>
                <w:numId w:val="84"/>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 xml:space="preserve">纸张重量 B4: 34.9-127.9g/m2A3 </w:t>
            </w:r>
          </w:p>
          <w:p w14:paraId="7121667A">
            <w:pPr>
              <w:widowControl/>
              <w:numPr>
                <w:ilvl w:val="0"/>
                <w:numId w:val="84"/>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进纸模式：52.3-127.9g/m2</w:t>
            </w:r>
          </w:p>
          <w:p w14:paraId="2965533A">
            <w:pPr>
              <w:widowControl/>
              <w:numPr>
                <w:ilvl w:val="0"/>
                <w:numId w:val="84"/>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供纸盘容量：≥1000 张（64g/m2）</w:t>
            </w:r>
          </w:p>
          <w:p w14:paraId="2F36AA1E">
            <w:pPr>
              <w:widowControl/>
              <w:numPr>
                <w:ilvl w:val="0"/>
                <w:numId w:val="84"/>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接纸台容量：≥1000 张（64g/m2），</w:t>
            </w:r>
          </w:p>
        </w:tc>
        <w:tc>
          <w:tcPr>
            <w:tcW w:w="567" w:type="dxa"/>
            <w:tcBorders>
              <w:top w:val="single" w:color="000000" w:sz="4" w:space="0"/>
              <w:left w:val="single" w:color="000000" w:sz="4" w:space="0"/>
              <w:bottom w:val="single" w:color="000000" w:sz="4" w:space="0"/>
              <w:right w:val="single" w:color="000000" w:sz="4" w:space="0"/>
            </w:tcBorders>
            <w:vAlign w:val="center"/>
          </w:tcPr>
          <w:p w14:paraId="5F2916C4">
            <w:pPr>
              <w:widowControl/>
              <w:jc w:val="center"/>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台</w:t>
            </w:r>
          </w:p>
        </w:tc>
        <w:tc>
          <w:tcPr>
            <w:tcW w:w="870" w:type="dxa"/>
            <w:tcBorders>
              <w:top w:val="single" w:color="000000" w:sz="4" w:space="0"/>
              <w:left w:val="single" w:color="000000" w:sz="4" w:space="0"/>
              <w:bottom w:val="single" w:color="000000" w:sz="4" w:space="0"/>
              <w:right w:val="single" w:color="000000" w:sz="4" w:space="0"/>
            </w:tcBorders>
            <w:vAlign w:val="center"/>
          </w:tcPr>
          <w:p w14:paraId="465B3D30">
            <w:pPr>
              <w:widowControl/>
              <w:jc w:val="center"/>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2</w:t>
            </w:r>
          </w:p>
        </w:tc>
      </w:tr>
      <w:tr w14:paraId="7A4E4E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644" w:type="dxa"/>
            <w:vMerge w:val="restart"/>
            <w:tcBorders>
              <w:top w:val="single" w:color="000000" w:sz="4" w:space="0"/>
              <w:left w:val="single" w:color="000000" w:sz="4" w:space="0"/>
              <w:bottom w:val="single" w:color="000000" w:sz="4" w:space="0"/>
              <w:right w:val="single" w:color="000000" w:sz="4" w:space="0"/>
            </w:tcBorders>
            <w:vAlign w:val="center"/>
          </w:tcPr>
          <w:p w14:paraId="05D8CE8C">
            <w:pPr>
              <w:widowControl/>
              <w:jc w:val="center"/>
              <w:textAlignment w:val="center"/>
              <w:rPr>
                <w:rFonts w:hint="eastAsia" w:ascii="宋体" w:hAnsi="宋体"/>
                <w:b/>
                <w:bCs/>
                <w:color w:val="auto"/>
                <w:kern w:val="0"/>
                <w:szCs w:val="21"/>
                <w:highlight w:val="none"/>
                <w:lang w:bidi="ar"/>
              </w:rPr>
            </w:pPr>
            <w:r>
              <w:rPr>
                <w:rFonts w:hint="eastAsia" w:ascii="宋体" w:hAnsi="宋体"/>
                <w:color w:val="auto"/>
                <w:kern w:val="0"/>
                <w:szCs w:val="21"/>
                <w:highlight w:val="none"/>
                <w:lang w:bidi="ar"/>
              </w:rPr>
              <w:t>5</w:t>
            </w:r>
          </w:p>
        </w:tc>
        <w:tc>
          <w:tcPr>
            <w:tcW w:w="851" w:type="dxa"/>
            <w:vMerge w:val="restart"/>
            <w:tcBorders>
              <w:top w:val="single" w:color="000000" w:sz="4" w:space="0"/>
              <w:left w:val="single" w:color="000000" w:sz="4" w:space="0"/>
              <w:bottom w:val="single" w:color="000000" w:sz="4" w:space="0"/>
              <w:right w:val="single" w:color="000000" w:sz="4" w:space="0"/>
            </w:tcBorders>
            <w:vAlign w:val="center"/>
          </w:tcPr>
          <w:p w14:paraId="69789771">
            <w:pPr>
              <w:widowControl/>
              <w:jc w:val="center"/>
              <w:textAlignment w:val="center"/>
              <w:rPr>
                <w:rFonts w:hint="eastAsia" w:ascii="宋体" w:hAnsi="宋体"/>
                <w:b/>
                <w:bCs/>
                <w:color w:val="auto"/>
                <w:kern w:val="0"/>
                <w:szCs w:val="21"/>
                <w:highlight w:val="none"/>
                <w:lang w:bidi="ar"/>
              </w:rPr>
            </w:pPr>
            <w:r>
              <w:rPr>
                <w:rFonts w:hint="eastAsia" w:ascii="宋体" w:hAnsi="宋体"/>
                <w:color w:val="auto"/>
                <w:kern w:val="0"/>
                <w:szCs w:val="21"/>
                <w:highlight w:val="none"/>
                <w:lang w:bidi="ar"/>
              </w:rPr>
              <w:t>班班通设备</w:t>
            </w:r>
          </w:p>
        </w:tc>
        <w:tc>
          <w:tcPr>
            <w:tcW w:w="6378" w:type="dxa"/>
            <w:tcBorders>
              <w:top w:val="single" w:color="000000" w:sz="4" w:space="0"/>
              <w:left w:val="single" w:color="000000" w:sz="4" w:space="0"/>
              <w:bottom w:val="single" w:color="000000" w:sz="4" w:space="0"/>
              <w:right w:val="single" w:color="000000" w:sz="4" w:space="0"/>
            </w:tcBorders>
            <w:vAlign w:val="center"/>
          </w:tcPr>
          <w:p w14:paraId="5256A7EF">
            <w:pPr>
              <w:rPr>
                <w:rFonts w:cs="Times New Roman"/>
                <w:color w:val="auto"/>
                <w:highlight w:val="none"/>
              </w:rPr>
            </w:pPr>
            <w:r>
              <w:rPr>
                <w:rFonts w:hint="eastAsia" w:ascii="宋体" w:hAnsi="宋体"/>
                <w:b/>
                <w:bCs/>
                <w:color w:val="auto"/>
                <w:kern w:val="0"/>
                <w:szCs w:val="21"/>
                <w:highlight w:val="none"/>
                <w:lang w:bidi="ar"/>
              </w:rPr>
              <w:t>86寸智慧黑板：</w:t>
            </w:r>
            <w:r>
              <w:rPr>
                <w:rFonts w:hint="eastAsia" w:ascii="宋体" w:hAnsi="宋体"/>
                <w:color w:val="auto"/>
                <w:kern w:val="0"/>
                <w:szCs w:val="21"/>
                <w:highlight w:val="none"/>
                <w:lang w:bidi="ar"/>
              </w:rPr>
              <w:br w:type="textWrapping"/>
            </w:r>
            <w:r>
              <w:rPr>
                <w:rFonts w:hint="eastAsia" w:cs="Times New Roman"/>
                <w:color w:val="auto"/>
                <w:highlight w:val="none"/>
              </w:rPr>
              <w:t>一、屏体要求</w:t>
            </w:r>
          </w:p>
          <w:p w14:paraId="61756C84">
            <w:pPr>
              <w:rPr>
                <w:rFonts w:cs="Times New Roman"/>
                <w:color w:val="auto"/>
                <w:highlight w:val="none"/>
              </w:rPr>
            </w:pPr>
            <w:r>
              <w:rPr>
                <w:rFonts w:cs="Times New Roman"/>
                <w:color w:val="auto"/>
                <w:highlight w:val="none"/>
              </w:rPr>
              <w:t>1.整机屏幕需采用UHD超高清A规LED液晶屏，屏幕显示尺寸≥86英寸，显示比例16:9，屏幕图像分辨率≥3840*2160。</w:t>
            </w:r>
          </w:p>
          <w:p w14:paraId="70D0E4FC">
            <w:pPr>
              <w:rPr>
                <w:rFonts w:cs="Times New Roman"/>
                <w:color w:val="auto"/>
                <w:highlight w:val="none"/>
              </w:rPr>
            </w:pPr>
            <w:r>
              <w:rPr>
                <w:rFonts w:hint="eastAsia" w:cs="Times New Roman"/>
                <w:color w:val="auto"/>
                <w:highlight w:val="none"/>
              </w:rPr>
              <w:t>2</w:t>
            </w:r>
            <w:r>
              <w:rPr>
                <w:rFonts w:cs="Times New Roman"/>
                <w:color w:val="auto"/>
                <w:highlight w:val="none"/>
              </w:rPr>
              <w:t>.整机需具备可达到4K分辨率，屏幕刷新率≥60Hz，无频闪。</w:t>
            </w:r>
          </w:p>
          <w:p w14:paraId="18ED7A01">
            <w:pPr>
              <w:rPr>
                <w:rFonts w:cs="Times New Roman"/>
                <w:color w:val="auto"/>
                <w:highlight w:val="none"/>
              </w:rPr>
            </w:pPr>
            <w:r>
              <w:rPr>
                <w:rFonts w:hint="eastAsia" w:cs="Times New Roman"/>
                <w:color w:val="auto"/>
                <w:highlight w:val="none"/>
              </w:rPr>
              <w:t>3</w:t>
            </w:r>
            <w:r>
              <w:rPr>
                <w:rFonts w:cs="Times New Roman"/>
                <w:color w:val="auto"/>
                <w:highlight w:val="none"/>
              </w:rPr>
              <w:t>.整机需支持前置物理接口不少于5个，所有接口均采用非转接方式，包含1路HDMI接口、2路双通道USB3.0接口(Windows和 整机系统均能被识别）、1路Type-C接口（支持全功能PD 65W）、1路USB-Type-B接口（Touch接口 支持触摸功能）</w:t>
            </w:r>
          </w:p>
          <w:p w14:paraId="696E45E9">
            <w:pPr>
              <w:rPr>
                <w:rFonts w:cs="Times New Roman"/>
                <w:color w:val="auto"/>
                <w:highlight w:val="none"/>
              </w:rPr>
            </w:pPr>
            <w:r>
              <w:rPr>
                <w:rFonts w:hint="eastAsia" w:cs="Times New Roman"/>
                <w:color w:val="auto"/>
                <w:highlight w:val="none"/>
              </w:rPr>
              <w:t>4</w:t>
            </w:r>
            <w:r>
              <w:rPr>
                <w:rFonts w:cs="Times New Roman"/>
                <w:color w:val="auto"/>
                <w:highlight w:val="none"/>
              </w:rPr>
              <w:t>.整机自带安卓操作系统，系统版本≥安卓 14，≥八核处理器，内存≥4GB，存储空间≥32GB。</w:t>
            </w:r>
          </w:p>
          <w:p w14:paraId="467CFBC6">
            <w:pPr>
              <w:rPr>
                <w:rFonts w:cs="Times New Roman"/>
                <w:color w:val="auto"/>
                <w:highlight w:val="none"/>
              </w:rPr>
            </w:pPr>
            <w:r>
              <w:rPr>
                <w:rFonts w:hint="eastAsia" w:cs="Times New Roman"/>
                <w:color w:val="auto"/>
                <w:highlight w:val="none"/>
              </w:rPr>
              <w:t>5</w:t>
            </w:r>
            <w:r>
              <w:rPr>
                <w:rFonts w:cs="Times New Roman"/>
                <w:color w:val="auto"/>
                <w:highlight w:val="none"/>
              </w:rPr>
              <w:t>.整机后置物理接口需不少于10个。</w:t>
            </w:r>
          </w:p>
          <w:p w14:paraId="43D3A5A2">
            <w:pPr>
              <w:rPr>
                <w:rFonts w:cs="Times New Roman"/>
                <w:color w:val="auto"/>
                <w:highlight w:val="none"/>
              </w:rPr>
            </w:pPr>
            <w:r>
              <w:rPr>
                <w:rFonts w:hint="eastAsia" w:ascii="宋体" w:hAnsi="宋体"/>
                <w:color w:val="auto"/>
                <w:kern w:val="0"/>
                <w:szCs w:val="21"/>
                <w:highlight w:val="none"/>
                <w:lang w:bidi="ar"/>
              </w:rPr>
              <w:t>★</w:t>
            </w:r>
            <w:r>
              <w:rPr>
                <w:rFonts w:hint="eastAsia" w:cs="Times New Roman"/>
                <w:color w:val="auto"/>
                <w:highlight w:val="none"/>
              </w:rPr>
              <w:t>6</w:t>
            </w:r>
            <w:r>
              <w:rPr>
                <w:rFonts w:cs="Times New Roman"/>
                <w:color w:val="auto"/>
                <w:highlight w:val="none"/>
              </w:rPr>
              <w:t>.需支持AI自适应扩音优化、防啸叫算法能力；配套智能教学笔通过整机AI声场均衡和AI声场音效功能实现高质量扩音，减少前后排听感差异和自适应课堂空间场景音效，THD≤1%，啸叫距离≤20cm，根据语音质量评估方法，扩音效果满足MOS≥3.5。（需提供CNAS级别权威机构出具的检测报告复印件）</w:t>
            </w:r>
          </w:p>
          <w:p w14:paraId="2986155D">
            <w:pPr>
              <w:rPr>
                <w:rFonts w:cs="Times New Roman"/>
                <w:color w:val="auto"/>
                <w:highlight w:val="none"/>
              </w:rPr>
            </w:pPr>
            <w:r>
              <w:rPr>
                <w:rFonts w:hint="eastAsia" w:cs="Times New Roman"/>
                <w:color w:val="auto"/>
                <w:highlight w:val="none"/>
              </w:rPr>
              <w:t>7</w:t>
            </w:r>
            <w:r>
              <w:rPr>
                <w:rFonts w:cs="Times New Roman"/>
                <w:color w:val="auto"/>
                <w:highlight w:val="none"/>
              </w:rPr>
              <w:t>.整机Windows系统需支持≥50点触控及同时书写，触摸分辨率≥32768×32768。</w:t>
            </w:r>
          </w:p>
          <w:p w14:paraId="17EE5EA3">
            <w:pPr>
              <w:rPr>
                <w:rFonts w:cs="Times New Roman"/>
                <w:color w:val="auto"/>
                <w:highlight w:val="none"/>
              </w:rPr>
            </w:pPr>
            <w:r>
              <w:rPr>
                <w:rFonts w:hint="eastAsia" w:cs="Times New Roman"/>
                <w:color w:val="auto"/>
                <w:highlight w:val="none"/>
              </w:rPr>
              <w:t>8</w:t>
            </w:r>
            <w:r>
              <w:rPr>
                <w:rFonts w:cs="Times New Roman"/>
                <w:color w:val="auto"/>
                <w:highlight w:val="none"/>
              </w:rPr>
              <w:t>.需采用电容触控技术，触控方式需支持手指或书写笔等非透明物体，支持多点触摸。</w:t>
            </w:r>
          </w:p>
          <w:p w14:paraId="2EB1627E">
            <w:pPr>
              <w:rPr>
                <w:rFonts w:cs="Times New Roman"/>
                <w:color w:val="auto"/>
                <w:highlight w:val="none"/>
              </w:rPr>
            </w:pPr>
            <w:r>
              <w:rPr>
                <w:rFonts w:hint="eastAsia" w:cs="Times New Roman"/>
                <w:color w:val="auto"/>
                <w:highlight w:val="none"/>
              </w:rPr>
              <w:t>9</w:t>
            </w:r>
            <w:r>
              <w:rPr>
                <w:rFonts w:cs="Times New Roman"/>
                <w:color w:val="auto"/>
                <w:highlight w:val="none"/>
              </w:rPr>
              <w:t>.在整机系统运行环境下需支持多种人机交互能力，如点击屏幕、语音控制。</w:t>
            </w:r>
          </w:p>
          <w:p w14:paraId="661C35FE">
            <w:pPr>
              <w:rPr>
                <w:rFonts w:cs="Times New Roman"/>
                <w:color w:val="auto"/>
                <w:highlight w:val="none"/>
              </w:rPr>
            </w:pPr>
            <w:r>
              <w:rPr>
                <w:rFonts w:hint="eastAsia" w:ascii="宋体" w:hAnsi="宋体"/>
                <w:color w:val="auto"/>
                <w:kern w:val="0"/>
                <w:szCs w:val="21"/>
                <w:highlight w:val="none"/>
                <w:lang w:bidi="ar"/>
              </w:rPr>
              <w:t>★</w:t>
            </w:r>
            <w:r>
              <w:rPr>
                <w:rFonts w:hint="eastAsia" w:cs="Times New Roman"/>
                <w:color w:val="auto"/>
                <w:highlight w:val="none"/>
              </w:rPr>
              <w:t>10</w:t>
            </w:r>
            <w:r>
              <w:rPr>
                <w:rFonts w:cs="Times New Roman"/>
                <w:color w:val="auto"/>
                <w:highlight w:val="none"/>
              </w:rPr>
              <w:t>.整机需内置 2.2 声道扬声器，≥20W全频扬声器≥2个，≥15W高音扬声器≥2个，额定总功率≥70W，语言清晰度（STI-PA）≥0.8。整机扬声器需支持在100%音量下，1米到10米距离内响度差距≤5dB，声场覆盖85%区域内响度差异≤5dB</w:t>
            </w:r>
            <w:r>
              <w:rPr>
                <w:rFonts w:hint="eastAsia" w:cs="Times New Roman"/>
                <w:color w:val="auto"/>
                <w:highlight w:val="none"/>
              </w:rPr>
              <w:t>。</w:t>
            </w:r>
            <w:r>
              <w:rPr>
                <w:rFonts w:cs="Times New Roman"/>
                <w:color w:val="auto"/>
                <w:highlight w:val="none"/>
              </w:rPr>
              <w:t>（需提供CNAS级别权威机构出具的检测报告复印件）</w:t>
            </w:r>
          </w:p>
          <w:p w14:paraId="63503048">
            <w:pPr>
              <w:rPr>
                <w:rFonts w:cs="Times New Roman"/>
                <w:color w:val="auto"/>
                <w:highlight w:val="none"/>
              </w:rPr>
            </w:pPr>
            <w:r>
              <w:rPr>
                <w:rFonts w:hint="eastAsia" w:cs="Times New Roman"/>
                <w:color w:val="auto"/>
                <w:highlight w:val="none"/>
              </w:rPr>
              <w:t>11</w:t>
            </w:r>
            <w:r>
              <w:rPr>
                <w:rFonts w:cs="Times New Roman"/>
                <w:color w:val="auto"/>
                <w:highlight w:val="none"/>
              </w:rPr>
              <w:t>.整机屏体需支持亮度≥350cd/m²。</w:t>
            </w:r>
          </w:p>
          <w:p w14:paraId="16592049">
            <w:pPr>
              <w:rPr>
                <w:rFonts w:cs="Times New Roman"/>
                <w:color w:val="auto"/>
                <w:highlight w:val="none"/>
              </w:rPr>
            </w:pPr>
            <w:r>
              <w:rPr>
                <w:rFonts w:hint="eastAsia" w:cs="Times New Roman"/>
                <w:color w:val="auto"/>
                <w:highlight w:val="none"/>
              </w:rPr>
              <w:t>12</w:t>
            </w:r>
            <w:r>
              <w:rPr>
                <w:rFonts w:cs="Times New Roman"/>
                <w:color w:val="auto"/>
                <w:highlight w:val="none"/>
              </w:rPr>
              <w:t>.整机主屏需采用防眩光玻璃，屏幕需支持防眩光功能。</w:t>
            </w:r>
          </w:p>
          <w:p w14:paraId="74385A19">
            <w:pPr>
              <w:rPr>
                <w:rFonts w:cs="Times New Roman"/>
                <w:color w:val="auto"/>
                <w:highlight w:val="none"/>
              </w:rPr>
            </w:pPr>
            <w:r>
              <w:rPr>
                <w:rFonts w:hint="eastAsia" w:cs="Times New Roman"/>
                <w:color w:val="auto"/>
                <w:highlight w:val="none"/>
              </w:rPr>
              <w:t>13</w:t>
            </w:r>
            <w:r>
              <w:rPr>
                <w:rFonts w:cs="Times New Roman"/>
                <w:color w:val="auto"/>
                <w:highlight w:val="none"/>
              </w:rPr>
              <w:t>.整机高清摄像头，需支持生物特征识别，如面部识别功能，支持AI识别人像，最大距离≥10米。</w:t>
            </w:r>
          </w:p>
          <w:p w14:paraId="30E55929">
            <w:pPr>
              <w:rPr>
                <w:rFonts w:cs="Times New Roman"/>
                <w:color w:val="auto"/>
                <w:highlight w:val="none"/>
              </w:rPr>
            </w:pPr>
            <w:r>
              <w:rPr>
                <w:rFonts w:hint="eastAsia" w:cs="Times New Roman"/>
                <w:color w:val="auto"/>
                <w:highlight w:val="none"/>
              </w:rPr>
              <w:t>14</w:t>
            </w:r>
            <w:r>
              <w:rPr>
                <w:rFonts w:cs="Times New Roman"/>
                <w:color w:val="auto"/>
                <w:highlight w:val="none"/>
              </w:rPr>
              <w:t>.整机需内置非独立外扩展麦克风阵列，麦克风数量≥8个，可用于对教室环境音频进行采集，整机拾音距离≥12m，拾音角度≥180°。</w:t>
            </w:r>
          </w:p>
          <w:p w14:paraId="5C861344">
            <w:pPr>
              <w:rPr>
                <w:rFonts w:cs="Times New Roman"/>
                <w:color w:val="auto"/>
                <w:highlight w:val="none"/>
              </w:rPr>
            </w:pPr>
            <w:r>
              <w:rPr>
                <w:rFonts w:hint="eastAsia" w:cs="Times New Roman"/>
                <w:color w:val="auto"/>
                <w:highlight w:val="none"/>
              </w:rPr>
              <w:t>15</w:t>
            </w:r>
            <w:r>
              <w:rPr>
                <w:rFonts w:cs="Times New Roman"/>
                <w:color w:val="auto"/>
                <w:highlight w:val="none"/>
              </w:rPr>
              <w:t>.摄像头像素≥4800万像素，水平视场角≥120°。</w:t>
            </w:r>
          </w:p>
          <w:p w14:paraId="1E9E02A1">
            <w:pPr>
              <w:rPr>
                <w:rFonts w:cs="Times New Roman"/>
                <w:color w:val="auto"/>
                <w:highlight w:val="none"/>
              </w:rPr>
            </w:pPr>
            <w:r>
              <w:rPr>
                <w:rFonts w:hint="eastAsia" w:cs="Times New Roman"/>
                <w:color w:val="auto"/>
                <w:highlight w:val="none"/>
              </w:rPr>
              <w:t>二、OPS要求</w:t>
            </w:r>
          </w:p>
          <w:p w14:paraId="2ED795AF">
            <w:pPr>
              <w:rPr>
                <w:rFonts w:cs="Times New Roman"/>
                <w:color w:val="auto"/>
                <w:highlight w:val="none"/>
              </w:rPr>
            </w:pPr>
            <w:r>
              <w:rPr>
                <w:rFonts w:cs="Times New Roman"/>
                <w:color w:val="auto"/>
                <w:highlight w:val="none"/>
              </w:rPr>
              <w:t xml:space="preserve">1.采用标准化OPS电脑模块方案，接口严格遵循Intel行业规范，采用通用80Pin针脚设计，实现与大屏的一体化集成，无需额外独立接线。  </w:t>
            </w:r>
          </w:p>
          <w:p w14:paraId="1F962116">
            <w:pPr>
              <w:rPr>
                <w:rFonts w:cs="Times New Roman"/>
                <w:color w:val="auto"/>
                <w:highlight w:val="none"/>
              </w:rPr>
            </w:pPr>
            <w:r>
              <w:rPr>
                <w:rFonts w:hint="eastAsia" w:cs="Times New Roman"/>
                <w:color w:val="auto"/>
                <w:highlight w:val="none"/>
              </w:rPr>
              <w:t>2</w:t>
            </w:r>
            <w:r>
              <w:rPr>
                <w:rFonts w:cs="Times New Roman"/>
                <w:color w:val="auto"/>
                <w:highlight w:val="none"/>
              </w:rPr>
              <w:t xml:space="preserve">.提供不少于6个USB接口，包含USB3.0与USB2.0两种类型，满足多设备接入需求。  </w:t>
            </w:r>
          </w:p>
          <w:p w14:paraId="5D7FF98B">
            <w:pPr>
              <w:rPr>
                <w:rFonts w:cs="Times New Roman"/>
                <w:color w:val="auto"/>
                <w:highlight w:val="none"/>
              </w:rPr>
            </w:pPr>
            <w:r>
              <w:rPr>
                <w:rFonts w:hint="eastAsia" w:cs="Times New Roman"/>
                <w:color w:val="auto"/>
                <w:highlight w:val="none"/>
              </w:rPr>
              <w:t>3</w:t>
            </w:r>
            <w:r>
              <w:rPr>
                <w:rFonts w:cs="Times New Roman"/>
                <w:color w:val="auto"/>
                <w:highlight w:val="none"/>
              </w:rPr>
              <w:t>.支持Wi-Fi 6标准（兼容802.11b/g/n/ac/ax），保障高速稳定的无线连接。</w:t>
            </w:r>
          </w:p>
          <w:p w14:paraId="11953E50">
            <w:pPr>
              <w:rPr>
                <w:rFonts w:cs="Times New Roman"/>
                <w:color w:val="auto"/>
                <w:highlight w:val="none"/>
              </w:rPr>
            </w:pPr>
            <w:r>
              <w:rPr>
                <w:rFonts w:hint="eastAsia" w:cs="Times New Roman"/>
                <w:color w:val="auto"/>
                <w:highlight w:val="none"/>
              </w:rPr>
              <w:t>4</w:t>
            </w:r>
            <w:r>
              <w:rPr>
                <w:rFonts w:cs="Times New Roman"/>
                <w:color w:val="auto"/>
                <w:highlight w:val="none"/>
              </w:rPr>
              <w:t>.处理器：≥8核12线程，主频≥2GHz；内存容量≥</w:t>
            </w:r>
            <w:r>
              <w:rPr>
                <w:rFonts w:hint="eastAsia" w:cs="Times New Roman"/>
                <w:color w:val="auto"/>
                <w:highlight w:val="none"/>
              </w:rPr>
              <w:t>16</w:t>
            </w:r>
            <w:r>
              <w:rPr>
                <w:rFonts w:cs="Times New Roman"/>
                <w:color w:val="auto"/>
                <w:highlight w:val="none"/>
              </w:rPr>
              <w:t>GB；硬盘≥</w:t>
            </w:r>
            <w:r>
              <w:rPr>
                <w:rFonts w:hint="eastAsia" w:cs="Times New Roman"/>
                <w:color w:val="auto"/>
                <w:highlight w:val="none"/>
              </w:rPr>
              <w:t>512</w:t>
            </w:r>
            <w:r>
              <w:rPr>
                <w:rFonts w:cs="Times New Roman"/>
                <w:color w:val="auto"/>
                <w:highlight w:val="none"/>
              </w:rPr>
              <w:t xml:space="preserve">GB SSD。 </w:t>
            </w:r>
          </w:p>
          <w:p w14:paraId="25843D5C">
            <w:pPr>
              <w:rPr>
                <w:rFonts w:hint="eastAsia" w:ascii="宋体" w:hAnsi="宋体"/>
                <w:color w:val="auto"/>
                <w:highlight w:val="none"/>
              </w:rPr>
            </w:pPr>
          </w:p>
          <w:p w14:paraId="5D32B209">
            <w:pPr>
              <w:rPr>
                <w:rFonts w:cs="Times New Roman"/>
                <w:color w:val="auto"/>
                <w:highlight w:val="none"/>
              </w:rPr>
            </w:pPr>
            <w:r>
              <w:rPr>
                <w:rFonts w:hint="eastAsia" w:cs="Times New Roman"/>
                <w:color w:val="auto"/>
                <w:highlight w:val="none"/>
              </w:rPr>
              <w:t>三、智能笔要求</w:t>
            </w:r>
          </w:p>
          <w:p w14:paraId="7CE4E546">
            <w:pPr>
              <w:rPr>
                <w:rFonts w:cs="Times New Roman"/>
                <w:color w:val="auto"/>
                <w:highlight w:val="none"/>
              </w:rPr>
            </w:pPr>
            <w:r>
              <w:rPr>
                <w:rFonts w:cs="Times New Roman"/>
                <w:color w:val="auto"/>
                <w:highlight w:val="none"/>
              </w:rPr>
              <w:t>1.外观：笔身采用圆润一体化造型设计，接收器采用防丢设计，集成到笔尾。握笔处采用人机工程学设计，方便用户握笔书写，表面采用手感漆工艺。</w:t>
            </w:r>
          </w:p>
          <w:p w14:paraId="743C9EBF">
            <w:pPr>
              <w:rPr>
                <w:rFonts w:cs="Times New Roman"/>
                <w:color w:val="auto"/>
                <w:highlight w:val="none"/>
              </w:rPr>
            </w:pPr>
            <w:r>
              <w:rPr>
                <w:rFonts w:cs="Times New Roman"/>
                <w:color w:val="auto"/>
                <w:highlight w:val="none"/>
              </w:rPr>
              <w:t>2.笔身需配置不少于</w:t>
            </w:r>
            <w:r>
              <w:rPr>
                <w:rFonts w:hint="eastAsia" w:cs="Times New Roman"/>
                <w:color w:val="auto"/>
                <w:highlight w:val="none"/>
              </w:rPr>
              <w:t>4</w:t>
            </w:r>
            <w:r>
              <w:rPr>
                <w:rFonts w:cs="Times New Roman"/>
                <w:color w:val="auto"/>
                <w:highlight w:val="none"/>
              </w:rPr>
              <w:t>个按键，需支持不少于</w:t>
            </w:r>
            <w:r>
              <w:rPr>
                <w:rFonts w:hint="eastAsia" w:cs="Times New Roman"/>
                <w:color w:val="auto"/>
                <w:highlight w:val="none"/>
              </w:rPr>
              <w:t>6</w:t>
            </w:r>
            <w:r>
              <w:rPr>
                <w:rFonts w:cs="Times New Roman"/>
                <w:color w:val="auto"/>
                <w:highlight w:val="none"/>
              </w:rPr>
              <w:t>个功能，包括上翻页、下翻页、智能语音、一键扩音、书写颜色切换、飞鼠功能。</w:t>
            </w:r>
          </w:p>
          <w:p w14:paraId="54A2EA04">
            <w:pPr>
              <w:rPr>
                <w:rFonts w:cs="Times New Roman"/>
                <w:color w:val="auto"/>
                <w:highlight w:val="none"/>
              </w:rPr>
            </w:pPr>
            <w:r>
              <w:rPr>
                <w:rFonts w:cs="Times New Roman"/>
                <w:color w:val="auto"/>
                <w:highlight w:val="none"/>
              </w:rPr>
              <w:t>3.需内置高灵敏（+）指向性麦克风，拾音距离为0-15cm。</w:t>
            </w:r>
          </w:p>
          <w:p w14:paraId="08F87333">
            <w:pPr>
              <w:rPr>
                <w:rFonts w:cs="Times New Roman"/>
                <w:color w:val="auto"/>
                <w:highlight w:val="none"/>
              </w:rPr>
            </w:pPr>
            <w:r>
              <w:rPr>
                <w:rFonts w:hint="eastAsia" w:ascii="宋体" w:hAnsi="宋体"/>
                <w:color w:val="auto"/>
                <w:kern w:val="0"/>
                <w:szCs w:val="21"/>
                <w:highlight w:val="none"/>
                <w:lang w:bidi="ar"/>
              </w:rPr>
              <w:t>★</w:t>
            </w:r>
            <w:r>
              <w:rPr>
                <w:rFonts w:cs="Times New Roman"/>
                <w:color w:val="auto"/>
                <w:highlight w:val="none"/>
              </w:rPr>
              <w:t>4.拾音麦克风的信噪比需不低于80dB，在嘈杂环境下需不低于75dB。（需提供CNAS级别权威机构出具的检测报告复印件）</w:t>
            </w:r>
          </w:p>
          <w:p w14:paraId="3E68138A">
            <w:pPr>
              <w:rPr>
                <w:rFonts w:cs="Times New Roman"/>
                <w:color w:val="auto"/>
                <w:highlight w:val="none"/>
              </w:rPr>
            </w:pPr>
            <w:r>
              <w:rPr>
                <w:rFonts w:hint="eastAsia" w:ascii="宋体" w:hAnsi="宋体"/>
                <w:color w:val="auto"/>
                <w:kern w:val="0"/>
                <w:szCs w:val="21"/>
                <w:highlight w:val="none"/>
                <w:lang w:bidi="ar"/>
              </w:rPr>
              <w:t>★</w:t>
            </w:r>
            <w:r>
              <w:rPr>
                <w:rFonts w:cs="Times New Roman"/>
                <w:color w:val="auto"/>
                <w:highlight w:val="none"/>
              </w:rPr>
              <w:t>5.在整机运行环境下，智能笔需支持Windows系统和安卓系统通道下的一键扩音功能，扩音延迟需不大于15ms，满足教师移动教学需要。（需提供CNAS级别权威机构出具的检测报告复印件）</w:t>
            </w:r>
          </w:p>
          <w:p w14:paraId="39C26ED3">
            <w:pPr>
              <w:rPr>
                <w:rFonts w:hint="eastAsia" w:ascii="宋体" w:hAnsi="宋体"/>
                <w:color w:val="auto"/>
                <w:highlight w:val="none"/>
              </w:rPr>
            </w:pPr>
            <w:r>
              <w:rPr>
                <w:rFonts w:cs="Times New Roman"/>
                <w:color w:val="auto"/>
                <w:highlight w:val="none"/>
              </w:rPr>
              <w:t>6.需支持通过语音指令直接调用系统功能，需包含：Windows桌面应用/文件、关闭窗口、回到桌面、息屏、调节设备亮度与音量、打开系统设置。</w:t>
            </w:r>
          </w:p>
        </w:tc>
        <w:tc>
          <w:tcPr>
            <w:tcW w:w="567" w:type="dxa"/>
            <w:tcBorders>
              <w:top w:val="single" w:color="000000" w:sz="4" w:space="0"/>
              <w:left w:val="single" w:color="000000" w:sz="4" w:space="0"/>
              <w:bottom w:val="single" w:color="000000" w:sz="4" w:space="0"/>
              <w:right w:val="single" w:color="000000" w:sz="4" w:space="0"/>
            </w:tcBorders>
            <w:vAlign w:val="center"/>
          </w:tcPr>
          <w:p w14:paraId="73225862">
            <w:pPr>
              <w:widowControl/>
              <w:jc w:val="center"/>
              <w:textAlignment w:val="center"/>
              <w:rPr>
                <w:rFonts w:hint="eastAsia" w:ascii="宋体" w:hAnsi="宋体"/>
                <w:b/>
                <w:bCs/>
                <w:color w:val="auto"/>
                <w:kern w:val="0"/>
                <w:szCs w:val="21"/>
                <w:highlight w:val="none"/>
                <w:lang w:bidi="ar"/>
              </w:rPr>
            </w:pPr>
            <w:r>
              <w:rPr>
                <w:rFonts w:hint="eastAsia" w:ascii="宋体" w:hAnsi="宋体"/>
                <w:color w:val="auto"/>
                <w:kern w:val="0"/>
                <w:szCs w:val="21"/>
                <w:highlight w:val="none"/>
                <w:lang w:bidi="ar"/>
              </w:rPr>
              <w:t>套</w:t>
            </w:r>
          </w:p>
        </w:tc>
        <w:tc>
          <w:tcPr>
            <w:tcW w:w="870" w:type="dxa"/>
            <w:tcBorders>
              <w:top w:val="single" w:color="000000" w:sz="4" w:space="0"/>
              <w:left w:val="single" w:color="000000" w:sz="4" w:space="0"/>
              <w:bottom w:val="single" w:color="000000" w:sz="4" w:space="0"/>
              <w:right w:val="single" w:color="000000" w:sz="4" w:space="0"/>
            </w:tcBorders>
            <w:vAlign w:val="center"/>
          </w:tcPr>
          <w:p w14:paraId="07A5AF9A">
            <w:pPr>
              <w:widowControl/>
              <w:jc w:val="center"/>
              <w:textAlignment w:val="center"/>
              <w:rPr>
                <w:rFonts w:hint="eastAsia" w:ascii="宋体" w:hAnsi="宋体"/>
                <w:b/>
                <w:bCs/>
                <w:color w:val="auto"/>
                <w:kern w:val="0"/>
                <w:szCs w:val="21"/>
                <w:highlight w:val="none"/>
                <w:lang w:bidi="ar"/>
              </w:rPr>
            </w:pPr>
            <w:r>
              <w:rPr>
                <w:rFonts w:hint="eastAsia" w:ascii="宋体" w:hAnsi="宋体"/>
                <w:color w:val="auto"/>
                <w:kern w:val="0"/>
                <w:szCs w:val="21"/>
                <w:highlight w:val="none"/>
                <w:lang w:bidi="ar"/>
              </w:rPr>
              <w:t>20</w:t>
            </w:r>
          </w:p>
        </w:tc>
      </w:tr>
      <w:tr w14:paraId="6270F6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644" w:type="dxa"/>
            <w:vMerge w:val="continue"/>
            <w:tcBorders>
              <w:top w:val="single" w:color="000000" w:sz="4" w:space="0"/>
              <w:left w:val="single" w:color="000000" w:sz="4" w:space="0"/>
              <w:bottom w:val="single" w:color="000000" w:sz="4" w:space="0"/>
              <w:right w:val="single" w:color="000000" w:sz="4" w:space="0"/>
            </w:tcBorders>
          </w:tcPr>
          <w:p w14:paraId="2918481E">
            <w:pPr>
              <w:widowControl/>
              <w:jc w:val="center"/>
              <w:textAlignment w:val="center"/>
              <w:rPr>
                <w:rFonts w:hint="eastAsia" w:ascii="宋体" w:hAnsi="宋体"/>
                <w:b/>
                <w:bCs/>
                <w:color w:val="auto"/>
                <w:kern w:val="0"/>
                <w:szCs w:val="21"/>
                <w:highlight w:val="none"/>
                <w:lang w:bidi="ar"/>
              </w:rPr>
            </w:pPr>
          </w:p>
        </w:tc>
        <w:tc>
          <w:tcPr>
            <w:tcW w:w="851" w:type="dxa"/>
            <w:vMerge w:val="continue"/>
            <w:tcBorders>
              <w:top w:val="single" w:color="000000" w:sz="4" w:space="0"/>
              <w:left w:val="single" w:color="000000" w:sz="4" w:space="0"/>
              <w:bottom w:val="single" w:color="000000" w:sz="4" w:space="0"/>
              <w:right w:val="single" w:color="000000" w:sz="4" w:space="0"/>
            </w:tcBorders>
          </w:tcPr>
          <w:p w14:paraId="239371C1">
            <w:pPr>
              <w:widowControl/>
              <w:jc w:val="center"/>
              <w:textAlignment w:val="center"/>
              <w:rPr>
                <w:rFonts w:hint="eastAsia" w:ascii="宋体" w:hAnsi="宋体"/>
                <w:b/>
                <w:bCs/>
                <w:color w:val="auto"/>
                <w:kern w:val="0"/>
                <w:szCs w:val="21"/>
                <w:highlight w:val="none"/>
                <w:lang w:bidi="ar"/>
              </w:rPr>
            </w:pPr>
          </w:p>
        </w:tc>
        <w:tc>
          <w:tcPr>
            <w:tcW w:w="6378" w:type="dxa"/>
            <w:tcBorders>
              <w:top w:val="single" w:color="000000" w:sz="4" w:space="0"/>
              <w:left w:val="single" w:color="000000" w:sz="4" w:space="0"/>
              <w:bottom w:val="single" w:color="000000" w:sz="4" w:space="0"/>
              <w:right w:val="single" w:color="000000" w:sz="4" w:space="0"/>
            </w:tcBorders>
            <w:vAlign w:val="center"/>
          </w:tcPr>
          <w:p w14:paraId="6A7FBE32">
            <w:pPr>
              <w:rPr>
                <w:rFonts w:hint="eastAsia" w:ascii="宋体" w:hAnsi="宋体"/>
                <w:color w:val="auto"/>
                <w:kern w:val="0"/>
                <w:szCs w:val="21"/>
                <w:highlight w:val="none"/>
                <w:lang w:bidi="ar"/>
              </w:rPr>
            </w:pPr>
            <w:r>
              <w:rPr>
                <w:rFonts w:hint="eastAsia" w:ascii="宋体" w:hAnsi="宋体"/>
                <w:b/>
                <w:bCs/>
                <w:color w:val="auto"/>
                <w:kern w:val="0"/>
                <w:szCs w:val="21"/>
                <w:highlight w:val="none"/>
                <w:lang w:bidi="ar"/>
              </w:rPr>
              <w:t>视频展台：</w:t>
            </w:r>
          </w:p>
          <w:p w14:paraId="41B07023">
            <w:pPr>
              <w:rPr>
                <w:rFonts w:cs="Times New Roman"/>
                <w:color w:val="auto"/>
                <w:highlight w:val="none"/>
              </w:rPr>
            </w:pPr>
            <w:r>
              <w:rPr>
                <w:rFonts w:hint="eastAsia" w:cs="Times New Roman"/>
                <w:color w:val="auto"/>
                <w:highlight w:val="none"/>
              </w:rPr>
              <w:t>1.采用≥1300万像素摄像头，拍摄幅面≥A4。</w:t>
            </w:r>
          </w:p>
          <w:p w14:paraId="28CABEBD">
            <w:pPr>
              <w:rPr>
                <w:rFonts w:cs="Times New Roman"/>
                <w:color w:val="auto"/>
                <w:highlight w:val="none"/>
              </w:rPr>
            </w:pPr>
            <w:r>
              <w:rPr>
                <w:rFonts w:hint="eastAsia" w:cs="Times New Roman"/>
                <w:color w:val="auto"/>
                <w:highlight w:val="none"/>
              </w:rPr>
              <w:t>2.整机采用ABS材质，圆弧式设计无锐角；托板采用单板结构,托板尺寸不小于 A4 规格，托板平整无接缝，承托稳定。</w:t>
            </w:r>
          </w:p>
          <w:p w14:paraId="05043234">
            <w:pPr>
              <w:rPr>
                <w:rFonts w:cs="Times New Roman"/>
                <w:color w:val="auto"/>
                <w:highlight w:val="none"/>
              </w:rPr>
            </w:pPr>
            <w:r>
              <w:rPr>
                <w:rFonts w:hint="eastAsia" w:cs="Times New Roman"/>
                <w:color w:val="auto"/>
                <w:highlight w:val="none"/>
              </w:rPr>
              <w:t>3.防护等级：外壳在摄像头部分带保护镜片密封，防止灰尘沾染摄像头，摄像头防护等级≥IP5X级别。</w:t>
            </w:r>
          </w:p>
          <w:p w14:paraId="0D06AAB1">
            <w:pPr>
              <w:rPr>
                <w:rFonts w:cs="Times New Roman"/>
                <w:color w:val="auto"/>
                <w:highlight w:val="none"/>
              </w:rPr>
            </w:pPr>
            <w:r>
              <w:rPr>
                <w:rFonts w:hint="eastAsia" w:cs="Times New Roman"/>
                <w:color w:val="auto"/>
                <w:highlight w:val="none"/>
              </w:rPr>
              <w:t>4.托板及挂墙部分采用金属加强处理，可承重 5kg 以上，同时托板采用磁吸吸附式机构，防止托板打落，方便打开及固定，避免机械式锁具故障率高的问题。</w:t>
            </w:r>
          </w:p>
          <w:p w14:paraId="53CF0BCF">
            <w:pPr>
              <w:rPr>
                <w:rFonts w:cs="Times New Roman"/>
                <w:color w:val="auto"/>
                <w:highlight w:val="none"/>
              </w:rPr>
            </w:pPr>
            <w:r>
              <w:rPr>
                <w:rFonts w:hint="eastAsia" w:cs="Times New Roman"/>
                <w:color w:val="auto"/>
                <w:highlight w:val="none"/>
              </w:rPr>
              <w:t>5.展示托板正上方具备LED补光灯，保证展示区域的亮度及展示效果，光线不足时可进行亮度补充，亮度均匀，采用无级触摸调光设计。</w:t>
            </w:r>
          </w:p>
          <w:p w14:paraId="4904F74A">
            <w:pPr>
              <w:widowControl/>
              <w:jc w:val="left"/>
              <w:textAlignment w:val="center"/>
              <w:rPr>
                <w:rFonts w:hint="eastAsia" w:ascii="宋体" w:hAnsi="宋体"/>
                <w:b/>
                <w:bCs/>
                <w:color w:val="auto"/>
                <w:kern w:val="0"/>
                <w:szCs w:val="21"/>
                <w:highlight w:val="none"/>
                <w:lang w:bidi="ar"/>
              </w:rPr>
            </w:pPr>
            <w:r>
              <w:rPr>
                <w:rFonts w:hint="eastAsia" w:cs="Times New Roman"/>
                <w:color w:val="auto"/>
                <w:highlight w:val="none"/>
              </w:rPr>
              <w:t>6.采用USB五伏电源直接供电，无需额外配置电源适配器，环保无辐射。</w:t>
            </w:r>
          </w:p>
        </w:tc>
        <w:tc>
          <w:tcPr>
            <w:tcW w:w="567" w:type="dxa"/>
            <w:tcBorders>
              <w:top w:val="single" w:color="000000" w:sz="4" w:space="0"/>
              <w:left w:val="single" w:color="000000" w:sz="4" w:space="0"/>
              <w:bottom w:val="single" w:color="000000" w:sz="4" w:space="0"/>
              <w:right w:val="single" w:color="000000" w:sz="4" w:space="0"/>
            </w:tcBorders>
            <w:vAlign w:val="center"/>
          </w:tcPr>
          <w:p w14:paraId="5E8FABB8">
            <w:pPr>
              <w:widowControl/>
              <w:jc w:val="center"/>
              <w:textAlignment w:val="center"/>
              <w:rPr>
                <w:rFonts w:hint="eastAsia" w:ascii="宋体" w:hAnsi="宋体"/>
                <w:b/>
                <w:bCs/>
                <w:color w:val="auto"/>
                <w:kern w:val="0"/>
                <w:szCs w:val="21"/>
                <w:highlight w:val="none"/>
                <w:lang w:bidi="ar"/>
              </w:rPr>
            </w:pPr>
            <w:r>
              <w:rPr>
                <w:rFonts w:hint="eastAsia" w:ascii="宋体" w:hAnsi="宋体"/>
                <w:color w:val="auto"/>
                <w:kern w:val="0"/>
                <w:szCs w:val="21"/>
                <w:highlight w:val="none"/>
                <w:lang w:bidi="ar"/>
              </w:rPr>
              <w:t>套</w:t>
            </w:r>
          </w:p>
        </w:tc>
        <w:tc>
          <w:tcPr>
            <w:tcW w:w="870" w:type="dxa"/>
            <w:tcBorders>
              <w:top w:val="single" w:color="000000" w:sz="4" w:space="0"/>
              <w:left w:val="single" w:color="000000" w:sz="4" w:space="0"/>
              <w:bottom w:val="single" w:color="000000" w:sz="4" w:space="0"/>
              <w:right w:val="single" w:color="000000" w:sz="4" w:space="0"/>
            </w:tcBorders>
            <w:vAlign w:val="center"/>
          </w:tcPr>
          <w:p w14:paraId="48BBA9E1">
            <w:pPr>
              <w:widowControl/>
              <w:jc w:val="center"/>
              <w:textAlignment w:val="center"/>
              <w:rPr>
                <w:rFonts w:hint="eastAsia" w:ascii="宋体" w:hAnsi="宋体"/>
                <w:b/>
                <w:bCs/>
                <w:color w:val="auto"/>
                <w:kern w:val="0"/>
                <w:szCs w:val="21"/>
                <w:highlight w:val="none"/>
                <w:lang w:bidi="ar"/>
              </w:rPr>
            </w:pPr>
            <w:r>
              <w:rPr>
                <w:rFonts w:hint="eastAsia" w:ascii="宋体" w:hAnsi="宋体"/>
                <w:color w:val="auto"/>
                <w:kern w:val="0"/>
                <w:szCs w:val="21"/>
                <w:highlight w:val="none"/>
                <w:lang w:bidi="ar"/>
              </w:rPr>
              <w:t>20</w:t>
            </w:r>
          </w:p>
        </w:tc>
      </w:tr>
      <w:tr w14:paraId="26EBAB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644" w:type="dxa"/>
            <w:vMerge w:val="continue"/>
            <w:tcBorders>
              <w:top w:val="single" w:color="000000" w:sz="4" w:space="0"/>
              <w:left w:val="single" w:color="000000" w:sz="4" w:space="0"/>
              <w:bottom w:val="single" w:color="000000" w:sz="4" w:space="0"/>
              <w:right w:val="single" w:color="000000" w:sz="4" w:space="0"/>
            </w:tcBorders>
          </w:tcPr>
          <w:p w14:paraId="229F1E37">
            <w:pPr>
              <w:widowControl/>
              <w:jc w:val="center"/>
              <w:textAlignment w:val="center"/>
              <w:rPr>
                <w:rFonts w:hint="eastAsia" w:ascii="宋体" w:hAnsi="宋体"/>
                <w:b/>
                <w:bCs/>
                <w:color w:val="auto"/>
                <w:kern w:val="0"/>
                <w:szCs w:val="21"/>
                <w:highlight w:val="none"/>
                <w:lang w:bidi="ar"/>
              </w:rPr>
            </w:pPr>
          </w:p>
        </w:tc>
        <w:tc>
          <w:tcPr>
            <w:tcW w:w="851" w:type="dxa"/>
            <w:vMerge w:val="continue"/>
            <w:tcBorders>
              <w:top w:val="single" w:color="000000" w:sz="4" w:space="0"/>
              <w:left w:val="single" w:color="000000" w:sz="4" w:space="0"/>
              <w:bottom w:val="single" w:color="000000" w:sz="4" w:space="0"/>
              <w:right w:val="single" w:color="000000" w:sz="4" w:space="0"/>
            </w:tcBorders>
          </w:tcPr>
          <w:p w14:paraId="4D56EFBC">
            <w:pPr>
              <w:widowControl/>
              <w:jc w:val="center"/>
              <w:textAlignment w:val="center"/>
              <w:rPr>
                <w:rFonts w:hint="eastAsia" w:ascii="宋体" w:hAnsi="宋体"/>
                <w:b/>
                <w:bCs/>
                <w:color w:val="auto"/>
                <w:kern w:val="0"/>
                <w:szCs w:val="21"/>
                <w:highlight w:val="none"/>
                <w:lang w:bidi="ar"/>
              </w:rPr>
            </w:pPr>
          </w:p>
        </w:tc>
        <w:tc>
          <w:tcPr>
            <w:tcW w:w="6378" w:type="dxa"/>
            <w:tcBorders>
              <w:top w:val="single" w:color="000000" w:sz="4" w:space="0"/>
              <w:left w:val="single" w:color="000000" w:sz="4" w:space="0"/>
              <w:bottom w:val="single" w:color="000000" w:sz="4" w:space="0"/>
              <w:right w:val="single" w:color="000000" w:sz="4" w:space="0"/>
            </w:tcBorders>
            <w:vAlign w:val="center"/>
          </w:tcPr>
          <w:p w14:paraId="1B37CB47">
            <w:pPr>
              <w:rPr>
                <w:rFonts w:hint="eastAsia" w:ascii="宋体" w:hAnsi="宋体"/>
                <w:color w:val="auto"/>
                <w:highlight w:val="none"/>
              </w:rPr>
            </w:pPr>
            <w:r>
              <w:rPr>
                <w:rFonts w:hint="eastAsia" w:ascii="宋体" w:hAnsi="宋体"/>
                <w:b/>
                <w:bCs/>
                <w:color w:val="auto"/>
                <w:kern w:val="0"/>
                <w:szCs w:val="21"/>
                <w:highlight w:val="none"/>
                <w:lang w:bidi="ar"/>
              </w:rPr>
              <w:t>教学应用及集控系统：</w:t>
            </w:r>
            <w:r>
              <w:rPr>
                <w:rFonts w:hint="eastAsia" w:ascii="宋体" w:hAnsi="宋体"/>
                <w:color w:val="auto"/>
                <w:kern w:val="0"/>
                <w:szCs w:val="21"/>
                <w:highlight w:val="none"/>
                <w:lang w:bidi="ar"/>
              </w:rPr>
              <w:br w:type="textWrapping"/>
            </w:r>
            <w:r>
              <w:rPr>
                <w:rFonts w:hint="eastAsia" w:ascii="宋体" w:hAnsi="宋体"/>
                <w:color w:val="auto"/>
                <w:highlight w:val="none"/>
              </w:rPr>
              <w:t>一、教学应用系统要求</w:t>
            </w:r>
          </w:p>
          <w:p w14:paraId="467E1D50">
            <w:pPr>
              <w:rPr>
                <w:rFonts w:cs="Times New Roman"/>
                <w:color w:val="auto"/>
                <w:highlight w:val="none"/>
              </w:rPr>
            </w:pPr>
            <w:r>
              <w:rPr>
                <w:rFonts w:hint="eastAsia" w:cs="Times New Roman"/>
                <w:color w:val="auto"/>
                <w:highlight w:val="none"/>
              </w:rPr>
              <w:t>1.支持教师通过二维码扫描、账密输入登录、人脸识别登录方式进入教学应用系统。</w:t>
            </w:r>
          </w:p>
          <w:p w14:paraId="6F375A94">
            <w:pPr>
              <w:rPr>
                <w:rFonts w:cs="Times New Roman"/>
                <w:color w:val="auto"/>
                <w:highlight w:val="none"/>
              </w:rPr>
            </w:pPr>
            <w:r>
              <w:rPr>
                <w:rFonts w:hint="eastAsia" w:cs="Times New Roman"/>
                <w:color w:val="auto"/>
                <w:highlight w:val="none"/>
              </w:rPr>
              <w:t>2.教学应用系统需支持如下功能：</w:t>
            </w:r>
          </w:p>
          <w:p w14:paraId="399ADBC6">
            <w:pPr>
              <w:rPr>
                <w:rFonts w:cs="Times New Roman"/>
                <w:color w:val="auto"/>
                <w:highlight w:val="none"/>
              </w:rPr>
            </w:pPr>
            <w:r>
              <w:rPr>
                <w:rFonts w:hint="eastAsia" w:cs="Times New Roman"/>
                <w:color w:val="auto"/>
                <w:highlight w:val="none"/>
              </w:rPr>
              <w:t>1）教学应用快捷入口：教学桌面支持教学常用的教学白板软件、文件管理软件、电子课本软件；可自动获取Windows系统桌面已经安装应用，无需切换到Windows系统桌面即可运行应用。</w:t>
            </w:r>
          </w:p>
          <w:p w14:paraId="04EE0616">
            <w:pPr>
              <w:rPr>
                <w:rFonts w:cs="Times New Roman"/>
                <w:color w:val="auto"/>
                <w:highlight w:val="none"/>
              </w:rPr>
            </w:pPr>
            <w:r>
              <w:rPr>
                <w:rFonts w:hint="eastAsia" w:cs="Times New Roman"/>
                <w:color w:val="auto"/>
                <w:highlight w:val="none"/>
              </w:rPr>
              <w:t>2）学科应用入口：教学桌面需预置语文、数学、英语、物理、化学、生物、地理、历史等学科的学科应用入口，需支持教师直接下载并按照学科筛选学科应用。</w:t>
            </w:r>
          </w:p>
          <w:p w14:paraId="3A6C3496">
            <w:pPr>
              <w:rPr>
                <w:rFonts w:cs="Times New Roman"/>
                <w:color w:val="auto"/>
                <w:highlight w:val="none"/>
              </w:rPr>
            </w:pPr>
            <w:r>
              <w:rPr>
                <w:rFonts w:hint="eastAsia" w:cs="Times New Roman"/>
                <w:color w:val="auto"/>
                <w:highlight w:val="none"/>
              </w:rPr>
              <w:t>3.提供罗盘工具，需支持多指点击屏幕调出罗盘工具，需支持在一体机屏幕任意位置停留或左右侧边隐藏；常见应用工具≥2层功能调取如选择、擦除等；</w:t>
            </w:r>
          </w:p>
          <w:p w14:paraId="642A39FA">
            <w:pPr>
              <w:rPr>
                <w:rFonts w:cs="Times New Roman"/>
                <w:color w:val="auto"/>
                <w:highlight w:val="none"/>
              </w:rPr>
            </w:pPr>
            <w:r>
              <w:rPr>
                <w:rFonts w:hint="eastAsia" w:cs="Times New Roman"/>
                <w:color w:val="auto"/>
                <w:highlight w:val="none"/>
              </w:rPr>
              <w:t>1）选择工具：需支持在电子白板软件下，针对教师手写笔迹、学科工具、插入图片的动作，至少支持2种方式选择对应内容如框选、圈选，至少支持≥3种操作如置顶、克隆、删除等功能；</w:t>
            </w:r>
          </w:p>
          <w:p w14:paraId="42FF23B5">
            <w:pPr>
              <w:rPr>
                <w:rFonts w:cs="Times New Roman"/>
                <w:color w:val="auto"/>
                <w:highlight w:val="none"/>
              </w:rPr>
            </w:pPr>
            <w:r>
              <w:rPr>
                <w:rFonts w:hint="eastAsia" w:cs="Times New Roman"/>
                <w:color w:val="auto"/>
                <w:highlight w:val="none"/>
              </w:rPr>
              <w:t>2）画笔工具：支持一键调取3层功能，包含笔触粗细、颜色、笔形，便于教师随机选择；其笔形需提供≥3种笔型，如钢笔、毛笔、铅笔等；</w:t>
            </w:r>
          </w:p>
          <w:p w14:paraId="5109A235">
            <w:pPr>
              <w:rPr>
                <w:rFonts w:cs="Times New Roman"/>
                <w:color w:val="auto"/>
                <w:highlight w:val="none"/>
              </w:rPr>
            </w:pPr>
            <w:r>
              <w:rPr>
                <w:rFonts w:hint="eastAsia" w:cs="Times New Roman"/>
                <w:color w:val="auto"/>
                <w:highlight w:val="none"/>
              </w:rPr>
              <w:t>4.在系统界面下，内置侧边栏快捷菜单，支持多种快捷入口，如主页、文件、课本、白板、讲评等；需支持在系统界面下实现上课/下课，并自动登录/退出教师账号，登录后自动进入上次授课班级及教学进度。</w:t>
            </w:r>
          </w:p>
          <w:p w14:paraId="79A0A1B8">
            <w:pPr>
              <w:rPr>
                <w:rFonts w:cs="Times New Roman"/>
                <w:color w:val="auto"/>
                <w:highlight w:val="none"/>
              </w:rPr>
            </w:pPr>
            <w:r>
              <w:rPr>
                <w:rFonts w:hint="eastAsia" w:cs="Times New Roman"/>
                <w:color w:val="auto"/>
                <w:highlight w:val="none"/>
              </w:rPr>
              <w:t>5.需支持对教师授课主机屏幕进行录制形成课堂授课实录或微课，支持通过二维码分享实录视频，需支持对微课分类管理和按微课名搜索；需支持授课内容（PPT、电子课本、网页、文档）微课进行关键帧提取，需支持通过点击关键帧方式快速精准定位微课内容。（需提供产品功能截图证明）</w:t>
            </w:r>
          </w:p>
          <w:p w14:paraId="22690136">
            <w:pPr>
              <w:rPr>
                <w:rFonts w:cs="Times New Roman"/>
                <w:color w:val="auto"/>
                <w:highlight w:val="none"/>
              </w:rPr>
            </w:pPr>
            <w:r>
              <w:rPr>
                <w:rFonts w:hint="eastAsia" w:cs="Times New Roman"/>
                <w:color w:val="auto"/>
                <w:highlight w:val="none"/>
              </w:rPr>
              <w:t>6.备授课同步：需支持通过云端将备课的资源同步至电子化教材对应章节目录，无需拷贝。支持新建自定义备课本，满足非同步教学场景下的备授课资源存储、同步需求。</w:t>
            </w:r>
          </w:p>
          <w:p w14:paraId="316047B7">
            <w:pPr>
              <w:rPr>
                <w:rFonts w:cs="Times New Roman"/>
                <w:color w:val="auto"/>
                <w:highlight w:val="none"/>
              </w:rPr>
            </w:pPr>
            <w:r>
              <w:rPr>
                <w:rFonts w:hint="eastAsia" w:ascii="宋体" w:hAnsi="宋体"/>
                <w:color w:val="auto"/>
                <w:kern w:val="0"/>
                <w:szCs w:val="21"/>
                <w:highlight w:val="none"/>
                <w:lang w:bidi="ar"/>
              </w:rPr>
              <w:t>★</w:t>
            </w:r>
            <w:r>
              <w:rPr>
                <w:rFonts w:hint="eastAsia" w:cs="Times New Roman"/>
                <w:color w:val="auto"/>
                <w:highlight w:val="none"/>
              </w:rPr>
              <w:t>7.教学资源需覆盖小学、初中全学科的电子版本教材，需支持提供≥1500本电子教材资源；其中语文、英语、音乐学科提供点读功能，支持分句、段、篇章进行点读；授课过程中，支持对课本进行文本批注、画笔标注、擦除、聚焦、翻页操作；（需提供正版教材资源版权方授权材料）</w:t>
            </w:r>
          </w:p>
          <w:p w14:paraId="55ABFBD0">
            <w:pPr>
              <w:rPr>
                <w:rFonts w:cs="Times New Roman"/>
                <w:color w:val="auto"/>
                <w:highlight w:val="none"/>
              </w:rPr>
            </w:pPr>
            <w:r>
              <w:rPr>
                <w:rFonts w:hint="eastAsia" w:cs="Times New Roman"/>
                <w:color w:val="auto"/>
                <w:highlight w:val="none"/>
              </w:rPr>
              <w:t>8电子白板功能需提供书写工具，以实现教学过程中选择内容、书写、擦除等操作；</w:t>
            </w:r>
          </w:p>
          <w:p w14:paraId="41E84D94">
            <w:pPr>
              <w:rPr>
                <w:rFonts w:cs="Times New Roman"/>
                <w:color w:val="auto"/>
                <w:highlight w:val="none"/>
              </w:rPr>
            </w:pPr>
            <w:r>
              <w:rPr>
                <w:rFonts w:hint="eastAsia" w:cs="Times New Roman"/>
                <w:color w:val="auto"/>
                <w:highlight w:val="none"/>
              </w:rPr>
              <w:t xml:space="preserve">9.语文学科工具：需提供≥7种语文学科工具，如田字格、拼音格、诗词卡片、朗读评测、字词听写、识字接龙、汉语朗读等多种语文学科工具和应用； </w:t>
            </w:r>
          </w:p>
          <w:p w14:paraId="07F4F9A4">
            <w:pPr>
              <w:rPr>
                <w:rFonts w:cs="Times New Roman"/>
                <w:color w:val="auto"/>
                <w:highlight w:val="none"/>
              </w:rPr>
            </w:pPr>
            <w:r>
              <w:rPr>
                <w:rFonts w:hint="eastAsia" w:cs="Times New Roman"/>
                <w:color w:val="auto"/>
                <w:highlight w:val="none"/>
              </w:rPr>
              <w:t>1）朗读评测：提供语文课本所有生字、词语、课文或自定义添加字词等示范朗读和评测，支持纠正学生汉语朗读发音的声母、韵母和声调，促进汉语朗读水平的提升；</w:t>
            </w:r>
          </w:p>
          <w:p w14:paraId="5C19B802">
            <w:pPr>
              <w:rPr>
                <w:rFonts w:cs="Times New Roman"/>
                <w:color w:val="auto"/>
                <w:highlight w:val="none"/>
              </w:rPr>
            </w:pPr>
            <w:r>
              <w:rPr>
                <w:rFonts w:hint="eastAsia" w:cs="Times New Roman"/>
                <w:color w:val="auto"/>
                <w:highlight w:val="none"/>
              </w:rPr>
              <w:t>2）汉语朗读：提供带背景音乐的汉语朗读场景，支持自定义导入中文文本进行朗读，支持男女声切换、朗读语速调整等，并可导出为音频或PPT，满足课堂标准汉语朗读引导需求；</w:t>
            </w:r>
          </w:p>
          <w:p w14:paraId="61B4FDBD">
            <w:pPr>
              <w:rPr>
                <w:rFonts w:cs="Times New Roman"/>
                <w:color w:val="auto"/>
                <w:highlight w:val="none"/>
              </w:rPr>
            </w:pPr>
            <w:r>
              <w:rPr>
                <w:rFonts w:hint="eastAsia" w:cs="Times New Roman"/>
                <w:color w:val="auto"/>
                <w:highlight w:val="none"/>
              </w:rPr>
              <w:t xml:space="preserve">10.英语学科工具：需提供≥8种英语学科工具，如四线三格、字母卡片、英语朗读、单词评测、单词接龙单词听写等多种英语学科工具和应用； </w:t>
            </w:r>
          </w:p>
          <w:p w14:paraId="777733C4">
            <w:pPr>
              <w:rPr>
                <w:rFonts w:cs="Times New Roman"/>
                <w:color w:val="auto"/>
                <w:highlight w:val="none"/>
              </w:rPr>
            </w:pPr>
            <w:r>
              <w:rPr>
                <w:rFonts w:hint="eastAsia" w:cs="Times New Roman"/>
                <w:color w:val="auto"/>
                <w:highlight w:val="none"/>
              </w:rPr>
              <w:t xml:space="preserve">1）英语朗读：需提供带背景音乐的汉语朗读场景，支持自定义英文文本朗读，支持男女声切换、朗读语速调整等，并可导出为音频或PPT； </w:t>
            </w:r>
          </w:p>
          <w:p w14:paraId="3309ECED">
            <w:pPr>
              <w:rPr>
                <w:rFonts w:cs="Times New Roman"/>
                <w:color w:val="auto"/>
                <w:highlight w:val="none"/>
              </w:rPr>
            </w:pPr>
            <w:r>
              <w:rPr>
                <w:rFonts w:hint="eastAsia" w:cs="Times New Roman"/>
                <w:color w:val="auto"/>
                <w:highlight w:val="none"/>
              </w:rPr>
              <w:t>2）单词评测：需支持英语课本同步单词朗读评测，需支持纠正学生英文单词朗读音标发音，促进英语朗读水平的提升；</w:t>
            </w:r>
          </w:p>
          <w:p w14:paraId="1ED30A5B">
            <w:pPr>
              <w:rPr>
                <w:rFonts w:cs="Times New Roman"/>
                <w:color w:val="auto"/>
                <w:highlight w:val="none"/>
              </w:rPr>
            </w:pPr>
            <w:r>
              <w:rPr>
                <w:rFonts w:hint="eastAsia" w:cs="Times New Roman"/>
                <w:color w:val="auto"/>
                <w:highlight w:val="none"/>
              </w:rPr>
              <w:t>11.数学学科工具</w:t>
            </w:r>
          </w:p>
          <w:p w14:paraId="2140F8C3">
            <w:pPr>
              <w:rPr>
                <w:rFonts w:cs="Times New Roman"/>
                <w:color w:val="auto"/>
                <w:highlight w:val="none"/>
              </w:rPr>
            </w:pPr>
            <w:r>
              <w:rPr>
                <w:rFonts w:hint="eastAsia" w:cs="Times New Roman"/>
                <w:color w:val="auto"/>
                <w:highlight w:val="none"/>
              </w:rPr>
              <w:t>1）需支持≥6种平面几何工具，如线、角、圆等常见平面几何工具，绘制平面图形支持设置任意中心点进行旋转，辅助学生理解；</w:t>
            </w:r>
          </w:p>
          <w:p w14:paraId="5494110D">
            <w:pPr>
              <w:rPr>
                <w:rFonts w:cs="Times New Roman"/>
                <w:color w:val="auto"/>
                <w:highlight w:val="none"/>
              </w:rPr>
            </w:pPr>
            <w:r>
              <w:rPr>
                <w:rFonts w:hint="eastAsia" w:cs="Times New Roman"/>
                <w:color w:val="auto"/>
                <w:highlight w:val="none"/>
              </w:rPr>
              <w:t>2）立体几何工具：支持绘制≥6种以上立体几何图形，如立方体、圆柱体、多棱柱、多棱锥等；</w:t>
            </w:r>
          </w:p>
          <w:p w14:paraId="4F5F131D">
            <w:pPr>
              <w:rPr>
                <w:rFonts w:cs="Times New Roman"/>
                <w:color w:val="auto"/>
                <w:highlight w:val="none"/>
              </w:rPr>
            </w:pPr>
            <w:r>
              <w:rPr>
                <w:rFonts w:hint="eastAsia" w:cs="Times New Roman"/>
                <w:color w:val="auto"/>
                <w:highlight w:val="none"/>
              </w:rPr>
              <w:t>3）函数工具：支持≥6种以上函数工具类型，如幂函数、指数函数、对数函数、三角函数基本等；需支持直接将手写函数表达式转写为标准印刷体，点击生成函数图像，支持手动调节函数参数，图形随之调整，实现数形结合；</w:t>
            </w:r>
          </w:p>
          <w:p w14:paraId="0D6D0EE3">
            <w:pPr>
              <w:rPr>
                <w:rFonts w:cs="Times New Roman"/>
                <w:color w:val="auto"/>
                <w:highlight w:val="none"/>
              </w:rPr>
            </w:pPr>
            <w:r>
              <w:rPr>
                <w:rFonts w:hint="eastAsia" w:cs="Times New Roman"/>
                <w:color w:val="auto"/>
                <w:highlight w:val="none"/>
              </w:rPr>
              <w:t>12.需提供物理电路图，涵盖教材电路实验，提供电路实验案例如伏安法测电阻、欧姆定律应用、动态电路分析等；提供元件如二极管、滑动变阻器、热敏电阻、灵敏电流计等，教师可结合实际教学场景自行组装；</w:t>
            </w:r>
          </w:p>
          <w:p w14:paraId="2BE0DBA7">
            <w:pPr>
              <w:rPr>
                <w:rFonts w:cs="Times New Roman"/>
                <w:color w:val="auto"/>
                <w:highlight w:val="none"/>
              </w:rPr>
            </w:pPr>
            <w:r>
              <w:rPr>
                <w:rFonts w:hint="eastAsia" w:cs="Times New Roman"/>
                <w:color w:val="auto"/>
                <w:highlight w:val="none"/>
              </w:rPr>
              <w:t>13.化学工具：</w:t>
            </w:r>
          </w:p>
          <w:p w14:paraId="6C57708E">
            <w:pPr>
              <w:rPr>
                <w:rFonts w:cs="Times New Roman"/>
                <w:color w:val="auto"/>
                <w:highlight w:val="none"/>
              </w:rPr>
            </w:pPr>
            <w:r>
              <w:rPr>
                <w:rFonts w:hint="eastAsia" w:cs="Times New Roman"/>
                <w:color w:val="auto"/>
                <w:highlight w:val="none"/>
              </w:rPr>
              <w:t>1）需提供多种种化学仪器工具，如反应类、固定和加持类、加热类、分离类、计量类、存取类等仪器调用；</w:t>
            </w:r>
          </w:p>
          <w:p w14:paraId="7185DE16">
            <w:pPr>
              <w:rPr>
                <w:rFonts w:cs="Times New Roman"/>
                <w:color w:val="auto"/>
                <w:highlight w:val="none"/>
              </w:rPr>
            </w:pPr>
            <w:r>
              <w:rPr>
                <w:rFonts w:hint="eastAsia" w:cs="Times New Roman"/>
                <w:color w:val="auto"/>
                <w:highlight w:val="none"/>
              </w:rPr>
              <w:t>2）化学识别及推荐：需支持将教师手写的化学方程式自动识别为标准印刷体；并支持智能推荐功能，可根据原生笔迹或印刷体快速调取对应的化学元素、化学实验、微课讲解等资源。</w:t>
            </w:r>
          </w:p>
          <w:p w14:paraId="37A5DE6A">
            <w:pPr>
              <w:rPr>
                <w:rFonts w:cs="Times New Roman"/>
                <w:color w:val="auto"/>
                <w:highlight w:val="none"/>
              </w:rPr>
            </w:pPr>
            <w:r>
              <w:rPr>
                <w:rFonts w:hint="eastAsia" w:cs="Times New Roman"/>
                <w:color w:val="auto"/>
                <w:highlight w:val="none"/>
              </w:rPr>
              <w:t>14.需提供地理教学所需的地球和地图、世界地理、中国地理等模块的课本地图资料动态地图和静态地图。</w:t>
            </w:r>
          </w:p>
          <w:p w14:paraId="71525C0D">
            <w:pPr>
              <w:rPr>
                <w:rFonts w:cs="Times New Roman"/>
                <w:color w:val="auto"/>
                <w:highlight w:val="none"/>
              </w:rPr>
            </w:pPr>
            <w:r>
              <w:rPr>
                <w:rFonts w:hint="eastAsia" w:cs="Times New Roman"/>
                <w:color w:val="auto"/>
                <w:highlight w:val="none"/>
              </w:rPr>
              <w:t>15.需提供历史教学所学所需的中国古代史、中国近代史、中国现代史、世界古代史、世界近代史、世界现代史等模块动态地图和静态地图资料；</w:t>
            </w:r>
          </w:p>
          <w:p w14:paraId="7FA24CDD">
            <w:pPr>
              <w:rPr>
                <w:rFonts w:cs="Times New Roman"/>
                <w:color w:val="auto"/>
                <w:highlight w:val="none"/>
              </w:rPr>
            </w:pPr>
            <w:r>
              <w:rPr>
                <w:rFonts w:hint="eastAsia" w:cs="Times New Roman"/>
                <w:color w:val="auto"/>
                <w:highlight w:val="none"/>
              </w:rPr>
              <w:t>16.艺术学科工具：需内置专用美术画板工具，需提供≥6种笔形如钢笔、毛笔、铅笔、荧光笔、竹笔等；支持≥12种画笔颜色，需支持提供符合绘画调色教学需求的调色盘；需并支持对绘画内容进行擦除、一键清空、撤销、恢复、保存等操作；</w:t>
            </w:r>
          </w:p>
          <w:p w14:paraId="106BBB17">
            <w:pPr>
              <w:rPr>
                <w:rFonts w:cs="Times New Roman"/>
                <w:color w:val="auto"/>
                <w:highlight w:val="none"/>
              </w:rPr>
            </w:pPr>
            <w:r>
              <w:rPr>
                <w:rFonts w:hint="eastAsia" w:cs="Times New Roman"/>
                <w:color w:val="auto"/>
                <w:highlight w:val="none"/>
              </w:rPr>
              <w:t>17.AI教学工具（需提供产品功能截图证明）</w:t>
            </w:r>
          </w:p>
          <w:p w14:paraId="0FF51E20">
            <w:pPr>
              <w:rPr>
                <w:rFonts w:cs="Times New Roman"/>
                <w:color w:val="auto"/>
                <w:highlight w:val="none"/>
              </w:rPr>
            </w:pPr>
            <w:r>
              <w:rPr>
                <w:rFonts w:hint="eastAsia" w:cs="Times New Roman"/>
                <w:color w:val="auto"/>
                <w:highlight w:val="none"/>
              </w:rPr>
              <w:t>1）中英文识别：支持手写中文或英文转写为印刷体，且识别为印刷体后支持朗读、评测、生成卡片等功能；</w:t>
            </w:r>
          </w:p>
          <w:p w14:paraId="49917104">
            <w:pPr>
              <w:rPr>
                <w:rFonts w:cs="Times New Roman"/>
                <w:color w:val="auto"/>
                <w:highlight w:val="none"/>
              </w:rPr>
            </w:pPr>
            <w:r>
              <w:rPr>
                <w:rFonts w:hint="eastAsia" w:cs="Times New Roman"/>
                <w:color w:val="auto"/>
                <w:highlight w:val="none"/>
              </w:rPr>
              <w:t>2）中英文划词：支持对手写中文或英文进行圈画，推荐相关卡片资料，中文卡片包括拼音、笔顺、部首和结构，英文卡片包括发音、翻译和素材等；</w:t>
            </w:r>
          </w:p>
          <w:p w14:paraId="6BA9738D">
            <w:pPr>
              <w:rPr>
                <w:rFonts w:hint="eastAsia" w:ascii="宋体" w:hAnsi="宋体"/>
                <w:color w:val="auto"/>
                <w:highlight w:val="none"/>
              </w:rPr>
            </w:pPr>
          </w:p>
          <w:p w14:paraId="5EC2E4E7">
            <w:pPr>
              <w:rPr>
                <w:rFonts w:hint="eastAsia" w:ascii="宋体" w:hAnsi="宋体"/>
                <w:b/>
                <w:bCs/>
                <w:color w:val="auto"/>
                <w:highlight w:val="none"/>
              </w:rPr>
            </w:pPr>
            <w:r>
              <w:rPr>
                <w:rFonts w:hint="eastAsia" w:ascii="宋体" w:hAnsi="宋体"/>
                <w:b/>
                <w:bCs/>
                <w:color w:val="auto"/>
                <w:highlight w:val="none"/>
              </w:rPr>
              <w:t>二、校级教学终端集控系统</w:t>
            </w:r>
          </w:p>
          <w:p w14:paraId="75D45558">
            <w:pPr>
              <w:rPr>
                <w:rFonts w:cs="Times New Roman"/>
                <w:color w:val="auto"/>
                <w:highlight w:val="none"/>
              </w:rPr>
            </w:pPr>
            <w:r>
              <w:rPr>
                <w:rFonts w:hint="eastAsia" w:cs="Times New Roman"/>
                <w:color w:val="auto"/>
                <w:highlight w:val="none"/>
              </w:rPr>
              <w:t>1.管理平台需支持采用B/S混合云架构设计，无需本地额外部署服务器等设备即可实现对教学信息化设备运行数据的监测。</w:t>
            </w:r>
          </w:p>
          <w:p w14:paraId="6DDB1298">
            <w:pPr>
              <w:rPr>
                <w:rFonts w:cs="Times New Roman"/>
                <w:color w:val="auto"/>
                <w:highlight w:val="none"/>
              </w:rPr>
            </w:pPr>
            <w:r>
              <w:rPr>
                <w:rFonts w:hint="eastAsia" w:cs="Times New Roman"/>
                <w:color w:val="auto"/>
                <w:highlight w:val="none"/>
              </w:rPr>
              <w:t>2.需支持Windows、 Linux、 Android、I0S等多种操作系统通过网页浏览器登录操作，需提供2种身份识别方式：需支持通过账号登录、手机扫码登录方式。</w:t>
            </w:r>
          </w:p>
          <w:p w14:paraId="0865345A">
            <w:pPr>
              <w:rPr>
                <w:rFonts w:cs="Times New Roman"/>
                <w:color w:val="auto"/>
                <w:highlight w:val="none"/>
              </w:rPr>
            </w:pPr>
            <w:r>
              <w:rPr>
                <w:rFonts w:hint="eastAsia" w:cs="Times New Roman"/>
                <w:color w:val="auto"/>
                <w:highlight w:val="none"/>
              </w:rPr>
              <w:t>3.系统瘦身：需支持对系统磁盘进行深度清理，能够根据选择一键快速清理系统回收站文件、临时文件、日志文件，释放自由空间保障设备性能。</w:t>
            </w:r>
          </w:p>
          <w:p w14:paraId="2D962029">
            <w:pPr>
              <w:rPr>
                <w:rFonts w:cs="Times New Roman"/>
                <w:color w:val="auto"/>
                <w:highlight w:val="none"/>
              </w:rPr>
            </w:pPr>
            <w:r>
              <w:rPr>
                <w:rFonts w:hint="eastAsia" w:cs="Times New Roman"/>
                <w:color w:val="auto"/>
                <w:highlight w:val="none"/>
              </w:rPr>
              <w:t>4.需支持将系统磁盘中的个人文件一键迁移至非系统盘的指定位置，保护个人文件安全。</w:t>
            </w:r>
          </w:p>
          <w:p w14:paraId="735C98F6">
            <w:pPr>
              <w:rPr>
                <w:rFonts w:cs="Times New Roman"/>
                <w:color w:val="auto"/>
                <w:highlight w:val="none"/>
              </w:rPr>
            </w:pPr>
            <w:r>
              <w:rPr>
                <w:rFonts w:hint="eastAsia" w:cs="Times New Roman"/>
                <w:color w:val="auto"/>
                <w:highlight w:val="none"/>
              </w:rPr>
              <w:t>5.需支持病毒查杀功能，需提供U盘查杀功能，能够对U盘中的恶意病毒软件进行有效防护隔离。</w:t>
            </w:r>
          </w:p>
          <w:p w14:paraId="42650DED">
            <w:pPr>
              <w:rPr>
                <w:rFonts w:cs="Times New Roman"/>
                <w:color w:val="auto"/>
                <w:highlight w:val="none"/>
              </w:rPr>
            </w:pPr>
            <w:r>
              <w:rPr>
                <w:rFonts w:hint="eastAsia" w:cs="Times New Roman"/>
                <w:color w:val="auto"/>
                <w:highlight w:val="none"/>
              </w:rPr>
              <w:t>6.需支持对各种广告弹窗、新闻弹窗进行一键拦截，维护课堂秩序，净化课堂环境。</w:t>
            </w:r>
          </w:p>
          <w:p w14:paraId="39D420FA">
            <w:pPr>
              <w:rPr>
                <w:rFonts w:cs="Times New Roman"/>
                <w:color w:val="auto"/>
                <w:highlight w:val="none"/>
              </w:rPr>
            </w:pPr>
            <w:r>
              <w:rPr>
                <w:rFonts w:hint="eastAsia" w:cs="Times New Roman"/>
                <w:color w:val="auto"/>
                <w:highlight w:val="none"/>
              </w:rPr>
              <w:t>7.需支持基于黑白名单两套规则的拦截方案，客户端可以实时查看拦截次数。</w:t>
            </w:r>
          </w:p>
          <w:p w14:paraId="1A01F588">
            <w:pPr>
              <w:rPr>
                <w:rFonts w:cs="Times New Roman"/>
                <w:color w:val="auto"/>
                <w:highlight w:val="none"/>
              </w:rPr>
            </w:pPr>
            <w:r>
              <w:rPr>
                <w:rFonts w:hint="eastAsia" w:cs="Times New Roman"/>
                <w:color w:val="auto"/>
                <w:highlight w:val="none"/>
              </w:rPr>
              <w:t>8.需支持应用软件及常用工具的分发和安装，通过客户端内置的软件管理可以实时管理相关常用教学软件的安装、更新、运行。</w:t>
            </w:r>
          </w:p>
          <w:p w14:paraId="58352CA9">
            <w:pPr>
              <w:rPr>
                <w:rFonts w:cs="Times New Roman"/>
                <w:color w:val="auto"/>
                <w:highlight w:val="none"/>
              </w:rPr>
            </w:pPr>
            <w:r>
              <w:rPr>
                <w:rFonts w:hint="eastAsia" w:cs="Times New Roman"/>
                <w:color w:val="auto"/>
                <w:highlight w:val="none"/>
              </w:rPr>
              <w:t>9.需支持收集并展示单个终端的硬件信息，包括Windows系统版本、CPU、内存、硬盘，同时需支持实时监控CPU使用率、CPU温度、内存使用率、硬盘使用率等信息。</w:t>
            </w:r>
          </w:p>
          <w:p w14:paraId="0AFF2976">
            <w:pPr>
              <w:rPr>
                <w:rFonts w:cs="Times New Roman"/>
                <w:color w:val="auto"/>
                <w:highlight w:val="none"/>
              </w:rPr>
            </w:pPr>
            <w:r>
              <w:rPr>
                <w:rFonts w:hint="eastAsia" w:cs="Times New Roman"/>
                <w:color w:val="auto"/>
                <w:highlight w:val="none"/>
              </w:rPr>
              <w:t>10.设备使用数据总览：需支持实时查看当前管控设备数、开机设备数、设备异常数。</w:t>
            </w:r>
          </w:p>
          <w:p w14:paraId="79E65414">
            <w:pPr>
              <w:rPr>
                <w:rFonts w:cs="Times New Roman"/>
                <w:color w:val="auto"/>
                <w:highlight w:val="none"/>
              </w:rPr>
            </w:pPr>
            <w:r>
              <w:rPr>
                <w:rFonts w:hint="eastAsia" w:cs="Times New Roman"/>
                <w:color w:val="auto"/>
                <w:highlight w:val="none"/>
              </w:rPr>
              <w:t>11.需支持查看设备使用情况，包含设备活跃分布、设备开机时长分布、开机长时间未使用情况。</w:t>
            </w:r>
          </w:p>
          <w:p w14:paraId="143476A8">
            <w:pPr>
              <w:rPr>
                <w:rFonts w:cs="Times New Roman"/>
                <w:color w:val="auto"/>
                <w:highlight w:val="none"/>
              </w:rPr>
            </w:pPr>
            <w:r>
              <w:rPr>
                <w:rFonts w:hint="eastAsia" w:cs="Times New Roman"/>
                <w:color w:val="auto"/>
                <w:highlight w:val="none"/>
              </w:rPr>
              <w:t>12.需支持查看软件使用情况，包含教学类软件、辅助教学类软件、非教学类软件的日均使用时长，以及使用排行Top30的软件列表；需支持学校自定义软件类型。</w:t>
            </w:r>
          </w:p>
          <w:p w14:paraId="3BB8DA62">
            <w:pPr>
              <w:rPr>
                <w:rFonts w:cs="Times New Roman"/>
                <w:color w:val="auto"/>
                <w:highlight w:val="none"/>
              </w:rPr>
            </w:pPr>
            <w:r>
              <w:rPr>
                <w:rFonts w:hint="eastAsia" w:cs="Times New Roman"/>
                <w:color w:val="auto"/>
                <w:highlight w:val="none"/>
              </w:rPr>
              <w:t>13.平台需支持对全校智慧教室的触控一体机或智慧黑板等设备进行集中运维管理和策略部署，需支持与交互智能教学设备等教学设备的底层系统无缝对接智能教学设备管理。</w:t>
            </w:r>
          </w:p>
          <w:p w14:paraId="3D9EA2CA">
            <w:pPr>
              <w:rPr>
                <w:rFonts w:cs="Times New Roman"/>
                <w:color w:val="auto"/>
                <w:highlight w:val="none"/>
              </w:rPr>
            </w:pPr>
            <w:r>
              <w:rPr>
                <w:rFonts w:hint="eastAsia" w:cs="Times New Roman"/>
                <w:color w:val="auto"/>
                <w:highlight w:val="none"/>
              </w:rPr>
              <w:t>14.管理平台需支持控制连接广域网的交互智能设备，包括开关机、更改图像模式、打铃及解锁屏等功能，可批量设定智能设备开关机、解锁屏、打铃等功能的执行时间，并需支持自定义日循环执行，预约定时执行。</w:t>
            </w:r>
          </w:p>
          <w:p w14:paraId="09D7FA46">
            <w:pPr>
              <w:rPr>
                <w:rFonts w:cs="Times New Roman"/>
                <w:color w:val="auto"/>
                <w:highlight w:val="none"/>
              </w:rPr>
            </w:pPr>
            <w:r>
              <w:rPr>
                <w:rFonts w:hint="eastAsia" w:cs="Times New Roman"/>
                <w:color w:val="auto"/>
                <w:highlight w:val="none"/>
              </w:rPr>
              <w:t>15.管理平台需提供巡课值守模式，自动轮循显示处于运行状态的交互智能设备使用界面。</w:t>
            </w:r>
          </w:p>
          <w:p w14:paraId="3DA90F92">
            <w:pPr>
              <w:rPr>
                <w:rFonts w:cs="Times New Roman"/>
                <w:color w:val="auto"/>
                <w:highlight w:val="none"/>
              </w:rPr>
            </w:pPr>
            <w:r>
              <w:rPr>
                <w:rFonts w:hint="eastAsia" w:cs="Times New Roman"/>
                <w:color w:val="auto"/>
                <w:highlight w:val="none"/>
              </w:rPr>
              <w:t>16.管理平台需支持显示交互智能设备异常的告警提示。</w:t>
            </w:r>
          </w:p>
          <w:p w14:paraId="19C71A1A">
            <w:pPr>
              <w:rPr>
                <w:rFonts w:cs="Times New Roman"/>
                <w:color w:val="auto"/>
                <w:highlight w:val="none"/>
              </w:rPr>
            </w:pPr>
            <w:r>
              <w:rPr>
                <w:rFonts w:hint="eastAsia" w:cs="Times New Roman"/>
                <w:color w:val="auto"/>
                <w:highlight w:val="none"/>
              </w:rPr>
              <w:t>17.批量巡课：需支持同时查看广域网内多台交互智能设备的摄像头或屏幕的实时视频。</w:t>
            </w:r>
          </w:p>
          <w:p w14:paraId="0641048E">
            <w:pPr>
              <w:rPr>
                <w:rFonts w:cs="Times New Roman"/>
                <w:color w:val="auto"/>
                <w:highlight w:val="none"/>
              </w:rPr>
            </w:pPr>
            <w:r>
              <w:rPr>
                <w:rFonts w:hint="eastAsia" w:cs="Times New Roman"/>
                <w:color w:val="auto"/>
                <w:highlight w:val="none"/>
              </w:rPr>
              <w:t>18.管理平台需支持远程对运行状态下的交互智能设备批量进行本地系统磁盘的冻结、解冻。被冻结后本地系统启动盘的数据及系统更改等均会自动恢复至冻结前状态。</w:t>
            </w:r>
          </w:p>
          <w:p w14:paraId="07587C67">
            <w:pPr>
              <w:rPr>
                <w:rFonts w:hint="eastAsia" w:ascii="宋体" w:hAnsi="宋体"/>
                <w:color w:val="auto"/>
                <w:highlight w:val="none"/>
              </w:rPr>
            </w:pPr>
            <w:r>
              <w:rPr>
                <w:rFonts w:hint="eastAsia" w:cs="Times New Roman"/>
                <w:color w:val="auto"/>
                <w:highlight w:val="none"/>
              </w:rPr>
              <w:t>19.管理平台需支持实时监测开启保护设备数量、安装保护设备数量、磁盘冰冻状态等，并提示风险，方便用户管理设备系统环境。</w:t>
            </w:r>
          </w:p>
        </w:tc>
        <w:tc>
          <w:tcPr>
            <w:tcW w:w="567" w:type="dxa"/>
            <w:tcBorders>
              <w:top w:val="single" w:color="000000" w:sz="4" w:space="0"/>
              <w:left w:val="single" w:color="000000" w:sz="4" w:space="0"/>
              <w:bottom w:val="single" w:color="000000" w:sz="4" w:space="0"/>
              <w:right w:val="single" w:color="000000" w:sz="4" w:space="0"/>
            </w:tcBorders>
            <w:vAlign w:val="center"/>
          </w:tcPr>
          <w:p w14:paraId="68A93376">
            <w:pPr>
              <w:widowControl/>
              <w:jc w:val="center"/>
              <w:textAlignment w:val="center"/>
              <w:rPr>
                <w:rFonts w:hint="eastAsia" w:ascii="宋体" w:hAnsi="宋体"/>
                <w:b/>
                <w:bCs/>
                <w:color w:val="auto"/>
                <w:kern w:val="0"/>
                <w:szCs w:val="21"/>
                <w:highlight w:val="none"/>
                <w:lang w:bidi="ar"/>
              </w:rPr>
            </w:pPr>
            <w:r>
              <w:rPr>
                <w:rFonts w:hint="eastAsia" w:ascii="宋体" w:hAnsi="宋体"/>
                <w:color w:val="auto"/>
                <w:kern w:val="0"/>
                <w:szCs w:val="21"/>
                <w:highlight w:val="none"/>
                <w:lang w:bidi="ar"/>
              </w:rPr>
              <w:t>套</w:t>
            </w:r>
          </w:p>
        </w:tc>
        <w:tc>
          <w:tcPr>
            <w:tcW w:w="870" w:type="dxa"/>
            <w:tcBorders>
              <w:top w:val="single" w:color="000000" w:sz="4" w:space="0"/>
              <w:left w:val="single" w:color="000000" w:sz="4" w:space="0"/>
              <w:bottom w:val="single" w:color="000000" w:sz="4" w:space="0"/>
              <w:right w:val="single" w:color="000000" w:sz="4" w:space="0"/>
            </w:tcBorders>
            <w:vAlign w:val="center"/>
          </w:tcPr>
          <w:p w14:paraId="3E2830FA">
            <w:pPr>
              <w:widowControl/>
              <w:jc w:val="center"/>
              <w:textAlignment w:val="center"/>
              <w:rPr>
                <w:rFonts w:hint="eastAsia" w:ascii="宋体" w:hAnsi="宋体"/>
                <w:b/>
                <w:bCs/>
                <w:color w:val="auto"/>
                <w:kern w:val="0"/>
                <w:szCs w:val="21"/>
                <w:highlight w:val="none"/>
                <w:lang w:bidi="ar"/>
              </w:rPr>
            </w:pPr>
            <w:r>
              <w:rPr>
                <w:rFonts w:hint="eastAsia" w:ascii="宋体" w:hAnsi="宋体"/>
                <w:color w:val="auto"/>
                <w:kern w:val="0"/>
                <w:szCs w:val="21"/>
                <w:highlight w:val="none"/>
                <w:lang w:bidi="ar"/>
              </w:rPr>
              <w:t>20</w:t>
            </w:r>
          </w:p>
        </w:tc>
      </w:tr>
      <w:tr w14:paraId="4508A6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5" w:hRule="atLeast"/>
          <w:jc w:val="center"/>
        </w:trPr>
        <w:tc>
          <w:tcPr>
            <w:tcW w:w="644" w:type="dxa"/>
            <w:tcBorders>
              <w:top w:val="single" w:color="000000" w:sz="4" w:space="0"/>
              <w:left w:val="single" w:color="000000" w:sz="4" w:space="0"/>
              <w:bottom w:val="single" w:color="000000" w:sz="4" w:space="0"/>
              <w:right w:val="single" w:color="000000" w:sz="4" w:space="0"/>
            </w:tcBorders>
            <w:noWrap/>
            <w:vAlign w:val="center"/>
          </w:tcPr>
          <w:p w14:paraId="3A0C2A71">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6</w:t>
            </w:r>
          </w:p>
        </w:tc>
        <w:tc>
          <w:tcPr>
            <w:tcW w:w="851" w:type="dxa"/>
            <w:tcBorders>
              <w:top w:val="single" w:color="000000" w:sz="4" w:space="0"/>
              <w:left w:val="single" w:color="000000" w:sz="4" w:space="0"/>
              <w:bottom w:val="single" w:color="000000" w:sz="4" w:space="0"/>
              <w:right w:val="single" w:color="000000" w:sz="4" w:space="0"/>
            </w:tcBorders>
            <w:noWrap/>
            <w:vAlign w:val="center"/>
          </w:tcPr>
          <w:p w14:paraId="7FC50C2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直饮水机</w:t>
            </w:r>
          </w:p>
        </w:tc>
        <w:tc>
          <w:tcPr>
            <w:tcW w:w="6378" w:type="dxa"/>
            <w:tcBorders>
              <w:top w:val="single" w:color="000000" w:sz="4" w:space="0"/>
              <w:left w:val="single" w:color="000000" w:sz="4" w:space="0"/>
              <w:bottom w:val="single" w:color="000000" w:sz="4" w:space="0"/>
              <w:right w:val="single" w:color="000000" w:sz="4" w:space="0"/>
            </w:tcBorders>
            <w:noWrap/>
            <w:vAlign w:val="bottom"/>
          </w:tcPr>
          <w:p w14:paraId="45707C4D">
            <w:pPr>
              <w:widowControl/>
              <w:numPr>
                <w:ilvl w:val="0"/>
                <w:numId w:val="85"/>
              </w:numPr>
              <w:textAlignment w:val="bottom"/>
              <w:rPr>
                <w:rFonts w:hint="eastAsia" w:ascii="宋体" w:hAnsi="宋体"/>
                <w:color w:val="auto"/>
                <w:szCs w:val="21"/>
                <w:highlight w:val="none"/>
              </w:rPr>
            </w:pPr>
            <w:r>
              <w:rPr>
                <w:rFonts w:hint="eastAsia" w:ascii="宋体" w:hAnsi="宋体"/>
                <w:color w:val="auto"/>
                <w:kern w:val="0"/>
                <w:szCs w:val="21"/>
                <w:highlight w:val="none"/>
                <w:lang w:bidi="ar"/>
              </w:rPr>
              <w:t>水胆容量：≥15L，温开水≥60L/h，功率：≥2Kw，前触摸开关，两个温开水龙头，两桶三级过滤，微电脑液晶显示，能满足≥50人饮水。</w:t>
            </w:r>
          </w:p>
        </w:tc>
        <w:tc>
          <w:tcPr>
            <w:tcW w:w="567" w:type="dxa"/>
            <w:tcBorders>
              <w:top w:val="single" w:color="000000" w:sz="4" w:space="0"/>
              <w:left w:val="single" w:color="000000" w:sz="4" w:space="0"/>
              <w:bottom w:val="single" w:color="000000" w:sz="4" w:space="0"/>
              <w:right w:val="single" w:color="000000" w:sz="4" w:space="0"/>
            </w:tcBorders>
            <w:noWrap/>
            <w:vAlign w:val="center"/>
          </w:tcPr>
          <w:p w14:paraId="075D761C">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台</w:t>
            </w:r>
          </w:p>
        </w:tc>
        <w:tc>
          <w:tcPr>
            <w:tcW w:w="870" w:type="dxa"/>
            <w:tcBorders>
              <w:top w:val="single" w:color="000000" w:sz="4" w:space="0"/>
              <w:left w:val="single" w:color="000000" w:sz="4" w:space="0"/>
              <w:bottom w:val="single" w:color="000000" w:sz="4" w:space="0"/>
              <w:right w:val="single" w:color="000000" w:sz="4" w:space="0"/>
            </w:tcBorders>
            <w:noWrap/>
            <w:vAlign w:val="center"/>
          </w:tcPr>
          <w:p w14:paraId="2788C55F">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 xml:space="preserve">40 </w:t>
            </w:r>
          </w:p>
        </w:tc>
      </w:tr>
      <w:tr w14:paraId="4A5FF2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9310" w:type="dxa"/>
            <w:gridSpan w:val="5"/>
            <w:tcBorders>
              <w:top w:val="single" w:color="000000" w:sz="4" w:space="0"/>
              <w:left w:val="single" w:color="000000" w:sz="4" w:space="0"/>
              <w:bottom w:val="single" w:color="000000" w:sz="4" w:space="0"/>
              <w:right w:val="single" w:color="000000" w:sz="4" w:space="0"/>
            </w:tcBorders>
            <w:noWrap/>
            <w:vAlign w:val="center"/>
          </w:tcPr>
          <w:p w14:paraId="77D53BB1">
            <w:pPr>
              <w:widowControl/>
              <w:jc w:val="center"/>
              <w:textAlignment w:val="center"/>
              <w:rPr>
                <w:rFonts w:hint="eastAsia" w:ascii="宋体" w:hAnsi="宋体"/>
                <w:b/>
                <w:bCs/>
                <w:color w:val="auto"/>
                <w:szCs w:val="21"/>
                <w:highlight w:val="none"/>
              </w:rPr>
            </w:pPr>
            <w:r>
              <w:rPr>
                <w:rFonts w:hint="eastAsia" w:ascii="宋体" w:hAnsi="宋体"/>
                <w:b/>
                <w:bCs/>
                <w:color w:val="auto"/>
                <w:kern w:val="0"/>
                <w:szCs w:val="21"/>
                <w:highlight w:val="none"/>
                <w:lang w:bidi="ar"/>
              </w:rPr>
              <w:t>九、空调</w:t>
            </w:r>
          </w:p>
        </w:tc>
      </w:tr>
      <w:tr w14:paraId="3B2046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644" w:type="dxa"/>
            <w:tcBorders>
              <w:top w:val="single" w:color="000000" w:sz="4" w:space="0"/>
              <w:left w:val="single" w:color="000000" w:sz="4" w:space="0"/>
              <w:bottom w:val="single" w:color="000000" w:sz="4" w:space="0"/>
              <w:right w:val="single" w:color="000000" w:sz="4" w:space="0"/>
            </w:tcBorders>
            <w:vAlign w:val="center"/>
          </w:tcPr>
          <w:p w14:paraId="5DE72CC8">
            <w:pPr>
              <w:widowControl/>
              <w:jc w:val="center"/>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1</w:t>
            </w:r>
          </w:p>
        </w:tc>
        <w:tc>
          <w:tcPr>
            <w:tcW w:w="851" w:type="dxa"/>
            <w:tcBorders>
              <w:top w:val="single" w:color="000000" w:sz="4" w:space="0"/>
              <w:left w:val="single" w:color="000000" w:sz="4" w:space="0"/>
              <w:bottom w:val="single" w:color="000000" w:sz="4" w:space="0"/>
              <w:right w:val="single" w:color="000000" w:sz="4" w:space="0"/>
            </w:tcBorders>
            <w:vAlign w:val="center"/>
          </w:tcPr>
          <w:p w14:paraId="08ADE068">
            <w:pPr>
              <w:widowControl/>
              <w:jc w:val="center"/>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bdr w:val="single" w:color="000000" w:sz="4" w:space="0"/>
                <w:lang w:bidi="ar"/>
              </w:rPr>
              <w:drawing>
                <wp:anchor distT="0" distB="0" distL="114300" distR="114300" simplePos="0" relativeHeight="251698176" behindDoc="0" locked="0" layoutInCell="1" allowOverlap="1">
                  <wp:simplePos x="0" y="0"/>
                  <wp:positionH relativeFrom="column">
                    <wp:posOffset>0</wp:posOffset>
                  </wp:positionH>
                  <wp:positionV relativeFrom="paragraph">
                    <wp:posOffset>0</wp:posOffset>
                  </wp:positionV>
                  <wp:extent cx="17145" cy="15240"/>
                  <wp:effectExtent l="0" t="0" r="0" b="0"/>
                  <wp:wrapNone/>
                  <wp:docPr id="73" name="Picture_1"/>
                  <wp:cNvGraphicFramePr/>
                  <a:graphic xmlns:a="http://schemas.openxmlformats.org/drawingml/2006/main">
                    <a:graphicData uri="http://schemas.openxmlformats.org/drawingml/2006/picture">
                      <pic:pic xmlns:pic="http://schemas.openxmlformats.org/drawingml/2006/picture">
                        <pic:nvPicPr>
                          <pic:cNvPr id="73" name="Picture_1"/>
                          <pic:cNvPicPr/>
                        </pic:nvPicPr>
                        <pic:blipFill>
                          <a:blip r:embed="rId7"/>
                          <a:stretch>
                            <a:fillRect/>
                          </a:stretch>
                        </pic:blipFill>
                        <pic:spPr>
                          <a:xfrm>
                            <a:off x="0" y="0"/>
                            <a:ext cx="17145" cy="15240"/>
                          </a:xfrm>
                          <a:prstGeom prst="rect">
                            <a:avLst/>
                          </a:prstGeom>
                          <a:noFill/>
                          <a:ln>
                            <a:noFill/>
                          </a:ln>
                        </pic:spPr>
                      </pic:pic>
                    </a:graphicData>
                  </a:graphic>
                </wp:anchor>
              </w:drawing>
            </w:r>
            <w:r>
              <w:rPr>
                <w:rFonts w:hint="eastAsia" w:ascii="宋体" w:hAnsi="宋体"/>
                <w:color w:val="auto"/>
                <w:kern w:val="0"/>
                <w:szCs w:val="21"/>
                <w:highlight w:val="none"/>
                <w:bdr w:val="single" w:color="000000" w:sz="4" w:space="0"/>
                <w:lang w:bidi="ar"/>
              </w:rPr>
              <w:drawing>
                <wp:anchor distT="0" distB="0" distL="114300" distR="114300" simplePos="0" relativeHeight="251699200" behindDoc="0" locked="0" layoutInCell="1" allowOverlap="1">
                  <wp:simplePos x="0" y="0"/>
                  <wp:positionH relativeFrom="column">
                    <wp:posOffset>0</wp:posOffset>
                  </wp:positionH>
                  <wp:positionV relativeFrom="paragraph">
                    <wp:posOffset>0</wp:posOffset>
                  </wp:positionV>
                  <wp:extent cx="18415" cy="17145"/>
                  <wp:effectExtent l="0" t="0" r="0" b="0"/>
                  <wp:wrapNone/>
                  <wp:docPr id="74" name="Picture_11"/>
                  <wp:cNvGraphicFramePr/>
                  <a:graphic xmlns:a="http://schemas.openxmlformats.org/drawingml/2006/main">
                    <a:graphicData uri="http://schemas.openxmlformats.org/drawingml/2006/picture">
                      <pic:pic xmlns:pic="http://schemas.openxmlformats.org/drawingml/2006/picture">
                        <pic:nvPicPr>
                          <pic:cNvPr id="74" name="Picture_11"/>
                          <pic:cNvPicPr/>
                        </pic:nvPicPr>
                        <pic:blipFill>
                          <a:blip r:embed="rId8"/>
                          <a:stretch>
                            <a:fillRect/>
                          </a:stretch>
                        </pic:blipFill>
                        <pic:spPr>
                          <a:xfrm>
                            <a:off x="0" y="0"/>
                            <a:ext cx="18415" cy="17145"/>
                          </a:xfrm>
                          <a:prstGeom prst="rect">
                            <a:avLst/>
                          </a:prstGeom>
                          <a:noFill/>
                          <a:ln>
                            <a:noFill/>
                          </a:ln>
                        </pic:spPr>
                      </pic:pic>
                    </a:graphicData>
                  </a:graphic>
                </wp:anchor>
              </w:drawing>
            </w:r>
            <w:r>
              <w:rPr>
                <w:rFonts w:hint="eastAsia" w:ascii="宋体" w:hAnsi="宋体"/>
                <w:color w:val="auto"/>
                <w:kern w:val="0"/>
                <w:szCs w:val="21"/>
                <w:highlight w:val="none"/>
                <w:bdr w:val="single" w:color="000000" w:sz="4" w:space="0"/>
                <w:lang w:bidi="ar"/>
              </w:rPr>
              <w:drawing>
                <wp:anchor distT="0" distB="0" distL="114300" distR="114300" simplePos="0" relativeHeight="251700224" behindDoc="0" locked="0" layoutInCell="1" allowOverlap="1">
                  <wp:simplePos x="0" y="0"/>
                  <wp:positionH relativeFrom="column">
                    <wp:posOffset>0</wp:posOffset>
                  </wp:positionH>
                  <wp:positionV relativeFrom="paragraph">
                    <wp:posOffset>0</wp:posOffset>
                  </wp:positionV>
                  <wp:extent cx="17145" cy="15240"/>
                  <wp:effectExtent l="0" t="0" r="0" b="0"/>
                  <wp:wrapNone/>
                  <wp:docPr id="75" name="Picture_1_SpCnt_1"/>
                  <wp:cNvGraphicFramePr/>
                  <a:graphic xmlns:a="http://schemas.openxmlformats.org/drawingml/2006/main">
                    <a:graphicData uri="http://schemas.openxmlformats.org/drawingml/2006/picture">
                      <pic:pic xmlns:pic="http://schemas.openxmlformats.org/drawingml/2006/picture">
                        <pic:nvPicPr>
                          <pic:cNvPr id="75" name="Picture_1_SpCnt_1"/>
                          <pic:cNvPicPr/>
                        </pic:nvPicPr>
                        <pic:blipFill>
                          <a:blip r:embed="rId7"/>
                          <a:stretch>
                            <a:fillRect/>
                          </a:stretch>
                        </pic:blipFill>
                        <pic:spPr>
                          <a:xfrm>
                            <a:off x="0" y="0"/>
                            <a:ext cx="17145" cy="15240"/>
                          </a:xfrm>
                          <a:prstGeom prst="rect">
                            <a:avLst/>
                          </a:prstGeom>
                          <a:noFill/>
                          <a:ln>
                            <a:noFill/>
                          </a:ln>
                        </pic:spPr>
                      </pic:pic>
                    </a:graphicData>
                  </a:graphic>
                </wp:anchor>
              </w:drawing>
            </w:r>
            <w:r>
              <w:rPr>
                <w:rFonts w:hint="eastAsia" w:ascii="宋体" w:hAnsi="宋体"/>
                <w:color w:val="auto"/>
                <w:kern w:val="0"/>
                <w:szCs w:val="21"/>
                <w:highlight w:val="none"/>
                <w:bdr w:val="single" w:color="000000" w:sz="4" w:space="0"/>
                <w:lang w:bidi="ar"/>
              </w:rPr>
              <w:drawing>
                <wp:anchor distT="0" distB="0" distL="114300" distR="114300" simplePos="0" relativeHeight="251701248" behindDoc="0" locked="0" layoutInCell="1" allowOverlap="1">
                  <wp:simplePos x="0" y="0"/>
                  <wp:positionH relativeFrom="column">
                    <wp:posOffset>0</wp:posOffset>
                  </wp:positionH>
                  <wp:positionV relativeFrom="paragraph">
                    <wp:posOffset>0</wp:posOffset>
                  </wp:positionV>
                  <wp:extent cx="18415" cy="17145"/>
                  <wp:effectExtent l="0" t="0" r="0" b="0"/>
                  <wp:wrapNone/>
                  <wp:docPr id="76" name="Picture_11_SpCnt_1"/>
                  <wp:cNvGraphicFramePr/>
                  <a:graphic xmlns:a="http://schemas.openxmlformats.org/drawingml/2006/main">
                    <a:graphicData uri="http://schemas.openxmlformats.org/drawingml/2006/picture">
                      <pic:pic xmlns:pic="http://schemas.openxmlformats.org/drawingml/2006/picture">
                        <pic:nvPicPr>
                          <pic:cNvPr id="76" name="Picture_11_SpCnt_1"/>
                          <pic:cNvPicPr/>
                        </pic:nvPicPr>
                        <pic:blipFill>
                          <a:blip r:embed="rId9"/>
                          <a:stretch>
                            <a:fillRect/>
                          </a:stretch>
                        </pic:blipFill>
                        <pic:spPr>
                          <a:xfrm>
                            <a:off x="0" y="0"/>
                            <a:ext cx="18415" cy="17145"/>
                          </a:xfrm>
                          <a:prstGeom prst="rect">
                            <a:avLst/>
                          </a:prstGeom>
                          <a:noFill/>
                          <a:ln>
                            <a:noFill/>
                          </a:ln>
                        </pic:spPr>
                      </pic:pic>
                    </a:graphicData>
                  </a:graphic>
                </wp:anchor>
              </w:drawing>
            </w:r>
            <w:r>
              <w:rPr>
                <w:rFonts w:hint="eastAsia" w:ascii="宋体" w:hAnsi="宋体"/>
                <w:color w:val="auto"/>
                <w:kern w:val="0"/>
                <w:szCs w:val="21"/>
                <w:highlight w:val="none"/>
                <w:bdr w:val="single" w:color="000000" w:sz="4" w:space="0"/>
                <w:lang w:bidi="ar"/>
              </w:rPr>
              <w:drawing>
                <wp:anchor distT="0" distB="0" distL="114300" distR="114300" simplePos="0" relativeHeight="251702272" behindDoc="0" locked="0" layoutInCell="1" allowOverlap="1">
                  <wp:simplePos x="0" y="0"/>
                  <wp:positionH relativeFrom="column">
                    <wp:posOffset>0</wp:posOffset>
                  </wp:positionH>
                  <wp:positionV relativeFrom="paragraph">
                    <wp:posOffset>0</wp:posOffset>
                  </wp:positionV>
                  <wp:extent cx="17145" cy="15240"/>
                  <wp:effectExtent l="0" t="0" r="0" b="0"/>
                  <wp:wrapNone/>
                  <wp:docPr id="77" name="Picture_1_SpCnt_2"/>
                  <wp:cNvGraphicFramePr/>
                  <a:graphic xmlns:a="http://schemas.openxmlformats.org/drawingml/2006/main">
                    <a:graphicData uri="http://schemas.openxmlformats.org/drawingml/2006/picture">
                      <pic:pic xmlns:pic="http://schemas.openxmlformats.org/drawingml/2006/picture">
                        <pic:nvPicPr>
                          <pic:cNvPr id="77" name="Picture_1_SpCnt_2"/>
                          <pic:cNvPicPr/>
                        </pic:nvPicPr>
                        <pic:blipFill>
                          <a:blip r:embed="rId7"/>
                          <a:stretch>
                            <a:fillRect/>
                          </a:stretch>
                        </pic:blipFill>
                        <pic:spPr>
                          <a:xfrm>
                            <a:off x="0" y="0"/>
                            <a:ext cx="17145" cy="15240"/>
                          </a:xfrm>
                          <a:prstGeom prst="rect">
                            <a:avLst/>
                          </a:prstGeom>
                          <a:noFill/>
                          <a:ln>
                            <a:noFill/>
                          </a:ln>
                        </pic:spPr>
                      </pic:pic>
                    </a:graphicData>
                  </a:graphic>
                </wp:anchor>
              </w:drawing>
            </w:r>
            <w:r>
              <w:rPr>
                <w:rFonts w:hint="eastAsia" w:ascii="宋体" w:hAnsi="宋体"/>
                <w:color w:val="auto"/>
                <w:kern w:val="0"/>
                <w:szCs w:val="21"/>
                <w:highlight w:val="none"/>
                <w:bdr w:val="single" w:color="000000" w:sz="4" w:space="0"/>
                <w:lang w:bidi="ar"/>
              </w:rPr>
              <w:drawing>
                <wp:anchor distT="0" distB="0" distL="114300" distR="114300" simplePos="0" relativeHeight="251703296" behindDoc="0" locked="0" layoutInCell="1" allowOverlap="1">
                  <wp:simplePos x="0" y="0"/>
                  <wp:positionH relativeFrom="column">
                    <wp:posOffset>0</wp:posOffset>
                  </wp:positionH>
                  <wp:positionV relativeFrom="paragraph">
                    <wp:posOffset>0</wp:posOffset>
                  </wp:positionV>
                  <wp:extent cx="16510" cy="15240"/>
                  <wp:effectExtent l="0" t="0" r="0" b="0"/>
                  <wp:wrapNone/>
                  <wp:docPr id="78" name="Picture_13"/>
                  <wp:cNvGraphicFramePr/>
                  <a:graphic xmlns:a="http://schemas.openxmlformats.org/drawingml/2006/main">
                    <a:graphicData uri="http://schemas.openxmlformats.org/drawingml/2006/picture">
                      <pic:pic xmlns:pic="http://schemas.openxmlformats.org/drawingml/2006/picture">
                        <pic:nvPicPr>
                          <pic:cNvPr id="78" name="Picture_13"/>
                          <pic:cNvPicPr/>
                        </pic:nvPicPr>
                        <pic:blipFill>
                          <a:blip r:embed="rId11"/>
                          <a:stretch>
                            <a:fillRect/>
                          </a:stretch>
                        </pic:blipFill>
                        <pic:spPr>
                          <a:xfrm>
                            <a:off x="0" y="0"/>
                            <a:ext cx="16510" cy="15240"/>
                          </a:xfrm>
                          <a:prstGeom prst="rect">
                            <a:avLst/>
                          </a:prstGeom>
                          <a:noFill/>
                          <a:ln>
                            <a:noFill/>
                          </a:ln>
                        </pic:spPr>
                      </pic:pic>
                    </a:graphicData>
                  </a:graphic>
                </wp:anchor>
              </w:drawing>
            </w:r>
            <w:r>
              <w:rPr>
                <w:rFonts w:hint="eastAsia" w:ascii="宋体" w:hAnsi="宋体"/>
                <w:color w:val="auto"/>
                <w:kern w:val="0"/>
                <w:szCs w:val="21"/>
                <w:highlight w:val="none"/>
                <w:bdr w:val="single" w:color="000000" w:sz="4" w:space="0"/>
                <w:lang w:bidi="ar"/>
              </w:rPr>
              <w:drawing>
                <wp:anchor distT="0" distB="0" distL="114300" distR="114300" simplePos="0" relativeHeight="251704320" behindDoc="0" locked="0" layoutInCell="1" allowOverlap="1">
                  <wp:simplePos x="0" y="0"/>
                  <wp:positionH relativeFrom="column">
                    <wp:posOffset>0</wp:posOffset>
                  </wp:positionH>
                  <wp:positionV relativeFrom="paragraph">
                    <wp:posOffset>0</wp:posOffset>
                  </wp:positionV>
                  <wp:extent cx="18415" cy="19050"/>
                  <wp:effectExtent l="0" t="0" r="12065" b="3810"/>
                  <wp:wrapNone/>
                  <wp:docPr id="79" name="Picture_13_SpCnt_1"/>
                  <wp:cNvGraphicFramePr/>
                  <a:graphic xmlns:a="http://schemas.openxmlformats.org/drawingml/2006/main">
                    <a:graphicData uri="http://schemas.openxmlformats.org/drawingml/2006/picture">
                      <pic:pic xmlns:pic="http://schemas.openxmlformats.org/drawingml/2006/picture">
                        <pic:nvPicPr>
                          <pic:cNvPr id="79" name="Picture_13_SpCnt_1"/>
                          <pic:cNvPicPr/>
                        </pic:nvPicPr>
                        <pic:blipFill>
                          <a:blip r:embed="rId13"/>
                          <a:stretch>
                            <a:fillRect/>
                          </a:stretch>
                        </pic:blipFill>
                        <pic:spPr>
                          <a:xfrm>
                            <a:off x="0" y="0"/>
                            <a:ext cx="18415" cy="19050"/>
                          </a:xfrm>
                          <a:prstGeom prst="rect">
                            <a:avLst/>
                          </a:prstGeom>
                          <a:noFill/>
                          <a:ln>
                            <a:noFill/>
                          </a:ln>
                        </pic:spPr>
                      </pic:pic>
                    </a:graphicData>
                  </a:graphic>
                </wp:anchor>
              </w:drawing>
            </w:r>
            <w:r>
              <w:rPr>
                <w:rFonts w:hint="eastAsia" w:ascii="宋体" w:hAnsi="宋体"/>
                <w:color w:val="auto"/>
                <w:kern w:val="0"/>
                <w:szCs w:val="21"/>
                <w:highlight w:val="none"/>
                <w:bdr w:val="single" w:color="000000" w:sz="4" w:space="0"/>
                <w:lang w:bidi="ar"/>
              </w:rPr>
              <w:drawing>
                <wp:anchor distT="0" distB="0" distL="114300" distR="114300" simplePos="0" relativeHeight="251705344" behindDoc="0" locked="0" layoutInCell="1" allowOverlap="1">
                  <wp:simplePos x="0" y="0"/>
                  <wp:positionH relativeFrom="column">
                    <wp:posOffset>0</wp:posOffset>
                  </wp:positionH>
                  <wp:positionV relativeFrom="paragraph">
                    <wp:posOffset>0</wp:posOffset>
                  </wp:positionV>
                  <wp:extent cx="18415" cy="15240"/>
                  <wp:effectExtent l="0" t="0" r="0" b="0"/>
                  <wp:wrapNone/>
                  <wp:docPr id="80" name="Picture_13_SpCnt_2"/>
                  <wp:cNvGraphicFramePr/>
                  <a:graphic xmlns:a="http://schemas.openxmlformats.org/drawingml/2006/main">
                    <a:graphicData uri="http://schemas.openxmlformats.org/drawingml/2006/picture">
                      <pic:pic xmlns:pic="http://schemas.openxmlformats.org/drawingml/2006/picture">
                        <pic:nvPicPr>
                          <pic:cNvPr id="80" name="Picture_13_SpCnt_2"/>
                          <pic:cNvPicPr/>
                        </pic:nvPicPr>
                        <pic:blipFill>
                          <a:blip r:embed="rId7"/>
                          <a:stretch>
                            <a:fillRect/>
                          </a:stretch>
                        </pic:blipFill>
                        <pic:spPr>
                          <a:xfrm>
                            <a:off x="0" y="0"/>
                            <a:ext cx="18415" cy="15240"/>
                          </a:xfrm>
                          <a:prstGeom prst="rect">
                            <a:avLst/>
                          </a:prstGeom>
                          <a:noFill/>
                          <a:ln>
                            <a:noFill/>
                          </a:ln>
                        </pic:spPr>
                      </pic:pic>
                    </a:graphicData>
                  </a:graphic>
                </wp:anchor>
              </w:drawing>
            </w:r>
            <w:r>
              <w:rPr>
                <w:rFonts w:hint="eastAsia" w:ascii="宋体" w:hAnsi="宋体"/>
                <w:color w:val="auto"/>
                <w:kern w:val="0"/>
                <w:szCs w:val="21"/>
                <w:highlight w:val="none"/>
                <w:bdr w:val="single" w:color="000000" w:sz="4" w:space="0"/>
                <w:lang w:bidi="ar"/>
              </w:rPr>
              <w:drawing>
                <wp:anchor distT="0" distB="0" distL="114300" distR="114300" simplePos="0" relativeHeight="251706368" behindDoc="0" locked="0" layoutInCell="1" allowOverlap="1">
                  <wp:simplePos x="0" y="0"/>
                  <wp:positionH relativeFrom="column">
                    <wp:posOffset>0</wp:posOffset>
                  </wp:positionH>
                  <wp:positionV relativeFrom="paragraph">
                    <wp:posOffset>0</wp:posOffset>
                  </wp:positionV>
                  <wp:extent cx="18415" cy="17145"/>
                  <wp:effectExtent l="0" t="0" r="0" b="0"/>
                  <wp:wrapNone/>
                  <wp:docPr id="81" name="Picture_11_SpCnt_2"/>
                  <wp:cNvGraphicFramePr/>
                  <a:graphic xmlns:a="http://schemas.openxmlformats.org/drawingml/2006/main">
                    <a:graphicData uri="http://schemas.openxmlformats.org/drawingml/2006/picture">
                      <pic:pic xmlns:pic="http://schemas.openxmlformats.org/drawingml/2006/picture">
                        <pic:nvPicPr>
                          <pic:cNvPr id="81" name="Picture_11_SpCnt_2"/>
                          <pic:cNvPicPr/>
                        </pic:nvPicPr>
                        <pic:blipFill>
                          <a:blip r:embed="rId9"/>
                          <a:stretch>
                            <a:fillRect/>
                          </a:stretch>
                        </pic:blipFill>
                        <pic:spPr>
                          <a:xfrm>
                            <a:off x="0" y="0"/>
                            <a:ext cx="18415" cy="17145"/>
                          </a:xfrm>
                          <a:prstGeom prst="rect">
                            <a:avLst/>
                          </a:prstGeom>
                          <a:noFill/>
                          <a:ln>
                            <a:noFill/>
                          </a:ln>
                        </pic:spPr>
                      </pic:pic>
                    </a:graphicData>
                  </a:graphic>
                </wp:anchor>
              </w:drawing>
            </w:r>
            <w:r>
              <w:rPr>
                <w:rFonts w:hint="eastAsia" w:ascii="宋体" w:hAnsi="宋体"/>
                <w:color w:val="auto"/>
                <w:kern w:val="0"/>
                <w:szCs w:val="21"/>
                <w:highlight w:val="none"/>
                <w:bdr w:val="single" w:color="000000" w:sz="4" w:space="0"/>
                <w:lang w:bidi="ar"/>
              </w:rPr>
              <w:drawing>
                <wp:anchor distT="0" distB="0" distL="114300" distR="114300" simplePos="0" relativeHeight="251707392" behindDoc="0" locked="0" layoutInCell="1" allowOverlap="1">
                  <wp:simplePos x="0" y="0"/>
                  <wp:positionH relativeFrom="column">
                    <wp:posOffset>0</wp:posOffset>
                  </wp:positionH>
                  <wp:positionV relativeFrom="paragraph">
                    <wp:posOffset>0</wp:posOffset>
                  </wp:positionV>
                  <wp:extent cx="16510" cy="15240"/>
                  <wp:effectExtent l="0" t="0" r="0" b="0"/>
                  <wp:wrapNone/>
                  <wp:docPr id="82" name="Picture_13_SpCnt_3"/>
                  <wp:cNvGraphicFramePr/>
                  <a:graphic xmlns:a="http://schemas.openxmlformats.org/drawingml/2006/main">
                    <a:graphicData uri="http://schemas.openxmlformats.org/drawingml/2006/picture">
                      <pic:pic xmlns:pic="http://schemas.openxmlformats.org/drawingml/2006/picture">
                        <pic:nvPicPr>
                          <pic:cNvPr id="82" name="Picture_13_SpCnt_3"/>
                          <pic:cNvPicPr/>
                        </pic:nvPicPr>
                        <pic:blipFill>
                          <a:blip r:embed="rId11"/>
                          <a:stretch>
                            <a:fillRect/>
                          </a:stretch>
                        </pic:blipFill>
                        <pic:spPr>
                          <a:xfrm>
                            <a:off x="0" y="0"/>
                            <a:ext cx="16510" cy="15240"/>
                          </a:xfrm>
                          <a:prstGeom prst="rect">
                            <a:avLst/>
                          </a:prstGeom>
                          <a:noFill/>
                          <a:ln>
                            <a:noFill/>
                          </a:ln>
                        </pic:spPr>
                      </pic:pic>
                    </a:graphicData>
                  </a:graphic>
                </wp:anchor>
              </w:drawing>
            </w:r>
            <w:r>
              <w:rPr>
                <w:rFonts w:hint="eastAsia" w:ascii="宋体" w:hAnsi="宋体"/>
                <w:color w:val="auto"/>
                <w:kern w:val="0"/>
                <w:szCs w:val="21"/>
                <w:highlight w:val="none"/>
                <w:bdr w:val="single" w:color="000000" w:sz="4" w:space="0"/>
                <w:lang w:bidi="ar"/>
              </w:rPr>
              <w:drawing>
                <wp:anchor distT="0" distB="0" distL="114300" distR="114300" simplePos="0" relativeHeight="251708416" behindDoc="0" locked="0" layoutInCell="1" allowOverlap="1">
                  <wp:simplePos x="0" y="0"/>
                  <wp:positionH relativeFrom="column">
                    <wp:posOffset>0</wp:posOffset>
                  </wp:positionH>
                  <wp:positionV relativeFrom="paragraph">
                    <wp:posOffset>0</wp:posOffset>
                  </wp:positionV>
                  <wp:extent cx="15240" cy="15240"/>
                  <wp:effectExtent l="0" t="0" r="0" b="0"/>
                  <wp:wrapNone/>
                  <wp:docPr id="83" name="Picture_2"/>
                  <wp:cNvGraphicFramePr/>
                  <a:graphic xmlns:a="http://schemas.openxmlformats.org/drawingml/2006/main">
                    <a:graphicData uri="http://schemas.openxmlformats.org/drawingml/2006/picture">
                      <pic:pic xmlns:pic="http://schemas.openxmlformats.org/drawingml/2006/picture">
                        <pic:nvPicPr>
                          <pic:cNvPr id="83" name="Picture_2"/>
                          <pic:cNvPicPr/>
                        </pic:nvPicPr>
                        <pic:blipFill>
                          <a:blip r:embed="rId10"/>
                          <a:stretch>
                            <a:fillRect/>
                          </a:stretch>
                        </pic:blipFill>
                        <pic:spPr>
                          <a:xfrm>
                            <a:off x="0" y="0"/>
                            <a:ext cx="15240" cy="15240"/>
                          </a:xfrm>
                          <a:prstGeom prst="rect">
                            <a:avLst/>
                          </a:prstGeom>
                          <a:noFill/>
                          <a:ln>
                            <a:noFill/>
                          </a:ln>
                        </pic:spPr>
                      </pic:pic>
                    </a:graphicData>
                  </a:graphic>
                </wp:anchor>
              </w:drawing>
            </w:r>
            <w:r>
              <w:rPr>
                <w:rFonts w:hint="eastAsia" w:ascii="宋体" w:hAnsi="宋体"/>
                <w:color w:val="auto"/>
                <w:kern w:val="0"/>
                <w:szCs w:val="21"/>
                <w:highlight w:val="none"/>
                <w:bdr w:val="single" w:color="000000" w:sz="4" w:space="0"/>
                <w:lang w:bidi="ar"/>
              </w:rPr>
              <w:drawing>
                <wp:anchor distT="0" distB="0" distL="114300" distR="114300" simplePos="0" relativeHeight="251709440" behindDoc="0" locked="0" layoutInCell="1" allowOverlap="1">
                  <wp:simplePos x="0" y="0"/>
                  <wp:positionH relativeFrom="column">
                    <wp:posOffset>0</wp:posOffset>
                  </wp:positionH>
                  <wp:positionV relativeFrom="paragraph">
                    <wp:posOffset>0</wp:posOffset>
                  </wp:positionV>
                  <wp:extent cx="18415" cy="19050"/>
                  <wp:effectExtent l="0" t="0" r="12065" b="3810"/>
                  <wp:wrapNone/>
                  <wp:docPr id="84" name="Picture_13_SpCnt_4"/>
                  <wp:cNvGraphicFramePr/>
                  <a:graphic xmlns:a="http://schemas.openxmlformats.org/drawingml/2006/main">
                    <a:graphicData uri="http://schemas.openxmlformats.org/drawingml/2006/picture">
                      <pic:pic xmlns:pic="http://schemas.openxmlformats.org/drawingml/2006/picture">
                        <pic:nvPicPr>
                          <pic:cNvPr id="84" name="Picture_13_SpCnt_4"/>
                          <pic:cNvPicPr/>
                        </pic:nvPicPr>
                        <pic:blipFill>
                          <a:blip r:embed="rId13"/>
                          <a:stretch>
                            <a:fillRect/>
                          </a:stretch>
                        </pic:blipFill>
                        <pic:spPr>
                          <a:xfrm>
                            <a:off x="0" y="0"/>
                            <a:ext cx="18415" cy="19050"/>
                          </a:xfrm>
                          <a:prstGeom prst="rect">
                            <a:avLst/>
                          </a:prstGeom>
                          <a:noFill/>
                          <a:ln>
                            <a:noFill/>
                          </a:ln>
                        </pic:spPr>
                      </pic:pic>
                    </a:graphicData>
                  </a:graphic>
                </wp:anchor>
              </w:drawing>
            </w:r>
            <w:r>
              <w:rPr>
                <w:rFonts w:hint="eastAsia" w:ascii="宋体" w:hAnsi="宋体"/>
                <w:color w:val="auto"/>
                <w:kern w:val="0"/>
                <w:szCs w:val="21"/>
                <w:highlight w:val="none"/>
                <w:bdr w:val="single" w:color="000000" w:sz="4" w:space="0"/>
                <w:lang w:bidi="ar"/>
              </w:rPr>
              <w:drawing>
                <wp:anchor distT="0" distB="0" distL="114300" distR="114300" simplePos="0" relativeHeight="251710464" behindDoc="0" locked="0" layoutInCell="1" allowOverlap="1">
                  <wp:simplePos x="0" y="0"/>
                  <wp:positionH relativeFrom="column">
                    <wp:posOffset>0</wp:posOffset>
                  </wp:positionH>
                  <wp:positionV relativeFrom="paragraph">
                    <wp:posOffset>0</wp:posOffset>
                  </wp:positionV>
                  <wp:extent cx="18415" cy="15240"/>
                  <wp:effectExtent l="0" t="0" r="0" b="0"/>
                  <wp:wrapNone/>
                  <wp:docPr id="85" name="Picture_13_SpCnt_5"/>
                  <wp:cNvGraphicFramePr/>
                  <a:graphic xmlns:a="http://schemas.openxmlformats.org/drawingml/2006/main">
                    <a:graphicData uri="http://schemas.openxmlformats.org/drawingml/2006/picture">
                      <pic:pic xmlns:pic="http://schemas.openxmlformats.org/drawingml/2006/picture">
                        <pic:nvPicPr>
                          <pic:cNvPr id="85" name="Picture_13_SpCnt_5"/>
                          <pic:cNvPicPr/>
                        </pic:nvPicPr>
                        <pic:blipFill>
                          <a:blip r:embed="rId7"/>
                          <a:stretch>
                            <a:fillRect/>
                          </a:stretch>
                        </pic:blipFill>
                        <pic:spPr>
                          <a:xfrm>
                            <a:off x="0" y="0"/>
                            <a:ext cx="18415" cy="15240"/>
                          </a:xfrm>
                          <a:prstGeom prst="rect">
                            <a:avLst/>
                          </a:prstGeom>
                          <a:noFill/>
                          <a:ln>
                            <a:noFill/>
                          </a:ln>
                        </pic:spPr>
                      </pic:pic>
                    </a:graphicData>
                  </a:graphic>
                </wp:anchor>
              </w:drawing>
            </w:r>
            <w:r>
              <w:rPr>
                <w:rFonts w:hint="eastAsia" w:ascii="宋体" w:hAnsi="宋体"/>
                <w:color w:val="auto"/>
                <w:kern w:val="0"/>
                <w:szCs w:val="21"/>
                <w:highlight w:val="none"/>
                <w:bdr w:val="single" w:color="000000" w:sz="4" w:space="0"/>
                <w:lang w:bidi="ar"/>
              </w:rPr>
              <w:drawing>
                <wp:anchor distT="0" distB="0" distL="114300" distR="114300" simplePos="0" relativeHeight="251711488" behindDoc="0" locked="0" layoutInCell="1" allowOverlap="1">
                  <wp:simplePos x="0" y="0"/>
                  <wp:positionH relativeFrom="column">
                    <wp:posOffset>0</wp:posOffset>
                  </wp:positionH>
                  <wp:positionV relativeFrom="paragraph">
                    <wp:posOffset>0</wp:posOffset>
                  </wp:positionV>
                  <wp:extent cx="18415" cy="17145"/>
                  <wp:effectExtent l="0" t="0" r="0" b="0"/>
                  <wp:wrapNone/>
                  <wp:docPr id="86" name="Picture_11_SpCnt_3"/>
                  <wp:cNvGraphicFramePr/>
                  <a:graphic xmlns:a="http://schemas.openxmlformats.org/drawingml/2006/main">
                    <a:graphicData uri="http://schemas.openxmlformats.org/drawingml/2006/picture">
                      <pic:pic xmlns:pic="http://schemas.openxmlformats.org/drawingml/2006/picture">
                        <pic:nvPicPr>
                          <pic:cNvPr id="86" name="Picture_11_SpCnt_3"/>
                          <pic:cNvPicPr/>
                        </pic:nvPicPr>
                        <pic:blipFill>
                          <a:blip r:embed="rId9"/>
                          <a:stretch>
                            <a:fillRect/>
                          </a:stretch>
                        </pic:blipFill>
                        <pic:spPr>
                          <a:xfrm>
                            <a:off x="0" y="0"/>
                            <a:ext cx="18415" cy="17145"/>
                          </a:xfrm>
                          <a:prstGeom prst="rect">
                            <a:avLst/>
                          </a:prstGeom>
                          <a:noFill/>
                          <a:ln>
                            <a:noFill/>
                          </a:ln>
                        </pic:spPr>
                      </pic:pic>
                    </a:graphicData>
                  </a:graphic>
                </wp:anchor>
              </w:drawing>
            </w:r>
            <w:r>
              <w:rPr>
                <w:rFonts w:hint="eastAsia" w:ascii="宋体" w:hAnsi="宋体"/>
                <w:color w:val="auto"/>
                <w:kern w:val="0"/>
                <w:szCs w:val="21"/>
                <w:highlight w:val="none"/>
                <w:bdr w:val="single" w:color="000000" w:sz="4" w:space="0"/>
                <w:lang w:bidi="ar"/>
              </w:rPr>
              <w:drawing>
                <wp:anchor distT="0" distB="0" distL="114300" distR="114300" simplePos="0" relativeHeight="251712512" behindDoc="0" locked="0" layoutInCell="1" allowOverlap="1">
                  <wp:simplePos x="0" y="0"/>
                  <wp:positionH relativeFrom="column">
                    <wp:posOffset>0</wp:posOffset>
                  </wp:positionH>
                  <wp:positionV relativeFrom="paragraph">
                    <wp:posOffset>0</wp:posOffset>
                  </wp:positionV>
                  <wp:extent cx="15240" cy="15240"/>
                  <wp:effectExtent l="0" t="0" r="0" b="0"/>
                  <wp:wrapNone/>
                  <wp:docPr id="87" name="Picture_2_SpCnt_1"/>
                  <wp:cNvGraphicFramePr/>
                  <a:graphic xmlns:a="http://schemas.openxmlformats.org/drawingml/2006/main">
                    <a:graphicData uri="http://schemas.openxmlformats.org/drawingml/2006/picture">
                      <pic:pic xmlns:pic="http://schemas.openxmlformats.org/drawingml/2006/picture">
                        <pic:nvPicPr>
                          <pic:cNvPr id="87" name="Picture_2_SpCnt_1"/>
                          <pic:cNvPicPr/>
                        </pic:nvPicPr>
                        <pic:blipFill>
                          <a:blip r:embed="rId10"/>
                          <a:stretch>
                            <a:fillRect/>
                          </a:stretch>
                        </pic:blipFill>
                        <pic:spPr>
                          <a:xfrm>
                            <a:off x="0" y="0"/>
                            <a:ext cx="15240" cy="15240"/>
                          </a:xfrm>
                          <a:prstGeom prst="rect">
                            <a:avLst/>
                          </a:prstGeom>
                          <a:noFill/>
                          <a:ln>
                            <a:noFill/>
                          </a:ln>
                        </pic:spPr>
                      </pic:pic>
                    </a:graphicData>
                  </a:graphic>
                </wp:anchor>
              </w:drawing>
            </w:r>
            <w:r>
              <w:rPr>
                <w:rFonts w:hint="eastAsia" w:ascii="宋体" w:hAnsi="宋体"/>
                <w:color w:val="auto"/>
                <w:kern w:val="0"/>
                <w:szCs w:val="21"/>
                <w:highlight w:val="none"/>
                <w:bdr w:val="single" w:color="000000" w:sz="4" w:space="0"/>
                <w:lang w:bidi="ar"/>
              </w:rPr>
              <w:drawing>
                <wp:anchor distT="0" distB="0" distL="114300" distR="114300" simplePos="0" relativeHeight="251713536" behindDoc="0" locked="0" layoutInCell="1" allowOverlap="1">
                  <wp:simplePos x="0" y="0"/>
                  <wp:positionH relativeFrom="column">
                    <wp:posOffset>0</wp:posOffset>
                  </wp:positionH>
                  <wp:positionV relativeFrom="paragraph">
                    <wp:posOffset>0</wp:posOffset>
                  </wp:positionV>
                  <wp:extent cx="17145" cy="15240"/>
                  <wp:effectExtent l="0" t="0" r="0" b="0"/>
                  <wp:wrapNone/>
                  <wp:docPr id="88" name="Picture_1_SpCnt_3"/>
                  <wp:cNvGraphicFramePr/>
                  <a:graphic xmlns:a="http://schemas.openxmlformats.org/drawingml/2006/main">
                    <a:graphicData uri="http://schemas.openxmlformats.org/drawingml/2006/picture">
                      <pic:pic xmlns:pic="http://schemas.openxmlformats.org/drawingml/2006/picture">
                        <pic:nvPicPr>
                          <pic:cNvPr id="88" name="Picture_1_SpCnt_3"/>
                          <pic:cNvPicPr/>
                        </pic:nvPicPr>
                        <pic:blipFill>
                          <a:blip r:embed="rId7"/>
                          <a:stretch>
                            <a:fillRect/>
                          </a:stretch>
                        </pic:blipFill>
                        <pic:spPr>
                          <a:xfrm>
                            <a:off x="0" y="0"/>
                            <a:ext cx="17145" cy="15240"/>
                          </a:xfrm>
                          <a:prstGeom prst="rect">
                            <a:avLst/>
                          </a:prstGeom>
                          <a:noFill/>
                          <a:ln>
                            <a:noFill/>
                          </a:ln>
                        </pic:spPr>
                      </pic:pic>
                    </a:graphicData>
                  </a:graphic>
                </wp:anchor>
              </w:drawing>
            </w:r>
            <w:r>
              <w:rPr>
                <w:rFonts w:hint="eastAsia" w:ascii="宋体" w:hAnsi="宋体"/>
                <w:color w:val="auto"/>
                <w:kern w:val="0"/>
                <w:szCs w:val="21"/>
                <w:highlight w:val="none"/>
                <w:bdr w:val="single" w:color="000000" w:sz="4" w:space="0"/>
                <w:lang w:bidi="ar"/>
              </w:rPr>
              <w:drawing>
                <wp:anchor distT="0" distB="0" distL="114300" distR="114300" simplePos="0" relativeHeight="251714560" behindDoc="0" locked="0" layoutInCell="1" allowOverlap="1">
                  <wp:simplePos x="0" y="0"/>
                  <wp:positionH relativeFrom="column">
                    <wp:posOffset>0</wp:posOffset>
                  </wp:positionH>
                  <wp:positionV relativeFrom="paragraph">
                    <wp:posOffset>0</wp:posOffset>
                  </wp:positionV>
                  <wp:extent cx="16510" cy="15240"/>
                  <wp:effectExtent l="0" t="0" r="0" b="0"/>
                  <wp:wrapNone/>
                  <wp:docPr id="89" name="Picture_13_SpCnt_6"/>
                  <wp:cNvGraphicFramePr/>
                  <a:graphic xmlns:a="http://schemas.openxmlformats.org/drawingml/2006/main">
                    <a:graphicData uri="http://schemas.openxmlformats.org/drawingml/2006/picture">
                      <pic:pic xmlns:pic="http://schemas.openxmlformats.org/drawingml/2006/picture">
                        <pic:nvPicPr>
                          <pic:cNvPr id="89" name="Picture_13_SpCnt_6"/>
                          <pic:cNvPicPr/>
                        </pic:nvPicPr>
                        <pic:blipFill>
                          <a:blip r:embed="rId11"/>
                          <a:stretch>
                            <a:fillRect/>
                          </a:stretch>
                        </pic:blipFill>
                        <pic:spPr>
                          <a:xfrm>
                            <a:off x="0" y="0"/>
                            <a:ext cx="16510" cy="15240"/>
                          </a:xfrm>
                          <a:prstGeom prst="rect">
                            <a:avLst/>
                          </a:prstGeom>
                          <a:noFill/>
                          <a:ln>
                            <a:noFill/>
                          </a:ln>
                        </pic:spPr>
                      </pic:pic>
                    </a:graphicData>
                  </a:graphic>
                </wp:anchor>
              </w:drawing>
            </w:r>
            <w:r>
              <w:rPr>
                <w:rFonts w:hint="eastAsia" w:ascii="宋体" w:hAnsi="宋体"/>
                <w:color w:val="auto"/>
                <w:kern w:val="0"/>
                <w:szCs w:val="21"/>
                <w:highlight w:val="none"/>
                <w:bdr w:val="single" w:color="000000" w:sz="4" w:space="0"/>
                <w:lang w:bidi="ar"/>
              </w:rPr>
              <w:drawing>
                <wp:anchor distT="0" distB="0" distL="114300" distR="114300" simplePos="0" relativeHeight="251715584" behindDoc="0" locked="0" layoutInCell="1" allowOverlap="1">
                  <wp:simplePos x="0" y="0"/>
                  <wp:positionH relativeFrom="column">
                    <wp:posOffset>0</wp:posOffset>
                  </wp:positionH>
                  <wp:positionV relativeFrom="paragraph">
                    <wp:posOffset>0</wp:posOffset>
                  </wp:positionV>
                  <wp:extent cx="18415" cy="19050"/>
                  <wp:effectExtent l="0" t="0" r="12065" b="3810"/>
                  <wp:wrapNone/>
                  <wp:docPr id="90" name="Picture_13_SpCnt_7"/>
                  <wp:cNvGraphicFramePr/>
                  <a:graphic xmlns:a="http://schemas.openxmlformats.org/drawingml/2006/main">
                    <a:graphicData uri="http://schemas.openxmlformats.org/drawingml/2006/picture">
                      <pic:pic xmlns:pic="http://schemas.openxmlformats.org/drawingml/2006/picture">
                        <pic:nvPicPr>
                          <pic:cNvPr id="90" name="Picture_13_SpCnt_7"/>
                          <pic:cNvPicPr/>
                        </pic:nvPicPr>
                        <pic:blipFill>
                          <a:blip r:embed="rId13"/>
                          <a:stretch>
                            <a:fillRect/>
                          </a:stretch>
                        </pic:blipFill>
                        <pic:spPr>
                          <a:xfrm>
                            <a:off x="0" y="0"/>
                            <a:ext cx="18415" cy="19050"/>
                          </a:xfrm>
                          <a:prstGeom prst="rect">
                            <a:avLst/>
                          </a:prstGeom>
                          <a:noFill/>
                          <a:ln>
                            <a:noFill/>
                          </a:ln>
                        </pic:spPr>
                      </pic:pic>
                    </a:graphicData>
                  </a:graphic>
                </wp:anchor>
              </w:drawing>
            </w:r>
            <w:r>
              <w:rPr>
                <w:rFonts w:hint="eastAsia" w:ascii="宋体" w:hAnsi="宋体"/>
                <w:color w:val="auto"/>
                <w:kern w:val="0"/>
                <w:szCs w:val="21"/>
                <w:highlight w:val="none"/>
                <w:bdr w:val="single" w:color="000000" w:sz="4" w:space="0"/>
                <w:lang w:bidi="ar"/>
              </w:rPr>
              <w:drawing>
                <wp:anchor distT="0" distB="0" distL="114300" distR="114300" simplePos="0" relativeHeight="251716608" behindDoc="0" locked="0" layoutInCell="1" allowOverlap="1">
                  <wp:simplePos x="0" y="0"/>
                  <wp:positionH relativeFrom="column">
                    <wp:posOffset>0</wp:posOffset>
                  </wp:positionH>
                  <wp:positionV relativeFrom="paragraph">
                    <wp:posOffset>0</wp:posOffset>
                  </wp:positionV>
                  <wp:extent cx="18415" cy="15240"/>
                  <wp:effectExtent l="0" t="0" r="0" b="0"/>
                  <wp:wrapNone/>
                  <wp:docPr id="91" name="Picture_13_SpCnt_8"/>
                  <wp:cNvGraphicFramePr/>
                  <a:graphic xmlns:a="http://schemas.openxmlformats.org/drawingml/2006/main">
                    <a:graphicData uri="http://schemas.openxmlformats.org/drawingml/2006/picture">
                      <pic:pic xmlns:pic="http://schemas.openxmlformats.org/drawingml/2006/picture">
                        <pic:nvPicPr>
                          <pic:cNvPr id="91" name="Picture_13_SpCnt_8"/>
                          <pic:cNvPicPr/>
                        </pic:nvPicPr>
                        <pic:blipFill>
                          <a:blip r:embed="rId7"/>
                          <a:stretch>
                            <a:fillRect/>
                          </a:stretch>
                        </pic:blipFill>
                        <pic:spPr>
                          <a:xfrm>
                            <a:off x="0" y="0"/>
                            <a:ext cx="18415" cy="15240"/>
                          </a:xfrm>
                          <a:prstGeom prst="rect">
                            <a:avLst/>
                          </a:prstGeom>
                          <a:noFill/>
                          <a:ln>
                            <a:noFill/>
                          </a:ln>
                        </pic:spPr>
                      </pic:pic>
                    </a:graphicData>
                  </a:graphic>
                </wp:anchor>
              </w:drawing>
            </w:r>
            <w:r>
              <w:rPr>
                <w:rFonts w:hint="eastAsia" w:ascii="宋体" w:hAnsi="宋体"/>
                <w:color w:val="auto"/>
                <w:kern w:val="0"/>
                <w:szCs w:val="21"/>
                <w:highlight w:val="none"/>
                <w:bdr w:val="single" w:color="000000" w:sz="4" w:space="0"/>
                <w:lang w:bidi="ar"/>
              </w:rPr>
              <w:drawing>
                <wp:anchor distT="0" distB="0" distL="114300" distR="114300" simplePos="0" relativeHeight="251717632" behindDoc="0" locked="0" layoutInCell="1" allowOverlap="1">
                  <wp:simplePos x="0" y="0"/>
                  <wp:positionH relativeFrom="column">
                    <wp:posOffset>0</wp:posOffset>
                  </wp:positionH>
                  <wp:positionV relativeFrom="paragraph">
                    <wp:posOffset>0</wp:posOffset>
                  </wp:positionV>
                  <wp:extent cx="18415" cy="17145"/>
                  <wp:effectExtent l="0" t="0" r="0" b="0"/>
                  <wp:wrapNone/>
                  <wp:docPr id="92" name="Picture_11_SpCnt_4"/>
                  <wp:cNvGraphicFramePr/>
                  <a:graphic xmlns:a="http://schemas.openxmlformats.org/drawingml/2006/main">
                    <a:graphicData uri="http://schemas.openxmlformats.org/drawingml/2006/picture">
                      <pic:pic xmlns:pic="http://schemas.openxmlformats.org/drawingml/2006/picture">
                        <pic:nvPicPr>
                          <pic:cNvPr id="92" name="Picture_11_SpCnt_4"/>
                          <pic:cNvPicPr/>
                        </pic:nvPicPr>
                        <pic:blipFill>
                          <a:blip r:embed="rId9"/>
                          <a:stretch>
                            <a:fillRect/>
                          </a:stretch>
                        </pic:blipFill>
                        <pic:spPr>
                          <a:xfrm>
                            <a:off x="0" y="0"/>
                            <a:ext cx="18415" cy="17145"/>
                          </a:xfrm>
                          <a:prstGeom prst="rect">
                            <a:avLst/>
                          </a:prstGeom>
                          <a:noFill/>
                          <a:ln>
                            <a:noFill/>
                          </a:ln>
                        </pic:spPr>
                      </pic:pic>
                    </a:graphicData>
                  </a:graphic>
                </wp:anchor>
              </w:drawing>
            </w:r>
            <w:r>
              <w:rPr>
                <w:rFonts w:hint="eastAsia" w:ascii="宋体" w:hAnsi="宋体"/>
                <w:color w:val="auto"/>
                <w:kern w:val="0"/>
                <w:szCs w:val="21"/>
                <w:highlight w:val="none"/>
                <w:bdr w:val="single" w:color="000000" w:sz="4" w:space="0"/>
                <w:lang w:bidi="ar"/>
              </w:rPr>
              <w:drawing>
                <wp:anchor distT="0" distB="0" distL="114300" distR="114300" simplePos="0" relativeHeight="251718656" behindDoc="0" locked="0" layoutInCell="1" allowOverlap="1">
                  <wp:simplePos x="0" y="0"/>
                  <wp:positionH relativeFrom="column">
                    <wp:posOffset>0</wp:posOffset>
                  </wp:positionH>
                  <wp:positionV relativeFrom="paragraph">
                    <wp:posOffset>0</wp:posOffset>
                  </wp:positionV>
                  <wp:extent cx="15240" cy="15240"/>
                  <wp:effectExtent l="0" t="0" r="0" b="0"/>
                  <wp:wrapNone/>
                  <wp:docPr id="93" name="Picture_2_SpCnt_2"/>
                  <wp:cNvGraphicFramePr/>
                  <a:graphic xmlns:a="http://schemas.openxmlformats.org/drawingml/2006/main">
                    <a:graphicData uri="http://schemas.openxmlformats.org/drawingml/2006/picture">
                      <pic:pic xmlns:pic="http://schemas.openxmlformats.org/drawingml/2006/picture">
                        <pic:nvPicPr>
                          <pic:cNvPr id="93" name="Picture_2_SpCnt_2"/>
                          <pic:cNvPicPr/>
                        </pic:nvPicPr>
                        <pic:blipFill>
                          <a:blip r:embed="rId10"/>
                          <a:stretch>
                            <a:fillRect/>
                          </a:stretch>
                        </pic:blipFill>
                        <pic:spPr>
                          <a:xfrm>
                            <a:off x="0" y="0"/>
                            <a:ext cx="15240" cy="15240"/>
                          </a:xfrm>
                          <a:prstGeom prst="rect">
                            <a:avLst/>
                          </a:prstGeom>
                          <a:noFill/>
                          <a:ln>
                            <a:noFill/>
                          </a:ln>
                        </pic:spPr>
                      </pic:pic>
                    </a:graphicData>
                  </a:graphic>
                </wp:anchor>
              </w:drawing>
            </w:r>
            <w:r>
              <w:rPr>
                <w:rFonts w:hint="eastAsia" w:ascii="宋体" w:hAnsi="宋体"/>
                <w:color w:val="auto"/>
                <w:kern w:val="0"/>
                <w:szCs w:val="21"/>
                <w:highlight w:val="none"/>
                <w:bdr w:val="single" w:color="000000" w:sz="4" w:space="0"/>
                <w:lang w:bidi="ar"/>
              </w:rPr>
              <w:drawing>
                <wp:anchor distT="0" distB="0" distL="114300" distR="114300" simplePos="0" relativeHeight="251719680" behindDoc="0" locked="0" layoutInCell="1" allowOverlap="1">
                  <wp:simplePos x="0" y="0"/>
                  <wp:positionH relativeFrom="column">
                    <wp:posOffset>0</wp:posOffset>
                  </wp:positionH>
                  <wp:positionV relativeFrom="paragraph">
                    <wp:posOffset>0</wp:posOffset>
                  </wp:positionV>
                  <wp:extent cx="17145" cy="15240"/>
                  <wp:effectExtent l="0" t="0" r="0" b="0"/>
                  <wp:wrapNone/>
                  <wp:docPr id="94" name="Picture_1_SpCnt_4"/>
                  <wp:cNvGraphicFramePr/>
                  <a:graphic xmlns:a="http://schemas.openxmlformats.org/drawingml/2006/main">
                    <a:graphicData uri="http://schemas.openxmlformats.org/drawingml/2006/picture">
                      <pic:pic xmlns:pic="http://schemas.openxmlformats.org/drawingml/2006/picture">
                        <pic:nvPicPr>
                          <pic:cNvPr id="94" name="Picture_1_SpCnt_4"/>
                          <pic:cNvPicPr/>
                        </pic:nvPicPr>
                        <pic:blipFill>
                          <a:blip r:embed="rId7"/>
                          <a:stretch>
                            <a:fillRect/>
                          </a:stretch>
                        </pic:blipFill>
                        <pic:spPr>
                          <a:xfrm>
                            <a:off x="0" y="0"/>
                            <a:ext cx="17145" cy="15240"/>
                          </a:xfrm>
                          <a:prstGeom prst="rect">
                            <a:avLst/>
                          </a:prstGeom>
                          <a:noFill/>
                          <a:ln>
                            <a:noFill/>
                          </a:ln>
                        </pic:spPr>
                      </pic:pic>
                    </a:graphicData>
                  </a:graphic>
                </wp:anchor>
              </w:drawing>
            </w:r>
            <w:r>
              <w:rPr>
                <w:rFonts w:hint="eastAsia" w:ascii="宋体" w:hAnsi="宋体"/>
                <w:color w:val="auto"/>
                <w:kern w:val="0"/>
                <w:szCs w:val="21"/>
                <w:highlight w:val="none"/>
                <w:bdr w:val="single" w:color="000000" w:sz="4" w:space="0"/>
                <w:lang w:bidi="ar"/>
              </w:rPr>
              <w:drawing>
                <wp:anchor distT="0" distB="0" distL="114300" distR="114300" simplePos="0" relativeHeight="251720704" behindDoc="0" locked="0" layoutInCell="1" allowOverlap="1">
                  <wp:simplePos x="0" y="0"/>
                  <wp:positionH relativeFrom="column">
                    <wp:posOffset>0</wp:posOffset>
                  </wp:positionH>
                  <wp:positionV relativeFrom="paragraph">
                    <wp:posOffset>0</wp:posOffset>
                  </wp:positionV>
                  <wp:extent cx="16510" cy="15240"/>
                  <wp:effectExtent l="0" t="0" r="0" b="0"/>
                  <wp:wrapNone/>
                  <wp:docPr id="95" name="Picture_13_SpCnt_9"/>
                  <wp:cNvGraphicFramePr/>
                  <a:graphic xmlns:a="http://schemas.openxmlformats.org/drawingml/2006/main">
                    <a:graphicData uri="http://schemas.openxmlformats.org/drawingml/2006/picture">
                      <pic:pic xmlns:pic="http://schemas.openxmlformats.org/drawingml/2006/picture">
                        <pic:nvPicPr>
                          <pic:cNvPr id="95" name="Picture_13_SpCnt_9"/>
                          <pic:cNvPicPr/>
                        </pic:nvPicPr>
                        <pic:blipFill>
                          <a:blip r:embed="rId11"/>
                          <a:stretch>
                            <a:fillRect/>
                          </a:stretch>
                        </pic:blipFill>
                        <pic:spPr>
                          <a:xfrm>
                            <a:off x="0" y="0"/>
                            <a:ext cx="16510" cy="15240"/>
                          </a:xfrm>
                          <a:prstGeom prst="rect">
                            <a:avLst/>
                          </a:prstGeom>
                          <a:noFill/>
                          <a:ln>
                            <a:noFill/>
                          </a:ln>
                        </pic:spPr>
                      </pic:pic>
                    </a:graphicData>
                  </a:graphic>
                </wp:anchor>
              </w:drawing>
            </w:r>
            <w:r>
              <w:rPr>
                <w:rFonts w:hint="eastAsia" w:ascii="宋体" w:hAnsi="宋体"/>
                <w:color w:val="auto"/>
                <w:kern w:val="0"/>
                <w:szCs w:val="21"/>
                <w:highlight w:val="none"/>
                <w:bdr w:val="single" w:color="000000" w:sz="4" w:space="0"/>
                <w:lang w:bidi="ar"/>
              </w:rPr>
              <w:drawing>
                <wp:anchor distT="0" distB="0" distL="114300" distR="114300" simplePos="0" relativeHeight="251721728" behindDoc="0" locked="0" layoutInCell="1" allowOverlap="1">
                  <wp:simplePos x="0" y="0"/>
                  <wp:positionH relativeFrom="column">
                    <wp:posOffset>0</wp:posOffset>
                  </wp:positionH>
                  <wp:positionV relativeFrom="paragraph">
                    <wp:posOffset>0</wp:posOffset>
                  </wp:positionV>
                  <wp:extent cx="18415" cy="19050"/>
                  <wp:effectExtent l="0" t="0" r="12065" b="3810"/>
                  <wp:wrapNone/>
                  <wp:docPr id="96" name="Picture_13_SpCnt_10"/>
                  <wp:cNvGraphicFramePr/>
                  <a:graphic xmlns:a="http://schemas.openxmlformats.org/drawingml/2006/main">
                    <a:graphicData uri="http://schemas.openxmlformats.org/drawingml/2006/picture">
                      <pic:pic xmlns:pic="http://schemas.openxmlformats.org/drawingml/2006/picture">
                        <pic:nvPicPr>
                          <pic:cNvPr id="96" name="Picture_13_SpCnt_10"/>
                          <pic:cNvPicPr/>
                        </pic:nvPicPr>
                        <pic:blipFill>
                          <a:blip r:embed="rId12"/>
                          <a:stretch>
                            <a:fillRect/>
                          </a:stretch>
                        </pic:blipFill>
                        <pic:spPr>
                          <a:xfrm>
                            <a:off x="0" y="0"/>
                            <a:ext cx="18415" cy="19050"/>
                          </a:xfrm>
                          <a:prstGeom prst="rect">
                            <a:avLst/>
                          </a:prstGeom>
                          <a:noFill/>
                          <a:ln>
                            <a:noFill/>
                          </a:ln>
                        </pic:spPr>
                      </pic:pic>
                    </a:graphicData>
                  </a:graphic>
                </wp:anchor>
              </w:drawing>
            </w:r>
            <w:r>
              <w:rPr>
                <w:rFonts w:hint="eastAsia" w:ascii="宋体" w:hAnsi="宋体"/>
                <w:color w:val="auto"/>
                <w:kern w:val="0"/>
                <w:szCs w:val="21"/>
                <w:highlight w:val="none"/>
                <w:bdr w:val="single" w:color="000000" w:sz="4" w:space="0"/>
                <w:lang w:bidi="ar"/>
              </w:rPr>
              <w:drawing>
                <wp:anchor distT="0" distB="0" distL="114300" distR="114300" simplePos="0" relativeHeight="251722752" behindDoc="0" locked="0" layoutInCell="1" allowOverlap="1">
                  <wp:simplePos x="0" y="0"/>
                  <wp:positionH relativeFrom="column">
                    <wp:posOffset>0</wp:posOffset>
                  </wp:positionH>
                  <wp:positionV relativeFrom="paragraph">
                    <wp:posOffset>0</wp:posOffset>
                  </wp:positionV>
                  <wp:extent cx="15240" cy="15240"/>
                  <wp:effectExtent l="0" t="0" r="0" b="0"/>
                  <wp:wrapNone/>
                  <wp:docPr id="97" name="Picture_2_SpCnt_3"/>
                  <wp:cNvGraphicFramePr/>
                  <a:graphic xmlns:a="http://schemas.openxmlformats.org/drawingml/2006/main">
                    <a:graphicData uri="http://schemas.openxmlformats.org/drawingml/2006/picture">
                      <pic:pic xmlns:pic="http://schemas.openxmlformats.org/drawingml/2006/picture">
                        <pic:nvPicPr>
                          <pic:cNvPr id="97" name="Picture_2_SpCnt_3"/>
                          <pic:cNvPicPr/>
                        </pic:nvPicPr>
                        <pic:blipFill>
                          <a:blip r:embed="rId10"/>
                          <a:stretch>
                            <a:fillRect/>
                          </a:stretch>
                        </pic:blipFill>
                        <pic:spPr>
                          <a:xfrm>
                            <a:off x="0" y="0"/>
                            <a:ext cx="15240" cy="15240"/>
                          </a:xfrm>
                          <a:prstGeom prst="rect">
                            <a:avLst/>
                          </a:prstGeom>
                          <a:noFill/>
                          <a:ln>
                            <a:noFill/>
                          </a:ln>
                        </pic:spPr>
                      </pic:pic>
                    </a:graphicData>
                  </a:graphic>
                </wp:anchor>
              </w:drawing>
            </w:r>
            <w:r>
              <w:rPr>
                <w:rFonts w:hint="eastAsia" w:ascii="宋体" w:hAnsi="宋体"/>
                <w:color w:val="auto"/>
                <w:kern w:val="0"/>
                <w:szCs w:val="21"/>
                <w:highlight w:val="none"/>
                <w:bdr w:val="single" w:color="000000" w:sz="4" w:space="0"/>
                <w:lang w:bidi="ar"/>
              </w:rPr>
              <w:drawing>
                <wp:anchor distT="0" distB="0" distL="114300" distR="114300" simplePos="0" relativeHeight="251723776" behindDoc="0" locked="0" layoutInCell="1" allowOverlap="1">
                  <wp:simplePos x="0" y="0"/>
                  <wp:positionH relativeFrom="column">
                    <wp:posOffset>0</wp:posOffset>
                  </wp:positionH>
                  <wp:positionV relativeFrom="paragraph">
                    <wp:posOffset>0</wp:posOffset>
                  </wp:positionV>
                  <wp:extent cx="18415" cy="15240"/>
                  <wp:effectExtent l="0" t="0" r="0" b="0"/>
                  <wp:wrapNone/>
                  <wp:docPr id="98" name="Picture_13_SpCnt_11"/>
                  <wp:cNvGraphicFramePr/>
                  <a:graphic xmlns:a="http://schemas.openxmlformats.org/drawingml/2006/main">
                    <a:graphicData uri="http://schemas.openxmlformats.org/drawingml/2006/picture">
                      <pic:pic xmlns:pic="http://schemas.openxmlformats.org/drawingml/2006/picture">
                        <pic:nvPicPr>
                          <pic:cNvPr id="98" name="Picture_13_SpCnt_11"/>
                          <pic:cNvPicPr/>
                        </pic:nvPicPr>
                        <pic:blipFill>
                          <a:blip r:embed="rId7"/>
                          <a:stretch>
                            <a:fillRect/>
                          </a:stretch>
                        </pic:blipFill>
                        <pic:spPr>
                          <a:xfrm>
                            <a:off x="0" y="0"/>
                            <a:ext cx="18415" cy="15240"/>
                          </a:xfrm>
                          <a:prstGeom prst="rect">
                            <a:avLst/>
                          </a:prstGeom>
                          <a:noFill/>
                          <a:ln>
                            <a:noFill/>
                          </a:ln>
                        </pic:spPr>
                      </pic:pic>
                    </a:graphicData>
                  </a:graphic>
                </wp:anchor>
              </w:drawing>
            </w:r>
            <w:r>
              <w:rPr>
                <w:rFonts w:hint="eastAsia" w:ascii="宋体" w:hAnsi="宋体"/>
                <w:color w:val="auto"/>
                <w:kern w:val="0"/>
                <w:szCs w:val="21"/>
                <w:highlight w:val="none"/>
                <w:bdr w:val="single" w:color="000000" w:sz="4" w:space="0"/>
                <w:lang w:bidi="ar"/>
              </w:rPr>
              <w:drawing>
                <wp:anchor distT="0" distB="0" distL="114300" distR="114300" simplePos="0" relativeHeight="251724800" behindDoc="0" locked="0" layoutInCell="1" allowOverlap="1">
                  <wp:simplePos x="0" y="0"/>
                  <wp:positionH relativeFrom="column">
                    <wp:posOffset>0</wp:posOffset>
                  </wp:positionH>
                  <wp:positionV relativeFrom="paragraph">
                    <wp:posOffset>0</wp:posOffset>
                  </wp:positionV>
                  <wp:extent cx="17145" cy="15240"/>
                  <wp:effectExtent l="0" t="0" r="0" b="0"/>
                  <wp:wrapNone/>
                  <wp:docPr id="99" name="Picture_1_SpCnt_5"/>
                  <wp:cNvGraphicFramePr/>
                  <a:graphic xmlns:a="http://schemas.openxmlformats.org/drawingml/2006/main">
                    <a:graphicData uri="http://schemas.openxmlformats.org/drawingml/2006/picture">
                      <pic:pic xmlns:pic="http://schemas.openxmlformats.org/drawingml/2006/picture">
                        <pic:nvPicPr>
                          <pic:cNvPr id="99" name="Picture_1_SpCnt_5"/>
                          <pic:cNvPicPr/>
                        </pic:nvPicPr>
                        <pic:blipFill>
                          <a:blip r:embed="rId7"/>
                          <a:stretch>
                            <a:fillRect/>
                          </a:stretch>
                        </pic:blipFill>
                        <pic:spPr>
                          <a:xfrm>
                            <a:off x="0" y="0"/>
                            <a:ext cx="17145" cy="15240"/>
                          </a:xfrm>
                          <a:prstGeom prst="rect">
                            <a:avLst/>
                          </a:prstGeom>
                          <a:noFill/>
                          <a:ln>
                            <a:noFill/>
                          </a:ln>
                        </pic:spPr>
                      </pic:pic>
                    </a:graphicData>
                  </a:graphic>
                </wp:anchor>
              </w:drawing>
            </w:r>
            <w:r>
              <w:rPr>
                <w:rFonts w:hint="eastAsia" w:ascii="宋体" w:hAnsi="宋体"/>
                <w:color w:val="auto"/>
                <w:kern w:val="0"/>
                <w:szCs w:val="21"/>
                <w:highlight w:val="none"/>
                <w:bdr w:val="single" w:color="000000" w:sz="4" w:space="0"/>
                <w:lang w:bidi="ar"/>
              </w:rPr>
              <w:drawing>
                <wp:anchor distT="0" distB="0" distL="114300" distR="114300" simplePos="0" relativeHeight="251725824" behindDoc="0" locked="0" layoutInCell="1" allowOverlap="1">
                  <wp:simplePos x="0" y="0"/>
                  <wp:positionH relativeFrom="column">
                    <wp:posOffset>0</wp:posOffset>
                  </wp:positionH>
                  <wp:positionV relativeFrom="paragraph">
                    <wp:posOffset>0</wp:posOffset>
                  </wp:positionV>
                  <wp:extent cx="16510" cy="15240"/>
                  <wp:effectExtent l="0" t="0" r="0" b="0"/>
                  <wp:wrapNone/>
                  <wp:docPr id="100" name="Picture_13_SpCnt_12"/>
                  <wp:cNvGraphicFramePr/>
                  <a:graphic xmlns:a="http://schemas.openxmlformats.org/drawingml/2006/main">
                    <a:graphicData uri="http://schemas.openxmlformats.org/drawingml/2006/picture">
                      <pic:pic xmlns:pic="http://schemas.openxmlformats.org/drawingml/2006/picture">
                        <pic:nvPicPr>
                          <pic:cNvPr id="100" name="Picture_13_SpCnt_12"/>
                          <pic:cNvPicPr/>
                        </pic:nvPicPr>
                        <pic:blipFill>
                          <a:blip r:embed="rId11"/>
                          <a:stretch>
                            <a:fillRect/>
                          </a:stretch>
                        </pic:blipFill>
                        <pic:spPr>
                          <a:xfrm>
                            <a:off x="0" y="0"/>
                            <a:ext cx="16510" cy="15240"/>
                          </a:xfrm>
                          <a:prstGeom prst="rect">
                            <a:avLst/>
                          </a:prstGeom>
                          <a:noFill/>
                          <a:ln>
                            <a:noFill/>
                          </a:ln>
                        </pic:spPr>
                      </pic:pic>
                    </a:graphicData>
                  </a:graphic>
                </wp:anchor>
              </w:drawing>
            </w:r>
            <w:r>
              <w:rPr>
                <w:rFonts w:hint="eastAsia" w:ascii="宋体" w:hAnsi="宋体"/>
                <w:color w:val="auto"/>
                <w:kern w:val="0"/>
                <w:szCs w:val="21"/>
                <w:highlight w:val="none"/>
                <w:bdr w:val="single" w:color="000000" w:sz="4" w:space="0"/>
                <w:lang w:bidi="ar"/>
              </w:rPr>
              <w:drawing>
                <wp:anchor distT="0" distB="0" distL="114300" distR="114300" simplePos="0" relativeHeight="251726848" behindDoc="0" locked="0" layoutInCell="1" allowOverlap="1">
                  <wp:simplePos x="0" y="0"/>
                  <wp:positionH relativeFrom="column">
                    <wp:posOffset>0</wp:posOffset>
                  </wp:positionH>
                  <wp:positionV relativeFrom="paragraph">
                    <wp:posOffset>0</wp:posOffset>
                  </wp:positionV>
                  <wp:extent cx="18415" cy="19050"/>
                  <wp:effectExtent l="0" t="0" r="12065" b="3810"/>
                  <wp:wrapNone/>
                  <wp:docPr id="101" name="Picture_13_SpCnt_13"/>
                  <wp:cNvGraphicFramePr/>
                  <a:graphic xmlns:a="http://schemas.openxmlformats.org/drawingml/2006/main">
                    <a:graphicData uri="http://schemas.openxmlformats.org/drawingml/2006/picture">
                      <pic:pic xmlns:pic="http://schemas.openxmlformats.org/drawingml/2006/picture">
                        <pic:nvPicPr>
                          <pic:cNvPr id="101" name="Picture_13_SpCnt_13"/>
                          <pic:cNvPicPr/>
                        </pic:nvPicPr>
                        <pic:blipFill>
                          <a:blip r:embed="rId12"/>
                          <a:stretch>
                            <a:fillRect/>
                          </a:stretch>
                        </pic:blipFill>
                        <pic:spPr>
                          <a:xfrm>
                            <a:off x="0" y="0"/>
                            <a:ext cx="18415" cy="19050"/>
                          </a:xfrm>
                          <a:prstGeom prst="rect">
                            <a:avLst/>
                          </a:prstGeom>
                          <a:noFill/>
                          <a:ln>
                            <a:noFill/>
                          </a:ln>
                        </pic:spPr>
                      </pic:pic>
                    </a:graphicData>
                  </a:graphic>
                </wp:anchor>
              </w:drawing>
            </w:r>
            <w:r>
              <w:rPr>
                <w:rFonts w:hint="eastAsia" w:ascii="宋体" w:hAnsi="宋体"/>
                <w:color w:val="auto"/>
                <w:kern w:val="0"/>
                <w:szCs w:val="21"/>
                <w:highlight w:val="none"/>
                <w:bdr w:val="single" w:color="000000" w:sz="4" w:space="0"/>
                <w:lang w:bidi="ar"/>
              </w:rPr>
              <w:drawing>
                <wp:anchor distT="0" distB="0" distL="114300" distR="114300" simplePos="0" relativeHeight="251727872" behindDoc="0" locked="0" layoutInCell="1" allowOverlap="1">
                  <wp:simplePos x="0" y="0"/>
                  <wp:positionH relativeFrom="column">
                    <wp:posOffset>0</wp:posOffset>
                  </wp:positionH>
                  <wp:positionV relativeFrom="paragraph">
                    <wp:posOffset>0</wp:posOffset>
                  </wp:positionV>
                  <wp:extent cx="18415" cy="15240"/>
                  <wp:effectExtent l="0" t="0" r="0" b="0"/>
                  <wp:wrapNone/>
                  <wp:docPr id="102" name="Picture_13_SpCnt_14"/>
                  <wp:cNvGraphicFramePr/>
                  <a:graphic xmlns:a="http://schemas.openxmlformats.org/drawingml/2006/main">
                    <a:graphicData uri="http://schemas.openxmlformats.org/drawingml/2006/picture">
                      <pic:pic xmlns:pic="http://schemas.openxmlformats.org/drawingml/2006/picture">
                        <pic:nvPicPr>
                          <pic:cNvPr id="102" name="Picture_13_SpCnt_14"/>
                          <pic:cNvPicPr/>
                        </pic:nvPicPr>
                        <pic:blipFill>
                          <a:blip r:embed="rId7"/>
                          <a:stretch>
                            <a:fillRect/>
                          </a:stretch>
                        </pic:blipFill>
                        <pic:spPr>
                          <a:xfrm>
                            <a:off x="0" y="0"/>
                            <a:ext cx="18415" cy="15240"/>
                          </a:xfrm>
                          <a:prstGeom prst="rect">
                            <a:avLst/>
                          </a:prstGeom>
                          <a:noFill/>
                          <a:ln>
                            <a:noFill/>
                          </a:ln>
                        </pic:spPr>
                      </pic:pic>
                    </a:graphicData>
                  </a:graphic>
                </wp:anchor>
              </w:drawing>
            </w:r>
            <w:r>
              <w:rPr>
                <w:rFonts w:hint="eastAsia" w:ascii="宋体" w:hAnsi="宋体"/>
                <w:color w:val="auto"/>
                <w:kern w:val="0"/>
                <w:szCs w:val="21"/>
                <w:highlight w:val="none"/>
                <w:bdr w:val="single" w:color="000000" w:sz="4" w:space="0"/>
                <w:lang w:bidi="ar"/>
              </w:rPr>
              <w:drawing>
                <wp:anchor distT="0" distB="0" distL="114300" distR="114300" simplePos="0" relativeHeight="251728896" behindDoc="0" locked="0" layoutInCell="1" allowOverlap="1">
                  <wp:simplePos x="0" y="0"/>
                  <wp:positionH relativeFrom="column">
                    <wp:posOffset>0</wp:posOffset>
                  </wp:positionH>
                  <wp:positionV relativeFrom="paragraph">
                    <wp:posOffset>0</wp:posOffset>
                  </wp:positionV>
                  <wp:extent cx="18415" cy="17145"/>
                  <wp:effectExtent l="0" t="0" r="0" b="0"/>
                  <wp:wrapNone/>
                  <wp:docPr id="103" name="Picture_11_SpCnt_5"/>
                  <wp:cNvGraphicFramePr/>
                  <a:graphic xmlns:a="http://schemas.openxmlformats.org/drawingml/2006/main">
                    <a:graphicData uri="http://schemas.openxmlformats.org/drawingml/2006/picture">
                      <pic:pic xmlns:pic="http://schemas.openxmlformats.org/drawingml/2006/picture">
                        <pic:nvPicPr>
                          <pic:cNvPr id="103" name="Picture_11_SpCnt_5"/>
                          <pic:cNvPicPr/>
                        </pic:nvPicPr>
                        <pic:blipFill>
                          <a:blip r:embed="rId8"/>
                          <a:stretch>
                            <a:fillRect/>
                          </a:stretch>
                        </pic:blipFill>
                        <pic:spPr>
                          <a:xfrm>
                            <a:off x="0" y="0"/>
                            <a:ext cx="18415" cy="17145"/>
                          </a:xfrm>
                          <a:prstGeom prst="rect">
                            <a:avLst/>
                          </a:prstGeom>
                          <a:noFill/>
                          <a:ln>
                            <a:noFill/>
                          </a:ln>
                        </pic:spPr>
                      </pic:pic>
                    </a:graphicData>
                  </a:graphic>
                </wp:anchor>
              </w:drawing>
            </w:r>
            <w:r>
              <w:rPr>
                <w:rFonts w:hint="eastAsia" w:ascii="宋体" w:hAnsi="宋体"/>
                <w:color w:val="auto"/>
                <w:kern w:val="0"/>
                <w:szCs w:val="21"/>
                <w:highlight w:val="none"/>
                <w:bdr w:val="single" w:color="000000" w:sz="4" w:space="0"/>
                <w:lang w:bidi="ar"/>
              </w:rPr>
              <w:drawing>
                <wp:anchor distT="0" distB="0" distL="114300" distR="114300" simplePos="0" relativeHeight="251729920" behindDoc="0" locked="0" layoutInCell="1" allowOverlap="1">
                  <wp:simplePos x="0" y="0"/>
                  <wp:positionH relativeFrom="column">
                    <wp:posOffset>0</wp:posOffset>
                  </wp:positionH>
                  <wp:positionV relativeFrom="paragraph">
                    <wp:posOffset>0</wp:posOffset>
                  </wp:positionV>
                  <wp:extent cx="16510" cy="15240"/>
                  <wp:effectExtent l="0" t="0" r="0" b="0"/>
                  <wp:wrapNone/>
                  <wp:docPr id="104" name="Picture_13_SpCnt_15"/>
                  <wp:cNvGraphicFramePr/>
                  <a:graphic xmlns:a="http://schemas.openxmlformats.org/drawingml/2006/main">
                    <a:graphicData uri="http://schemas.openxmlformats.org/drawingml/2006/picture">
                      <pic:pic xmlns:pic="http://schemas.openxmlformats.org/drawingml/2006/picture">
                        <pic:nvPicPr>
                          <pic:cNvPr id="104" name="Picture_13_SpCnt_15"/>
                          <pic:cNvPicPr/>
                        </pic:nvPicPr>
                        <pic:blipFill>
                          <a:blip r:embed="rId11"/>
                          <a:stretch>
                            <a:fillRect/>
                          </a:stretch>
                        </pic:blipFill>
                        <pic:spPr>
                          <a:xfrm>
                            <a:off x="0" y="0"/>
                            <a:ext cx="16510" cy="15240"/>
                          </a:xfrm>
                          <a:prstGeom prst="rect">
                            <a:avLst/>
                          </a:prstGeom>
                          <a:noFill/>
                          <a:ln>
                            <a:noFill/>
                          </a:ln>
                        </pic:spPr>
                      </pic:pic>
                    </a:graphicData>
                  </a:graphic>
                </wp:anchor>
              </w:drawing>
            </w:r>
            <w:r>
              <w:rPr>
                <w:rFonts w:hint="eastAsia" w:ascii="宋体" w:hAnsi="宋体"/>
                <w:color w:val="auto"/>
                <w:kern w:val="0"/>
                <w:szCs w:val="21"/>
                <w:highlight w:val="none"/>
                <w:bdr w:val="single" w:color="000000" w:sz="4" w:space="0"/>
                <w:lang w:bidi="ar"/>
              </w:rPr>
              <w:drawing>
                <wp:anchor distT="0" distB="0" distL="114300" distR="114300" simplePos="0" relativeHeight="251730944" behindDoc="0" locked="0" layoutInCell="1" allowOverlap="1">
                  <wp:simplePos x="0" y="0"/>
                  <wp:positionH relativeFrom="column">
                    <wp:posOffset>0</wp:posOffset>
                  </wp:positionH>
                  <wp:positionV relativeFrom="paragraph">
                    <wp:posOffset>0</wp:posOffset>
                  </wp:positionV>
                  <wp:extent cx="15240" cy="15240"/>
                  <wp:effectExtent l="0" t="0" r="0" b="0"/>
                  <wp:wrapNone/>
                  <wp:docPr id="105" name="Picture_2_SpCnt_4"/>
                  <wp:cNvGraphicFramePr/>
                  <a:graphic xmlns:a="http://schemas.openxmlformats.org/drawingml/2006/main">
                    <a:graphicData uri="http://schemas.openxmlformats.org/drawingml/2006/picture">
                      <pic:pic xmlns:pic="http://schemas.openxmlformats.org/drawingml/2006/picture">
                        <pic:nvPicPr>
                          <pic:cNvPr id="105" name="Picture_2_SpCnt_4"/>
                          <pic:cNvPicPr/>
                        </pic:nvPicPr>
                        <pic:blipFill>
                          <a:blip r:embed="rId10"/>
                          <a:stretch>
                            <a:fillRect/>
                          </a:stretch>
                        </pic:blipFill>
                        <pic:spPr>
                          <a:xfrm>
                            <a:off x="0" y="0"/>
                            <a:ext cx="15240" cy="15240"/>
                          </a:xfrm>
                          <a:prstGeom prst="rect">
                            <a:avLst/>
                          </a:prstGeom>
                          <a:noFill/>
                          <a:ln>
                            <a:noFill/>
                          </a:ln>
                        </pic:spPr>
                      </pic:pic>
                    </a:graphicData>
                  </a:graphic>
                </wp:anchor>
              </w:drawing>
            </w:r>
            <w:r>
              <w:rPr>
                <w:rFonts w:hint="eastAsia" w:ascii="宋体" w:hAnsi="宋体"/>
                <w:color w:val="auto"/>
                <w:kern w:val="0"/>
                <w:szCs w:val="21"/>
                <w:highlight w:val="none"/>
                <w:bdr w:val="single" w:color="000000" w:sz="4" w:space="0"/>
                <w:lang w:bidi="ar"/>
              </w:rPr>
              <w:drawing>
                <wp:anchor distT="0" distB="0" distL="114300" distR="114300" simplePos="0" relativeHeight="251731968" behindDoc="0" locked="0" layoutInCell="1" allowOverlap="1">
                  <wp:simplePos x="0" y="0"/>
                  <wp:positionH relativeFrom="column">
                    <wp:posOffset>0</wp:posOffset>
                  </wp:positionH>
                  <wp:positionV relativeFrom="paragraph">
                    <wp:posOffset>0</wp:posOffset>
                  </wp:positionV>
                  <wp:extent cx="18415" cy="19050"/>
                  <wp:effectExtent l="0" t="0" r="12065" b="3810"/>
                  <wp:wrapNone/>
                  <wp:docPr id="106" name="Picture_13_SpCnt_16"/>
                  <wp:cNvGraphicFramePr/>
                  <a:graphic xmlns:a="http://schemas.openxmlformats.org/drawingml/2006/main">
                    <a:graphicData uri="http://schemas.openxmlformats.org/drawingml/2006/picture">
                      <pic:pic xmlns:pic="http://schemas.openxmlformats.org/drawingml/2006/picture">
                        <pic:nvPicPr>
                          <pic:cNvPr id="106" name="Picture_13_SpCnt_16"/>
                          <pic:cNvPicPr/>
                        </pic:nvPicPr>
                        <pic:blipFill>
                          <a:blip r:embed="rId12"/>
                          <a:stretch>
                            <a:fillRect/>
                          </a:stretch>
                        </pic:blipFill>
                        <pic:spPr>
                          <a:xfrm>
                            <a:off x="0" y="0"/>
                            <a:ext cx="18415" cy="19050"/>
                          </a:xfrm>
                          <a:prstGeom prst="rect">
                            <a:avLst/>
                          </a:prstGeom>
                          <a:noFill/>
                          <a:ln>
                            <a:noFill/>
                          </a:ln>
                        </pic:spPr>
                      </pic:pic>
                    </a:graphicData>
                  </a:graphic>
                </wp:anchor>
              </w:drawing>
            </w:r>
            <w:r>
              <w:rPr>
                <w:rFonts w:hint="eastAsia" w:ascii="宋体" w:hAnsi="宋体"/>
                <w:color w:val="auto"/>
                <w:kern w:val="0"/>
                <w:szCs w:val="21"/>
                <w:highlight w:val="none"/>
                <w:bdr w:val="single" w:color="000000" w:sz="4" w:space="0"/>
                <w:lang w:bidi="ar"/>
              </w:rPr>
              <w:drawing>
                <wp:anchor distT="0" distB="0" distL="114300" distR="114300" simplePos="0" relativeHeight="251732992" behindDoc="0" locked="0" layoutInCell="1" allowOverlap="1">
                  <wp:simplePos x="0" y="0"/>
                  <wp:positionH relativeFrom="column">
                    <wp:posOffset>0</wp:posOffset>
                  </wp:positionH>
                  <wp:positionV relativeFrom="paragraph">
                    <wp:posOffset>0</wp:posOffset>
                  </wp:positionV>
                  <wp:extent cx="15240" cy="15240"/>
                  <wp:effectExtent l="0" t="0" r="0" b="0"/>
                  <wp:wrapNone/>
                  <wp:docPr id="107" name="Picture_2_SpCnt_5"/>
                  <wp:cNvGraphicFramePr/>
                  <a:graphic xmlns:a="http://schemas.openxmlformats.org/drawingml/2006/main">
                    <a:graphicData uri="http://schemas.openxmlformats.org/drawingml/2006/picture">
                      <pic:pic xmlns:pic="http://schemas.openxmlformats.org/drawingml/2006/picture">
                        <pic:nvPicPr>
                          <pic:cNvPr id="107" name="Picture_2_SpCnt_5"/>
                          <pic:cNvPicPr/>
                        </pic:nvPicPr>
                        <pic:blipFill>
                          <a:blip r:embed="rId10"/>
                          <a:stretch>
                            <a:fillRect/>
                          </a:stretch>
                        </pic:blipFill>
                        <pic:spPr>
                          <a:xfrm>
                            <a:off x="0" y="0"/>
                            <a:ext cx="15240" cy="15240"/>
                          </a:xfrm>
                          <a:prstGeom prst="rect">
                            <a:avLst/>
                          </a:prstGeom>
                          <a:noFill/>
                          <a:ln>
                            <a:noFill/>
                          </a:ln>
                        </pic:spPr>
                      </pic:pic>
                    </a:graphicData>
                  </a:graphic>
                </wp:anchor>
              </w:drawing>
            </w:r>
            <w:r>
              <w:rPr>
                <w:rFonts w:hint="eastAsia" w:ascii="宋体" w:hAnsi="宋体"/>
                <w:color w:val="auto"/>
                <w:kern w:val="0"/>
                <w:szCs w:val="21"/>
                <w:highlight w:val="none"/>
                <w:bdr w:val="single" w:color="000000" w:sz="4" w:space="0"/>
                <w:lang w:bidi="ar"/>
              </w:rPr>
              <w:drawing>
                <wp:anchor distT="0" distB="0" distL="114300" distR="114300" simplePos="0" relativeHeight="251734016" behindDoc="0" locked="0" layoutInCell="1" allowOverlap="1">
                  <wp:simplePos x="0" y="0"/>
                  <wp:positionH relativeFrom="column">
                    <wp:posOffset>0</wp:posOffset>
                  </wp:positionH>
                  <wp:positionV relativeFrom="paragraph">
                    <wp:posOffset>0</wp:posOffset>
                  </wp:positionV>
                  <wp:extent cx="18415" cy="15240"/>
                  <wp:effectExtent l="0" t="0" r="0" b="0"/>
                  <wp:wrapNone/>
                  <wp:docPr id="108" name="Picture_13_SpCnt_17"/>
                  <wp:cNvGraphicFramePr/>
                  <a:graphic xmlns:a="http://schemas.openxmlformats.org/drawingml/2006/main">
                    <a:graphicData uri="http://schemas.openxmlformats.org/drawingml/2006/picture">
                      <pic:pic xmlns:pic="http://schemas.openxmlformats.org/drawingml/2006/picture">
                        <pic:nvPicPr>
                          <pic:cNvPr id="108" name="Picture_13_SpCnt_17"/>
                          <pic:cNvPicPr/>
                        </pic:nvPicPr>
                        <pic:blipFill>
                          <a:blip r:embed="rId7"/>
                          <a:stretch>
                            <a:fillRect/>
                          </a:stretch>
                        </pic:blipFill>
                        <pic:spPr>
                          <a:xfrm>
                            <a:off x="0" y="0"/>
                            <a:ext cx="18415" cy="15240"/>
                          </a:xfrm>
                          <a:prstGeom prst="rect">
                            <a:avLst/>
                          </a:prstGeom>
                          <a:noFill/>
                          <a:ln>
                            <a:noFill/>
                          </a:ln>
                        </pic:spPr>
                      </pic:pic>
                    </a:graphicData>
                  </a:graphic>
                </wp:anchor>
              </w:drawing>
            </w:r>
            <w:r>
              <w:rPr>
                <w:rFonts w:hint="eastAsia" w:ascii="宋体" w:hAnsi="宋体"/>
                <w:color w:val="auto"/>
                <w:kern w:val="0"/>
                <w:szCs w:val="21"/>
                <w:highlight w:val="none"/>
                <w:lang w:bidi="ar"/>
              </w:rPr>
              <w:t>1.5P空调（挂机）</w:t>
            </w:r>
          </w:p>
        </w:tc>
        <w:tc>
          <w:tcPr>
            <w:tcW w:w="6378" w:type="dxa"/>
            <w:tcBorders>
              <w:top w:val="single" w:color="000000" w:sz="4" w:space="0"/>
              <w:left w:val="single" w:color="000000" w:sz="4" w:space="0"/>
              <w:bottom w:val="single" w:color="000000" w:sz="4" w:space="0"/>
              <w:right w:val="single" w:color="000000" w:sz="4" w:space="0"/>
            </w:tcBorders>
            <w:vAlign w:val="center"/>
          </w:tcPr>
          <w:p w14:paraId="1186B0E7">
            <w:pPr>
              <w:widowControl/>
              <w:numPr>
                <w:ilvl w:val="0"/>
                <w:numId w:val="86"/>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变频/定频：变频</w:t>
            </w:r>
          </w:p>
          <w:p w14:paraId="773D4D74">
            <w:pPr>
              <w:widowControl/>
              <w:numPr>
                <w:ilvl w:val="0"/>
                <w:numId w:val="86"/>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产品类型：壁挂式</w:t>
            </w:r>
          </w:p>
          <w:p w14:paraId="05D15C8C">
            <w:pPr>
              <w:widowControl/>
              <w:numPr>
                <w:ilvl w:val="0"/>
                <w:numId w:val="86"/>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冷暖类型：冷暖</w:t>
            </w:r>
          </w:p>
          <w:p w14:paraId="4BD80EA5">
            <w:pPr>
              <w:widowControl/>
              <w:numPr>
                <w:ilvl w:val="0"/>
                <w:numId w:val="86"/>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额定制冷量（W）：≥3510W</w:t>
            </w:r>
          </w:p>
          <w:p w14:paraId="3AB6BB17">
            <w:pPr>
              <w:widowControl/>
              <w:numPr>
                <w:ilvl w:val="0"/>
                <w:numId w:val="86"/>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额定制热量（W）：≥4650W</w:t>
            </w:r>
          </w:p>
          <w:p w14:paraId="0F343175">
            <w:pPr>
              <w:widowControl/>
              <w:numPr>
                <w:ilvl w:val="0"/>
                <w:numId w:val="86"/>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内机噪音(dB(A)：≤42dB(A)</w:t>
            </w:r>
          </w:p>
          <w:p w14:paraId="605A0FA6">
            <w:pPr>
              <w:widowControl/>
              <w:numPr>
                <w:ilvl w:val="0"/>
                <w:numId w:val="86"/>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外机噪音(dB(A)：≤50dB(A)</w:t>
            </w:r>
          </w:p>
          <w:p w14:paraId="7A172B58">
            <w:pPr>
              <w:widowControl/>
              <w:numPr>
                <w:ilvl w:val="0"/>
                <w:numId w:val="86"/>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循环风量（m³/h）：≥650</w:t>
            </w:r>
          </w:p>
          <w:p w14:paraId="65E6B937">
            <w:pPr>
              <w:widowControl/>
              <w:numPr>
                <w:ilvl w:val="0"/>
                <w:numId w:val="86"/>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电压/频率：220V/50Hz</w:t>
            </w:r>
          </w:p>
          <w:p w14:paraId="5F5C62B2">
            <w:pPr>
              <w:widowControl/>
              <w:numPr>
                <w:ilvl w:val="0"/>
                <w:numId w:val="86"/>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控制方式：遥控</w:t>
            </w:r>
          </w:p>
        </w:tc>
        <w:tc>
          <w:tcPr>
            <w:tcW w:w="567" w:type="dxa"/>
            <w:tcBorders>
              <w:top w:val="single" w:color="000000" w:sz="4" w:space="0"/>
              <w:left w:val="single" w:color="000000" w:sz="4" w:space="0"/>
              <w:bottom w:val="single" w:color="000000" w:sz="4" w:space="0"/>
              <w:right w:val="single" w:color="000000" w:sz="4" w:space="0"/>
            </w:tcBorders>
            <w:vAlign w:val="center"/>
          </w:tcPr>
          <w:p w14:paraId="76434032">
            <w:pPr>
              <w:widowControl/>
              <w:jc w:val="center"/>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台</w:t>
            </w:r>
          </w:p>
        </w:tc>
        <w:tc>
          <w:tcPr>
            <w:tcW w:w="870" w:type="dxa"/>
            <w:tcBorders>
              <w:top w:val="single" w:color="000000" w:sz="4" w:space="0"/>
              <w:left w:val="single" w:color="000000" w:sz="4" w:space="0"/>
              <w:bottom w:val="single" w:color="000000" w:sz="4" w:space="0"/>
              <w:right w:val="single" w:color="000000" w:sz="4" w:space="0"/>
            </w:tcBorders>
            <w:vAlign w:val="center"/>
          </w:tcPr>
          <w:p w14:paraId="0D02AFD5">
            <w:pPr>
              <w:widowControl/>
              <w:jc w:val="center"/>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 xml:space="preserve">144 </w:t>
            </w:r>
          </w:p>
        </w:tc>
      </w:tr>
      <w:tr w14:paraId="223560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644" w:type="dxa"/>
            <w:tcBorders>
              <w:top w:val="single" w:color="000000" w:sz="4" w:space="0"/>
              <w:left w:val="single" w:color="000000" w:sz="4" w:space="0"/>
              <w:bottom w:val="single" w:color="000000" w:sz="4" w:space="0"/>
              <w:right w:val="single" w:color="000000" w:sz="4" w:space="0"/>
            </w:tcBorders>
            <w:vAlign w:val="center"/>
          </w:tcPr>
          <w:p w14:paraId="60500BC2">
            <w:pPr>
              <w:widowControl/>
              <w:jc w:val="center"/>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2</w:t>
            </w:r>
          </w:p>
        </w:tc>
        <w:tc>
          <w:tcPr>
            <w:tcW w:w="851" w:type="dxa"/>
            <w:tcBorders>
              <w:top w:val="single" w:color="000000" w:sz="4" w:space="0"/>
              <w:left w:val="single" w:color="000000" w:sz="4" w:space="0"/>
              <w:bottom w:val="single" w:color="000000" w:sz="4" w:space="0"/>
              <w:right w:val="single" w:color="000000" w:sz="4" w:space="0"/>
            </w:tcBorders>
            <w:vAlign w:val="center"/>
          </w:tcPr>
          <w:p w14:paraId="79E005FD">
            <w:pPr>
              <w:widowControl/>
              <w:jc w:val="center"/>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3P空调（柜机）</w:t>
            </w:r>
          </w:p>
        </w:tc>
        <w:tc>
          <w:tcPr>
            <w:tcW w:w="6378" w:type="dxa"/>
            <w:tcBorders>
              <w:top w:val="single" w:color="000000" w:sz="4" w:space="0"/>
              <w:left w:val="single" w:color="000000" w:sz="4" w:space="0"/>
              <w:bottom w:val="single" w:color="000000" w:sz="4" w:space="0"/>
              <w:right w:val="single" w:color="000000" w:sz="4" w:space="0"/>
            </w:tcBorders>
            <w:vAlign w:val="center"/>
          </w:tcPr>
          <w:p w14:paraId="2252A60F">
            <w:pPr>
              <w:widowControl/>
              <w:numPr>
                <w:ilvl w:val="0"/>
                <w:numId w:val="87"/>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变频/定频：变频</w:t>
            </w:r>
          </w:p>
          <w:p w14:paraId="57B95DB2">
            <w:pPr>
              <w:widowControl/>
              <w:numPr>
                <w:ilvl w:val="0"/>
                <w:numId w:val="87"/>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产品类型：立柜式</w:t>
            </w:r>
          </w:p>
          <w:p w14:paraId="7D4C641B">
            <w:pPr>
              <w:widowControl/>
              <w:numPr>
                <w:ilvl w:val="0"/>
                <w:numId w:val="87"/>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冷暖类型：冷暖</w:t>
            </w:r>
          </w:p>
          <w:p w14:paraId="76A955F8">
            <w:pPr>
              <w:widowControl/>
              <w:numPr>
                <w:ilvl w:val="0"/>
                <w:numId w:val="87"/>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额定制冷量（W）：≥7200</w:t>
            </w:r>
          </w:p>
          <w:p w14:paraId="5953F62A">
            <w:pPr>
              <w:widowControl/>
              <w:numPr>
                <w:ilvl w:val="0"/>
                <w:numId w:val="87"/>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额定制热量（W）：≥9100</w:t>
            </w:r>
          </w:p>
          <w:p w14:paraId="051798D4">
            <w:pPr>
              <w:widowControl/>
              <w:numPr>
                <w:ilvl w:val="0"/>
                <w:numId w:val="87"/>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内机噪音(dB(A)：≤47</w:t>
            </w:r>
          </w:p>
          <w:p w14:paraId="754EC23F">
            <w:pPr>
              <w:widowControl/>
              <w:numPr>
                <w:ilvl w:val="0"/>
                <w:numId w:val="87"/>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外机噪音(dB(A)：≤56</w:t>
            </w:r>
          </w:p>
          <w:p w14:paraId="697EE4CB">
            <w:pPr>
              <w:widowControl/>
              <w:numPr>
                <w:ilvl w:val="0"/>
                <w:numId w:val="87"/>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循环风量（m³/h）：≥1200</w:t>
            </w:r>
          </w:p>
          <w:p w14:paraId="441C2DF7">
            <w:pPr>
              <w:widowControl/>
              <w:numPr>
                <w:ilvl w:val="0"/>
                <w:numId w:val="87"/>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电压/频率：220V/50Hz</w:t>
            </w:r>
          </w:p>
          <w:p w14:paraId="081C3DFE">
            <w:pPr>
              <w:widowControl/>
              <w:numPr>
                <w:ilvl w:val="0"/>
                <w:numId w:val="87"/>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控制方式：遥控/触控</w:t>
            </w:r>
          </w:p>
        </w:tc>
        <w:tc>
          <w:tcPr>
            <w:tcW w:w="567" w:type="dxa"/>
            <w:tcBorders>
              <w:top w:val="single" w:color="000000" w:sz="4" w:space="0"/>
              <w:left w:val="single" w:color="000000" w:sz="4" w:space="0"/>
              <w:bottom w:val="single" w:color="000000" w:sz="4" w:space="0"/>
              <w:right w:val="single" w:color="000000" w:sz="4" w:space="0"/>
            </w:tcBorders>
            <w:vAlign w:val="center"/>
          </w:tcPr>
          <w:p w14:paraId="3E82E3E8">
            <w:pPr>
              <w:widowControl/>
              <w:jc w:val="center"/>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台</w:t>
            </w:r>
          </w:p>
        </w:tc>
        <w:tc>
          <w:tcPr>
            <w:tcW w:w="870" w:type="dxa"/>
            <w:tcBorders>
              <w:top w:val="single" w:color="000000" w:sz="4" w:space="0"/>
              <w:left w:val="single" w:color="000000" w:sz="4" w:space="0"/>
              <w:bottom w:val="single" w:color="000000" w:sz="4" w:space="0"/>
              <w:right w:val="single" w:color="000000" w:sz="4" w:space="0"/>
            </w:tcBorders>
            <w:vAlign w:val="center"/>
          </w:tcPr>
          <w:p w14:paraId="3E6E22AF">
            <w:pPr>
              <w:widowControl/>
              <w:jc w:val="center"/>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 xml:space="preserve">40 </w:t>
            </w:r>
          </w:p>
        </w:tc>
      </w:tr>
      <w:tr w14:paraId="405591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jc w:val="center"/>
        </w:trPr>
        <w:tc>
          <w:tcPr>
            <w:tcW w:w="9310" w:type="dxa"/>
            <w:gridSpan w:val="5"/>
            <w:tcBorders>
              <w:top w:val="single" w:color="000000" w:sz="4" w:space="0"/>
              <w:left w:val="single" w:color="000000" w:sz="4" w:space="0"/>
              <w:bottom w:val="single" w:color="000000" w:sz="4" w:space="0"/>
              <w:right w:val="single" w:color="000000" w:sz="4" w:space="0"/>
            </w:tcBorders>
            <w:noWrap/>
            <w:vAlign w:val="center"/>
          </w:tcPr>
          <w:p w14:paraId="74C4E36C">
            <w:pPr>
              <w:widowControl/>
              <w:jc w:val="center"/>
              <w:textAlignment w:val="center"/>
              <w:rPr>
                <w:rFonts w:hint="eastAsia" w:ascii="宋体" w:hAnsi="宋体"/>
                <w:b/>
                <w:bCs/>
                <w:color w:val="auto"/>
                <w:szCs w:val="21"/>
                <w:highlight w:val="none"/>
              </w:rPr>
            </w:pPr>
            <w:r>
              <w:rPr>
                <w:rFonts w:hint="eastAsia" w:ascii="宋体" w:hAnsi="宋体"/>
                <w:b/>
                <w:bCs/>
                <w:color w:val="auto"/>
                <w:kern w:val="0"/>
                <w:szCs w:val="21"/>
                <w:highlight w:val="none"/>
                <w:lang w:bidi="ar"/>
              </w:rPr>
              <w:t>十、电子围栏</w:t>
            </w:r>
          </w:p>
        </w:tc>
      </w:tr>
      <w:tr w14:paraId="3E124B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jc w:val="center"/>
        </w:trPr>
        <w:tc>
          <w:tcPr>
            <w:tcW w:w="644" w:type="dxa"/>
            <w:tcBorders>
              <w:top w:val="single" w:color="000000" w:sz="4" w:space="0"/>
              <w:left w:val="single" w:color="000000" w:sz="4" w:space="0"/>
              <w:bottom w:val="single" w:color="000000" w:sz="4" w:space="0"/>
              <w:right w:val="single" w:color="000000" w:sz="4" w:space="0"/>
            </w:tcBorders>
            <w:noWrap/>
            <w:vAlign w:val="center"/>
          </w:tcPr>
          <w:p w14:paraId="2DCB4BDF">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c>
          <w:tcPr>
            <w:tcW w:w="851" w:type="dxa"/>
            <w:tcBorders>
              <w:top w:val="single" w:color="000000" w:sz="4" w:space="0"/>
              <w:left w:val="single" w:color="000000" w:sz="4" w:space="0"/>
              <w:bottom w:val="single" w:color="000000" w:sz="4" w:space="0"/>
              <w:right w:val="single" w:color="000000" w:sz="4" w:space="0"/>
            </w:tcBorders>
            <w:noWrap/>
            <w:vAlign w:val="center"/>
          </w:tcPr>
          <w:p w14:paraId="6B2A74A3">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电子围栏</w:t>
            </w:r>
          </w:p>
        </w:tc>
        <w:tc>
          <w:tcPr>
            <w:tcW w:w="6378" w:type="dxa"/>
            <w:tcBorders>
              <w:top w:val="single" w:color="000000" w:sz="4" w:space="0"/>
              <w:left w:val="single" w:color="000000" w:sz="4" w:space="0"/>
              <w:bottom w:val="single" w:color="000000" w:sz="4" w:space="0"/>
              <w:right w:val="single" w:color="000000" w:sz="4" w:space="0"/>
            </w:tcBorders>
            <w:noWrap/>
            <w:vAlign w:val="center"/>
          </w:tcPr>
          <w:p w14:paraId="56C98E1F">
            <w:pPr>
              <w:widowControl/>
              <w:numPr>
                <w:ilvl w:val="0"/>
                <w:numId w:val="88"/>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双防区；可接入外部≥1对开关量输入集成（例如红外对射等），由脉冲主机输出报警信号，可由网络报警主机统一管理；≥4路开关量输出（2路防区报警输出，1路外部开关量报警输出，1路主机掉电报警输出）；RS485:1200米（通过光纤连接光端机可不受限）， 以太网：≤100m（组网后不受限）</w:t>
            </w:r>
          </w:p>
        </w:tc>
        <w:tc>
          <w:tcPr>
            <w:tcW w:w="567" w:type="dxa"/>
            <w:tcBorders>
              <w:top w:val="single" w:color="000000" w:sz="4" w:space="0"/>
              <w:left w:val="single" w:color="000000" w:sz="4" w:space="0"/>
              <w:bottom w:val="single" w:color="000000" w:sz="4" w:space="0"/>
              <w:right w:val="single" w:color="000000" w:sz="4" w:space="0"/>
            </w:tcBorders>
            <w:vAlign w:val="center"/>
          </w:tcPr>
          <w:p w14:paraId="0D5E0D50">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台</w:t>
            </w:r>
          </w:p>
        </w:tc>
        <w:tc>
          <w:tcPr>
            <w:tcW w:w="870" w:type="dxa"/>
            <w:tcBorders>
              <w:top w:val="single" w:color="000000" w:sz="4" w:space="0"/>
              <w:left w:val="single" w:color="000000" w:sz="4" w:space="0"/>
              <w:bottom w:val="single" w:color="000000" w:sz="4" w:space="0"/>
              <w:right w:val="single" w:color="000000" w:sz="4" w:space="0"/>
            </w:tcBorders>
            <w:vAlign w:val="center"/>
          </w:tcPr>
          <w:p w14:paraId="6C316591">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4</w:t>
            </w:r>
          </w:p>
        </w:tc>
      </w:tr>
      <w:tr w14:paraId="140956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jc w:val="center"/>
        </w:trPr>
        <w:tc>
          <w:tcPr>
            <w:tcW w:w="644" w:type="dxa"/>
            <w:tcBorders>
              <w:top w:val="single" w:color="000000" w:sz="4" w:space="0"/>
              <w:left w:val="single" w:color="000000" w:sz="4" w:space="0"/>
              <w:bottom w:val="single" w:color="000000" w:sz="4" w:space="0"/>
              <w:right w:val="single" w:color="000000" w:sz="4" w:space="0"/>
            </w:tcBorders>
            <w:vAlign w:val="center"/>
          </w:tcPr>
          <w:p w14:paraId="5EED6018">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w:t>
            </w:r>
          </w:p>
        </w:tc>
        <w:tc>
          <w:tcPr>
            <w:tcW w:w="851" w:type="dxa"/>
            <w:tcBorders>
              <w:top w:val="single" w:color="000000" w:sz="4" w:space="0"/>
              <w:left w:val="single" w:color="000000" w:sz="4" w:space="0"/>
              <w:bottom w:val="single" w:color="000000" w:sz="4" w:space="0"/>
              <w:right w:val="single" w:color="000000" w:sz="4" w:space="0"/>
            </w:tcBorders>
            <w:vAlign w:val="center"/>
          </w:tcPr>
          <w:p w14:paraId="538C606B">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网络报警主机</w:t>
            </w:r>
          </w:p>
        </w:tc>
        <w:tc>
          <w:tcPr>
            <w:tcW w:w="6378" w:type="dxa"/>
            <w:tcBorders>
              <w:top w:val="single" w:color="000000" w:sz="4" w:space="0"/>
              <w:left w:val="single" w:color="000000" w:sz="4" w:space="0"/>
              <w:bottom w:val="single" w:color="000000" w:sz="4" w:space="0"/>
              <w:right w:val="single" w:color="000000" w:sz="4" w:space="0"/>
            </w:tcBorders>
            <w:vAlign w:val="center"/>
          </w:tcPr>
          <w:p w14:paraId="4B5BD1B2">
            <w:pPr>
              <w:widowControl/>
              <w:numPr>
                <w:ilvl w:val="0"/>
                <w:numId w:val="89"/>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支持有线，同时可扩展无线防区的报警主机支</w:t>
            </w:r>
          </w:p>
          <w:p w14:paraId="1C8877ED">
            <w:pPr>
              <w:widowControl/>
              <w:numPr>
                <w:ilvl w:val="0"/>
                <w:numId w:val="89"/>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持TCP/IP、3G/4G方式上传，支持冗余、可设置优先级</w:t>
            </w:r>
          </w:p>
          <w:p w14:paraId="3A6D85E8">
            <w:pPr>
              <w:widowControl/>
              <w:numPr>
                <w:ilvl w:val="0"/>
                <w:numId w:val="89"/>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支持≥8路板载有线防区，最大可扩展到≥64路输入（有线/无线）、≥64个无线输出，≥8个无线遥控器，≥2个中继器，2个无线警号</w:t>
            </w:r>
          </w:p>
          <w:p w14:paraId="16B6E1B6">
            <w:pPr>
              <w:widowControl/>
              <w:numPr>
                <w:ilvl w:val="0"/>
                <w:numId w:val="89"/>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支持≥1个安装员用户，≥1个管理员用户，≥45个普通用户</w:t>
            </w:r>
          </w:p>
          <w:p w14:paraId="00FDC116">
            <w:pPr>
              <w:widowControl/>
              <w:numPr>
                <w:ilvl w:val="0"/>
                <w:numId w:val="89"/>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支持Web端、手机APP配置</w:t>
            </w:r>
          </w:p>
          <w:p w14:paraId="21E524CA">
            <w:pPr>
              <w:widowControl/>
              <w:numPr>
                <w:ilvl w:val="0"/>
                <w:numId w:val="89"/>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支持手机APP布撤防，支持刷卡撤布防</w:t>
            </w:r>
          </w:p>
          <w:p w14:paraId="6EC10AE9">
            <w:pPr>
              <w:widowControl/>
              <w:numPr>
                <w:ilvl w:val="0"/>
                <w:numId w:val="89"/>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支持扩展PSTN接口，支持RS485防区扩展模块</w:t>
            </w:r>
          </w:p>
          <w:p w14:paraId="7ECC7474">
            <w:pPr>
              <w:widowControl/>
              <w:numPr>
                <w:ilvl w:val="0"/>
                <w:numId w:val="89"/>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支持短信发送报警信息（可回控操作）</w:t>
            </w:r>
          </w:p>
          <w:p w14:paraId="049C8CA4">
            <w:pPr>
              <w:widowControl/>
              <w:numPr>
                <w:ilvl w:val="0"/>
                <w:numId w:val="89"/>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支持接入视频，报警时自动截取7S（5S +2S）事前和事后视频并推送给APP或发送报警视频邮件</w:t>
            </w:r>
          </w:p>
        </w:tc>
        <w:tc>
          <w:tcPr>
            <w:tcW w:w="567" w:type="dxa"/>
            <w:tcBorders>
              <w:top w:val="single" w:color="000000" w:sz="4" w:space="0"/>
              <w:left w:val="single" w:color="000000" w:sz="4" w:space="0"/>
              <w:bottom w:val="single" w:color="000000" w:sz="4" w:space="0"/>
              <w:right w:val="single" w:color="000000" w:sz="4" w:space="0"/>
            </w:tcBorders>
            <w:vAlign w:val="center"/>
          </w:tcPr>
          <w:p w14:paraId="04CC24DB">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台</w:t>
            </w:r>
          </w:p>
        </w:tc>
        <w:tc>
          <w:tcPr>
            <w:tcW w:w="870" w:type="dxa"/>
            <w:tcBorders>
              <w:top w:val="single" w:color="000000" w:sz="4" w:space="0"/>
              <w:left w:val="single" w:color="000000" w:sz="4" w:space="0"/>
              <w:bottom w:val="single" w:color="000000" w:sz="4" w:space="0"/>
              <w:right w:val="single" w:color="000000" w:sz="4" w:space="0"/>
            </w:tcBorders>
            <w:vAlign w:val="center"/>
          </w:tcPr>
          <w:p w14:paraId="26AE9EA8">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3F67DE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jc w:val="center"/>
        </w:trPr>
        <w:tc>
          <w:tcPr>
            <w:tcW w:w="644" w:type="dxa"/>
            <w:tcBorders>
              <w:top w:val="single" w:color="000000" w:sz="4" w:space="0"/>
              <w:left w:val="single" w:color="000000" w:sz="4" w:space="0"/>
              <w:bottom w:val="single" w:color="000000" w:sz="4" w:space="0"/>
              <w:right w:val="single" w:color="000000" w:sz="4" w:space="0"/>
            </w:tcBorders>
            <w:vAlign w:val="center"/>
          </w:tcPr>
          <w:p w14:paraId="453E5FBD">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3</w:t>
            </w:r>
          </w:p>
        </w:tc>
        <w:tc>
          <w:tcPr>
            <w:tcW w:w="851" w:type="dxa"/>
            <w:tcBorders>
              <w:top w:val="single" w:color="000000" w:sz="4" w:space="0"/>
              <w:left w:val="single" w:color="000000" w:sz="4" w:space="0"/>
              <w:bottom w:val="single" w:color="000000" w:sz="4" w:space="0"/>
              <w:right w:val="single" w:color="000000" w:sz="4" w:space="0"/>
            </w:tcBorders>
            <w:vAlign w:val="center"/>
          </w:tcPr>
          <w:p w14:paraId="04EBBFFD">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控制键盘</w:t>
            </w:r>
          </w:p>
        </w:tc>
        <w:tc>
          <w:tcPr>
            <w:tcW w:w="6378" w:type="dxa"/>
            <w:tcBorders>
              <w:top w:val="single" w:color="000000" w:sz="4" w:space="0"/>
              <w:left w:val="single" w:color="000000" w:sz="4" w:space="0"/>
              <w:bottom w:val="single" w:color="000000" w:sz="4" w:space="0"/>
              <w:right w:val="single" w:color="000000" w:sz="4" w:space="0"/>
            </w:tcBorders>
            <w:vAlign w:val="center"/>
          </w:tcPr>
          <w:p w14:paraId="6330F6B8">
            <w:pPr>
              <w:widowControl/>
              <w:numPr>
                <w:ilvl w:val="0"/>
                <w:numId w:val="90"/>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LCD报警键盘；（可通过遥控器和刷卡布撤防） 连接到报警主机，</w:t>
            </w:r>
          </w:p>
          <w:p w14:paraId="6875D851">
            <w:pPr>
              <w:widowControl/>
              <w:numPr>
                <w:ilvl w:val="0"/>
                <w:numId w:val="90"/>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 xml:space="preserve">可以对报警主机进行操作和编程，通过指示灯和报警音提示报警； </w:t>
            </w:r>
          </w:p>
          <w:p w14:paraId="0BF895B6">
            <w:pPr>
              <w:widowControl/>
              <w:numPr>
                <w:ilvl w:val="0"/>
                <w:numId w:val="90"/>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支持连接遥控器进行远程布撤防，支持双向遥控器，遥控器LED显示操作结果；</w:t>
            </w:r>
          </w:p>
          <w:p w14:paraId="5A942B60">
            <w:pPr>
              <w:widowControl/>
              <w:numPr>
                <w:ilvl w:val="0"/>
                <w:numId w:val="90"/>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键盘最多所能支持的无线遥控器数量由主机决定，最多支持32个遥控器；</w:t>
            </w:r>
          </w:p>
          <w:p w14:paraId="0150EDED">
            <w:pPr>
              <w:widowControl/>
              <w:numPr>
                <w:ilvl w:val="0"/>
                <w:numId w:val="90"/>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支持刷卡布撤防，但刷卡不支持消警功能，卡片数量由主机限制，目前网络主机最大可添加32张卡片；</w:t>
            </w:r>
          </w:p>
          <w:p w14:paraId="18C44DBB">
            <w:pPr>
              <w:widowControl/>
              <w:numPr>
                <w:ilvl w:val="0"/>
                <w:numId w:val="90"/>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 xml:space="preserve">主机状态指示灯：系统故障（橙色），网络链接状态（绿色），报警（红色），布撤防（蓝色），配置状态（红绿双色） 功能键：≥8个，工程、查询，旁路，一键，火警，紧急，左键，右键； </w:t>
            </w:r>
          </w:p>
          <w:p w14:paraId="3DE6ADFD">
            <w:pPr>
              <w:widowControl/>
              <w:numPr>
                <w:ilvl w:val="0"/>
                <w:numId w:val="90"/>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 xml:space="preserve">防拆功能：支持；与主机通讯：485；键盘警情输出：蜂鸣器； </w:t>
            </w:r>
          </w:p>
          <w:p w14:paraId="55ADAAF2">
            <w:pPr>
              <w:widowControl/>
              <w:numPr>
                <w:ilvl w:val="0"/>
                <w:numId w:val="90"/>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功能特性：对主机编程、撤布防、消警、旁路/旁路恢复、工程测试、子系统操作、继电器操作、主机状态查询；</w:t>
            </w:r>
          </w:p>
        </w:tc>
        <w:tc>
          <w:tcPr>
            <w:tcW w:w="567" w:type="dxa"/>
            <w:tcBorders>
              <w:top w:val="single" w:color="000000" w:sz="4" w:space="0"/>
              <w:left w:val="single" w:color="000000" w:sz="4" w:space="0"/>
              <w:bottom w:val="single" w:color="000000" w:sz="4" w:space="0"/>
              <w:right w:val="single" w:color="000000" w:sz="4" w:space="0"/>
            </w:tcBorders>
            <w:vAlign w:val="center"/>
          </w:tcPr>
          <w:p w14:paraId="0283FAF5">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870" w:type="dxa"/>
            <w:tcBorders>
              <w:top w:val="single" w:color="000000" w:sz="4" w:space="0"/>
              <w:left w:val="single" w:color="000000" w:sz="4" w:space="0"/>
              <w:bottom w:val="single" w:color="000000" w:sz="4" w:space="0"/>
              <w:right w:val="single" w:color="000000" w:sz="4" w:space="0"/>
            </w:tcBorders>
            <w:vAlign w:val="center"/>
          </w:tcPr>
          <w:p w14:paraId="1C3F31D8">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4F3A69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jc w:val="center"/>
        </w:trPr>
        <w:tc>
          <w:tcPr>
            <w:tcW w:w="644" w:type="dxa"/>
            <w:tcBorders>
              <w:top w:val="single" w:color="000000" w:sz="4" w:space="0"/>
              <w:left w:val="single" w:color="000000" w:sz="4" w:space="0"/>
              <w:bottom w:val="single" w:color="000000" w:sz="4" w:space="0"/>
              <w:right w:val="single" w:color="000000" w:sz="4" w:space="0"/>
            </w:tcBorders>
            <w:vAlign w:val="center"/>
          </w:tcPr>
          <w:p w14:paraId="0ED832FB">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4</w:t>
            </w:r>
          </w:p>
        </w:tc>
        <w:tc>
          <w:tcPr>
            <w:tcW w:w="851" w:type="dxa"/>
            <w:tcBorders>
              <w:top w:val="single" w:color="000000" w:sz="4" w:space="0"/>
              <w:left w:val="single" w:color="000000" w:sz="4" w:space="0"/>
              <w:bottom w:val="single" w:color="000000" w:sz="4" w:space="0"/>
              <w:right w:val="single" w:color="000000" w:sz="4" w:space="0"/>
            </w:tcBorders>
            <w:vAlign w:val="center"/>
          </w:tcPr>
          <w:p w14:paraId="17287D82">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遥控器</w:t>
            </w:r>
          </w:p>
        </w:tc>
        <w:tc>
          <w:tcPr>
            <w:tcW w:w="6378" w:type="dxa"/>
            <w:tcBorders>
              <w:top w:val="single" w:color="000000" w:sz="4" w:space="0"/>
              <w:left w:val="single" w:color="000000" w:sz="4" w:space="0"/>
              <w:bottom w:val="single" w:color="000000" w:sz="4" w:space="0"/>
              <w:right w:val="single" w:color="000000" w:sz="4" w:space="0"/>
            </w:tcBorders>
            <w:vAlign w:val="center"/>
          </w:tcPr>
          <w:p w14:paraId="0763B228">
            <w:pPr>
              <w:widowControl/>
              <w:numPr>
                <w:ilvl w:val="0"/>
                <w:numId w:val="91"/>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配套键盘,支持布防、撤防、周界布防、紧急报警、消警/5键遥控器</w:t>
            </w:r>
          </w:p>
        </w:tc>
        <w:tc>
          <w:tcPr>
            <w:tcW w:w="567" w:type="dxa"/>
            <w:tcBorders>
              <w:top w:val="single" w:color="000000" w:sz="4" w:space="0"/>
              <w:left w:val="single" w:color="000000" w:sz="4" w:space="0"/>
              <w:bottom w:val="single" w:color="000000" w:sz="4" w:space="0"/>
              <w:right w:val="single" w:color="000000" w:sz="4" w:space="0"/>
            </w:tcBorders>
            <w:vAlign w:val="center"/>
          </w:tcPr>
          <w:p w14:paraId="16B6586A">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870" w:type="dxa"/>
            <w:tcBorders>
              <w:top w:val="single" w:color="000000" w:sz="4" w:space="0"/>
              <w:left w:val="single" w:color="000000" w:sz="4" w:space="0"/>
              <w:bottom w:val="single" w:color="000000" w:sz="4" w:space="0"/>
              <w:right w:val="single" w:color="000000" w:sz="4" w:space="0"/>
            </w:tcBorders>
            <w:vAlign w:val="center"/>
          </w:tcPr>
          <w:p w14:paraId="6C6A909B">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744FE8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jc w:val="center"/>
        </w:trPr>
        <w:tc>
          <w:tcPr>
            <w:tcW w:w="644" w:type="dxa"/>
            <w:tcBorders>
              <w:top w:val="single" w:color="000000" w:sz="4" w:space="0"/>
              <w:left w:val="single" w:color="000000" w:sz="4" w:space="0"/>
              <w:bottom w:val="single" w:color="000000" w:sz="4" w:space="0"/>
              <w:right w:val="single" w:color="000000" w:sz="4" w:space="0"/>
            </w:tcBorders>
            <w:vAlign w:val="center"/>
          </w:tcPr>
          <w:p w14:paraId="0EF58DFC">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5</w:t>
            </w:r>
          </w:p>
        </w:tc>
        <w:tc>
          <w:tcPr>
            <w:tcW w:w="851" w:type="dxa"/>
            <w:tcBorders>
              <w:top w:val="single" w:color="000000" w:sz="4" w:space="0"/>
              <w:left w:val="single" w:color="000000" w:sz="4" w:space="0"/>
              <w:bottom w:val="single" w:color="000000" w:sz="4" w:space="0"/>
              <w:right w:val="single" w:color="000000" w:sz="4" w:space="0"/>
            </w:tcBorders>
            <w:vAlign w:val="center"/>
          </w:tcPr>
          <w:p w14:paraId="7D54B87C">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声光警号</w:t>
            </w:r>
          </w:p>
        </w:tc>
        <w:tc>
          <w:tcPr>
            <w:tcW w:w="6378" w:type="dxa"/>
            <w:tcBorders>
              <w:top w:val="single" w:color="000000" w:sz="4" w:space="0"/>
              <w:left w:val="single" w:color="000000" w:sz="4" w:space="0"/>
              <w:bottom w:val="single" w:color="000000" w:sz="4" w:space="0"/>
              <w:right w:val="single" w:color="000000" w:sz="4" w:space="0"/>
            </w:tcBorders>
            <w:vAlign w:val="center"/>
          </w:tcPr>
          <w:p w14:paraId="3636793D">
            <w:pPr>
              <w:widowControl/>
              <w:numPr>
                <w:ilvl w:val="0"/>
                <w:numId w:val="92"/>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报警主机配套警号</w:t>
            </w:r>
          </w:p>
        </w:tc>
        <w:tc>
          <w:tcPr>
            <w:tcW w:w="567" w:type="dxa"/>
            <w:tcBorders>
              <w:top w:val="single" w:color="000000" w:sz="4" w:space="0"/>
              <w:left w:val="single" w:color="000000" w:sz="4" w:space="0"/>
              <w:bottom w:val="single" w:color="000000" w:sz="4" w:space="0"/>
              <w:right w:val="single" w:color="000000" w:sz="4" w:space="0"/>
            </w:tcBorders>
            <w:vAlign w:val="center"/>
          </w:tcPr>
          <w:p w14:paraId="62D5ED4E">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870" w:type="dxa"/>
            <w:tcBorders>
              <w:top w:val="single" w:color="000000" w:sz="4" w:space="0"/>
              <w:left w:val="single" w:color="000000" w:sz="4" w:space="0"/>
              <w:bottom w:val="single" w:color="000000" w:sz="4" w:space="0"/>
              <w:right w:val="single" w:color="000000" w:sz="4" w:space="0"/>
            </w:tcBorders>
            <w:vAlign w:val="center"/>
          </w:tcPr>
          <w:p w14:paraId="43FDA280">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5B0C5E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jc w:val="center"/>
        </w:trPr>
        <w:tc>
          <w:tcPr>
            <w:tcW w:w="644" w:type="dxa"/>
            <w:tcBorders>
              <w:top w:val="single" w:color="000000" w:sz="4" w:space="0"/>
              <w:left w:val="single" w:color="000000" w:sz="4" w:space="0"/>
              <w:bottom w:val="single" w:color="000000" w:sz="4" w:space="0"/>
              <w:right w:val="single" w:color="000000" w:sz="4" w:space="0"/>
            </w:tcBorders>
            <w:vAlign w:val="center"/>
          </w:tcPr>
          <w:p w14:paraId="388B2B31">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6</w:t>
            </w:r>
          </w:p>
        </w:tc>
        <w:tc>
          <w:tcPr>
            <w:tcW w:w="851" w:type="dxa"/>
            <w:tcBorders>
              <w:top w:val="single" w:color="000000" w:sz="4" w:space="0"/>
              <w:left w:val="single" w:color="000000" w:sz="4" w:space="0"/>
              <w:bottom w:val="single" w:color="000000" w:sz="4" w:space="0"/>
              <w:right w:val="single" w:color="000000" w:sz="4" w:space="0"/>
            </w:tcBorders>
            <w:vAlign w:val="center"/>
          </w:tcPr>
          <w:p w14:paraId="4E04C1A7">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电子围栏辅材</w:t>
            </w:r>
          </w:p>
        </w:tc>
        <w:tc>
          <w:tcPr>
            <w:tcW w:w="6378" w:type="dxa"/>
            <w:tcBorders>
              <w:top w:val="single" w:color="000000" w:sz="4" w:space="0"/>
              <w:left w:val="single" w:color="000000" w:sz="4" w:space="0"/>
              <w:bottom w:val="single" w:color="000000" w:sz="4" w:space="0"/>
              <w:right w:val="single" w:color="000000" w:sz="4" w:space="0"/>
            </w:tcBorders>
            <w:vAlign w:val="bottom"/>
          </w:tcPr>
          <w:p w14:paraId="27860F1E">
            <w:pPr>
              <w:widowControl/>
              <w:numPr>
                <w:ilvl w:val="0"/>
                <w:numId w:val="93"/>
              </w:numPr>
              <w:jc w:val="left"/>
              <w:textAlignment w:val="bottom"/>
              <w:rPr>
                <w:rFonts w:hint="eastAsia" w:ascii="宋体" w:hAnsi="宋体"/>
                <w:color w:val="auto"/>
                <w:szCs w:val="21"/>
                <w:highlight w:val="none"/>
              </w:rPr>
            </w:pPr>
            <w:r>
              <w:rPr>
                <w:rFonts w:hint="eastAsia" w:ascii="宋体" w:hAnsi="宋体"/>
                <w:color w:val="auto"/>
                <w:kern w:val="0"/>
                <w:szCs w:val="21"/>
                <w:highlight w:val="none"/>
                <w:lang w:bidi="ar"/>
              </w:rPr>
              <w:t>高压避雷器（含支架），高压绝缘线，接地桩，声光警号，终端杆，承力杆，配件包，专用合金导线，万向底座，警示牌，网线、电源线等。</w:t>
            </w:r>
          </w:p>
        </w:tc>
        <w:tc>
          <w:tcPr>
            <w:tcW w:w="567" w:type="dxa"/>
            <w:tcBorders>
              <w:top w:val="single" w:color="000000" w:sz="4" w:space="0"/>
              <w:left w:val="single" w:color="000000" w:sz="4" w:space="0"/>
              <w:bottom w:val="single" w:color="000000" w:sz="4" w:space="0"/>
              <w:right w:val="single" w:color="000000" w:sz="4" w:space="0"/>
            </w:tcBorders>
            <w:vAlign w:val="center"/>
          </w:tcPr>
          <w:p w14:paraId="5CFEB781">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批</w:t>
            </w:r>
          </w:p>
        </w:tc>
        <w:tc>
          <w:tcPr>
            <w:tcW w:w="870" w:type="dxa"/>
            <w:tcBorders>
              <w:top w:val="single" w:color="000000" w:sz="4" w:space="0"/>
              <w:left w:val="single" w:color="000000" w:sz="4" w:space="0"/>
              <w:bottom w:val="single" w:color="000000" w:sz="4" w:space="0"/>
              <w:right w:val="single" w:color="000000" w:sz="4" w:space="0"/>
            </w:tcBorders>
            <w:vAlign w:val="center"/>
          </w:tcPr>
          <w:p w14:paraId="32D2C640">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6BEB01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jc w:val="center"/>
        </w:trPr>
        <w:tc>
          <w:tcPr>
            <w:tcW w:w="644" w:type="dxa"/>
            <w:tcBorders>
              <w:top w:val="single" w:color="000000" w:sz="4" w:space="0"/>
              <w:left w:val="single" w:color="000000" w:sz="4" w:space="0"/>
              <w:bottom w:val="single" w:color="000000" w:sz="4" w:space="0"/>
              <w:right w:val="single" w:color="000000" w:sz="4" w:space="0"/>
            </w:tcBorders>
            <w:vAlign w:val="center"/>
          </w:tcPr>
          <w:p w14:paraId="049D478C">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7</w:t>
            </w:r>
          </w:p>
        </w:tc>
        <w:tc>
          <w:tcPr>
            <w:tcW w:w="851" w:type="dxa"/>
            <w:tcBorders>
              <w:top w:val="single" w:color="000000" w:sz="4" w:space="0"/>
              <w:left w:val="single" w:color="000000" w:sz="4" w:space="0"/>
              <w:bottom w:val="single" w:color="000000" w:sz="4" w:space="0"/>
              <w:right w:val="single" w:color="000000" w:sz="4" w:space="0"/>
            </w:tcBorders>
            <w:vAlign w:val="center"/>
          </w:tcPr>
          <w:p w14:paraId="20CE895F">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辅材</w:t>
            </w:r>
          </w:p>
        </w:tc>
        <w:tc>
          <w:tcPr>
            <w:tcW w:w="6378" w:type="dxa"/>
            <w:tcBorders>
              <w:top w:val="single" w:color="000000" w:sz="4" w:space="0"/>
              <w:left w:val="single" w:color="000000" w:sz="4" w:space="0"/>
              <w:bottom w:val="single" w:color="000000" w:sz="4" w:space="0"/>
              <w:right w:val="single" w:color="000000" w:sz="4" w:space="0"/>
            </w:tcBorders>
            <w:vAlign w:val="center"/>
          </w:tcPr>
          <w:p w14:paraId="2E78CE3D">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满足本项目施工所需要的全部材料</w:t>
            </w:r>
          </w:p>
        </w:tc>
        <w:tc>
          <w:tcPr>
            <w:tcW w:w="567" w:type="dxa"/>
            <w:tcBorders>
              <w:top w:val="single" w:color="000000" w:sz="4" w:space="0"/>
              <w:left w:val="single" w:color="000000" w:sz="4" w:space="0"/>
              <w:bottom w:val="single" w:color="000000" w:sz="4" w:space="0"/>
              <w:right w:val="single" w:color="000000" w:sz="4" w:space="0"/>
            </w:tcBorders>
            <w:vAlign w:val="center"/>
          </w:tcPr>
          <w:p w14:paraId="6B8CD3FF">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批</w:t>
            </w:r>
          </w:p>
        </w:tc>
        <w:tc>
          <w:tcPr>
            <w:tcW w:w="870" w:type="dxa"/>
            <w:tcBorders>
              <w:top w:val="single" w:color="000000" w:sz="4" w:space="0"/>
              <w:left w:val="single" w:color="000000" w:sz="4" w:space="0"/>
              <w:bottom w:val="single" w:color="000000" w:sz="4" w:space="0"/>
              <w:right w:val="single" w:color="000000" w:sz="4" w:space="0"/>
            </w:tcBorders>
            <w:vAlign w:val="center"/>
          </w:tcPr>
          <w:p w14:paraId="14ADD5AD">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7876FB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jc w:val="center"/>
        </w:trPr>
        <w:tc>
          <w:tcPr>
            <w:tcW w:w="644" w:type="dxa"/>
            <w:tcBorders>
              <w:top w:val="single" w:color="000000" w:sz="4" w:space="0"/>
              <w:left w:val="single" w:color="000000" w:sz="4" w:space="0"/>
              <w:bottom w:val="single" w:color="000000" w:sz="4" w:space="0"/>
              <w:right w:val="single" w:color="000000" w:sz="4" w:space="0"/>
            </w:tcBorders>
            <w:vAlign w:val="center"/>
          </w:tcPr>
          <w:p w14:paraId="31931F58">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8</w:t>
            </w:r>
          </w:p>
        </w:tc>
        <w:tc>
          <w:tcPr>
            <w:tcW w:w="851" w:type="dxa"/>
            <w:tcBorders>
              <w:top w:val="single" w:color="000000" w:sz="4" w:space="0"/>
              <w:left w:val="single" w:color="000000" w:sz="4" w:space="0"/>
              <w:bottom w:val="single" w:color="000000" w:sz="4" w:space="0"/>
              <w:right w:val="single" w:color="000000" w:sz="4" w:space="0"/>
            </w:tcBorders>
            <w:vAlign w:val="center"/>
          </w:tcPr>
          <w:p w14:paraId="742636A0">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施工安装调试</w:t>
            </w:r>
          </w:p>
        </w:tc>
        <w:tc>
          <w:tcPr>
            <w:tcW w:w="6378" w:type="dxa"/>
            <w:tcBorders>
              <w:top w:val="single" w:color="000000" w:sz="4" w:space="0"/>
              <w:left w:val="single" w:color="000000" w:sz="4" w:space="0"/>
              <w:bottom w:val="single" w:color="000000" w:sz="4" w:space="0"/>
              <w:right w:val="single" w:color="000000" w:sz="4" w:space="0"/>
            </w:tcBorders>
            <w:vAlign w:val="center"/>
          </w:tcPr>
          <w:p w14:paraId="790A9926">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包含项目施工、调试、验收搬运等所有费用。</w:t>
            </w:r>
          </w:p>
        </w:tc>
        <w:tc>
          <w:tcPr>
            <w:tcW w:w="567" w:type="dxa"/>
            <w:tcBorders>
              <w:top w:val="single" w:color="000000" w:sz="4" w:space="0"/>
              <w:left w:val="single" w:color="000000" w:sz="4" w:space="0"/>
              <w:bottom w:val="single" w:color="000000" w:sz="4" w:space="0"/>
              <w:right w:val="single" w:color="000000" w:sz="4" w:space="0"/>
            </w:tcBorders>
            <w:vAlign w:val="center"/>
          </w:tcPr>
          <w:p w14:paraId="26A23EEB">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项</w:t>
            </w:r>
          </w:p>
        </w:tc>
        <w:tc>
          <w:tcPr>
            <w:tcW w:w="870" w:type="dxa"/>
            <w:tcBorders>
              <w:top w:val="single" w:color="000000" w:sz="4" w:space="0"/>
              <w:left w:val="single" w:color="000000" w:sz="4" w:space="0"/>
              <w:bottom w:val="single" w:color="000000" w:sz="4" w:space="0"/>
              <w:right w:val="single" w:color="000000" w:sz="4" w:space="0"/>
            </w:tcBorders>
            <w:vAlign w:val="center"/>
          </w:tcPr>
          <w:p w14:paraId="39547771">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3E1389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0" w:hRule="atLeast"/>
          <w:jc w:val="center"/>
        </w:trPr>
        <w:tc>
          <w:tcPr>
            <w:tcW w:w="9310" w:type="dxa"/>
            <w:gridSpan w:val="5"/>
            <w:tcBorders>
              <w:tl2br w:val="nil"/>
              <w:tr2bl w:val="nil"/>
            </w:tcBorders>
            <w:noWrap/>
            <w:vAlign w:val="center"/>
          </w:tcPr>
          <w:p w14:paraId="078CC2A3">
            <w:pPr>
              <w:widowControl/>
              <w:jc w:val="center"/>
              <w:textAlignment w:val="center"/>
              <w:rPr>
                <w:rFonts w:hint="eastAsia" w:ascii="宋体" w:hAnsi="宋体"/>
                <w:b/>
                <w:bCs/>
                <w:color w:val="auto"/>
                <w:szCs w:val="21"/>
                <w:highlight w:val="none"/>
              </w:rPr>
            </w:pPr>
            <w:r>
              <w:rPr>
                <w:rFonts w:hint="eastAsia" w:ascii="宋体" w:hAnsi="宋体"/>
                <w:b/>
                <w:bCs/>
                <w:color w:val="auto"/>
                <w:kern w:val="0"/>
                <w:szCs w:val="21"/>
                <w:highlight w:val="none"/>
                <w:lang w:bidi="ar"/>
              </w:rPr>
              <w:t>十一、校园监控</w:t>
            </w:r>
          </w:p>
        </w:tc>
      </w:tr>
      <w:tr w14:paraId="0DA8C4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0" w:hRule="atLeast"/>
          <w:jc w:val="center"/>
        </w:trPr>
        <w:tc>
          <w:tcPr>
            <w:tcW w:w="644" w:type="dxa"/>
            <w:tcBorders>
              <w:tl2br w:val="nil"/>
              <w:tr2bl w:val="nil"/>
            </w:tcBorders>
            <w:noWrap/>
            <w:vAlign w:val="center"/>
          </w:tcPr>
          <w:p w14:paraId="0E98A734">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c>
          <w:tcPr>
            <w:tcW w:w="851" w:type="dxa"/>
            <w:tcBorders>
              <w:tl2br w:val="nil"/>
              <w:tr2bl w:val="nil"/>
            </w:tcBorders>
            <w:noWrap/>
            <w:vAlign w:val="center"/>
          </w:tcPr>
          <w:p w14:paraId="1153338F">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bdr w:val="single" w:color="000000" w:sz="4" w:space="0"/>
                <w:lang w:bidi="ar"/>
              </w:rPr>
              <w:drawing>
                <wp:anchor distT="0" distB="0" distL="114300" distR="114300" simplePos="0" relativeHeight="251735040" behindDoc="0" locked="0" layoutInCell="1" allowOverlap="1">
                  <wp:simplePos x="0" y="0"/>
                  <wp:positionH relativeFrom="column">
                    <wp:posOffset>0</wp:posOffset>
                  </wp:positionH>
                  <wp:positionV relativeFrom="paragraph">
                    <wp:posOffset>0</wp:posOffset>
                  </wp:positionV>
                  <wp:extent cx="17145" cy="15240"/>
                  <wp:effectExtent l="0" t="0" r="0" b="0"/>
                  <wp:wrapNone/>
                  <wp:docPr id="289" name="Picture_1"/>
                  <wp:cNvGraphicFramePr/>
                  <a:graphic xmlns:a="http://schemas.openxmlformats.org/drawingml/2006/main">
                    <a:graphicData uri="http://schemas.openxmlformats.org/drawingml/2006/picture">
                      <pic:pic xmlns:pic="http://schemas.openxmlformats.org/drawingml/2006/picture">
                        <pic:nvPicPr>
                          <pic:cNvPr id="289" name="Picture_1"/>
                          <pic:cNvPicPr/>
                        </pic:nvPicPr>
                        <pic:blipFill>
                          <a:blip r:embed="rId7"/>
                          <a:stretch>
                            <a:fillRect/>
                          </a:stretch>
                        </pic:blipFill>
                        <pic:spPr>
                          <a:xfrm>
                            <a:off x="0" y="0"/>
                            <a:ext cx="17145" cy="15240"/>
                          </a:xfrm>
                          <a:prstGeom prst="rect">
                            <a:avLst/>
                          </a:prstGeom>
                          <a:noFill/>
                          <a:ln>
                            <a:noFill/>
                          </a:ln>
                        </pic:spPr>
                      </pic:pic>
                    </a:graphicData>
                  </a:graphic>
                </wp:anchor>
              </w:drawing>
            </w:r>
            <w:r>
              <w:rPr>
                <w:rFonts w:hint="eastAsia" w:ascii="宋体" w:hAnsi="宋体"/>
                <w:color w:val="auto"/>
                <w:kern w:val="0"/>
                <w:szCs w:val="21"/>
                <w:highlight w:val="none"/>
                <w:bdr w:val="single" w:color="000000" w:sz="4" w:space="0"/>
                <w:lang w:bidi="ar"/>
              </w:rPr>
              <w:drawing>
                <wp:anchor distT="0" distB="0" distL="114300" distR="114300" simplePos="0" relativeHeight="251736064" behindDoc="0" locked="0" layoutInCell="1" allowOverlap="1">
                  <wp:simplePos x="0" y="0"/>
                  <wp:positionH relativeFrom="column">
                    <wp:posOffset>0</wp:posOffset>
                  </wp:positionH>
                  <wp:positionV relativeFrom="paragraph">
                    <wp:posOffset>0</wp:posOffset>
                  </wp:positionV>
                  <wp:extent cx="18415" cy="17145"/>
                  <wp:effectExtent l="0" t="0" r="0" b="0"/>
                  <wp:wrapNone/>
                  <wp:docPr id="290" name="Picture_11"/>
                  <wp:cNvGraphicFramePr/>
                  <a:graphic xmlns:a="http://schemas.openxmlformats.org/drawingml/2006/main">
                    <a:graphicData uri="http://schemas.openxmlformats.org/drawingml/2006/picture">
                      <pic:pic xmlns:pic="http://schemas.openxmlformats.org/drawingml/2006/picture">
                        <pic:nvPicPr>
                          <pic:cNvPr id="290" name="Picture_11"/>
                          <pic:cNvPicPr/>
                        </pic:nvPicPr>
                        <pic:blipFill>
                          <a:blip r:embed="rId8"/>
                          <a:stretch>
                            <a:fillRect/>
                          </a:stretch>
                        </pic:blipFill>
                        <pic:spPr>
                          <a:xfrm>
                            <a:off x="0" y="0"/>
                            <a:ext cx="18415" cy="17145"/>
                          </a:xfrm>
                          <a:prstGeom prst="rect">
                            <a:avLst/>
                          </a:prstGeom>
                          <a:noFill/>
                          <a:ln>
                            <a:noFill/>
                          </a:ln>
                        </pic:spPr>
                      </pic:pic>
                    </a:graphicData>
                  </a:graphic>
                </wp:anchor>
              </w:drawing>
            </w:r>
            <w:r>
              <w:rPr>
                <w:rFonts w:hint="eastAsia" w:ascii="宋体" w:hAnsi="宋体"/>
                <w:color w:val="auto"/>
                <w:kern w:val="0"/>
                <w:szCs w:val="21"/>
                <w:highlight w:val="none"/>
                <w:bdr w:val="single" w:color="000000" w:sz="4" w:space="0"/>
                <w:lang w:bidi="ar"/>
              </w:rPr>
              <w:drawing>
                <wp:anchor distT="0" distB="0" distL="114300" distR="114300" simplePos="0" relativeHeight="251737088" behindDoc="0" locked="0" layoutInCell="1" allowOverlap="1">
                  <wp:simplePos x="0" y="0"/>
                  <wp:positionH relativeFrom="column">
                    <wp:posOffset>0</wp:posOffset>
                  </wp:positionH>
                  <wp:positionV relativeFrom="paragraph">
                    <wp:posOffset>0</wp:posOffset>
                  </wp:positionV>
                  <wp:extent cx="17145" cy="15240"/>
                  <wp:effectExtent l="0" t="0" r="0" b="0"/>
                  <wp:wrapNone/>
                  <wp:docPr id="291" name="Picture_1_SpCnt_1"/>
                  <wp:cNvGraphicFramePr/>
                  <a:graphic xmlns:a="http://schemas.openxmlformats.org/drawingml/2006/main">
                    <a:graphicData uri="http://schemas.openxmlformats.org/drawingml/2006/picture">
                      <pic:pic xmlns:pic="http://schemas.openxmlformats.org/drawingml/2006/picture">
                        <pic:nvPicPr>
                          <pic:cNvPr id="291" name="Picture_1_SpCnt_1"/>
                          <pic:cNvPicPr/>
                        </pic:nvPicPr>
                        <pic:blipFill>
                          <a:blip r:embed="rId7"/>
                          <a:stretch>
                            <a:fillRect/>
                          </a:stretch>
                        </pic:blipFill>
                        <pic:spPr>
                          <a:xfrm>
                            <a:off x="0" y="0"/>
                            <a:ext cx="17145" cy="15240"/>
                          </a:xfrm>
                          <a:prstGeom prst="rect">
                            <a:avLst/>
                          </a:prstGeom>
                          <a:noFill/>
                          <a:ln>
                            <a:noFill/>
                          </a:ln>
                        </pic:spPr>
                      </pic:pic>
                    </a:graphicData>
                  </a:graphic>
                </wp:anchor>
              </w:drawing>
            </w:r>
            <w:r>
              <w:rPr>
                <w:rFonts w:hint="eastAsia" w:ascii="宋体" w:hAnsi="宋体"/>
                <w:color w:val="auto"/>
                <w:kern w:val="0"/>
                <w:szCs w:val="21"/>
                <w:highlight w:val="none"/>
                <w:bdr w:val="single" w:color="000000" w:sz="4" w:space="0"/>
                <w:lang w:bidi="ar"/>
              </w:rPr>
              <w:drawing>
                <wp:anchor distT="0" distB="0" distL="114300" distR="114300" simplePos="0" relativeHeight="251738112" behindDoc="0" locked="0" layoutInCell="1" allowOverlap="1">
                  <wp:simplePos x="0" y="0"/>
                  <wp:positionH relativeFrom="column">
                    <wp:posOffset>0</wp:posOffset>
                  </wp:positionH>
                  <wp:positionV relativeFrom="paragraph">
                    <wp:posOffset>0</wp:posOffset>
                  </wp:positionV>
                  <wp:extent cx="18415" cy="17145"/>
                  <wp:effectExtent l="0" t="0" r="0" b="0"/>
                  <wp:wrapNone/>
                  <wp:docPr id="292" name="Picture_11_SpCnt_1"/>
                  <wp:cNvGraphicFramePr/>
                  <a:graphic xmlns:a="http://schemas.openxmlformats.org/drawingml/2006/main">
                    <a:graphicData uri="http://schemas.openxmlformats.org/drawingml/2006/picture">
                      <pic:pic xmlns:pic="http://schemas.openxmlformats.org/drawingml/2006/picture">
                        <pic:nvPicPr>
                          <pic:cNvPr id="292" name="Picture_11_SpCnt_1"/>
                          <pic:cNvPicPr/>
                        </pic:nvPicPr>
                        <pic:blipFill>
                          <a:blip r:embed="rId9"/>
                          <a:stretch>
                            <a:fillRect/>
                          </a:stretch>
                        </pic:blipFill>
                        <pic:spPr>
                          <a:xfrm>
                            <a:off x="0" y="0"/>
                            <a:ext cx="18415" cy="17145"/>
                          </a:xfrm>
                          <a:prstGeom prst="rect">
                            <a:avLst/>
                          </a:prstGeom>
                          <a:noFill/>
                          <a:ln>
                            <a:noFill/>
                          </a:ln>
                        </pic:spPr>
                      </pic:pic>
                    </a:graphicData>
                  </a:graphic>
                </wp:anchor>
              </w:drawing>
            </w:r>
            <w:r>
              <w:rPr>
                <w:rFonts w:hint="eastAsia" w:ascii="宋体" w:hAnsi="宋体"/>
                <w:color w:val="auto"/>
                <w:kern w:val="0"/>
                <w:szCs w:val="21"/>
                <w:highlight w:val="none"/>
                <w:bdr w:val="single" w:color="000000" w:sz="4" w:space="0"/>
                <w:lang w:bidi="ar"/>
              </w:rPr>
              <w:drawing>
                <wp:anchor distT="0" distB="0" distL="114300" distR="114300" simplePos="0" relativeHeight="251739136" behindDoc="0" locked="0" layoutInCell="1" allowOverlap="1">
                  <wp:simplePos x="0" y="0"/>
                  <wp:positionH relativeFrom="column">
                    <wp:posOffset>0</wp:posOffset>
                  </wp:positionH>
                  <wp:positionV relativeFrom="paragraph">
                    <wp:posOffset>0</wp:posOffset>
                  </wp:positionV>
                  <wp:extent cx="17145" cy="15240"/>
                  <wp:effectExtent l="0" t="0" r="0" b="0"/>
                  <wp:wrapNone/>
                  <wp:docPr id="293" name="Picture_1_SpCnt_2"/>
                  <wp:cNvGraphicFramePr/>
                  <a:graphic xmlns:a="http://schemas.openxmlformats.org/drawingml/2006/main">
                    <a:graphicData uri="http://schemas.openxmlformats.org/drawingml/2006/picture">
                      <pic:pic xmlns:pic="http://schemas.openxmlformats.org/drawingml/2006/picture">
                        <pic:nvPicPr>
                          <pic:cNvPr id="293" name="Picture_1_SpCnt_2"/>
                          <pic:cNvPicPr/>
                        </pic:nvPicPr>
                        <pic:blipFill>
                          <a:blip r:embed="rId7"/>
                          <a:stretch>
                            <a:fillRect/>
                          </a:stretch>
                        </pic:blipFill>
                        <pic:spPr>
                          <a:xfrm>
                            <a:off x="0" y="0"/>
                            <a:ext cx="17145" cy="15240"/>
                          </a:xfrm>
                          <a:prstGeom prst="rect">
                            <a:avLst/>
                          </a:prstGeom>
                          <a:noFill/>
                          <a:ln>
                            <a:noFill/>
                          </a:ln>
                        </pic:spPr>
                      </pic:pic>
                    </a:graphicData>
                  </a:graphic>
                </wp:anchor>
              </w:drawing>
            </w:r>
            <w:r>
              <w:rPr>
                <w:rFonts w:hint="eastAsia" w:ascii="宋体" w:hAnsi="宋体"/>
                <w:color w:val="auto"/>
                <w:kern w:val="0"/>
                <w:szCs w:val="21"/>
                <w:highlight w:val="none"/>
                <w:bdr w:val="single" w:color="000000" w:sz="4" w:space="0"/>
                <w:lang w:bidi="ar"/>
              </w:rPr>
              <w:drawing>
                <wp:anchor distT="0" distB="0" distL="114300" distR="114300" simplePos="0" relativeHeight="251740160" behindDoc="0" locked="0" layoutInCell="1" allowOverlap="1">
                  <wp:simplePos x="0" y="0"/>
                  <wp:positionH relativeFrom="column">
                    <wp:posOffset>0</wp:posOffset>
                  </wp:positionH>
                  <wp:positionV relativeFrom="paragraph">
                    <wp:posOffset>0</wp:posOffset>
                  </wp:positionV>
                  <wp:extent cx="16510" cy="15240"/>
                  <wp:effectExtent l="0" t="0" r="0" b="0"/>
                  <wp:wrapNone/>
                  <wp:docPr id="294" name="Picture_13"/>
                  <wp:cNvGraphicFramePr/>
                  <a:graphic xmlns:a="http://schemas.openxmlformats.org/drawingml/2006/main">
                    <a:graphicData uri="http://schemas.openxmlformats.org/drawingml/2006/picture">
                      <pic:pic xmlns:pic="http://schemas.openxmlformats.org/drawingml/2006/picture">
                        <pic:nvPicPr>
                          <pic:cNvPr id="294" name="Picture_13"/>
                          <pic:cNvPicPr/>
                        </pic:nvPicPr>
                        <pic:blipFill>
                          <a:blip r:embed="rId11"/>
                          <a:stretch>
                            <a:fillRect/>
                          </a:stretch>
                        </pic:blipFill>
                        <pic:spPr>
                          <a:xfrm>
                            <a:off x="0" y="0"/>
                            <a:ext cx="16510" cy="15240"/>
                          </a:xfrm>
                          <a:prstGeom prst="rect">
                            <a:avLst/>
                          </a:prstGeom>
                          <a:noFill/>
                          <a:ln>
                            <a:noFill/>
                          </a:ln>
                        </pic:spPr>
                      </pic:pic>
                    </a:graphicData>
                  </a:graphic>
                </wp:anchor>
              </w:drawing>
            </w:r>
            <w:r>
              <w:rPr>
                <w:rFonts w:hint="eastAsia" w:ascii="宋体" w:hAnsi="宋体"/>
                <w:color w:val="auto"/>
                <w:kern w:val="0"/>
                <w:szCs w:val="21"/>
                <w:highlight w:val="none"/>
                <w:bdr w:val="single" w:color="000000" w:sz="4" w:space="0"/>
                <w:lang w:bidi="ar"/>
              </w:rPr>
              <w:drawing>
                <wp:anchor distT="0" distB="0" distL="114300" distR="114300" simplePos="0" relativeHeight="251741184" behindDoc="0" locked="0" layoutInCell="1" allowOverlap="1">
                  <wp:simplePos x="0" y="0"/>
                  <wp:positionH relativeFrom="column">
                    <wp:posOffset>0</wp:posOffset>
                  </wp:positionH>
                  <wp:positionV relativeFrom="paragraph">
                    <wp:posOffset>0</wp:posOffset>
                  </wp:positionV>
                  <wp:extent cx="18415" cy="19050"/>
                  <wp:effectExtent l="0" t="0" r="12065" b="3810"/>
                  <wp:wrapNone/>
                  <wp:docPr id="295" name="Picture_13_SpCnt_1"/>
                  <wp:cNvGraphicFramePr/>
                  <a:graphic xmlns:a="http://schemas.openxmlformats.org/drawingml/2006/main">
                    <a:graphicData uri="http://schemas.openxmlformats.org/drawingml/2006/picture">
                      <pic:pic xmlns:pic="http://schemas.openxmlformats.org/drawingml/2006/picture">
                        <pic:nvPicPr>
                          <pic:cNvPr id="295" name="Picture_13_SpCnt_1"/>
                          <pic:cNvPicPr/>
                        </pic:nvPicPr>
                        <pic:blipFill>
                          <a:blip r:embed="rId13"/>
                          <a:stretch>
                            <a:fillRect/>
                          </a:stretch>
                        </pic:blipFill>
                        <pic:spPr>
                          <a:xfrm>
                            <a:off x="0" y="0"/>
                            <a:ext cx="18415" cy="19050"/>
                          </a:xfrm>
                          <a:prstGeom prst="rect">
                            <a:avLst/>
                          </a:prstGeom>
                          <a:noFill/>
                          <a:ln>
                            <a:noFill/>
                          </a:ln>
                        </pic:spPr>
                      </pic:pic>
                    </a:graphicData>
                  </a:graphic>
                </wp:anchor>
              </w:drawing>
            </w:r>
            <w:r>
              <w:rPr>
                <w:rFonts w:hint="eastAsia" w:ascii="宋体" w:hAnsi="宋体"/>
                <w:color w:val="auto"/>
                <w:kern w:val="0"/>
                <w:szCs w:val="21"/>
                <w:highlight w:val="none"/>
                <w:bdr w:val="single" w:color="000000" w:sz="4" w:space="0"/>
                <w:lang w:bidi="ar"/>
              </w:rPr>
              <w:drawing>
                <wp:anchor distT="0" distB="0" distL="114300" distR="114300" simplePos="0" relativeHeight="251742208" behindDoc="0" locked="0" layoutInCell="1" allowOverlap="1">
                  <wp:simplePos x="0" y="0"/>
                  <wp:positionH relativeFrom="column">
                    <wp:posOffset>0</wp:posOffset>
                  </wp:positionH>
                  <wp:positionV relativeFrom="paragraph">
                    <wp:posOffset>0</wp:posOffset>
                  </wp:positionV>
                  <wp:extent cx="18415" cy="15240"/>
                  <wp:effectExtent l="0" t="0" r="0" b="0"/>
                  <wp:wrapNone/>
                  <wp:docPr id="296" name="Picture_13_SpCnt_2"/>
                  <wp:cNvGraphicFramePr/>
                  <a:graphic xmlns:a="http://schemas.openxmlformats.org/drawingml/2006/main">
                    <a:graphicData uri="http://schemas.openxmlformats.org/drawingml/2006/picture">
                      <pic:pic xmlns:pic="http://schemas.openxmlformats.org/drawingml/2006/picture">
                        <pic:nvPicPr>
                          <pic:cNvPr id="296" name="Picture_13_SpCnt_2"/>
                          <pic:cNvPicPr/>
                        </pic:nvPicPr>
                        <pic:blipFill>
                          <a:blip r:embed="rId7"/>
                          <a:stretch>
                            <a:fillRect/>
                          </a:stretch>
                        </pic:blipFill>
                        <pic:spPr>
                          <a:xfrm>
                            <a:off x="0" y="0"/>
                            <a:ext cx="18415" cy="15240"/>
                          </a:xfrm>
                          <a:prstGeom prst="rect">
                            <a:avLst/>
                          </a:prstGeom>
                          <a:noFill/>
                          <a:ln>
                            <a:noFill/>
                          </a:ln>
                        </pic:spPr>
                      </pic:pic>
                    </a:graphicData>
                  </a:graphic>
                </wp:anchor>
              </w:drawing>
            </w:r>
            <w:r>
              <w:rPr>
                <w:rFonts w:hint="eastAsia" w:ascii="宋体" w:hAnsi="宋体"/>
                <w:color w:val="auto"/>
                <w:kern w:val="0"/>
                <w:szCs w:val="21"/>
                <w:highlight w:val="none"/>
                <w:bdr w:val="single" w:color="000000" w:sz="4" w:space="0"/>
                <w:lang w:bidi="ar"/>
              </w:rPr>
              <w:drawing>
                <wp:anchor distT="0" distB="0" distL="114300" distR="114300" simplePos="0" relativeHeight="251743232" behindDoc="0" locked="0" layoutInCell="1" allowOverlap="1">
                  <wp:simplePos x="0" y="0"/>
                  <wp:positionH relativeFrom="column">
                    <wp:posOffset>0</wp:posOffset>
                  </wp:positionH>
                  <wp:positionV relativeFrom="paragraph">
                    <wp:posOffset>0</wp:posOffset>
                  </wp:positionV>
                  <wp:extent cx="18415" cy="17145"/>
                  <wp:effectExtent l="0" t="0" r="0" b="0"/>
                  <wp:wrapNone/>
                  <wp:docPr id="297" name="Picture_11_SpCnt_2"/>
                  <wp:cNvGraphicFramePr/>
                  <a:graphic xmlns:a="http://schemas.openxmlformats.org/drawingml/2006/main">
                    <a:graphicData uri="http://schemas.openxmlformats.org/drawingml/2006/picture">
                      <pic:pic xmlns:pic="http://schemas.openxmlformats.org/drawingml/2006/picture">
                        <pic:nvPicPr>
                          <pic:cNvPr id="297" name="Picture_11_SpCnt_2"/>
                          <pic:cNvPicPr/>
                        </pic:nvPicPr>
                        <pic:blipFill>
                          <a:blip r:embed="rId9"/>
                          <a:stretch>
                            <a:fillRect/>
                          </a:stretch>
                        </pic:blipFill>
                        <pic:spPr>
                          <a:xfrm>
                            <a:off x="0" y="0"/>
                            <a:ext cx="18415" cy="17145"/>
                          </a:xfrm>
                          <a:prstGeom prst="rect">
                            <a:avLst/>
                          </a:prstGeom>
                          <a:noFill/>
                          <a:ln>
                            <a:noFill/>
                          </a:ln>
                        </pic:spPr>
                      </pic:pic>
                    </a:graphicData>
                  </a:graphic>
                </wp:anchor>
              </w:drawing>
            </w:r>
            <w:r>
              <w:rPr>
                <w:rFonts w:hint="eastAsia" w:ascii="宋体" w:hAnsi="宋体"/>
                <w:color w:val="auto"/>
                <w:kern w:val="0"/>
                <w:szCs w:val="21"/>
                <w:highlight w:val="none"/>
                <w:bdr w:val="single" w:color="000000" w:sz="4" w:space="0"/>
                <w:lang w:bidi="ar"/>
              </w:rPr>
              <w:drawing>
                <wp:anchor distT="0" distB="0" distL="114300" distR="114300" simplePos="0" relativeHeight="251744256" behindDoc="0" locked="0" layoutInCell="1" allowOverlap="1">
                  <wp:simplePos x="0" y="0"/>
                  <wp:positionH relativeFrom="column">
                    <wp:posOffset>0</wp:posOffset>
                  </wp:positionH>
                  <wp:positionV relativeFrom="paragraph">
                    <wp:posOffset>0</wp:posOffset>
                  </wp:positionV>
                  <wp:extent cx="16510" cy="15240"/>
                  <wp:effectExtent l="0" t="0" r="0" b="0"/>
                  <wp:wrapNone/>
                  <wp:docPr id="298" name="Picture_13_SpCnt_3"/>
                  <wp:cNvGraphicFramePr/>
                  <a:graphic xmlns:a="http://schemas.openxmlformats.org/drawingml/2006/main">
                    <a:graphicData uri="http://schemas.openxmlformats.org/drawingml/2006/picture">
                      <pic:pic xmlns:pic="http://schemas.openxmlformats.org/drawingml/2006/picture">
                        <pic:nvPicPr>
                          <pic:cNvPr id="298" name="Picture_13_SpCnt_3"/>
                          <pic:cNvPicPr/>
                        </pic:nvPicPr>
                        <pic:blipFill>
                          <a:blip r:embed="rId11"/>
                          <a:stretch>
                            <a:fillRect/>
                          </a:stretch>
                        </pic:blipFill>
                        <pic:spPr>
                          <a:xfrm>
                            <a:off x="0" y="0"/>
                            <a:ext cx="16510" cy="15240"/>
                          </a:xfrm>
                          <a:prstGeom prst="rect">
                            <a:avLst/>
                          </a:prstGeom>
                          <a:noFill/>
                          <a:ln>
                            <a:noFill/>
                          </a:ln>
                        </pic:spPr>
                      </pic:pic>
                    </a:graphicData>
                  </a:graphic>
                </wp:anchor>
              </w:drawing>
            </w:r>
            <w:r>
              <w:rPr>
                <w:rFonts w:hint="eastAsia" w:ascii="宋体" w:hAnsi="宋体"/>
                <w:color w:val="auto"/>
                <w:kern w:val="0"/>
                <w:szCs w:val="21"/>
                <w:highlight w:val="none"/>
                <w:bdr w:val="single" w:color="000000" w:sz="4" w:space="0"/>
                <w:lang w:bidi="ar"/>
              </w:rPr>
              <w:drawing>
                <wp:anchor distT="0" distB="0" distL="114300" distR="114300" simplePos="0" relativeHeight="251745280" behindDoc="0" locked="0" layoutInCell="1" allowOverlap="1">
                  <wp:simplePos x="0" y="0"/>
                  <wp:positionH relativeFrom="column">
                    <wp:posOffset>0</wp:posOffset>
                  </wp:positionH>
                  <wp:positionV relativeFrom="paragraph">
                    <wp:posOffset>0</wp:posOffset>
                  </wp:positionV>
                  <wp:extent cx="15240" cy="15240"/>
                  <wp:effectExtent l="0" t="0" r="0" b="0"/>
                  <wp:wrapNone/>
                  <wp:docPr id="299" name="Picture_2"/>
                  <wp:cNvGraphicFramePr/>
                  <a:graphic xmlns:a="http://schemas.openxmlformats.org/drawingml/2006/main">
                    <a:graphicData uri="http://schemas.openxmlformats.org/drawingml/2006/picture">
                      <pic:pic xmlns:pic="http://schemas.openxmlformats.org/drawingml/2006/picture">
                        <pic:nvPicPr>
                          <pic:cNvPr id="299" name="Picture_2"/>
                          <pic:cNvPicPr/>
                        </pic:nvPicPr>
                        <pic:blipFill>
                          <a:blip r:embed="rId10"/>
                          <a:stretch>
                            <a:fillRect/>
                          </a:stretch>
                        </pic:blipFill>
                        <pic:spPr>
                          <a:xfrm>
                            <a:off x="0" y="0"/>
                            <a:ext cx="15240" cy="15240"/>
                          </a:xfrm>
                          <a:prstGeom prst="rect">
                            <a:avLst/>
                          </a:prstGeom>
                          <a:noFill/>
                          <a:ln>
                            <a:noFill/>
                          </a:ln>
                        </pic:spPr>
                      </pic:pic>
                    </a:graphicData>
                  </a:graphic>
                </wp:anchor>
              </w:drawing>
            </w:r>
            <w:r>
              <w:rPr>
                <w:rFonts w:hint="eastAsia" w:ascii="宋体" w:hAnsi="宋体"/>
                <w:color w:val="auto"/>
                <w:kern w:val="0"/>
                <w:szCs w:val="21"/>
                <w:highlight w:val="none"/>
                <w:bdr w:val="single" w:color="000000" w:sz="4" w:space="0"/>
                <w:lang w:bidi="ar"/>
              </w:rPr>
              <w:drawing>
                <wp:anchor distT="0" distB="0" distL="114300" distR="114300" simplePos="0" relativeHeight="251746304" behindDoc="0" locked="0" layoutInCell="1" allowOverlap="1">
                  <wp:simplePos x="0" y="0"/>
                  <wp:positionH relativeFrom="column">
                    <wp:posOffset>0</wp:posOffset>
                  </wp:positionH>
                  <wp:positionV relativeFrom="paragraph">
                    <wp:posOffset>0</wp:posOffset>
                  </wp:positionV>
                  <wp:extent cx="18415" cy="19050"/>
                  <wp:effectExtent l="0" t="0" r="12065" b="3810"/>
                  <wp:wrapNone/>
                  <wp:docPr id="300" name="Picture_13_SpCnt_4"/>
                  <wp:cNvGraphicFramePr/>
                  <a:graphic xmlns:a="http://schemas.openxmlformats.org/drawingml/2006/main">
                    <a:graphicData uri="http://schemas.openxmlformats.org/drawingml/2006/picture">
                      <pic:pic xmlns:pic="http://schemas.openxmlformats.org/drawingml/2006/picture">
                        <pic:nvPicPr>
                          <pic:cNvPr id="300" name="Picture_13_SpCnt_4"/>
                          <pic:cNvPicPr/>
                        </pic:nvPicPr>
                        <pic:blipFill>
                          <a:blip r:embed="rId13"/>
                          <a:stretch>
                            <a:fillRect/>
                          </a:stretch>
                        </pic:blipFill>
                        <pic:spPr>
                          <a:xfrm>
                            <a:off x="0" y="0"/>
                            <a:ext cx="18415" cy="19050"/>
                          </a:xfrm>
                          <a:prstGeom prst="rect">
                            <a:avLst/>
                          </a:prstGeom>
                          <a:noFill/>
                          <a:ln>
                            <a:noFill/>
                          </a:ln>
                        </pic:spPr>
                      </pic:pic>
                    </a:graphicData>
                  </a:graphic>
                </wp:anchor>
              </w:drawing>
            </w:r>
            <w:r>
              <w:rPr>
                <w:rFonts w:hint="eastAsia" w:ascii="宋体" w:hAnsi="宋体"/>
                <w:color w:val="auto"/>
                <w:kern w:val="0"/>
                <w:szCs w:val="21"/>
                <w:highlight w:val="none"/>
                <w:bdr w:val="single" w:color="000000" w:sz="4" w:space="0"/>
                <w:lang w:bidi="ar"/>
              </w:rPr>
              <w:drawing>
                <wp:anchor distT="0" distB="0" distL="114300" distR="114300" simplePos="0" relativeHeight="251747328" behindDoc="0" locked="0" layoutInCell="1" allowOverlap="1">
                  <wp:simplePos x="0" y="0"/>
                  <wp:positionH relativeFrom="column">
                    <wp:posOffset>0</wp:posOffset>
                  </wp:positionH>
                  <wp:positionV relativeFrom="paragraph">
                    <wp:posOffset>0</wp:posOffset>
                  </wp:positionV>
                  <wp:extent cx="18415" cy="15240"/>
                  <wp:effectExtent l="0" t="0" r="0" b="0"/>
                  <wp:wrapNone/>
                  <wp:docPr id="301" name="Picture_13_SpCnt_5"/>
                  <wp:cNvGraphicFramePr/>
                  <a:graphic xmlns:a="http://schemas.openxmlformats.org/drawingml/2006/main">
                    <a:graphicData uri="http://schemas.openxmlformats.org/drawingml/2006/picture">
                      <pic:pic xmlns:pic="http://schemas.openxmlformats.org/drawingml/2006/picture">
                        <pic:nvPicPr>
                          <pic:cNvPr id="301" name="Picture_13_SpCnt_5"/>
                          <pic:cNvPicPr/>
                        </pic:nvPicPr>
                        <pic:blipFill>
                          <a:blip r:embed="rId7"/>
                          <a:stretch>
                            <a:fillRect/>
                          </a:stretch>
                        </pic:blipFill>
                        <pic:spPr>
                          <a:xfrm>
                            <a:off x="0" y="0"/>
                            <a:ext cx="18415" cy="15240"/>
                          </a:xfrm>
                          <a:prstGeom prst="rect">
                            <a:avLst/>
                          </a:prstGeom>
                          <a:noFill/>
                          <a:ln>
                            <a:noFill/>
                          </a:ln>
                        </pic:spPr>
                      </pic:pic>
                    </a:graphicData>
                  </a:graphic>
                </wp:anchor>
              </w:drawing>
            </w:r>
            <w:r>
              <w:rPr>
                <w:rFonts w:hint="eastAsia" w:ascii="宋体" w:hAnsi="宋体"/>
                <w:color w:val="auto"/>
                <w:kern w:val="0"/>
                <w:szCs w:val="21"/>
                <w:highlight w:val="none"/>
                <w:bdr w:val="single" w:color="000000" w:sz="4" w:space="0"/>
                <w:lang w:bidi="ar"/>
              </w:rPr>
              <w:drawing>
                <wp:anchor distT="0" distB="0" distL="114300" distR="114300" simplePos="0" relativeHeight="251748352" behindDoc="0" locked="0" layoutInCell="1" allowOverlap="1">
                  <wp:simplePos x="0" y="0"/>
                  <wp:positionH relativeFrom="column">
                    <wp:posOffset>0</wp:posOffset>
                  </wp:positionH>
                  <wp:positionV relativeFrom="paragraph">
                    <wp:posOffset>0</wp:posOffset>
                  </wp:positionV>
                  <wp:extent cx="18415" cy="17145"/>
                  <wp:effectExtent l="0" t="0" r="0" b="0"/>
                  <wp:wrapNone/>
                  <wp:docPr id="302" name="Picture_11_SpCnt_3"/>
                  <wp:cNvGraphicFramePr/>
                  <a:graphic xmlns:a="http://schemas.openxmlformats.org/drawingml/2006/main">
                    <a:graphicData uri="http://schemas.openxmlformats.org/drawingml/2006/picture">
                      <pic:pic xmlns:pic="http://schemas.openxmlformats.org/drawingml/2006/picture">
                        <pic:nvPicPr>
                          <pic:cNvPr id="302" name="Picture_11_SpCnt_3"/>
                          <pic:cNvPicPr/>
                        </pic:nvPicPr>
                        <pic:blipFill>
                          <a:blip r:embed="rId9"/>
                          <a:stretch>
                            <a:fillRect/>
                          </a:stretch>
                        </pic:blipFill>
                        <pic:spPr>
                          <a:xfrm>
                            <a:off x="0" y="0"/>
                            <a:ext cx="18415" cy="17145"/>
                          </a:xfrm>
                          <a:prstGeom prst="rect">
                            <a:avLst/>
                          </a:prstGeom>
                          <a:noFill/>
                          <a:ln>
                            <a:noFill/>
                          </a:ln>
                        </pic:spPr>
                      </pic:pic>
                    </a:graphicData>
                  </a:graphic>
                </wp:anchor>
              </w:drawing>
            </w:r>
            <w:r>
              <w:rPr>
                <w:rFonts w:hint="eastAsia" w:ascii="宋体" w:hAnsi="宋体"/>
                <w:color w:val="auto"/>
                <w:kern w:val="0"/>
                <w:szCs w:val="21"/>
                <w:highlight w:val="none"/>
                <w:bdr w:val="single" w:color="000000" w:sz="4" w:space="0"/>
                <w:lang w:bidi="ar"/>
              </w:rPr>
              <w:drawing>
                <wp:anchor distT="0" distB="0" distL="114300" distR="114300" simplePos="0" relativeHeight="251749376" behindDoc="0" locked="0" layoutInCell="1" allowOverlap="1">
                  <wp:simplePos x="0" y="0"/>
                  <wp:positionH relativeFrom="column">
                    <wp:posOffset>0</wp:posOffset>
                  </wp:positionH>
                  <wp:positionV relativeFrom="paragraph">
                    <wp:posOffset>0</wp:posOffset>
                  </wp:positionV>
                  <wp:extent cx="15240" cy="15240"/>
                  <wp:effectExtent l="0" t="0" r="0" b="0"/>
                  <wp:wrapNone/>
                  <wp:docPr id="303" name="Picture_2_SpCnt_1"/>
                  <wp:cNvGraphicFramePr/>
                  <a:graphic xmlns:a="http://schemas.openxmlformats.org/drawingml/2006/main">
                    <a:graphicData uri="http://schemas.openxmlformats.org/drawingml/2006/picture">
                      <pic:pic xmlns:pic="http://schemas.openxmlformats.org/drawingml/2006/picture">
                        <pic:nvPicPr>
                          <pic:cNvPr id="303" name="Picture_2_SpCnt_1"/>
                          <pic:cNvPicPr/>
                        </pic:nvPicPr>
                        <pic:blipFill>
                          <a:blip r:embed="rId10"/>
                          <a:stretch>
                            <a:fillRect/>
                          </a:stretch>
                        </pic:blipFill>
                        <pic:spPr>
                          <a:xfrm>
                            <a:off x="0" y="0"/>
                            <a:ext cx="15240" cy="15240"/>
                          </a:xfrm>
                          <a:prstGeom prst="rect">
                            <a:avLst/>
                          </a:prstGeom>
                          <a:noFill/>
                          <a:ln>
                            <a:noFill/>
                          </a:ln>
                        </pic:spPr>
                      </pic:pic>
                    </a:graphicData>
                  </a:graphic>
                </wp:anchor>
              </w:drawing>
            </w:r>
            <w:r>
              <w:rPr>
                <w:rFonts w:hint="eastAsia" w:ascii="宋体" w:hAnsi="宋体"/>
                <w:color w:val="auto"/>
                <w:kern w:val="0"/>
                <w:szCs w:val="21"/>
                <w:highlight w:val="none"/>
                <w:bdr w:val="single" w:color="000000" w:sz="4" w:space="0"/>
                <w:lang w:bidi="ar"/>
              </w:rPr>
              <w:drawing>
                <wp:anchor distT="0" distB="0" distL="114300" distR="114300" simplePos="0" relativeHeight="251750400" behindDoc="0" locked="0" layoutInCell="1" allowOverlap="1">
                  <wp:simplePos x="0" y="0"/>
                  <wp:positionH relativeFrom="column">
                    <wp:posOffset>0</wp:posOffset>
                  </wp:positionH>
                  <wp:positionV relativeFrom="paragraph">
                    <wp:posOffset>0</wp:posOffset>
                  </wp:positionV>
                  <wp:extent cx="17145" cy="15240"/>
                  <wp:effectExtent l="0" t="0" r="0" b="0"/>
                  <wp:wrapNone/>
                  <wp:docPr id="304" name="Picture_1_SpCnt_3"/>
                  <wp:cNvGraphicFramePr/>
                  <a:graphic xmlns:a="http://schemas.openxmlformats.org/drawingml/2006/main">
                    <a:graphicData uri="http://schemas.openxmlformats.org/drawingml/2006/picture">
                      <pic:pic xmlns:pic="http://schemas.openxmlformats.org/drawingml/2006/picture">
                        <pic:nvPicPr>
                          <pic:cNvPr id="304" name="Picture_1_SpCnt_3"/>
                          <pic:cNvPicPr/>
                        </pic:nvPicPr>
                        <pic:blipFill>
                          <a:blip r:embed="rId7"/>
                          <a:stretch>
                            <a:fillRect/>
                          </a:stretch>
                        </pic:blipFill>
                        <pic:spPr>
                          <a:xfrm>
                            <a:off x="0" y="0"/>
                            <a:ext cx="17145" cy="15240"/>
                          </a:xfrm>
                          <a:prstGeom prst="rect">
                            <a:avLst/>
                          </a:prstGeom>
                          <a:noFill/>
                          <a:ln>
                            <a:noFill/>
                          </a:ln>
                        </pic:spPr>
                      </pic:pic>
                    </a:graphicData>
                  </a:graphic>
                </wp:anchor>
              </w:drawing>
            </w:r>
            <w:r>
              <w:rPr>
                <w:rFonts w:hint="eastAsia" w:ascii="宋体" w:hAnsi="宋体"/>
                <w:color w:val="auto"/>
                <w:kern w:val="0"/>
                <w:szCs w:val="21"/>
                <w:highlight w:val="none"/>
                <w:bdr w:val="single" w:color="000000" w:sz="4" w:space="0"/>
                <w:lang w:bidi="ar"/>
              </w:rPr>
              <w:drawing>
                <wp:anchor distT="0" distB="0" distL="114300" distR="114300" simplePos="0" relativeHeight="251751424" behindDoc="0" locked="0" layoutInCell="1" allowOverlap="1">
                  <wp:simplePos x="0" y="0"/>
                  <wp:positionH relativeFrom="column">
                    <wp:posOffset>0</wp:posOffset>
                  </wp:positionH>
                  <wp:positionV relativeFrom="paragraph">
                    <wp:posOffset>0</wp:posOffset>
                  </wp:positionV>
                  <wp:extent cx="16510" cy="15240"/>
                  <wp:effectExtent l="0" t="0" r="0" b="0"/>
                  <wp:wrapNone/>
                  <wp:docPr id="305" name="Picture_13_SpCnt_6"/>
                  <wp:cNvGraphicFramePr/>
                  <a:graphic xmlns:a="http://schemas.openxmlformats.org/drawingml/2006/main">
                    <a:graphicData uri="http://schemas.openxmlformats.org/drawingml/2006/picture">
                      <pic:pic xmlns:pic="http://schemas.openxmlformats.org/drawingml/2006/picture">
                        <pic:nvPicPr>
                          <pic:cNvPr id="305" name="Picture_13_SpCnt_6"/>
                          <pic:cNvPicPr/>
                        </pic:nvPicPr>
                        <pic:blipFill>
                          <a:blip r:embed="rId11"/>
                          <a:stretch>
                            <a:fillRect/>
                          </a:stretch>
                        </pic:blipFill>
                        <pic:spPr>
                          <a:xfrm>
                            <a:off x="0" y="0"/>
                            <a:ext cx="16510" cy="15240"/>
                          </a:xfrm>
                          <a:prstGeom prst="rect">
                            <a:avLst/>
                          </a:prstGeom>
                          <a:noFill/>
                          <a:ln>
                            <a:noFill/>
                          </a:ln>
                        </pic:spPr>
                      </pic:pic>
                    </a:graphicData>
                  </a:graphic>
                </wp:anchor>
              </w:drawing>
            </w:r>
            <w:r>
              <w:rPr>
                <w:rFonts w:hint="eastAsia" w:ascii="宋体" w:hAnsi="宋体"/>
                <w:color w:val="auto"/>
                <w:kern w:val="0"/>
                <w:szCs w:val="21"/>
                <w:highlight w:val="none"/>
                <w:bdr w:val="single" w:color="000000" w:sz="4" w:space="0"/>
                <w:lang w:bidi="ar"/>
              </w:rPr>
              <w:drawing>
                <wp:anchor distT="0" distB="0" distL="114300" distR="114300" simplePos="0" relativeHeight="251752448" behindDoc="0" locked="0" layoutInCell="1" allowOverlap="1">
                  <wp:simplePos x="0" y="0"/>
                  <wp:positionH relativeFrom="column">
                    <wp:posOffset>0</wp:posOffset>
                  </wp:positionH>
                  <wp:positionV relativeFrom="paragraph">
                    <wp:posOffset>0</wp:posOffset>
                  </wp:positionV>
                  <wp:extent cx="18415" cy="19050"/>
                  <wp:effectExtent l="0" t="0" r="12065" b="3810"/>
                  <wp:wrapNone/>
                  <wp:docPr id="306" name="Picture_13_SpCnt_7"/>
                  <wp:cNvGraphicFramePr/>
                  <a:graphic xmlns:a="http://schemas.openxmlformats.org/drawingml/2006/main">
                    <a:graphicData uri="http://schemas.openxmlformats.org/drawingml/2006/picture">
                      <pic:pic xmlns:pic="http://schemas.openxmlformats.org/drawingml/2006/picture">
                        <pic:nvPicPr>
                          <pic:cNvPr id="306" name="Picture_13_SpCnt_7"/>
                          <pic:cNvPicPr/>
                        </pic:nvPicPr>
                        <pic:blipFill>
                          <a:blip r:embed="rId13"/>
                          <a:stretch>
                            <a:fillRect/>
                          </a:stretch>
                        </pic:blipFill>
                        <pic:spPr>
                          <a:xfrm>
                            <a:off x="0" y="0"/>
                            <a:ext cx="18415" cy="19050"/>
                          </a:xfrm>
                          <a:prstGeom prst="rect">
                            <a:avLst/>
                          </a:prstGeom>
                          <a:noFill/>
                          <a:ln>
                            <a:noFill/>
                          </a:ln>
                        </pic:spPr>
                      </pic:pic>
                    </a:graphicData>
                  </a:graphic>
                </wp:anchor>
              </w:drawing>
            </w:r>
            <w:r>
              <w:rPr>
                <w:rFonts w:hint="eastAsia" w:ascii="宋体" w:hAnsi="宋体"/>
                <w:color w:val="auto"/>
                <w:kern w:val="0"/>
                <w:szCs w:val="21"/>
                <w:highlight w:val="none"/>
                <w:bdr w:val="single" w:color="000000" w:sz="4" w:space="0"/>
                <w:lang w:bidi="ar"/>
              </w:rPr>
              <w:drawing>
                <wp:anchor distT="0" distB="0" distL="114300" distR="114300" simplePos="0" relativeHeight="251753472" behindDoc="0" locked="0" layoutInCell="1" allowOverlap="1">
                  <wp:simplePos x="0" y="0"/>
                  <wp:positionH relativeFrom="column">
                    <wp:posOffset>0</wp:posOffset>
                  </wp:positionH>
                  <wp:positionV relativeFrom="paragraph">
                    <wp:posOffset>0</wp:posOffset>
                  </wp:positionV>
                  <wp:extent cx="18415" cy="15240"/>
                  <wp:effectExtent l="0" t="0" r="0" b="0"/>
                  <wp:wrapNone/>
                  <wp:docPr id="307" name="Picture_13_SpCnt_8"/>
                  <wp:cNvGraphicFramePr/>
                  <a:graphic xmlns:a="http://schemas.openxmlformats.org/drawingml/2006/main">
                    <a:graphicData uri="http://schemas.openxmlformats.org/drawingml/2006/picture">
                      <pic:pic xmlns:pic="http://schemas.openxmlformats.org/drawingml/2006/picture">
                        <pic:nvPicPr>
                          <pic:cNvPr id="307" name="Picture_13_SpCnt_8"/>
                          <pic:cNvPicPr/>
                        </pic:nvPicPr>
                        <pic:blipFill>
                          <a:blip r:embed="rId7"/>
                          <a:stretch>
                            <a:fillRect/>
                          </a:stretch>
                        </pic:blipFill>
                        <pic:spPr>
                          <a:xfrm>
                            <a:off x="0" y="0"/>
                            <a:ext cx="18415" cy="15240"/>
                          </a:xfrm>
                          <a:prstGeom prst="rect">
                            <a:avLst/>
                          </a:prstGeom>
                          <a:noFill/>
                          <a:ln>
                            <a:noFill/>
                          </a:ln>
                        </pic:spPr>
                      </pic:pic>
                    </a:graphicData>
                  </a:graphic>
                </wp:anchor>
              </w:drawing>
            </w:r>
            <w:r>
              <w:rPr>
                <w:rFonts w:hint="eastAsia" w:ascii="宋体" w:hAnsi="宋体"/>
                <w:color w:val="auto"/>
                <w:kern w:val="0"/>
                <w:szCs w:val="21"/>
                <w:highlight w:val="none"/>
                <w:bdr w:val="single" w:color="000000" w:sz="4" w:space="0"/>
                <w:lang w:bidi="ar"/>
              </w:rPr>
              <w:drawing>
                <wp:anchor distT="0" distB="0" distL="114300" distR="114300" simplePos="0" relativeHeight="251754496" behindDoc="0" locked="0" layoutInCell="1" allowOverlap="1">
                  <wp:simplePos x="0" y="0"/>
                  <wp:positionH relativeFrom="column">
                    <wp:posOffset>0</wp:posOffset>
                  </wp:positionH>
                  <wp:positionV relativeFrom="paragraph">
                    <wp:posOffset>0</wp:posOffset>
                  </wp:positionV>
                  <wp:extent cx="18415" cy="17145"/>
                  <wp:effectExtent l="0" t="0" r="0" b="0"/>
                  <wp:wrapNone/>
                  <wp:docPr id="308" name="Picture_11_SpCnt_4"/>
                  <wp:cNvGraphicFramePr/>
                  <a:graphic xmlns:a="http://schemas.openxmlformats.org/drawingml/2006/main">
                    <a:graphicData uri="http://schemas.openxmlformats.org/drawingml/2006/picture">
                      <pic:pic xmlns:pic="http://schemas.openxmlformats.org/drawingml/2006/picture">
                        <pic:nvPicPr>
                          <pic:cNvPr id="308" name="Picture_11_SpCnt_4"/>
                          <pic:cNvPicPr/>
                        </pic:nvPicPr>
                        <pic:blipFill>
                          <a:blip r:embed="rId9"/>
                          <a:stretch>
                            <a:fillRect/>
                          </a:stretch>
                        </pic:blipFill>
                        <pic:spPr>
                          <a:xfrm>
                            <a:off x="0" y="0"/>
                            <a:ext cx="18415" cy="17145"/>
                          </a:xfrm>
                          <a:prstGeom prst="rect">
                            <a:avLst/>
                          </a:prstGeom>
                          <a:noFill/>
                          <a:ln>
                            <a:noFill/>
                          </a:ln>
                        </pic:spPr>
                      </pic:pic>
                    </a:graphicData>
                  </a:graphic>
                </wp:anchor>
              </w:drawing>
            </w:r>
            <w:r>
              <w:rPr>
                <w:rFonts w:hint="eastAsia" w:ascii="宋体" w:hAnsi="宋体"/>
                <w:color w:val="auto"/>
                <w:kern w:val="0"/>
                <w:szCs w:val="21"/>
                <w:highlight w:val="none"/>
                <w:bdr w:val="single" w:color="000000" w:sz="4" w:space="0"/>
                <w:lang w:bidi="ar"/>
              </w:rPr>
              <w:drawing>
                <wp:anchor distT="0" distB="0" distL="114300" distR="114300" simplePos="0" relativeHeight="251755520" behindDoc="0" locked="0" layoutInCell="1" allowOverlap="1">
                  <wp:simplePos x="0" y="0"/>
                  <wp:positionH relativeFrom="column">
                    <wp:posOffset>0</wp:posOffset>
                  </wp:positionH>
                  <wp:positionV relativeFrom="paragraph">
                    <wp:posOffset>0</wp:posOffset>
                  </wp:positionV>
                  <wp:extent cx="15240" cy="15240"/>
                  <wp:effectExtent l="0" t="0" r="0" b="0"/>
                  <wp:wrapNone/>
                  <wp:docPr id="309" name="Picture_2_SpCnt_2"/>
                  <wp:cNvGraphicFramePr/>
                  <a:graphic xmlns:a="http://schemas.openxmlformats.org/drawingml/2006/main">
                    <a:graphicData uri="http://schemas.openxmlformats.org/drawingml/2006/picture">
                      <pic:pic xmlns:pic="http://schemas.openxmlformats.org/drawingml/2006/picture">
                        <pic:nvPicPr>
                          <pic:cNvPr id="309" name="Picture_2_SpCnt_2"/>
                          <pic:cNvPicPr/>
                        </pic:nvPicPr>
                        <pic:blipFill>
                          <a:blip r:embed="rId10"/>
                          <a:stretch>
                            <a:fillRect/>
                          </a:stretch>
                        </pic:blipFill>
                        <pic:spPr>
                          <a:xfrm>
                            <a:off x="0" y="0"/>
                            <a:ext cx="15240" cy="15240"/>
                          </a:xfrm>
                          <a:prstGeom prst="rect">
                            <a:avLst/>
                          </a:prstGeom>
                          <a:noFill/>
                          <a:ln>
                            <a:noFill/>
                          </a:ln>
                        </pic:spPr>
                      </pic:pic>
                    </a:graphicData>
                  </a:graphic>
                </wp:anchor>
              </w:drawing>
            </w:r>
            <w:r>
              <w:rPr>
                <w:rFonts w:hint="eastAsia" w:ascii="宋体" w:hAnsi="宋体"/>
                <w:color w:val="auto"/>
                <w:kern w:val="0"/>
                <w:szCs w:val="21"/>
                <w:highlight w:val="none"/>
                <w:bdr w:val="single" w:color="000000" w:sz="4" w:space="0"/>
                <w:lang w:bidi="ar"/>
              </w:rPr>
              <w:drawing>
                <wp:anchor distT="0" distB="0" distL="114300" distR="114300" simplePos="0" relativeHeight="251756544" behindDoc="0" locked="0" layoutInCell="1" allowOverlap="1">
                  <wp:simplePos x="0" y="0"/>
                  <wp:positionH relativeFrom="column">
                    <wp:posOffset>0</wp:posOffset>
                  </wp:positionH>
                  <wp:positionV relativeFrom="paragraph">
                    <wp:posOffset>0</wp:posOffset>
                  </wp:positionV>
                  <wp:extent cx="17145" cy="15240"/>
                  <wp:effectExtent l="0" t="0" r="0" b="0"/>
                  <wp:wrapNone/>
                  <wp:docPr id="310" name="Picture_1_SpCnt_4"/>
                  <wp:cNvGraphicFramePr/>
                  <a:graphic xmlns:a="http://schemas.openxmlformats.org/drawingml/2006/main">
                    <a:graphicData uri="http://schemas.openxmlformats.org/drawingml/2006/picture">
                      <pic:pic xmlns:pic="http://schemas.openxmlformats.org/drawingml/2006/picture">
                        <pic:nvPicPr>
                          <pic:cNvPr id="310" name="Picture_1_SpCnt_4"/>
                          <pic:cNvPicPr/>
                        </pic:nvPicPr>
                        <pic:blipFill>
                          <a:blip r:embed="rId7"/>
                          <a:stretch>
                            <a:fillRect/>
                          </a:stretch>
                        </pic:blipFill>
                        <pic:spPr>
                          <a:xfrm>
                            <a:off x="0" y="0"/>
                            <a:ext cx="17145" cy="15240"/>
                          </a:xfrm>
                          <a:prstGeom prst="rect">
                            <a:avLst/>
                          </a:prstGeom>
                          <a:noFill/>
                          <a:ln>
                            <a:noFill/>
                          </a:ln>
                        </pic:spPr>
                      </pic:pic>
                    </a:graphicData>
                  </a:graphic>
                </wp:anchor>
              </w:drawing>
            </w:r>
            <w:r>
              <w:rPr>
                <w:rFonts w:hint="eastAsia" w:ascii="宋体" w:hAnsi="宋体"/>
                <w:color w:val="auto"/>
                <w:kern w:val="0"/>
                <w:szCs w:val="21"/>
                <w:highlight w:val="none"/>
                <w:bdr w:val="single" w:color="000000" w:sz="4" w:space="0"/>
                <w:lang w:bidi="ar"/>
              </w:rPr>
              <w:drawing>
                <wp:anchor distT="0" distB="0" distL="114300" distR="114300" simplePos="0" relativeHeight="251757568" behindDoc="0" locked="0" layoutInCell="1" allowOverlap="1">
                  <wp:simplePos x="0" y="0"/>
                  <wp:positionH relativeFrom="column">
                    <wp:posOffset>0</wp:posOffset>
                  </wp:positionH>
                  <wp:positionV relativeFrom="paragraph">
                    <wp:posOffset>0</wp:posOffset>
                  </wp:positionV>
                  <wp:extent cx="16510" cy="15240"/>
                  <wp:effectExtent l="0" t="0" r="0" b="0"/>
                  <wp:wrapNone/>
                  <wp:docPr id="311" name="Picture_13_SpCnt_9"/>
                  <wp:cNvGraphicFramePr/>
                  <a:graphic xmlns:a="http://schemas.openxmlformats.org/drawingml/2006/main">
                    <a:graphicData uri="http://schemas.openxmlformats.org/drawingml/2006/picture">
                      <pic:pic xmlns:pic="http://schemas.openxmlformats.org/drawingml/2006/picture">
                        <pic:nvPicPr>
                          <pic:cNvPr id="311" name="Picture_13_SpCnt_9"/>
                          <pic:cNvPicPr/>
                        </pic:nvPicPr>
                        <pic:blipFill>
                          <a:blip r:embed="rId11"/>
                          <a:stretch>
                            <a:fillRect/>
                          </a:stretch>
                        </pic:blipFill>
                        <pic:spPr>
                          <a:xfrm>
                            <a:off x="0" y="0"/>
                            <a:ext cx="16510" cy="15240"/>
                          </a:xfrm>
                          <a:prstGeom prst="rect">
                            <a:avLst/>
                          </a:prstGeom>
                          <a:noFill/>
                          <a:ln>
                            <a:noFill/>
                          </a:ln>
                        </pic:spPr>
                      </pic:pic>
                    </a:graphicData>
                  </a:graphic>
                </wp:anchor>
              </w:drawing>
            </w:r>
            <w:r>
              <w:rPr>
                <w:rFonts w:hint="eastAsia" w:ascii="宋体" w:hAnsi="宋体"/>
                <w:color w:val="auto"/>
                <w:kern w:val="0"/>
                <w:szCs w:val="21"/>
                <w:highlight w:val="none"/>
                <w:bdr w:val="single" w:color="000000" w:sz="4" w:space="0"/>
                <w:lang w:bidi="ar"/>
              </w:rPr>
              <w:drawing>
                <wp:anchor distT="0" distB="0" distL="114300" distR="114300" simplePos="0" relativeHeight="251758592" behindDoc="0" locked="0" layoutInCell="1" allowOverlap="1">
                  <wp:simplePos x="0" y="0"/>
                  <wp:positionH relativeFrom="column">
                    <wp:posOffset>0</wp:posOffset>
                  </wp:positionH>
                  <wp:positionV relativeFrom="paragraph">
                    <wp:posOffset>0</wp:posOffset>
                  </wp:positionV>
                  <wp:extent cx="18415" cy="19050"/>
                  <wp:effectExtent l="0" t="0" r="12065" b="3810"/>
                  <wp:wrapNone/>
                  <wp:docPr id="312" name="Picture_13_SpCnt_10"/>
                  <wp:cNvGraphicFramePr/>
                  <a:graphic xmlns:a="http://schemas.openxmlformats.org/drawingml/2006/main">
                    <a:graphicData uri="http://schemas.openxmlformats.org/drawingml/2006/picture">
                      <pic:pic xmlns:pic="http://schemas.openxmlformats.org/drawingml/2006/picture">
                        <pic:nvPicPr>
                          <pic:cNvPr id="312" name="Picture_13_SpCnt_10"/>
                          <pic:cNvPicPr/>
                        </pic:nvPicPr>
                        <pic:blipFill>
                          <a:blip r:embed="rId12"/>
                          <a:stretch>
                            <a:fillRect/>
                          </a:stretch>
                        </pic:blipFill>
                        <pic:spPr>
                          <a:xfrm>
                            <a:off x="0" y="0"/>
                            <a:ext cx="18415" cy="19050"/>
                          </a:xfrm>
                          <a:prstGeom prst="rect">
                            <a:avLst/>
                          </a:prstGeom>
                          <a:noFill/>
                          <a:ln>
                            <a:noFill/>
                          </a:ln>
                        </pic:spPr>
                      </pic:pic>
                    </a:graphicData>
                  </a:graphic>
                </wp:anchor>
              </w:drawing>
            </w:r>
            <w:r>
              <w:rPr>
                <w:rFonts w:hint="eastAsia" w:ascii="宋体" w:hAnsi="宋体"/>
                <w:color w:val="auto"/>
                <w:kern w:val="0"/>
                <w:szCs w:val="21"/>
                <w:highlight w:val="none"/>
                <w:bdr w:val="single" w:color="000000" w:sz="4" w:space="0"/>
                <w:lang w:bidi="ar"/>
              </w:rPr>
              <w:drawing>
                <wp:anchor distT="0" distB="0" distL="114300" distR="114300" simplePos="0" relativeHeight="251759616" behindDoc="0" locked="0" layoutInCell="1" allowOverlap="1">
                  <wp:simplePos x="0" y="0"/>
                  <wp:positionH relativeFrom="column">
                    <wp:posOffset>0</wp:posOffset>
                  </wp:positionH>
                  <wp:positionV relativeFrom="paragraph">
                    <wp:posOffset>0</wp:posOffset>
                  </wp:positionV>
                  <wp:extent cx="15240" cy="15240"/>
                  <wp:effectExtent l="0" t="0" r="0" b="0"/>
                  <wp:wrapNone/>
                  <wp:docPr id="313" name="Picture_2_SpCnt_3"/>
                  <wp:cNvGraphicFramePr/>
                  <a:graphic xmlns:a="http://schemas.openxmlformats.org/drawingml/2006/main">
                    <a:graphicData uri="http://schemas.openxmlformats.org/drawingml/2006/picture">
                      <pic:pic xmlns:pic="http://schemas.openxmlformats.org/drawingml/2006/picture">
                        <pic:nvPicPr>
                          <pic:cNvPr id="313" name="Picture_2_SpCnt_3"/>
                          <pic:cNvPicPr/>
                        </pic:nvPicPr>
                        <pic:blipFill>
                          <a:blip r:embed="rId10"/>
                          <a:stretch>
                            <a:fillRect/>
                          </a:stretch>
                        </pic:blipFill>
                        <pic:spPr>
                          <a:xfrm>
                            <a:off x="0" y="0"/>
                            <a:ext cx="15240" cy="15240"/>
                          </a:xfrm>
                          <a:prstGeom prst="rect">
                            <a:avLst/>
                          </a:prstGeom>
                          <a:noFill/>
                          <a:ln>
                            <a:noFill/>
                          </a:ln>
                        </pic:spPr>
                      </pic:pic>
                    </a:graphicData>
                  </a:graphic>
                </wp:anchor>
              </w:drawing>
            </w:r>
            <w:r>
              <w:rPr>
                <w:rFonts w:hint="eastAsia" w:ascii="宋体" w:hAnsi="宋体"/>
                <w:color w:val="auto"/>
                <w:kern w:val="0"/>
                <w:szCs w:val="21"/>
                <w:highlight w:val="none"/>
                <w:bdr w:val="single" w:color="000000" w:sz="4" w:space="0"/>
                <w:lang w:bidi="ar"/>
              </w:rPr>
              <w:drawing>
                <wp:anchor distT="0" distB="0" distL="114300" distR="114300" simplePos="0" relativeHeight="251760640" behindDoc="0" locked="0" layoutInCell="1" allowOverlap="1">
                  <wp:simplePos x="0" y="0"/>
                  <wp:positionH relativeFrom="column">
                    <wp:posOffset>0</wp:posOffset>
                  </wp:positionH>
                  <wp:positionV relativeFrom="paragraph">
                    <wp:posOffset>0</wp:posOffset>
                  </wp:positionV>
                  <wp:extent cx="18415" cy="15240"/>
                  <wp:effectExtent l="0" t="0" r="0" b="0"/>
                  <wp:wrapNone/>
                  <wp:docPr id="314" name="Picture_13_SpCnt_11"/>
                  <wp:cNvGraphicFramePr/>
                  <a:graphic xmlns:a="http://schemas.openxmlformats.org/drawingml/2006/main">
                    <a:graphicData uri="http://schemas.openxmlformats.org/drawingml/2006/picture">
                      <pic:pic xmlns:pic="http://schemas.openxmlformats.org/drawingml/2006/picture">
                        <pic:nvPicPr>
                          <pic:cNvPr id="314" name="Picture_13_SpCnt_11"/>
                          <pic:cNvPicPr/>
                        </pic:nvPicPr>
                        <pic:blipFill>
                          <a:blip r:embed="rId7"/>
                          <a:stretch>
                            <a:fillRect/>
                          </a:stretch>
                        </pic:blipFill>
                        <pic:spPr>
                          <a:xfrm>
                            <a:off x="0" y="0"/>
                            <a:ext cx="18415" cy="15240"/>
                          </a:xfrm>
                          <a:prstGeom prst="rect">
                            <a:avLst/>
                          </a:prstGeom>
                          <a:noFill/>
                          <a:ln>
                            <a:noFill/>
                          </a:ln>
                        </pic:spPr>
                      </pic:pic>
                    </a:graphicData>
                  </a:graphic>
                </wp:anchor>
              </w:drawing>
            </w:r>
            <w:r>
              <w:rPr>
                <w:rFonts w:hint="eastAsia" w:ascii="宋体" w:hAnsi="宋体"/>
                <w:color w:val="auto"/>
                <w:kern w:val="0"/>
                <w:szCs w:val="21"/>
                <w:highlight w:val="none"/>
                <w:bdr w:val="single" w:color="000000" w:sz="4" w:space="0"/>
                <w:lang w:bidi="ar"/>
              </w:rPr>
              <w:drawing>
                <wp:anchor distT="0" distB="0" distL="114300" distR="114300" simplePos="0" relativeHeight="251761664" behindDoc="0" locked="0" layoutInCell="1" allowOverlap="1">
                  <wp:simplePos x="0" y="0"/>
                  <wp:positionH relativeFrom="column">
                    <wp:posOffset>0</wp:posOffset>
                  </wp:positionH>
                  <wp:positionV relativeFrom="paragraph">
                    <wp:posOffset>0</wp:posOffset>
                  </wp:positionV>
                  <wp:extent cx="17145" cy="15240"/>
                  <wp:effectExtent l="0" t="0" r="0" b="0"/>
                  <wp:wrapNone/>
                  <wp:docPr id="315" name="Picture_1_SpCnt_5"/>
                  <wp:cNvGraphicFramePr/>
                  <a:graphic xmlns:a="http://schemas.openxmlformats.org/drawingml/2006/main">
                    <a:graphicData uri="http://schemas.openxmlformats.org/drawingml/2006/picture">
                      <pic:pic xmlns:pic="http://schemas.openxmlformats.org/drawingml/2006/picture">
                        <pic:nvPicPr>
                          <pic:cNvPr id="315" name="Picture_1_SpCnt_5"/>
                          <pic:cNvPicPr/>
                        </pic:nvPicPr>
                        <pic:blipFill>
                          <a:blip r:embed="rId7"/>
                          <a:stretch>
                            <a:fillRect/>
                          </a:stretch>
                        </pic:blipFill>
                        <pic:spPr>
                          <a:xfrm>
                            <a:off x="0" y="0"/>
                            <a:ext cx="17145" cy="15240"/>
                          </a:xfrm>
                          <a:prstGeom prst="rect">
                            <a:avLst/>
                          </a:prstGeom>
                          <a:noFill/>
                          <a:ln>
                            <a:noFill/>
                          </a:ln>
                        </pic:spPr>
                      </pic:pic>
                    </a:graphicData>
                  </a:graphic>
                </wp:anchor>
              </w:drawing>
            </w:r>
            <w:r>
              <w:rPr>
                <w:rFonts w:hint="eastAsia" w:ascii="宋体" w:hAnsi="宋体"/>
                <w:color w:val="auto"/>
                <w:kern w:val="0"/>
                <w:szCs w:val="21"/>
                <w:highlight w:val="none"/>
                <w:bdr w:val="single" w:color="000000" w:sz="4" w:space="0"/>
                <w:lang w:bidi="ar"/>
              </w:rPr>
              <w:drawing>
                <wp:anchor distT="0" distB="0" distL="114300" distR="114300" simplePos="0" relativeHeight="251762688" behindDoc="0" locked="0" layoutInCell="1" allowOverlap="1">
                  <wp:simplePos x="0" y="0"/>
                  <wp:positionH relativeFrom="column">
                    <wp:posOffset>0</wp:posOffset>
                  </wp:positionH>
                  <wp:positionV relativeFrom="paragraph">
                    <wp:posOffset>0</wp:posOffset>
                  </wp:positionV>
                  <wp:extent cx="16510" cy="15240"/>
                  <wp:effectExtent l="0" t="0" r="0" b="0"/>
                  <wp:wrapNone/>
                  <wp:docPr id="316" name="Picture_13_SpCnt_12"/>
                  <wp:cNvGraphicFramePr/>
                  <a:graphic xmlns:a="http://schemas.openxmlformats.org/drawingml/2006/main">
                    <a:graphicData uri="http://schemas.openxmlformats.org/drawingml/2006/picture">
                      <pic:pic xmlns:pic="http://schemas.openxmlformats.org/drawingml/2006/picture">
                        <pic:nvPicPr>
                          <pic:cNvPr id="316" name="Picture_13_SpCnt_12"/>
                          <pic:cNvPicPr/>
                        </pic:nvPicPr>
                        <pic:blipFill>
                          <a:blip r:embed="rId11"/>
                          <a:stretch>
                            <a:fillRect/>
                          </a:stretch>
                        </pic:blipFill>
                        <pic:spPr>
                          <a:xfrm>
                            <a:off x="0" y="0"/>
                            <a:ext cx="16510" cy="15240"/>
                          </a:xfrm>
                          <a:prstGeom prst="rect">
                            <a:avLst/>
                          </a:prstGeom>
                          <a:noFill/>
                          <a:ln>
                            <a:noFill/>
                          </a:ln>
                        </pic:spPr>
                      </pic:pic>
                    </a:graphicData>
                  </a:graphic>
                </wp:anchor>
              </w:drawing>
            </w:r>
            <w:r>
              <w:rPr>
                <w:rFonts w:hint="eastAsia" w:ascii="宋体" w:hAnsi="宋体"/>
                <w:color w:val="auto"/>
                <w:kern w:val="0"/>
                <w:szCs w:val="21"/>
                <w:highlight w:val="none"/>
                <w:bdr w:val="single" w:color="000000" w:sz="4" w:space="0"/>
                <w:lang w:bidi="ar"/>
              </w:rPr>
              <w:drawing>
                <wp:anchor distT="0" distB="0" distL="114300" distR="114300" simplePos="0" relativeHeight="251763712" behindDoc="0" locked="0" layoutInCell="1" allowOverlap="1">
                  <wp:simplePos x="0" y="0"/>
                  <wp:positionH relativeFrom="column">
                    <wp:posOffset>0</wp:posOffset>
                  </wp:positionH>
                  <wp:positionV relativeFrom="paragraph">
                    <wp:posOffset>0</wp:posOffset>
                  </wp:positionV>
                  <wp:extent cx="18415" cy="19050"/>
                  <wp:effectExtent l="0" t="0" r="12065" b="3810"/>
                  <wp:wrapNone/>
                  <wp:docPr id="317" name="Picture_13_SpCnt_13"/>
                  <wp:cNvGraphicFramePr/>
                  <a:graphic xmlns:a="http://schemas.openxmlformats.org/drawingml/2006/main">
                    <a:graphicData uri="http://schemas.openxmlformats.org/drawingml/2006/picture">
                      <pic:pic xmlns:pic="http://schemas.openxmlformats.org/drawingml/2006/picture">
                        <pic:nvPicPr>
                          <pic:cNvPr id="317" name="Picture_13_SpCnt_13"/>
                          <pic:cNvPicPr/>
                        </pic:nvPicPr>
                        <pic:blipFill>
                          <a:blip r:embed="rId12"/>
                          <a:stretch>
                            <a:fillRect/>
                          </a:stretch>
                        </pic:blipFill>
                        <pic:spPr>
                          <a:xfrm>
                            <a:off x="0" y="0"/>
                            <a:ext cx="18415" cy="19050"/>
                          </a:xfrm>
                          <a:prstGeom prst="rect">
                            <a:avLst/>
                          </a:prstGeom>
                          <a:noFill/>
                          <a:ln>
                            <a:noFill/>
                          </a:ln>
                        </pic:spPr>
                      </pic:pic>
                    </a:graphicData>
                  </a:graphic>
                </wp:anchor>
              </w:drawing>
            </w:r>
            <w:r>
              <w:rPr>
                <w:rFonts w:hint="eastAsia" w:ascii="宋体" w:hAnsi="宋体"/>
                <w:color w:val="auto"/>
                <w:kern w:val="0"/>
                <w:szCs w:val="21"/>
                <w:highlight w:val="none"/>
                <w:bdr w:val="single" w:color="000000" w:sz="4" w:space="0"/>
                <w:lang w:bidi="ar"/>
              </w:rPr>
              <w:drawing>
                <wp:anchor distT="0" distB="0" distL="114300" distR="114300" simplePos="0" relativeHeight="251764736" behindDoc="0" locked="0" layoutInCell="1" allowOverlap="1">
                  <wp:simplePos x="0" y="0"/>
                  <wp:positionH relativeFrom="column">
                    <wp:posOffset>0</wp:posOffset>
                  </wp:positionH>
                  <wp:positionV relativeFrom="paragraph">
                    <wp:posOffset>0</wp:posOffset>
                  </wp:positionV>
                  <wp:extent cx="18415" cy="15240"/>
                  <wp:effectExtent l="0" t="0" r="0" b="0"/>
                  <wp:wrapNone/>
                  <wp:docPr id="318" name="Picture_13_SpCnt_14"/>
                  <wp:cNvGraphicFramePr/>
                  <a:graphic xmlns:a="http://schemas.openxmlformats.org/drawingml/2006/main">
                    <a:graphicData uri="http://schemas.openxmlformats.org/drawingml/2006/picture">
                      <pic:pic xmlns:pic="http://schemas.openxmlformats.org/drawingml/2006/picture">
                        <pic:nvPicPr>
                          <pic:cNvPr id="318" name="Picture_13_SpCnt_14"/>
                          <pic:cNvPicPr/>
                        </pic:nvPicPr>
                        <pic:blipFill>
                          <a:blip r:embed="rId7"/>
                          <a:stretch>
                            <a:fillRect/>
                          </a:stretch>
                        </pic:blipFill>
                        <pic:spPr>
                          <a:xfrm>
                            <a:off x="0" y="0"/>
                            <a:ext cx="18415" cy="15240"/>
                          </a:xfrm>
                          <a:prstGeom prst="rect">
                            <a:avLst/>
                          </a:prstGeom>
                          <a:noFill/>
                          <a:ln>
                            <a:noFill/>
                          </a:ln>
                        </pic:spPr>
                      </pic:pic>
                    </a:graphicData>
                  </a:graphic>
                </wp:anchor>
              </w:drawing>
            </w:r>
            <w:r>
              <w:rPr>
                <w:rFonts w:hint="eastAsia" w:ascii="宋体" w:hAnsi="宋体"/>
                <w:color w:val="auto"/>
                <w:kern w:val="0"/>
                <w:szCs w:val="21"/>
                <w:highlight w:val="none"/>
                <w:bdr w:val="single" w:color="000000" w:sz="4" w:space="0"/>
                <w:lang w:bidi="ar"/>
              </w:rPr>
              <w:drawing>
                <wp:anchor distT="0" distB="0" distL="114300" distR="114300" simplePos="0" relativeHeight="251765760" behindDoc="0" locked="0" layoutInCell="1" allowOverlap="1">
                  <wp:simplePos x="0" y="0"/>
                  <wp:positionH relativeFrom="column">
                    <wp:posOffset>0</wp:posOffset>
                  </wp:positionH>
                  <wp:positionV relativeFrom="paragraph">
                    <wp:posOffset>0</wp:posOffset>
                  </wp:positionV>
                  <wp:extent cx="18415" cy="17145"/>
                  <wp:effectExtent l="0" t="0" r="0" b="0"/>
                  <wp:wrapNone/>
                  <wp:docPr id="319" name="Picture_11_SpCnt_5"/>
                  <wp:cNvGraphicFramePr/>
                  <a:graphic xmlns:a="http://schemas.openxmlformats.org/drawingml/2006/main">
                    <a:graphicData uri="http://schemas.openxmlformats.org/drawingml/2006/picture">
                      <pic:pic xmlns:pic="http://schemas.openxmlformats.org/drawingml/2006/picture">
                        <pic:nvPicPr>
                          <pic:cNvPr id="319" name="Picture_11_SpCnt_5"/>
                          <pic:cNvPicPr/>
                        </pic:nvPicPr>
                        <pic:blipFill>
                          <a:blip r:embed="rId8"/>
                          <a:stretch>
                            <a:fillRect/>
                          </a:stretch>
                        </pic:blipFill>
                        <pic:spPr>
                          <a:xfrm>
                            <a:off x="0" y="0"/>
                            <a:ext cx="18415" cy="17145"/>
                          </a:xfrm>
                          <a:prstGeom prst="rect">
                            <a:avLst/>
                          </a:prstGeom>
                          <a:noFill/>
                          <a:ln>
                            <a:noFill/>
                          </a:ln>
                        </pic:spPr>
                      </pic:pic>
                    </a:graphicData>
                  </a:graphic>
                </wp:anchor>
              </w:drawing>
            </w:r>
            <w:r>
              <w:rPr>
                <w:rFonts w:hint="eastAsia" w:ascii="宋体" w:hAnsi="宋体"/>
                <w:color w:val="auto"/>
                <w:kern w:val="0"/>
                <w:szCs w:val="21"/>
                <w:highlight w:val="none"/>
                <w:bdr w:val="single" w:color="000000" w:sz="4" w:space="0"/>
                <w:lang w:bidi="ar"/>
              </w:rPr>
              <w:drawing>
                <wp:anchor distT="0" distB="0" distL="114300" distR="114300" simplePos="0" relativeHeight="251766784" behindDoc="0" locked="0" layoutInCell="1" allowOverlap="1">
                  <wp:simplePos x="0" y="0"/>
                  <wp:positionH relativeFrom="column">
                    <wp:posOffset>0</wp:posOffset>
                  </wp:positionH>
                  <wp:positionV relativeFrom="paragraph">
                    <wp:posOffset>0</wp:posOffset>
                  </wp:positionV>
                  <wp:extent cx="16510" cy="15240"/>
                  <wp:effectExtent l="0" t="0" r="0" b="0"/>
                  <wp:wrapNone/>
                  <wp:docPr id="320" name="Picture_13_SpCnt_15"/>
                  <wp:cNvGraphicFramePr/>
                  <a:graphic xmlns:a="http://schemas.openxmlformats.org/drawingml/2006/main">
                    <a:graphicData uri="http://schemas.openxmlformats.org/drawingml/2006/picture">
                      <pic:pic xmlns:pic="http://schemas.openxmlformats.org/drawingml/2006/picture">
                        <pic:nvPicPr>
                          <pic:cNvPr id="320" name="Picture_13_SpCnt_15"/>
                          <pic:cNvPicPr/>
                        </pic:nvPicPr>
                        <pic:blipFill>
                          <a:blip r:embed="rId11"/>
                          <a:stretch>
                            <a:fillRect/>
                          </a:stretch>
                        </pic:blipFill>
                        <pic:spPr>
                          <a:xfrm>
                            <a:off x="0" y="0"/>
                            <a:ext cx="16510" cy="15240"/>
                          </a:xfrm>
                          <a:prstGeom prst="rect">
                            <a:avLst/>
                          </a:prstGeom>
                          <a:noFill/>
                          <a:ln>
                            <a:noFill/>
                          </a:ln>
                        </pic:spPr>
                      </pic:pic>
                    </a:graphicData>
                  </a:graphic>
                </wp:anchor>
              </w:drawing>
            </w:r>
            <w:r>
              <w:rPr>
                <w:rFonts w:hint="eastAsia" w:ascii="宋体" w:hAnsi="宋体"/>
                <w:color w:val="auto"/>
                <w:kern w:val="0"/>
                <w:szCs w:val="21"/>
                <w:highlight w:val="none"/>
                <w:bdr w:val="single" w:color="000000" w:sz="4" w:space="0"/>
                <w:lang w:bidi="ar"/>
              </w:rPr>
              <w:drawing>
                <wp:anchor distT="0" distB="0" distL="114300" distR="114300" simplePos="0" relativeHeight="251767808" behindDoc="0" locked="0" layoutInCell="1" allowOverlap="1">
                  <wp:simplePos x="0" y="0"/>
                  <wp:positionH relativeFrom="column">
                    <wp:posOffset>0</wp:posOffset>
                  </wp:positionH>
                  <wp:positionV relativeFrom="paragraph">
                    <wp:posOffset>0</wp:posOffset>
                  </wp:positionV>
                  <wp:extent cx="15240" cy="15240"/>
                  <wp:effectExtent l="0" t="0" r="0" b="0"/>
                  <wp:wrapNone/>
                  <wp:docPr id="321" name="Picture_2_SpCnt_4"/>
                  <wp:cNvGraphicFramePr/>
                  <a:graphic xmlns:a="http://schemas.openxmlformats.org/drawingml/2006/main">
                    <a:graphicData uri="http://schemas.openxmlformats.org/drawingml/2006/picture">
                      <pic:pic xmlns:pic="http://schemas.openxmlformats.org/drawingml/2006/picture">
                        <pic:nvPicPr>
                          <pic:cNvPr id="321" name="Picture_2_SpCnt_4"/>
                          <pic:cNvPicPr/>
                        </pic:nvPicPr>
                        <pic:blipFill>
                          <a:blip r:embed="rId10"/>
                          <a:stretch>
                            <a:fillRect/>
                          </a:stretch>
                        </pic:blipFill>
                        <pic:spPr>
                          <a:xfrm>
                            <a:off x="0" y="0"/>
                            <a:ext cx="15240" cy="15240"/>
                          </a:xfrm>
                          <a:prstGeom prst="rect">
                            <a:avLst/>
                          </a:prstGeom>
                          <a:noFill/>
                          <a:ln>
                            <a:noFill/>
                          </a:ln>
                        </pic:spPr>
                      </pic:pic>
                    </a:graphicData>
                  </a:graphic>
                </wp:anchor>
              </w:drawing>
            </w:r>
            <w:r>
              <w:rPr>
                <w:rFonts w:hint="eastAsia" w:ascii="宋体" w:hAnsi="宋体"/>
                <w:color w:val="auto"/>
                <w:kern w:val="0"/>
                <w:szCs w:val="21"/>
                <w:highlight w:val="none"/>
                <w:bdr w:val="single" w:color="000000" w:sz="4" w:space="0"/>
                <w:lang w:bidi="ar"/>
              </w:rPr>
              <w:drawing>
                <wp:anchor distT="0" distB="0" distL="114300" distR="114300" simplePos="0" relativeHeight="251768832" behindDoc="0" locked="0" layoutInCell="1" allowOverlap="1">
                  <wp:simplePos x="0" y="0"/>
                  <wp:positionH relativeFrom="column">
                    <wp:posOffset>0</wp:posOffset>
                  </wp:positionH>
                  <wp:positionV relativeFrom="paragraph">
                    <wp:posOffset>0</wp:posOffset>
                  </wp:positionV>
                  <wp:extent cx="18415" cy="19050"/>
                  <wp:effectExtent l="0" t="0" r="12065" b="3810"/>
                  <wp:wrapNone/>
                  <wp:docPr id="322" name="Picture_13_SpCnt_16"/>
                  <wp:cNvGraphicFramePr/>
                  <a:graphic xmlns:a="http://schemas.openxmlformats.org/drawingml/2006/main">
                    <a:graphicData uri="http://schemas.openxmlformats.org/drawingml/2006/picture">
                      <pic:pic xmlns:pic="http://schemas.openxmlformats.org/drawingml/2006/picture">
                        <pic:nvPicPr>
                          <pic:cNvPr id="322" name="Picture_13_SpCnt_16"/>
                          <pic:cNvPicPr/>
                        </pic:nvPicPr>
                        <pic:blipFill>
                          <a:blip r:embed="rId12"/>
                          <a:stretch>
                            <a:fillRect/>
                          </a:stretch>
                        </pic:blipFill>
                        <pic:spPr>
                          <a:xfrm>
                            <a:off x="0" y="0"/>
                            <a:ext cx="18415" cy="19050"/>
                          </a:xfrm>
                          <a:prstGeom prst="rect">
                            <a:avLst/>
                          </a:prstGeom>
                          <a:noFill/>
                          <a:ln>
                            <a:noFill/>
                          </a:ln>
                        </pic:spPr>
                      </pic:pic>
                    </a:graphicData>
                  </a:graphic>
                </wp:anchor>
              </w:drawing>
            </w:r>
            <w:r>
              <w:rPr>
                <w:rFonts w:hint="eastAsia" w:ascii="宋体" w:hAnsi="宋体"/>
                <w:color w:val="auto"/>
                <w:kern w:val="0"/>
                <w:szCs w:val="21"/>
                <w:highlight w:val="none"/>
                <w:bdr w:val="single" w:color="000000" w:sz="4" w:space="0"/>
                <w:lang w:bidi="ar"/>
              </w:rPr>
              <w:drawing>
                <wp:anchor distT="0" distB="0" distL="114300" distR="114300" simplePos="0" relativeHeight="251769856" behindDoc="0" locked="0" layoutInCell="1" allowOverlap="1">
                  <wp:simplePos x="0" y="0"/>
                  <wp:positionH relativeFrom="column">
                    <wp:posOffset>0</wp:posOffset>
                  </wp:positionH>
                  <wp:positionV relativeFrom="paragraph">
                    <wp:posOffset>0</wp:posOffset>
                  </wp:positionV>
                  <wp:extent cx="15240" cy="15240"/>
                  <wp:effectExtent l="0" t="0" r="0" b="0"/>
                  <wp:wrapNone/>
                  <wp:docPr id="323" name="Picture_2_SpCnt_5"/>
                  <wp:cNvGraphicFramePr/>
                  <a:graphic xmlns:a="http://schemas.openxmlformats.org/drawingml/2006/main">
                    <a:graphicData uri="http://schemas.openxmlformats.org/drawingml/2006/picture">
                      <pic:pic xmlns:pic="http://schemas.openxmlformats.org/drawingml/2006/picture">
                        <pic:nvPicPr>
                          <pic:cNvPr id="323" name="Picture_2_SpCnt_5"/>
                          <pic:cNvPicPr/>
                        </pic:nvPicPr>
                        <pic:blipFill>
                          <a:blip r:embed="rId10"/>
                          <a:stretch>
                            <a:fillRect/>
                          </a:stretch>
                        </pic:blipFill>
                        <pic:spPr>
                          <a:xfrm>
                            <a:off x="0" y="0"/>
                            <a:ext cx="15240" cy="15240"/>
                          </a:xfrm>
                          <a:prstGeom prst="rect">
                            <a:avLst/>
                          </a:prstGeom>
                          <a:noFill/>
                          <a:ln>
                            <a:noFill/>
                          </a:ln>
                        </pic:spPr>
                      </pic:pic>
                    </a:graphicData>
                  </a:graphic>
                </wp:anchor>
              </w:drawing>
            </w:r>
            <w:r>
              <w:rPr>
                <w:rFonts w:hint="eastAsia" w:ascii="宋体" w:hAnsi="宋体"/>
                <w:color w:val="auto"/>
                <w:kern w:val="0"/>
                <w:szCs w:val="21"/>
                <w:highlight w:val="none"/>
                <w:bdr w:val="single" w:color="000000" w:sz="4" w:space="0"/>
                <w:lang w:bidi="ar"/>
              </w:rPr>
              <w:drawing>
                <wp:anchor distT="0" distB="0" distL="114300" distR="114300" simplePos="0" relativeHeight="251770880" behindDoc="0" locked="0" layoutInCell="1" allowOverlap="1">
                  <wp:simplePos x="0" y="0"/>
                  <wp:positionH relativeFrom="column">
                    <wp:posOffset>0</wp:posOffset>
                  </wp:positionH>
                  <wp:positionV relativeFrom="paragraph">
                    <wp:posOffset>0</wp:posOffset>
                  </wp:positionV>
                  <wp:extent cx="18415" cy="15240"/>
                  <wp:effectExtent l="0" t="0" r="0" b="0"/>
                  <wp:wrapNone/>
                  <wp:docPr id="324" name="Picture_13_SpCnt_17"/>
                  <wp:cNvGraphicFramePr/>
                  <a:graphic xmlns:a="http://schemas.openxmlformats.org/drawingml/2006/main">
                    <a:graphicData uri="http://schemas.openxmlformats.org/drawingml/2006/picture">
                      <pic:pic xmlns:pic="http://schemas.openxmlformats.org/drawingml/2006/picture">
                        <pic:nvPicPr>
                          <pic:cNvPr id="324" name="Picture_13_SpCnt_17"/>
                          <pic:cNvPicPr/>
                        </pic:nvPicPr>
                        <pic:blipFill>
                          <a:blip r:embed="rId7"/>
                          <a:stretch>
                            <a:fillRect/>
                          </a:stretch>
                        </pic:blipFill>
                        <pic:spPr>
                          <a:xfrm>
                            <a:off x="0" y="0"/>
                            <a:ext cx="18415" cy="15240"/>
                          </a:xfrm>
                          <a:prstGeom prst="rect">
                            <a:avLst/>
                          </a:prstGeom>
                          <a:noFill/>
                          <a:ln>
                            <a:noFill/>
                          </a:ln>
                        </pic:spPr>
                      </pic:pic>
                    </a:graphicData>
                  </a:graphic>
                </wp:anchor>
              </w:drawing>
            </w:r>
            <w:r>
              <w:rPr>
                <w:rFonts w:hint="eastAsia" w:ascii="宋体" w:hAnsi="宋体"/>
                <w:color w:val="auto"/>
                <w:kern w:val="0"/>
                <w:szCs w:val="21"/>
                <w:highlight w:val="none"/>
                <w:lang w:bidi="ar"/>
              </w:rPr>
              <w:t>红外枪型摄像机</w:t>
            </w:r>
          </w:p>
        </w:tc>
        <w:tc>
          <w:tcPr>
            <w:tcW w:w="6378" w:type="dxa"/>
            <w:tcBorders>
              <w:tl2br w:val="nil"/>
              <w:tr2bl w:val="nil"/>
            </w:tcBorders>
            <w:noWrap/>
            <w:vAlign w:val="center"/>
          </w:tcPr>
          <w:p w14:paraId="3FEDBB3B">
            <w:pPr>
              <w:widowControl/>
              <w:numPr>
                <w:ilvl w:val="0"/>
                <w:numId w:val="94"/>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400万筒型网络摄像机</w:t>
            </w:r>
          </w:p>
          <w:p w14:paraId="1E34AED0">
            <w:pPr>
              <w:widowControl/>
              <w:numPr>
                <w:ilvl w:val="0"/>
                <w:numId w:val="94"/>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支持SmartIR，防止夜间红外过曝。</w:t>
            </w:r>
          </w:p>
          <w:p w14:paraId="66231603">
            <w:pPr>
              <w:widowControl/>
              <w:numPr>
                <w:ilvl w:val="0"/>
                <w:numId w:val="94"/>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支持背光补偿，强光抑制，3D数字降噪，数字宽动态，适应不同使用环境，提供检测报告</w:t>
            </w:r>
          </w:p>
          <w:p w14:paraId="6B10509F">
            <w:pPr>
              <w:widowControl/>
              <w:numPr>
                <w:ilvl w:val="0"/>
                <w:numId w:val="94"/>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支持开放型网络视频接口，ISAPI，SDK，GB28181协议</w:t>
            </w:r>
          </w:p>
          <w:p w14:paraId="6BF1D44D">
            <w:pPr>
              <w:widowControl/>
              <w:numPr>
                <w:ilvl w:val="0"/>
                <w:numId w:val="94"/>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≥1个内置麦克风</w:t>
            </w:r>
          </w:p>
          <w:p w14:paraId="376A8795">
            <w:pPr>
              <w:widowControl/>
              <w:numPr>
                <w:ilvl w:val="0"/>
                <w:numId w:val="94"/>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智能补光，支持白光/红外双补光</w:t>
            </w:r>
          </w:p>
          <w:p w14:paraId="0CE0317B">
            <w:pPr>
              <w:widowControl/>
              <w:numPr>
                <w:ilvl w:val="0"/>
                <w:numId w:val="94"/>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 xml:space="preserve">符合IP67防尘防水设计，可靠性高                                                                                                                                                                              </w:t>
            </w:r>
          </w:p>
        </w:tc>
        <w:tc>
          <w:tcPr>
            <w:tcW w:w="567" w:type="dxa"/>
            <w:tcBorders>
              <w:tl2br w:val="nil"/>
              <w:tr2bl w:val="nil"/>
            </w:tcBorders>
            <w:vAlign w:val="center"/>
          </w:tcPr>
          <w:p w14:paraId="0FD6E0B4">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台</w:t>
            </w:r>
          </w:p>
        </w:tc>
        <w:tc>
          <w:tcPr>
            <w:tcW w:w="870" w:type="dxa"/>
            <w:tcBorders>
              <w:tl2br w:val="nil"/>
              <w:tr2bl w:val="nil"/>
            </w:tcBorders>
            <w:vAlign w:val="center"/>
          </w:tcPr>
          <w:p w14:paraId="41770287">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 xml:space="preserve">187 </w:t>
            </w:r>
          </w:p>
        </w:tc>
      </w:tr>
      <w:tr w14:paraId="2FFC71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0" w:hRule="atLeast"/>
          <w:jc w:val="center"/>
        </w:trPr>
        <w:tc>
          <w:tcPr>
            <w:tcW w:w="644" w:type="dxa"/>
            <w:vAlign w:val="center"/>
          </w:tcPr>
          <w:p w14:paraId="1E7A7845">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w:t>
            </w:r>
          </w:p>
        </w:tc>
        <w:tc>
          <w:tcPr>
            <w:tcW w:w="851" w:type="dxa"/>
            <w:vAlign w:val="center"/>
          </w:tcPr>
          <w:p w14:paraId="5B64AFF4">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室内半球摄像机</w:t>
            </w:r>
          </w:p>
        </w:tc>
        <w:tc>
          <w:tcPr>
            <w:tcW w:w="6378" w:type="dxa"/>
            <w:vAlign w:val="center"/>
          </w:tcPr>
          <w:p w14:paraId="40BF0905">
            <w:pPr>
              <w:widowControl/>
              <w:numPr>
                <w:ilvl w:val="0"/>
                <w:numId w:val="95"/>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400万海螺型网络摄像机</w:t>
            </w:r>
          </w:p>
          <w:p w14:paraId="7BC9D570">
            <w:pPr>
              <w:widowControl/>
              <w:numPr>
                <w:ilvl w:val="0"/>
                <w:numId w:val="95"/>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支持背光补偿，强光抑制，3D数字降噪，数字宽动态</w:t>
            </w:r>
          </w:p>
          <w:p w14:paraId="090E149D">
            <w:pPr>
              <w:widowControl/>
              <w:numPr>
                <w:ilvl w:val="0"/>
                <w:numId w:val="95"/>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支持人形检测</w:t>
            </w:r>
          </w:p>
          <w:p w14:paraId="7C39864D">
            <w:pPr>
              <w:widowControl/>
              <w:numPr>
                <w:ilvl w:val="0"/>
                <w:numId w:val="95"/>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支持开放型网络视频接口，ISAPI，SDK，GB28181协议</w:t>
            </w:r>
          </w:p>
          <w:p w14:paraId="45E22BD0">
            <w:pPr>
              <w:widowControl/>
              <w:numPr>
                <w:ilvl w:val="0"/>
                <w:numId w:val="95"/>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智能补光，支持白光/红外双补光，红外≥30 m，白光≥20 m</w:t>
            </w:r>
          </w:p>
          <w:p w14:paraId="10B79D83">
            <w:pPr>
              <w:widowControl/>
              <w:numPr>
                <w:ilvl w:val="0"/>
                <w:numId w:val="95"/>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≥1个内置麦克风</w:t>
            </w:r>
          </w:p>
          <w:p w14:paraId="6F2260FC">
            <w:pPr>
              <w:widowControl/>
              <w:numPr>
                <w:ilvl w:val="0"/>
                <w:numId w:val="95"/>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 xml:space="preserve">符合IP67防尘防水设计，可靠性高                                                                                                                                                                                   </w:t>
            </w:r>
          </w:p>
        </w:tc>
        <w:tc>
          <w:tcPr>
            <w:tcW w:w="567" w:type="dxa"/>
            <w:vAlign w:val="center"/>
          </w:tcPr>
          <w:p w14:paraId="14EF9ECF">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台</w:t>
            </w:r>
          </w:p>
        </w:tc>
        <w:tc>
          <w:tcPr>
            <w:tcW w:w="870" w:type="dxa"/>
            <w:vAlign w:val="center"/>
          </w:tcPr>
          <w:p w14:paraId="47AC1708">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 xml:space="preserve">75 </w:t>
            </w:r>
          </w:p>
        </w:tc>
      </w:tr>
      <w:tr w14:paraId="4861BF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0" w:hRule="atLeast"/>
          <w:jc w:val="center"/>
        </w:trPr>
        <w:tc>
          <w:tcPr>
            <w:tcW w:w="644" w:type="dxa"/>
            <w:vAlign w:val="center"/>
          </w:tcPr>
          <w:p w14:paraId="02A32ADD">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3</w:t>
            </w:r>
          </w:p>
        </w:tc>
        <w:tc>
          <w:tcPr>
            <w:tcW w:w="851" w:type="dxa"/>
            <w:vAlign w:val="center"/>
          </w:tcPr>
          <w:p w14:paraId="48B0084C">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名厨亮灶摄像机</w:t>
            </w:r>
          </w:p>
        </w:tc>
        <w:tc>
          <w:tcPr>
            <w:tcW w:w="6378" w:type="dxa"/>
            <w:vAlign w:val="center"/>
          </w:tcPr>
          <w:p w14:paraId="243B254E">
            <w:pPr>
              <w:widowControl/>
              <w:numPr>
                <w:ilvl w:val="0"/>
                <w:numId w:val="96"/>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支持2560x1440 @ 25fps，分辨力不小于1500TVL。</w:t>
            </w:r>
          </w:p>
          <w:p w14:paraId="0C12D5B7">
            <w:pPr>
              <w:widowControl/>
              <w:numPr>
                <w:ilvl w:val="0"/>
                <w:numId w:val="96"/>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内置GPU芯片。</w:t>
            </w:r>
          </w:p>
          <w:p w14:paraId="499D7FAF">
            <w:pPr>
              <w:widowControl/>
              <w:numPr>
                <w:ilvl w:val="0"/>
                <w:numId w:val="96"/>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支持将智能资源分配设置为Smart事件或AI开放平台。</w:t>
            </w:r>
          </w:p>
          <w:p w14:paraId="3A382AE0">
            <w:pPr>
              <w:widowControl/>
              <w:numPr>
                <w:ilvl w:val="0"/>
                <w:numId w:val="96"/>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可通过IE浏览器查看设备芯片类型和算法版本号。</w:t>
            </w:r>
          </w:p>
          <w:p w14:paraId="17D1A619">
            <w:pPr>
              <w:widowControl/>
              <w:numPr>
                <w:ilvl w:val="0"/>
                <w:numId w:val="96"/>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支持用户自定义≥4个算法模型，可设置当前生效的算法模型和显示当前算法模型的运行状态，并支持修改、删除算法模型及自定义算法模型名称。</w:t>
            </w:r>
          </w:p>
          <w:p w14:paraId="60DDD4F0">
            <w:pPr>
              <w:widowControl/>
              <w:numPr>
                <w:ilvl w:val="0"/>
                <w:numId w:val="96"/>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支持离线算法或在线加载和升级等操作，升级过程中设备输出的视频画面应连续稳定，升级完成后设备不应重启</w:t>
            </w:r>
          </w:p>
          <w:p w14:paraId="393EDC72">
            <w:pPr>
              <w:widowControl/>
              <w:numPr>
                <w:ilvl w:val="0"/>
                <w:numId w:val="96"/>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最低照度彩色：0.0002 lx，黑白:0.0001 lx</w:t>
            </w:r>
          </w:p>
          <w:p w14:paraId="3B9BD26A">
            <w:pPr>
              <w:widowControl/>
              <w:numPr>
                <w:ilvl w:val="0"/>
                <w:numId w:val="96"/>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可识别距离样机≥100米人体轮廓</w:t>
            </w:r>
          </w:p>
          <w:p w14:paraId="63E3ED8B">
            <w:pPr>
              <w:widowControl/>
              <w:numPr>
                <w:ilvl w:val="0"/>
                <w:numId w:val="96"/>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同一静止场景相同图像质量下，设备在H.265编码方式时，开启智能编码功能和不开启智能编码相比，码率节约90%</w:t>
            </w:r>
          </w:p>
          <w:p w14:paraId="3A1CE0D0">
            <w:pPr>
              <w:widowControl/>
              <w:numPr>
                <w:ilvl w:val="0"/>
                <w:numId w:val="96"/>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支持厨师检测，可在设定时间和检测区域内实时分析厨师是否戴口罩、是否戴帽子、是否穿工作服，对符合设定条件的目标进行筛选抓拍、统计、上报等处理，提供检测报告。</w:t>
            </w:r>
          </w:p>
          <w:p w14:paraId="00E953F3">
            <w:pPr>
              <w:widowControl/>
              <w:numPr>
                <w:ilvl w:val="0"/>
                <w:numId w:val="96"/>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支持实时检测指定区域内的老鼠的数量，并触发报警</w:t>
            </w:r>
          </w:p>
          <w:p w14:paraId="1246303A">
            <w:pPr>
              <w:widowControl/>
              <w:numPr>
                <w:ilvl w:val="0"/>
                <w:numId w:val="96"/>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 xml:space="preserve">设备视窗面整体结构面平整，凹凸不超过0.5mm。                                                                                                                                                           </w:t>
            </w:r>
          </w:p>
        </w:tc>
        <w:tc>
          <w:tcPr>
            <w:tcW w:w="567" w:type="dxa"/>
            <w:vAlign w:val="center"/>
          </w:tcPr>
          <w:p w14:paraId="29B4D53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台</w:t>
            </w:r>
          </w:p>
        </w:tc>
        <w:tc>
          <w:tcPr>
            <w:tcW w:w="870" w:type="dxa"/>
            <w:vAlign w:val="center"/>
          </w:tcPr>
          <w:p w14:paraId="1964BADF">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 xml:space="preserve">10 </w:t>
            </w:r>
          </w:p>
        </w:tc>
      </w:tr>
      <w:tr w14:paraId="145B7D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0" w:hRule="atLeast"/>
          <w:jc w:val="center"/>
        </w:trPr>
        <w:tc>
          <w:tcPr>
            <w:tcW w:w="644" w:type="dxa"/>
            <w:vAlign w:val="center"/>
          </w:tcPr>
          <w:p w14:paraId="690E1260">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4</w:t>
            </w:r>
          </w:p>
        </w:tc>
        <w:tc>
          <w:tcPr>
            <w:tcW w:w="851" w:type="dxa"/>
            <w:vAlign w:val="center"/>
          </w:tcPr>
          <w:p w14:paraId="5BE3D27A">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400W枪球一体机</w:t>
            </w:r>
          </w:p>
        </w:tc>
        <w:tc>
          <w:tcPr>
            <w:tcW w:w="6378" w:type="dxa"/>
            <w:vAlign w:val="center"/>
          </w:tcPr>
          <w:p w14:paraId="4E0E77D9">
            <w:pPr>
              <w:widowControl/>
              <w:numPr>
                <w:ilvl w:val="0"/>
                <w:numId w:val="97"/>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由全景摄像机和细节摄像机组成。</w:t>
            </w:r>
          </w:p>
          <w:p w14:paraId="1C189E65">
            <w:pPr>
              <w:widowControl/>
              <w:numPr>
                <w:ilvl w:val="0"/>
                <w:numId w:val="97"/>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全景通道：视频图像分辨率≥2688x1520;细节通道：视频图像分辨率≥1920x1080。</w:t>
            </w:r>
          </w:p>
          <w:p w14:paraId="77814501">
            <w:pPr>
              <w:widowControl/>
              <w:numPr>
                <w:ilvl w:val="0"/>
                <w:numId w:val="97"/>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CMOS靶面尺寸均为1/1.8英寸；支持最低照度可达彩色0.0002lx，黑白0.0001lx。</w:t>
            </w:r>
          </w:p>
          <w:p w14:paraId="35414009">
            <w:pPr>
              <w:widowControl/>
              <w:numPr>
                <w:ilvl w:val="0"/>
                <w:numId w:val="97"/>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水平手控最大速度≥750°/S，垂直最大旋转速度≥200°/S，云台定位精度小于等于0.01°。</w:t>
            </w:r>
          </w:p>
          <w:p w14:paraId="234258BC">
            <w:pPr>
              <w:widowControl/>
              <w:numPr>
                <w:ilvl w:val="0"/>
                <w:numId w:val="97"/>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支持≥1024个预置位，可按照所设置的预置位完成≥512条巡航路径，支持≥512条模式路径设置，支持预置位视频冻结功能。</w:t>
            </w:r>
          </w:p>
          <w:p w14:paraId="4352F85E">
            <w:pPr>
              <w:widowControl/>
              <w:numPr>
                <w:ilvl w:val="0"/>
                <w:numId w:val="97"/>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支持人脸抓拍功能，可对经过设定区域的行人进行人脸检测和人脸跟踪，当检测到人脸后，可抓拍人脸图片，提供检测报告</w:t>
            </w:r>
          </w:p>
          <w:p w14:paraId="610F0058">
            <w:pPr>
              <w:widowControl/>
              <w:numPr>
                <w:ilvl w:val="0"/>
                <w:numId w:val="97"/>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需具备智能分析抗干扰功能，当篮球、小狗、树叶等非人或车辆目标经过检测区域时，不会触发报警。</w:t>
            </w:r>
          </w:p>
          <w:p w14:paraId="178D13C7">
            <w:pPr>
              <w:widowControl/>
              <w:numPr>
                <w:ilvl w:val="0"/>
                <w:numId w:val="97"/>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内置≥2颗GPU芯片。</w:t>
            </w:r>
          </w:p>
          <w:p w14:paraId="1A3C6AAC">
            <w:pPr>
              <w:widowControl/>
              <w:numPr>
                <w:ilvl w:val="0"/>
                <w:numId w:val="97"/>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 xml:space="preserve">全景摄像机内置≥4颗补光灯，细节摄像机内置≥6颗补光灯。                                                                                                                                                        </w:t>
            </w:r>
          </w:p>
        </w:tc>
        <w:tc>
          <w:tcPr>
            <w:tcW w:w="567" w:type="dxa"/>
            <w:vAlign w:val="center"/>
          </w:tcPr>
          <w:p w14:paraId="1AD516DD">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台</w:t>
            </w:r>
          </w:p>
        </w:tc>
        <w:tc>
          <w:tcPr>
            <w:tcW w:w="870" w:type="dxa"/>
            <w:vAlign w:val="center"/>
          </w:tcPr>
          <w:p w14:paraId="7BDACF9C">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 xml:space="preserve">10 </w:t>
            </w:r>
          </w:p>
        </w:tc>
      </w:tr>
      <w:tr w14:paraId="0ED22E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0" w:hRule="atLeast"/>
          <w:jc w:val="center"/>
        </w:trPr>
        <w:tc>
          <w:tcPr>
            <w:tcW w:w="644" w:type="dxa"/>
            <w:vAlign w:val="center"/>
          </w:tcPr>
          <w:p w14:paraId="14F4D033">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5</w:t>
            </w:r>
          </w:p>
        </w:tc>
        <w:tc>
          <w:tcPr>
            <w:tcW w:w="851" w:type="dxa"/>
            <w:vAlign w:val="center"/>
          </w:tcPr>
          <w:p w14:paraId="0EE40202">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热成像安消摄像机</w:t>
            </w:r>
          </w:p>
        </w:tc>
        <w:tc>
          <w:tcPr>
            <w:tcW w:w="6378" w:type="dxa"/>
            <w:vAlign w:val="center"/>
          </w:tcPr>
          <w:p w14:paraId="5C2DB328">
            <w:pPr>
              <w:widowControl/>
              <w:numPr>
                <w:ilvl w:val="0"/>
                <w:numId w:val="98"/>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设备具有双向语音对讲和单向语音广播功能</w:t>
            </w:r>
          </w:p>
          <w:p w14:paraId="603EFAB8">
            <w:pPr>
              <w:widowControl/>
              <w:numPr>
                <w:ilvl w:val="0"/>
                <w:numId w:val="98"/>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可同时输出可见光视频图像主码流和热成像视频图像主码流，可见光视频图像25帧/s(2560*1440)</w:t>
            </w:r>
          </w:p>
          <w:p w14:paraId="6B2541FA">
            <w:pPr>
              <w:widowControl/>
              <w:numPr>
                <w:ilvl w:val="0"/>
                <w:numId w:val="98"/>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测温范围可设置为0℃~400℃</w:t>
            </w:r>
          </w:p>
          <w:p w14:paraId="0F610B8F">
            <w:pPr>
              <w:widowControl/>
              <w:numPr>
                <w:ilvl w:val="0"/>
                <w:numId w:val="98"/>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可通过IE浏览器在热成像画面中设置区域测温规则，最多可设置≥10个区域</w:t>
            </w:r>
          </w:p>
          <w:p w14:paraId="19052A9E">
            <w:pPr>
              <w:widowControl/>
              <w:numPr>
                <w:ilvl w:val="0"/>
                <w:numId w:val="98"/>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可对热成像视频图像画面上最高探测温度和最低探测温度的目标进行跟踪和标注</w:t>
            </w:r>
          </w:p>
          <w:p w14:paraId="7640B5AE">
            <w:pPr>
              <w:widowControl/>
              <w:numPr>
                <w:ilvl w:val="0"/>
                <w:numId w:val="98"/>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烟雾触发报警功能：设备具备烟雾触发报警功能，在设定的监控区域范围内，出现大量烟雾，当浓度达到报警设定阈值时，触发设备烟雾报警，视频画面叠加烟雾报警信息，并录像及上传抓拍图片</w:t>
            </w:r>
          </w:p>
          <w:p w14:paraId="2B86BC96">
            <w:pPr>
              <w:widowControl/>
              <w:numPr>
                <w:ilvl w:val="0"/>
                <w:numId w:val="98"/>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火点触发报警功能：设备具备火点触发报警功能，在设定的监控区域范围内，出现火点，当火点大小达到报警设定阈值时，触发设备火点报警，视频画面叠加火焰报警信息，并录像及上传抓拍图片</w:t>
            </w:r>
          </w:p>
          <w:p w14:paraId="6AFDA161">
            <w:pPr>
              <w:widowControl/>
              <w:numPr>
                <w:ilvl w:val="0"/>
                <w:numId w:val="98"/>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可对智能行为、测温超过阈值、出现高温点、出现烟火报警等进行检测并进行语音报警、灯光闪烁报警，提供检测报告。</w:t>
            </w:r>
          </w:p>
          <w:p w14:paraId="1F24ECBE">
            <w:pPr>
              <w:widowControl/>
              <w:numPr>
                <w:ilvl w:val="0"/>
                <w:numId w:val="98"/>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 xml:space="preserve">火灾报警信号传输功能：发生火灾时，探测器可将报警信息通过输入模块传输到火灾报警主机中，并在火灾报警主机中显示该报警信息，提供检测报告。 </w:t>
            </w:r>
          </w:p>
        </w:tc>
        <w:tc>
          <w:tcPr>
            <w:tcW w:w="567" w:type="dxa"/>
            <w:vAlign w:val="center"/>
          </w:tcPr>
          <w:p w14:paraId="669AFB14">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台</w:t>
            </w:r>
          </w:p>
        </w:tc>
        <w:tc>
          <w:tcPr>
            <w:tcW w:w="870" w:type="dxa"/>
            <w:vAlign w:val="center"/>
          </w:tcPr>
          <w:p w14:paraId="629F281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 xml:space="preserve">7 </w:t>
            </w:r>
          </w:p>
        </w:tc>
      </w:tr>
      <w:tr w14:paraId="6838BC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0" w:hRule="atLeast"/>
          <w:jc w:val="center"/>
        </w:trPr>
        <w:tc>
          <w:tcPr>
            <w:tcW w:w="644" w:type="dxa"/>
            <w:vAlign w:val="center"/>
          </w:tcPr>
          <w:p w14:paraId="30457863">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6</w:t>
            </w:r>
          </w:p>
        </w:tc>
        <w:tc>
          <w:tcPr>
            <w:tcW w:w="851" w:type="dxa"/>
            <w:vAlign w:val="center"/>
          </w:tcPr>
          <w:p w14:paraId="742842B5">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人脸抓拍摄像机</w:t>
            </w:r>
          </w:p>
        </w:tc>
        <w:tc>
          <w:tcPr>
            <w:tcW w:w="6378" w:type="dxa"/>
            <w:vAlign w:val="center"/>
          </w:tcPr>
          <w:p w14:paraId="4794044D">
            <w:pPr>
              <w:widowControl/>
              <w:numPr>
                <w:ilvl w:val="0"/>
                <w:numId w:val="99"/>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支持分辨率≥2560×1440@25fps，分辨力≥1500TVL。</w:t>
            </w:r>
          </w:p>
          <w:p w14:paraId="1475E334">
            <w:pPr>
              <w:widowControl/>
              <w:numPr>
                <w:ilvl w:val="0"/>
                <w:numId w:val="99"/>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最低照度彩色：0.0002 lx，黑白:0.0001 lx，最大亮度鉴别等级（灰度等级）≥11级。</w:t>
            </w:r>
          </w:p>
          <w:p w14:paraId="099A0495">
            <w:pPr>
              <w:widowControl/>
              <w:numPr>
                <w:ilvl w:val="0"/>
                <w:numId w:val="99"/>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内置GPU芯片。</w:t>
            </w:r>
          </w:p>
          <w:p w14:paraId="74AE6E90">
            <w:pPr>
              <w:widowControl/>
              <w:numPr>
                <w:ilvl w:val="0"/>
                <w:numId w:val="99"/>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支持检出两眼瞳距20像素点以上的人脸图片。</w:t>
            </w:r>
          </w:p>
          <w:p w14:paraId="62D4917B">
            <w:pPr>
              <w:widowControl/>
              <w:numPr>
                <w:ilvl w:val="0"/>
                <w:numId w:val="99"/>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支持侧脸过滤功能，可过滤上下、左右倾斜角度超过预设值的人脸。</w:t>
            </w:r>
          </w:p>
          <w:p w14:paraId="0FDE0F9A">
            <w:pPr>
              <w:widowControl/>
              <w:numPr>
                <w:ilvl w:val="0"/>
                <w:numId w:val="99"/>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当进入区域、离开区域、越界侦测或区域入侵报警产生时，可在报警布防时间内联动声音报警和/或白光灯闪烁。</w:t>
            </w:r>
          </w:p>
          <w:p w14:paraId="55093A58">
            <w:pPr>
              <w:widowControl/>
              <w:numPr>
                <w:ilvl w:val="0"/>
                <w:numId w:val="99"/>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设备具有耀光抑制功能，耀光区域≤1%。</w:t>
            </w:r>
          </w:p>
          <w:p w14:paraId="5E103309">
            <w:pPr>
              <w:widowControl/>
              <w:numPr>
                <w:ilvl w:val="0"/>
                <w:numId w:val="99"/>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内置4颗补光灯，为鳞镜式补光灯，灯杯为半弧形网格鳞片状。</w:t>
            </w:r>
          </w:p>
          <w:p w14:paraId="2E82BDC8">
            <w:pPr>
              <w:widowControl/>
              <w:numPr>
                <w:ilvl w:val="0"/>
                <w:numId w:val="99"/>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灯珠朝向与样机照射方向不同，补光灯开启后正面不可见补光灯灯珠。补光灯开启后灯光均匀无波纹、麻点状、条纹状和不规则亮斑。</w:t>
            </w:r>
          </w:p>
          <w:p w14:paraId="68B76F81">
            <w:pPr>
              <w:widowControl/>
              <w:numPr>
                <w:ilvl w:val="0"/>
                <w:numId w:val="99"/>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 xml:space="preserve">支持人数统计功能，支持设置≥8个多边形人数统计区域，可分别设置不同区域的报警类型、报警时间间隔。                                                                                                      </w:t>
            </w:r>
          </w:p>
        </w:tc>
        <w:tc>
          <w:tcPr>
            <w:tcW w:w="567" w:type="dxa"/>
            <w:vAlign w:val="center"/>
          </w:tcPr>
          <w:p w14:paraId="603D9D80">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台</w:t>
            </w:r>
          </w:p>
        </w:tc>
        <w:tc>
          <w:tcPr>
            <w:tcW w:w="870" w:type="dxa"/>
            <w:vAlign w:val="center"/>
          </w:tcPr>
          <w:p w14:paraId="36D01815">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 xml:space="preserve">12 </w:t>
            </w:r>
          </w:p>
        </w:tc>
      </w:tr>
      <w:tr w14:paraId="366EF0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0" w:hRule="atLeast"/>
          <w:jc w:val="center"/>
        </w:trPr>
        <w:tc>
          <w:tcPr>
            <w:tcW w:w="644" w:type="dxa"/>
            <w:vAlign w:val="center"/>
          </w:tcPr>
          <w:p w14:paraId="63A99F57">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7</w:t>
            </w:r>
          </w:p>
        </w:tc>
        <w:tc>
          <w:tcPr>
            <w:tcW w:w="851" w:type="dxa"/>
            <w:vAlign w:val="center"/>
          </w:tcPr>
          <w:p w14:paraId="7D52BC8B">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全景枪球一体摄像机</w:t>
            </w:r>
          </w:p>
        </w:tc>
        <w:tc>
          <w:tcPr>
            <w:tcW w:w="6378" w:type="dxa"/>
            <w:vAlign w:val="center"/>
          </w:tcPr>
          <w:p w14:paraId="6A182EEF">
            <w:pPr>
              <w:widowControl/>
              <w:numPr>
                <w:ilvl w:val="0"/>
                <w:numId w:val="100"/>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摄像机内置≥2个镜头，可输出≥1路全景视频和≥1路细节视频，其中全景内置≥1个镜头，细节内置≥1个镜头。</w:t>
            </w:r>
          </w:p>
          <w:p w14:paraId="3CCD6C34">
            <w:pPr>
              <w:widowControl/>
              <w:numPr>
                <w:ilvl w:val="0"/>
                <w:numId w:val="100"/>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全景内置≥1个镜头，光圈≥F1.0，具有≥1/1.8靶面尺寸，内置≥4颗补光灯</w:t>
            </w:r>
          </w:p>
          <w:p w14:paraId="2FBCD784">
            <w:pPr>
              <w:widowControl/>
              <w:numPr>
                <w:ilvl w:val="0"/>
                <w:numId w:val="100"/>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细节通道内置镜头，支持≥32倍光学变倍，镜头最大焦距≥192mm，具备≥1/1.8靶面尺寸，内置≥10颗红外补光灯及≥1颗白光灯</w:t>
            </w:r>
          </w:p>
          <w:p w14:paraId="7AA4A782">
            <w:pPr>
              <w:widowControl/>
              <w:numPr>
                <w:ilvl w:val="0"/>
                <w:numId w:val="100"/>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内置≥2颗GPU芯片。</w:t>
            </w:r>
          </w:p>
          <w:p w14:paraId="19BB2E26">
            <w:pPr>
              <w:widowControl/>
              <w:numPr>
                <w:ilvl w:val="0"/>
                <w:numId w:val="100"/>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全景通道视频分辨率≥2560×1440，细节通道视频分辨率≥3840×2160</w:t>
            </w:r>
          </w:p>
          <w:p w14:paraId="3CE62E76">
            <w:pPr>
              <w:widowControl/>
              <w:numPr>
                <w:ilvl w:val="0"/>
                <w:numId w:val="100"/>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细节通道镜头支持最低照度可达彩色0.0002 lx，黑白0.0001 lx</w:t>
            </w:r>
          </w:p>
          <w:p w14:paraId="659149B8">
            <w:pPr>
              <w:widowControl/>
              <w:numPr>
                <w:ilvl w:val="0"/>
                <w:numId w:val="100"/>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设备smart 事件上报的抓图支持叠加规则区域和目标框：可配置报警抓图叠加目标信息及规则信息，支持开启及关闭；支持设置告警区域最大可包含整个监控画面；支持设置预览画面是否叠加显示规则区域框及告警提示信息。</w:t>
            </w:r>
          </w:p>
          <w:p w14:paraId="11C6046B">
            <w:pPr>
              <w:widowControl/>
              <w:numPr>
                <w:ilvl w:val="0"/>
                <w:numId w:val="100"/>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设备支持可从诊断信息中导出云台控制历史记录，包括：手动键控PTZ、3D定位、手动调用预置点、手动调用花扫、手动调用巡航，提供检测报告。</w:t>
            </w:r>
          </w:p>
          <w:p w14:paraId="74A437E9">
            <w:pPr>
              <w:widowControl/>
              <w:numPr>
                <w:ilvl w:val="0"/>
                <w:numId w:val="100"/>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具有设备抓包功能，可判断是否有磁盘和录像剩余空间是否不足。支持配置抓包时长、输出路径、网卡类型、IP、端口等，若录像剩余空间不足 50%或者磁盘不存在，弹出提示“当前选中的磁盘空间不足，请先格式化磁盘或调整抓包输出路径”;若录像剩余空间超过 50%，则停止录像功能并输出抓包文件，提供检测报告。</w:t>
            </w:r>
          </w:p>
          <w:p w14:paraId="5B01EAF1">
            <w:pPr>
              <w:widowControl/>
              <w:numPr>
                <w:ilvl w:val="0"/>
                <w:numId w:val="100"/>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具备声音报警输出功能，可设置≥11种警戒音、提示音、自定义语音，报警次数1～50次可设；可通过区域入侵侦测、越界侦测、进入区域侦测、离开区域侦测等报警事件，联动声音报警</w:t>
            </w:r>
          </w:p>
          <w:p w14:paraId="739EFEC8">
            <w:pPr>
              <w:widowControl/>
              <w:numPr>
                <w:ilvl w:val="0"/>
                <w:numId w:val="100"/>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当篮球、小狗、树叶等非人或车辆目标经过检测区域时不会触发报警</w:t>
            </w:r>
          </w:p>
          <w:p w14:paraId="35A139B1">
            <w:pPr>
              <w:widowControl/>
              <w:numPr>
                <w:ilvl w:val="0"/>
                <w:numId w:val="100"/>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摄像机具备AR标签管理功能，可对监控区域的常规点位、卡口点位、人脸点位、重点道路、重点场所等进行标签标注，最多可添加≥500个标签</w:t>
            </w:r>
          </w:p>
          <w:p w14:paraId="052EF8AC">
            <w:pPr>
              <w:widowControl/>
              <w:numPr>
                <w:ilvl w:val="0"/>
                <w:numId w:val="100"/>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摄像机具备AR标签抖动漂移功能，当设备云台明显抖动、转动、或进行镜头变倍时，标签应跟随标定的目标物移动，并在画面中与目标物保持相对静止，提供检测报告。</w:t>
            </w:r>
          </w:p>
          <w:p w14:paraId="760688E4">
            <w:pPr>
              <w:widowControl/>
              <w:numPr>
                <w:ilvl w:val="0"/>
                <w:numId w:val="100"/>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设备进行违法停车检测时，镜头倍率为1倍情况下，白天有效检测距离最大为150米，其他倍率下，白天有效检测距离最大为300米</w:t>
            </w:r>
          </w:p>
          <w:p w14:paraId="73BE8BAF">
            <w:pPr>
              <w:widowControl/>
              <w:numPr>
                <w:ilvl w:val="0"/>
                <w:numId w:val="100"/>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 xml:space="preserve">设备可通过预置位设置≥16个预置违法检测场景，每个场景内可设置≥8条违法检测规则。提供检测报告。 </w:t>
            </w:r>
          </w:p>
        </w:tc>
        <w:tc>
          <w:tcPr>
            <w:tcW w:w="567" w:type="dxa"/>
            <w:vAlign w:val="center"/>
          </w:tcPr>
          <w:p w14:paraId="7001B853">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台</w:t>
            </w:r>
          </w:p>
        </w:tc>
        <w:tc>
          <w:tcPr>
            <w:tcW w:w="870" w:type="dxa"/>
            <w:vAlign w:val="center"/>
          </w:tcPr>
          <w:p w14:paraId="0D093CD2">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 xml:space="preserve">1 </w:t>
            </w:r>
          </w:p>
        </w:tc>
      </w:tr>
      <w:tr w14:paraId="1A7489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0" w:hRule="atLeast"/>
          <w:jc w:val="center"/>
        </w:trPr>
        <w:tc>
          <w:tcPr>
            <w:tcW w:w="644" w:type="dxa"/>
            <w:vAlign w:val="center"/>
          </w:tcPr>
          <w:p w14:paraId="5915B808">
            <w:pPr>
              <w:widowControl/>
              <w:jc w:val="center"/>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8</w:t>
            </w:r>
          </w:p>
        </w:tc>
        <w:tc>
          <w:tcPr>
            <w:tcW w:w="851" w:type="dxa"/>
            <w:vAlign w:val="center"/>
          </w:tcPr>
          <w:p w14:paraId="3141E80B">
            <w:pPr>
              <w:widowControl/>
              <w:jc w:val="center"/>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24口POE交换机</w:t>
            </w:r>
          </w:p>
        </w:tc>
        <w:tc>
          <w:tcPr>
            <w:tcW w:w="6378" w:type="dxa"/>
            <w:vAlign w:val="center"/>
          </w:tcPr>
          <w:p w14:paraId="486FBF5E">
            <w:pPr>
              <w:widowControl/>
              <w:numPr>
                <w:ilvl w:val="0"/>
                <w:numId w:val="101"/>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交换容量≥432Gbps/4.32Tbps，转发性能≥108Mpps/126Mpps。</w:t>
            </w:r>
          </w:p>
          <w:p w14:paraId="020D5D08">
            <w:pPr>
              <w:widowControl/>
              <w:numPr>
                <w:ilvl w:val="0"/>
                <w:numId w:val="101"/>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固化10/100/1000M以太网端口≥24个，1G/2.5G SFP非复用光接口≥4个。</w:t>
            </w:r>
          </w:p>
          <w:p w14:paraId="55B6B440">
            <w:pPr>
              <w:widowControl/>
              <w:numPr>
                <w:ilvl w:val="0"/>
                <w:numId w:val="101"/>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支持POE和POE+远程供电,最大可支持POE供电端口≥24个，POE最大输出功率≥370W。</w:t>
            </w:r>
          </w:p>
          <w:p w14:paraId="5D2DEBDE">
            <w:pPr>
              <w:widowControl/>
              <w:numPr>
                <w:ilvl w:val="0"/>
                <w:numId w:val="101"/>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绿色节能：要求支持高效节能以太网特性。端口如果在连续一段时间之内空闲，系统会将该端口设置为节能模式，当有报文收发时再通过定时发送的监听码流唤醒端口恢复业务，达到节能的效果。</w:t>
            </w:r>
          </w:p>
          <w:p w14:paraId="45BE94B7">
            <w:pPr>
              <w:widowControl/>
              <w:numPr>
                <w:ilvl w:val="0"/>
                <w:numId w:val="101"/>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支持快速以太网链路检测协议，可检测端口下的环路问题，当设备端口检测到环路时，执行关联策略并可通告控制器，发生环路的接口告警信息并记录。</w:t>
            </w:r>
          </w:p>
          <w:p w14:paraId="3B5C0DFE">
            <w:pPr>
              <w:widowControl/>
              <w:numPr>
                <w:ilvl w:val="0"/>
                <w:numId w:val="101"/>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支持即插即用，零配置开局上线。开箱上电即可被主机发现和纳管，无需刷入配置。提供检测报告。</w:t>
            </w:r>
          </w:p>
          <w:p w14:paraId="5591971F">
            <w:pPr>
              <w:widowControl/>
              <w:numPr>
                <w:ilvl w:val="0"/>
                <w:numId w:val="101"/>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无需单台逐一配置，可在控制器端通过图形化界面批量配置设备，可针对VLAN、端口状态、防环路等参数进行配置。提供检测报告。</w:t>
            </w:r>
          </w:p>
          <w:p w14:paraId="4D5F75E6">
            <w:pPr>
              <w:widowControl/>
              <w:numPr>
                <w:ilvl w:val="0"/>
                <w:numId w:val="101"/>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无需单台逐一升级，可在控制器端通过图形化界面批量升级设备。</w:t>
            </w:r>
          </w:p>
        </w:tc>
        <w:tc>
          <w:tcPr>
            <w:tcW w:w="567" w:type="dxa"/>
            <w:vAlign w:val="center"/>
          </w:tcPr>
          <w:p w14:paraId="623AD923">
            <w:pPr>
              <w:widowControl/>
              <w:jc w:val="center"/>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台</w:t>
            </w:r>
          </w:p>
        </w:tc>
        <w:tc>
          <w:tcPr>
            <w:tcW w:w="870" w:type="dxa"/>
            <w:vAlign w:val="center"/>
          </w:tcPr>
          <w:p w14:paraId="06A8F2BA">
            <w:pPr>
              <w:widowControl/>
              <w:jc w:val="center"/>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 xml:space="preserve">31 </w:t>
            </w:r>
          </w:p>
        </w:tc>
      </w:tr>
      <w:tr w14:paraId="39220C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0" w:hRule="atLeast"/>
          <w:jc w:val="center"/>
        </w:trPr>
        <w:tc>
          <w:tcPr>
            <w:tcW w:w="644" w:type="dxa"/>
            <w:vAlign w:val="center"/>
          </w:tcPr>
          <w:p w14:paraId="03C571D3">
            <w:pPr>
              <w:widowControl/>
              <w:jc w:val="center"/>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9</w:t>
            </w:r>
          </w:p>
        </w:tc>
        <w:tc>
          <w:tcPr>
            <w:tcW w:w="851" w:type="dxa"/>
            <w:vAlign w:val="center"/>
          </w:tcPr>
          <w:p w14:paraId="48AC6D5D">
            <w:pPr>
              <w:widowControl/>
              <w:jc w:val="center"/>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8口POE交换机</w:t>
            </w:r>
          </w:p>
        </w:tc>
        <w:tc>
          <w:tcPr>
            <w:tcW w:w="6378" w:type="dxa"/>
            <w:vAlign w:val="center"/>
          </w:tcPr>
          <w:p w14:paraId="19EC6E17">
            <w:pPr>
              <w:widowControl/>
              <w:numPr>
                <w:ilvl w:val="0"/>
                <w:numId w:val="102"/>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 xml:space="preserve">交换容量≥432Gbps/4.32Tbps，转发性能≥30Mpps/80Mpps， </w:t>
            </w:r>
          </w:p>
          <w:p w14:paraId="1E483203">
            <w:pPr>
              <w:widowControl/>
              <w:numPr>
                <w:ilvl w:val="0"/>
                <w:numId w:val="102"/>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固化10/100/1000M以太网端口≥10个，1G/2.5G SFP非复用光接口≥2个，提供官网截图</w:t>
            </w:r>
          </w:p>
          <w:p w14:paraId="52B365C5">
            <w:pPr>
              <w:widowControl/>
              <w:numPr>
                <w:ilvl w:val="0"/>
                <w:numId w:val="102"/>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支持POE和POE+远程供电，最大可支持POE供电端口≥8个，POE最大输出功率≥125W</w:t>
            </w:r>
          </w:p>
          <w:p w14:paraId="475417C0">
            <w:pPr>
              <w:widowControl/>
              <w:numPr>
                <w:ilvl w:val="0"/>
                <w:numId w:val="102"/>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绿色节能：要求支持高效节能以太网特性。端口如果在连续一段时间之内空闲，系统会将该端口设置为节能模式，当有报文收发时再通过定时发送的监听码流唤醒端口恢复业务，达到节能的效果。</w:t>
            </w:r>
          </w:p>
          <w:p w14:paraId="001FEAC9">
            <w:pPr>
              <w:widowControl/>
              <w:numPr>
                <w:ilvl w:val="0"/>
                <w:numId w:val="102"/>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支持专门针对CPU的保护机制，能够针对发往CPU处理的各种报文进行流区分和优先级队列分级处理，保护远端模块在各种环境下稳定工作</w:t>
            </w:r>
          </w:p>
        </w:tc>
        <w:tc>
          <w:tcPr>
            <w:tcW w:w="567" w:type="dxa"/>
            <w:vAlign w:val="center"/>
          </w:tcPr>
          <w:p w14:paraId="637EBFD0">
            <w:pPr>
              <w:widowControl/>
              <w:jc w:val="center"/>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台</w:t>
            </w:r>
          </w:p>
        </w:tc>
        <w:tc>
          <w:tcPr>
            <w:tcW w:w="870" w:type="dxa"/>
            <w:vAlign w:val="center"/>
          </w:tcPr>
          <w:p w14:paraId="10918182">
            <w:pPr>
              <w:widowControl/>
              <w:jc w:val="center"/>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 xml:space="preserve">10 </w:t>
            </w:r>
          </w:p>
        </w:tc>
      </w:tr>
      <w:tr w14:paraId="1F0BFF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0" w:hRule="atLeast"/>
          <w:jc w:val="center"/>
        </w:trPr>
        <w:tc>
          <w:tcPr>
            <w:tcW w:w="644" w:type="dxa"/>
            <w:vAlign w:val="center"/>
          </w:tcPr>
          <w:p w14:paraId="6A390949">
            <w:pPr>
              <w:widowControl/>
              <w:jc w:val="center"/>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10</w:t>
            </w:r>
          </w:p>
        </w:tc>
        <w:tc>
          <w:tcPr>
            <w:tcW w:w="851" w:type="dxa"/>
            <w:vAlign w:val="center"/>
          </w:tcPr>
          <w:p w14:paraId="29261C8C">
            <w:pPr>
              <w:widowControl/>
              <w:jc w:val="center"/>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核心交换机</w:t>
            </w:r>
          </w:p>
        </w:tc>
        <w:tc>
          <w:tcPr>
            <w:tcW w:w="6378" w:type="dxa"/>
            <w:vAlign w:val="center"/>
          </w:tcPr>
          <w:p w14:paraId="3621F755">
            <w:pPr>
              <w:widowControl/>
              <w:numPr>
                <w:ilvl w:val="0"/>
                <w:numId w:val="103"/>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交换容量≥38Tbps/160Tbps，转发性能≥7000Mpps/35000Mpps，提供官网截图；</w:t>
            </w:r>
          </w:p>
          <w:p w14:paraId="501A54DD">
            <w:pPr>
              <w:widowControl/>
              <w:numPr>
                <w:ilvl w:val="0"/>
                <w:numId w:val="103"/>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要求独立插槽≥8个，提供官网截图；</w:t>
            </w:r>
          </w:p>
          <w:p w14:paraId="1D368C16">
            <w:pPr>
              <w:widowControl/>
              <w:numPr>
                <w:ilvl w:val="0"/>
                <w:numId w:val="103"/>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支持1个硬盘，硬盘容量≥1TB；提供官网截图；</w:t>
            </w:r>
          </w:p>
          <w:p w14:paraId="50A8EDC0">
            <w:pPr>
              <w:widowControl/>
              <w:numPr>
                <w:ilvl w:val="0"/>
                <w:numId w:val="103"/>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 xml:space="preserve">支持可拔插双模块化电源，实现1+1冗余，支持热插拔， </w:t>
            </w:r>
          </w:p>
          <w:p w14:paraId="7BB5BCB5">
            <w:pPr>
              <w:widowControl/>
              <w:numPr>
                <w:ilvl w:val="0"/>
                <w:numId w:val="103"/>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采用正交交换架构，交换网板与线卡成垂直90°正交连接，业务板槽位采用竖插槽方式设计，提供官网截图；</w:t>
            </w:r>
          </w:p>
          <w:p w14:paraId="0615636B">
            <w:pPr>
              <w:widowControl/>
              <w:numPr>
                <w:ilvl w:val="0"/>
                <w:numId w:val="103"/>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为适应机柜并排部署，采取严格前后风道散热设计，确保与机房散热风道保持一致，提升散热效率；提供设备散热气流流向截图；</w:t>
            </w:r>
          </w:p>
          <w:p w14:paraId="7D93B67E">
            <w:pPr>
              <w:widowControl/>
              <w:numPr>
                <w:ilvl w:val="0"/>
                <w:numId w:val="103"/>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支持静态路由、等价路由、策略路由；支持OSPF v2/v3、RIPv1/v2、RIPng、BGPv4、BGP4+、IS-ISv4/v6等路由协议；</w:t>
            </w:r>
          </w:p>
          <w:p w14:paraId="26CCE993">
            <w:pPr>
              <w:widowControl/>
              <w:numPr>
                <w:ilvl w:val="0"/>
                <w:numId w:val="103"/>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为保障业务安全，产品具备安全特性。支持ARP防攻击、安全地址绑定、防ICMP攻击等；</w:t>
            </w:r>
          </w:p>
          <w:p w14:paraId="1E29722A">
            <w:pPr>
              <w:widowControl/>
              <w:numPr>
                <w:ilvl w:val="0"/>
                <w:numId w:val="103"/>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支持IEEE 802.1d(STP)、 802.1w(RSTP)、 802.1s(MSTP)，支持端口聚合，支持一对一镜像、多对一镜像、一对多镜像，支持流镜像，支持SPAN、RSPAN远程镜像；</w:t>
            </w:r>
          </w:p>
          <w:p w14:paraId="370D6CDB">
            <w:pPr>
              <w:widowControl/>
              <w:numPr>
                <w:ilvl w:val="0"/>
                <w:numId w:val="103"/>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支持SNMP V1/V2/V3、Telnet、SSHv2.0；支持通过命令行或中文图形化配置软件等方式进行配置和管理；</w:t>
            </w:r>
          </w:p>
          <w:p w14:paraId="1915DEDC">
            <w:pPr>
              <w:widowControl/>
              <w:numPr>
                <w:ilvl w:val="0"/>
                <w:numId w:val="103"/>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支持IGMP，支持PIM-DM、PIM-SM、PIM-SSM等组播路由协议、支持组播静态路由；</w:t>
            </w:r>
          </w:p>
          <w:p w14:paraId="77135477">
            <w:pPr>
              <w:widowControl/>
              <w:numPr>
                <w:ilvl w:val="0"/>
                <w:numId w:val="103"/>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可将多台物理设备虚拟化为1台逻辑设备，虚拟化后的逻辑设备与外围设备通过聚合链路连接，其中一台虚拟化成员设备出现故障时，流量可自动切换到其他虚拟化成员设备，故障恢复收敛时间≤200ms。提供检测报告；</w:t>
            </w:r>
          </w:p>
          <w:p w14:paraId="3B9C626D">
            <w:pPr>
              <w:widowControl/>
              <w:numPr>
                <w:ilvl w:val="0"/>
                <w:numId w:val="103"/>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可将多台物理设备虚拟化为1台逻辑设备，虚拟化成员设备之间支持多条链路互联，且多条链路为负载均衡模式，断开一条链路后，流量可自动切换到其他链路，通过丢包数量计算出收敛时间≤100ms。</w:t>
            </w:r>
          </w:p>
          <w:p w14:paraId="7978B98C">
            <w:pPr>
              <w:widowControl/>
              <w:numPr>
                <w:ilvl w:val="0"/>
                <w:numId w:val="103"/>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配置千兆电口≥16个，千兆光口≥24个，万兆光口≥4个，电源模块≥2个，配置SDN软件授权；</w:t>
            </w:r>
          </w:p>
        </w:tc>
        <w:tc>
          <w:tcPr>
            <w:tcW w:w="567" w:type="dxa"/>
            <w:vAlign w:val="center"/>
          </w:tcPr>
          <w:p w14:paraId="27733AC7">
            <w:pPr>
              <w:widowControl/>
              <w:jc w:val="center"/>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台</w:t>
            </w:r>
          </w:p>
        </w:tc>
        <w:tc>
          <w:tcPr>
            <w:tcW w:w="870" w:type="dxa"/>
            <w:vAlign w:val="center"/>
          </w:tcPr>
          <w:p w14:paraId="0AA2B525">
            <w:pPr>
              <w:widowControl/>
              <w:jc w:val="center"/>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 xml:space="preserve">1 </w:t>
            </w:r>
          </w:p>
        </w:tc>
      </w:tr>
      <w:tr w14:paraId="108D4A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0" w:hRule="atLeast"/>
          <w:jc w:val="center"/>
        </w:trPr>
        <w:tc>
          <w:tcPr>
            <w:tcW w:w="644" w:type="dxa"/>
            <w:vAlign w:val="center"/>
          </w:tcPr>
          <w:p w14:paraId="2A574CB1">
            <w:pPr>
              <w:widowControl/>
              <w:jc w:val="center"/>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11</w:t>
            </w:r>
          </w:p>
        </w:tc>
        <w:tc>
          <w:tcPr>
            <w:tcW w:w="851" w:type="dxa"/>
            <w:vAlign w:val="center"/>
          </w:tcPr>
          <w:p w14:paraId="7225E9EE">
            <w:pPr>
              <w:widowControl/>
              <w:jc w:val="center"/>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中心管理服务器</w:t>
            </w:r>
          </w:p>
        </w:tc>
        <w:tc>
          <w:tcPr>
            <w:tcW w:w="6378" w:type="dxa"/>
            <w:vAlign w:val="center"/>
          </w:tcPr>
          <w:p w14:paraId="338C422D">
            <w:pPr>
              <w:widowControl/>
              <w:numPr>
                <w:ilvl w:val="0"/>
                <w:numId w:val="104"/>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CPU：配置≥2颗 C86架构处理器，单处理器物理核心数≥8核，主频≥3.0 GHz，末级缓存容量≥16 MB，线程数≥16线程，支持内存的最高速率≥3200 MHz，通道数≥2，位宽≥64；</w:t>
            </w:r>
          </w:p>
          <w:p w14:paraId="26D395C9">
            <w:pPr>
              <w:widowControl/>
              <w:numPr>
                <w:ilvl w:val="0"/>
                <w:numId w:val="104"/>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内存：配置≥64G DDR4，≥8根内存插槽，最大可支持扩展至≥1TB；</w:t>
            </w:r>
          </w:p>
          <w:p w14:paraId="1E2606E7">
            <w:pPr>
              <w:widowControl/>
              <w:numPr>
                <w:ilvl w:val="0"/>
                <w:numId w:val="104"/>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硬盘：≥2块600G 10K SAS硬盘（Raid1），前置最大可选支持≥12块3.5寸(兼容2.5寸)热插拔SATA/SAS硬盘，后置最大可选支持≥2块2.5寸热插拔SATA/SAS硬盘，内置最大可选支持≥2块2.5寸非热插拔SATA SSD硬盘，板载最大可选支持≥1个SATA M.2硬盘</w:t>
            </w:r>
          </w:p>
          <w:p w14:paraId="33E39F50">
            <w:pPr>
              <w:widowControl/>
              <w:numPr>
                <w:ilvl w:val="0"/>
                <w:numId w:val="104"/>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阵列卡：配置SAS_HBA卡（支持RAID 0/1/10）</w:t>
            </w:r>
          </w:p>
          <w:p w14:paraId="3E63A045">
            <w:pPr>
              <w:widowControl/>
              <w:numPr>
                <w:ilvl w:val="0"/>
                <w:numId w:val="104"/>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PCIE扩展：支持≥4个标准PCIE插槽；</w:t>
            </w:r>
          </w:p>
          <w:p w14:paraId="0F08599A">
            <w:pPr>
              <w:widowControl/>
              <w:numPr>
                <w:ilvl w:val="0"/>
                <w:numId w:val="104"/>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网口：标配板载≥2个千兆电口和≥2个PCIE千兆电口，可选配置≥2个万兆网口，支持选配10GbE SFP+等多种网络接口</w:t>
            </w:r>
          </w:p>
          <w:p w14:paraId="4E6216F3">
            <w:pPr>
              <w:widowControl/>
              <w:numPr>
                <w:ilvl w:val="0"/>
                <w:numId w:val="104"/>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其他接口：标配≥1个IPMI RJ-45管理接口，位于机箱后部；≥7个USB 3.0接口 4个位于机箱后部，2个位于机箱前部，1个位于机箱内部；≥2个VGA接口 1个位于机箱前部，1个位于机箱后部；</w:t>
            </w:r>
          </w:p>
        </w:tc>
        <w:tc>
          <w:tcPr>
            <w:tcW w:w="567" w:type="dxa"/>
            <w:vAlign w:val="center"/>
          </w:tcPr>
          <w:p w14:paraId="24175659">
            <w:pPr>
              <w:widowControl/>
              <w:jc w:val="center"/>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套</w:t>
            </w:r>
          </w:p>
        </w:tc>
        <w:tc>
          <w:tcPr>
            <w:tcW w:w="870" w:type="dxa"/>
            <w:vAlign w:val="center"/>
          </w:tcPr>
          <w:p w14:paraId="2E5867A7">
            <w:pPr>
              <w:widowControl/>
              <w:jc w:val="center"/>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 xml:space="preserve">1 </w:t>
            </w:r>
          </w:p>
        </w:tc>
      </w:tr>
      <w:tr w14:paraId="36FBBA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0" w:hRule="atLeast"/>
          <w:jc w:val="center"/>
        </w:trPr>
        <w:tc>
          <w:tcPr>
            <w:tcW w:w="644" w:type="dxa"/>
            <w:vAlign w:val="center"/>
          </w:tcPr>
          <w:p w14:paraId="177F8CF0">
            <w:pPr>
              <w:widowControl/>
              <w:jc w:val="center"/>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12</w:t>
            </w:r>
          </w:p>
        </w:tc>
        <w:tc>
          <w:tcPr>
            <w:tcW w:w="851" w:type="dxa"/>
            <w:vAlign w:val="center"/>
          </w:tcPr>
          <w:p w14:paraId="134E80D2">
            <w:pPr>
              <w:widowControl/>
              <w:jc w:val="center"/>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综合安防平台</w:t>
            </w:r>
          </w:p>
        </w:tc>
        <w:tc>
          <w:tcPr>
            <w:tcW w:w="6378" w:type="dxa"/>
            <w:vAlign w:val="center"/>
          </w:tcPr>
          <w:p w14:paraId="45B0C384">
            <w:pPr>
              <w:widowControl/>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系统管理基础包，提供业务应用依赖的基础资源信息及基础服务能力，包括系统基础信息、用户管理、用户权限管理、物联设备管理、事件联动、NTP校时服务、运行管理中心、统一开放能力等。</w:t>
            </w:r>
          </w:p>
          <w:p w14:paraId="294986E1">
            <w:pPr>
              <w:widowControl/>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【功能介绍】</w:t>
            </w:r>
          </w:p>
          <w:p w14:paraId="04C83D1C">
            <w:pPr>
              <w:widowControl/>
              <w:numPr>
                <w:ilvl w:val="0"/>
                <w:numId w:val="105"/>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提供门户首页内容自定义能力，支持自定义快捷入口、自定义菜单内容、自定义页面元素设置；支持门户展示元素自定义，包括页面logo图标、修改网站标题、设置并添加网站外部链接；</w:t>
            </w:r>
          </w:p>
          <w:p w14:paraId="10DD06B5">
            <w:pPr>
              <w:widowControl/>
              <w:numPr>
                <w:ilvl w:val="0"/>
                <w:numId w:val="105"/>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提供统一的认证、鉴权管理、应用管理、菜单管理、用户管理、角色管理、组织管理、资源管理等能力；</w:t>
            </w:r>
          </w:p>
          <w:p w14:paraId="0A5715B0">
            <w:pPr>
              <w:widowControl/>
              <w:numPr>
                <w:ilvl w:val="0"/>
                <w:numId w:val="105"/>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提供用户权限管理能力，包括菜单权限、组织权限、区域权限、资源权限、功能控制权限；</w:t>
            </w:r>
          </w:p>
          <w:p w14:paraId="49E7C2CD">
            <w:pPr>
              <w:widowControl/>
              <w:numPr>
                <w:ilvl w:val="0"/>
                <w:numId w:val="105"/>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提供组织、区域、设备、人员、卡片、车辆等资源统一管理；</w:t>
            </w:r>
          </w:p>
          <w:p w14:paraId="5B28FF59">
            <w:pPr>
              <w:widowControl/>
              <w:numPr>
                <w:ilvl w:val="0"/>
                <w:numId w:val="105"/>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提供用户安全管理，支持账户绑定用户mac地址及IP地址能力，提供账户安全设置，支持账户密码有效期设置，支持登录类型（Web端、PC客户端、移动端）和认证方式（密码、PKI）的配置；</w:t>
            </w:r>
          </w:p>
          <w:p w14:paraId="4ED8E11B">
            <w:pPr>
              <w:widowControl/>
              <w:numPr>
                <w:ilvl w:val="0"/>
                <w:numId w:val="105"/>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提供NTP校时服务能力，支持对设备和服务器统一校时;</w:t>
            </w:r>
          </w:p>
          <w:p w14:paraId="7140B899">
            <w:pPr>
              <w:widowControl/>
              <w:numPr>
                <w:ilvl w:val="0"/>
                <w:numId w:val="105"/>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提供数据、服务等统一开放能力；</w:t>
            </w:r>
          </w:p>
          <w:p w14:paraId="5AF6C615">
            <w:pPr>
              <w:widowControl/>
              <w:numPr>
                <w:ilvl w:val="0"/>
                <w:numId w:val="105"/>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提供系统运行状态监测能力，包括运行服务监控、运行服务统计、运行数据报告和运行服务解析概览。</w:t>
            </w:r>
          </w:p>
          <w:p w14:paraId="481A0140">
            <w:pPr>
              <w:widowControl/>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【门户工作台】</w:t>
            </w:r>
          </w:p>
          <w:p w14:paraId="28AEC420">
            <w:pPr>
              <w:widowControl/>
              <w:numPr>
                <w:ilvl w:val="0"/>
                <w:numId w:val="106"/>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提供应用菜单导航、应用快捷入口能力；</w:t>
            </w:r>
          </w:p>
          <w:p w14:paraId="53A6CB3A">
            <w:pPr>
              <w:widowControl/>
              <w:numPr>
                <w:ilvl w:val="0"/>
                <w:numId w:val="106"/>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提供告警统计、门禁通行统计、车辆通行统计、访客通行统计、设备在线趋势等展示内容</w:t>
            </w:r>
          </w:p>
          <w:p w14:paraId="40CF5479">
            <w:pPr>
              <w:widowControl/>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【事件中心】</w:t>
            </w:r>
          </w:p>
          <w:p w14:paraId="6CE88F14">
            <w:pPr>
              <w:widowControl/>
              <w:numPr>
                <w:ilvl w:val="0"/>
                <w:numId w:val="107"/>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事件联动管理</w:t>
            </w:r>
          </w:p>
          <w:p w14:paraId="30C5EC66">
            <w:pPr>
              <w:widowControl/>
              <w:numPr>
                <w:ilvl w:val="1"/>
                <w:numId w:val="107"/>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支持事件联动规则配置管理，包括规则增删改查，支持自定义联动规则模板；</w:t>
            </w:r>
          </w:p>
          <w:p w14:paraId="340AE1E4">
            <w:pPr>
              <w:widowControl/>
              <w:numPr>
                <w:ilvl w:val="1"/>
                <w:numId w:val="107"/>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支持事件规则计划模板，包括全天候模式、工作日模式、周末模式及自定义模式；</w:t>
            </w:r>
          </w:p>
          <w:p w14:paraId="2088C3B1">
            <w:pPr>
              <w:widowControl/>
              <w:numPr>
                <w:ilvl w:val="1"/>
                <w:numId w:val="107"/>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支持多种报警事件配置联动，包括：视频事件、入侵报警事件、IO事件、门禁事件、停车场事件、可视对讲事件、行车监控事件、梯控事件、动环事件、紧急报警事件、人脸事件、卡口事件、消防事件、测温事件等事件联动动作配置；</w:t>
            </w:r>
          </w:p>
          <w:p w14:paraId="39C82B4D">
            <w:pPr>
              <w:widowControl/>
              <w:numPr>
                <w:ilvl w:val="1"/>
                <w:numId w:val="107"/>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提供7种高级联动规则模版配置，支持配置满足在指定时间段存在多个触发事件类型而联动多个并发动作的场景。</w:t>
            </w:r>
          </w:p>
          <w:p w14:paraId="4F32062F">
            <w:pPr>
              <w:widowControl/>
              <w:numPr>
                <w:ilvl w:val="0"/>
                <w:numId w:val="107"/>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事件检索管理</w:t>
            </w:r>
          </w:p>
          <w:p w14:paraId="4D24116A">
            <w:pPr>
              <w:widowControl/>
              <w:numPr>
                <w:ilvl w:val="1"/>
                <w:numId w:val="107"/>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支持报警事件自定义时间存储，最长支持36个月存储；</w:t>
            </w:r>
          </w:p>
          <w:p w14:paraId="7BBCEF43">
            <w:pPr>
              <w:widowControl/>
              <w:numPr>
                <w:ilvl w:val="1"/>
                <w:numId w:val="107"/>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支持多种维度检索报警事件，包括：区域、位置、事件源、事件等级、时间、状态等维度；</w:t>
            </w:r>
          </w:p>
          <w:p w14:paraId="1A33E2CA">
            <w:pPr>
              <w:widowControl/>
              <w:numPr>
                <w:ilvl w:val="1"/>
                <w:numId w:val="107"/>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支持事件详情查看，包括抓图、录像等；</w:t>
            </w:r>
          </w:p>
          <w:p w14:paraId="53902630">
            <w:pPr>
              <w:widowControl/>
              <w:numPr>
                <w:ilvl w:val="1"/>
                <w:numId w:val="107"/>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支持对报警事件进行标记、处理以及导出。</w:t>
            </w:r>
          </w:p>
          <w:p w14:paraId="5C15F23A">
            <w:pPr>
              <w:widowControl/>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【图上监控】</w:t>
            </w:r>
          </w:p>
          <w:p w14:paraId="50FA7F66">
            <w:pPr>
              <w:widowControl/>
              <w:numPr>
                <w:ilvl w:val="0"/>
                <w:numId w:val="108"/>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支持地图配置能力，包含在线（高德）、离线GIS地图（高德、自定义）；</w:t>
            </w:r>
          </w:p>
          <w:p w14:paraId="34F64E36">
            <w:pPr>
              <w:widowControl/>
              <w:numPr>
                <w:ilvl w:val="0"/>
                <w:numId w:val="108"/>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支持资源上图配置能力，实现资源的地图可视化展示及控制操作，资源类型包含监控点、报警输出、报警输入、门禁点、出入口、停车场、传感器、手持视频终端、园区卡口资源、防区、报警输入、报警输出、报警主机IO输出、消防设备等；</w:t>
            </w:r>
          </w:p>
          <w:p w14:paraId="68234582">
            <w:pPr>
              <w:widowControl/>
              <w:numPr>
                <w:ilvl w:val="0"/>
                <w:numId w:val="108"/>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支持事件可视化监控能力，实时展示报警事件，支持历史报警事件查询；</w:t>
            </w:r>
          </w:p>
          <w:p w14:paraId="2C2E688A">
            <w:pPr>
              <w:widowControl/>
              <w:numPr>
                <w:ilvl w:val="0"/>
                <w:numId w:val="108"/>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支持针对移动GPS设备的运行轨迹回放能力，如单兵设备。</w:t>
            </w:r>
          </w:p>
          <w:p w14:paraId="0B6D4795">
            <w:pPr>
              <w:widowControl/>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【移动APP】</w:t>
            </w:r>
          </w:p>
          <w:p w14:paraId="7A5FE39C">
            <w:pPr>
              <w:widowControl/>
              <w:numPr>
                <w:ilvl w:val="0"/>
                <w:numId w:val="109"/>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支持管理员和员工登录APP，根据管理员的角色权限展示对应的管理应用，员工端支持访客、食堂消费、考勤、场库导览、报修应用；</w:t>
            </w:r>
          </w:p>
          <w:p w14:paraId="4BABD8A0">
            <w:pPr>
              <w:widowControl/>
              <w:numPr>
                <w:ilvl w:val="0"/>
                <w:numId w:val="109"/>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支持事件、消息、代办内容的提醒和查看功能，使管理人员能够实时知晓和处理业务事件；</w:t>
            </w:r>
          </w:p>
          <w:p w14:paraId="1AA23CD5">
            <w:pPr>
              <w:widowControl/>
              <w:numPr>
                <w:ilvl w:val="0"/>
                <w:numId w:val="109"/>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提供安防管理应用，包括：视频预览、录像回放、图片查询、巡更、图上监控、报警监测、电瓶车管理应用；</w:t>
            </w:r>
          </w:p>
          <w:p w14:paraId="5D046E86">
            <w:pPr>
              <w:widowControl/>
              <w:numPr>
                <w:ilvl w:val="0"/>
                <w:numId w:val="109"/>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提供综合管理应用，包括考勤、食堂消费、移动订餐、食堂配送、智慧广播、维修管理、人员信息采集应用；</w:t>
            </w:r>
          </w:p>
          <w:p w14:paraId="0E10FEE6">
            <w:pPr>
              <w:widowControl/>
              <w:numPr>
                <w:ilvl w:val="0"/>
                <w:numId w:val="109"/>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提供通行管理应用，包括访客、门禁控制、车辆管理、移动岗亭应用；</w:t>
            </w:r>
          </w:p>
          <w:p w14:paraId="3D0F6677">
            <w:pPr>
              <w:widowControl/>
              <w:numPr>
                <w:ilvl w:val="0"/>
                <w:numId w:val="109"/>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提供人员进出、访客到访数据统计，提供设备在离线、告警信息的数据统计。</w:t>
            </w:r>
          </w:p>
          <w:p w14:paraId="12DAC3D1">
            <w:pPr>
              <w:widowControl/>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【规格参数】</w:t>
            </w:r>
          </w:p>
          <w:p w14:paraId="6D96E192">
            <w:pPr>
              <w:widowControl/>
              <w:numPr>
                <w:ilvl w:val="0"/>
                <w:numId w:val="110"/>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支持管理最大组织数≥2000个，组织层级≥10级；</w:t>
            </w:r>
          </w:p>
          <w:p w14:paraId="5058842A">
            <w:pPr>
              <w:widowControl/>
              <w:numPr>
                <w:ilvl w:val="0"/>
                <w:numId w:val="110"/>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支持管理最大区域数≥2000个，区域层级≥10级；</w:t>
            </w:r>
          </w:p>
          <w:p w14:paraId="6ED32F46">
            <w:pPr>
              <w:widowControl/>
              <w:numPr>
                <w:ilvl w:val="0"/>
                <w:numId w:val="110"/>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支持管理最大人员数量≥5万；</w:t>
            </w:r>
          </w:p>
          <w:p w14:paraId="36C97F79">
            <w:pPr>
              <w:widowControl/>
              <w:numPr>
                <w:ilvl w:val="0"/>
                <w:numId w:val="110"/>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支持管理最大卡片数量≥5万；</w:t>
            </w:r>
          </w:p>
          <w:p w14:paraId="6B2C2649">
            <w:pPr>
              <w:widowControl/>
              <w:numPr>
                <w:ilvl w:val="0"/>
                <w:numId w:val="110"/>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支持管理最大车辆数量≥3万；</w:t>
            </w:r>
          </w:p>
          <w:p w14:paraId="17C5BCDA">
            <w:pPr>
              <w:widowControl/>
              <w:numPr>
                <w:ilvl w:val="0"/>
                <w:numId w:val="110"/>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支持最大的在线用户数≥1000个，并发登录用户数≥50个。</w:t>
            </w:r>
          </w:p>
          <w:p w14:paraId="17EAB444">
            <w:pPr>
              <w:widowControl/>
              <w:numPr>
                <w:ilvl w:val="0"/>
                <w:numId w:val="110"/>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支持最大事件并发处理≥500条/秒（不带图片）；</w:t>
            </w:r>
          </w:p>
          <w:p w14:paraId="2212499B">
            <w:pPr>
              <w:widowControl/>
              <w:numPr>
                <w:ilvl w:val="0"/>
                <w:numId w:val="110"/>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支持管理资源上图数量≥2万个。</w:t>
            </w:r>
          </w:p>
          <w:p w14:paraId="329E7BED">
            <w:pPr>
              <w:widowControl/>
              <w:numPr>
                <w:ilvl w:val="0"/>
                <w:numId w:val="110"/>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配置≥350路视频监控授权, ≥4路停车，≥100路入侵报警授权</w:t>
            </w:r>
          </w:p>
        </w:tc>
        <w:tc>
          <w:tcPr>
            <w:tcW w:w="567" w:type="dxa"/>
            <w:vAlign w:val="center"/>
          </w:tcPr>
          <w:p w14:paraId="05050AEB">
            <w:pPr>
              <w:widowControl/>
              <w:jc w:val="center"/>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套</w:t>
            </w:r>
          </w:p>
        </w:tc>
        <w:tc>
          <w:tcPr>
            <w:tcW w:w="870" w:type="dxa"/>
            <w:vAlign w:val="center"/>
          </w:tcPr>
          <w:p w14:paraId="2D80885A">
            <w:pPr>
              <w:widowControl/>
              <w:jc w:val="center"/>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 xml:space="preserve">1 </w:t>
            </w:r>
          </w:p>
        </w:tc>
      </w:tr>
      <w:tr w14:paraId="70BF6A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0" w:hRule="atLeast"/>
          <w:jc w:val="center"/>
        </w:trPr>
        <w:tc>
          <w:tcPr>
            <w:tcW w:w="644" w:type="dxa"/>
            <w:vAlign w:val="center"/>
          </w:tcPr>
          <w:p w14:paraId="722586CF">
            <w:pPr>
              <w:widowControl/>
              <w:jc w:val="center"/>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13</w:t>
            </w:r>
          </w:p>
        </w:tc>
        <w:tc>
          <w:tcPr>
            <w:tcW w:w="851" w:type="dxa"/>
            <w:vAlign w:val="center"/>
          </w:tcPr>
          <w:p w14:paraId="24B1B7AD">
            <w:pPr>
              <w:widowControl/>
              <w:jc w:val="center"/>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存储服务器</w:t>
            </w:r>
          </w:p>
        </w:tc>
        <w:tc>
          <w:tcPr>
            <w:tcW w:w="6378" w:type="dxa"/>
            <w:vAlign w:val="center"/>
          </w:tcPr>
          <w:p w14:paraId="50E020B8">
            <w:pPr>
              <w:widowControl/>
              <w:numPr>
                <w:ilvl w:val="0"/>
                <w:numId w:val="111"/>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Linux存储专用操作系统，单控制单元配置≥1颗64位多核处理器，配置≥16GB内存，并可扩展至≥64GB，内置SSD固态硬盘，可支持≥4个风扇，风扇支持热插拔并可冗余温控调速；支持热插拔1+1AC220V电源或1+1直流冗余电源供电。</w:t>
            </w:r>
          </w:p>
          <w:p w14:paraId="41540783">
            <w:pPr>
              <w:widowControl/>
              <w:numPr>
                <w:ilvl w:val="0"/>
                <w:numId w:val="111"/>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设备具备≥4个2.5Gb网口，支持≥2个前置 USB2.0接口、≥2个后置USB3.0接口，支持≥1个前置VGA接口、≥1个后置HDMI接口，支持≥1个RS-232串口。</w:t>
            </w:r>
          </w:p>
          <w:p w14:paraId="4FB1102B">
            <w:pPr>
              <w:widowControl/>
              <w:numPr>
                <w:ilvl w:val="0"/>
                <w:numId w:val="111"/>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具有≥36个硬盘热插拔插槽，配置≥36块12T硬盘；支持硬盘热插拔设备在读写数据时，热插拔设备内的任意块硬盘，设备正常运行不宕机，硬盘不损坏，数据不丢失，业务不中断</w:t>
            </w:r>
          </w:p>
          <w:p w14:paraId="56C62AD2">
            <w:pPr>
              <w:widowControl/>
              <w:numPr>
                <w:ilvl w:val="0"/>
                <w:numId w:val="111"/>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设备具备≥1个定位灯、≥1个电源灯、≥1个设备报警灯、≥1个就绪灯、≥1个网络状态灯、≥1个系统盘状态灯、≥1个硬盘状态灯，机箱具备防尘滤网，采用双立柱防震设计。</w:t>
            </w:r>
          </w:p>
          <w:p w14:paraId="0B659508">
            <w:pPr>
              <w:widowControl/>
              <w:numPr>
                <w:ilvl w:val="0"/>
                <w:numId w:val="111"/>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每个控制单元支持双系统应用，系统盘支持RAID1模式，系统盘支持热插拔，当主系统出现故障时，备用系统可接管工作，提供检测报告</w:t>
            </w:r>
          </w:p>
          <w:p w14:paraId="5313061B">
            <w:pPr>
              <w:widowControl/>
              <w:numPr>
                <w:ilvl w:val="0"/>
                <w:numId w:val="111"/>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智能编码支持自定义配置，包括图像模式，图像质量，编码格式，分辨率，帧率，码率上限及音频策略的配置。其中：图像模式：均衡，目标优先，背景优先；图像质量：1-10，数值越大图像质量越好；视频帧率：默认（即原帧率），可以在1-25之间选择；编码后帧率不能大于原帧率；码率上限：未配置时显示“默认”，可以手动输入在16-16384Kbps之间选择；提供检测报告。</w:t>
            </w:r>
          </w:p>
          <w:p w14:paraId="1BDE2E79">
            <w:pPr>
              <w:widowControl/>
              <w:numPr>
                <w:ilvl w:val="0"/>
                <w:numId w:val="111"/>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支持显示“智能编码前”和“智能编码后”的视频画面，支持显示编码码率，分辨率，编码格式的对比显示。支持画面全屏放大展示，支持“编码前”和“编码后”开启和关闭视频，支持全屏，开启和关闭音频</w:t>
            </w:r>
          </w:p>
          <w:p w14:paraId="35A9AAAE">
            <w:pPr>
              <w:widowControl/>
              <w:numPr>
                <w:ilvl w:val="0"/>
                <w:numId w:val="111"/>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支持智能编码状态显示，保证整机状态的展示和单个录像通道的展示，整机支持预估存储周期提升天数，整机原始输入和编码后的码率对比，显示编码压缩率，显示整机智能编码资源，显示整机已经开启智能编码路数，当前接入录像。支持显示每个通道的输入视频和编码后视频的数据对比显示，包括原始码率，编码码率，原始分辨率，编码分辨率，编码状态，通道状态及编码等级。</w:t>
            </w:r>
          </w:p>
          <w:p w14:paraId="49059D11">
            <w:pPr>
              <w:widowControl/>
              <w:numPr>
                <w:ilvl w:val="0"/>
                <w:numId w:val="111"/>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 xml:space="preserve">编码压缩后的视频码流，设备和客户端均可以对编码压缩后的码流进行播放，支持1/16、1/8、1/4、1/2、2、4、8和16倍速回放编码压缩录像。                                                                                </w:t>
            </w:r>
          </w:p>
          <w:p w14:paraId="7767766E">
            <w:pPr>
              <w:widowControl/>
              <w:numPr>
                <w:ilvl w:val="0"/>
                <w:numId w:val="111"/>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 xml:space="preserve">整机可同时正放和倒放≥60路编码后视频图像。                                                                                                                                                               </w:t>
            </w:r>
          </w:p>
        </w:tc>
        <w:tc>
          <w:tcPr>
            <w:tcW w:w="567" w:type="dxa"/>
            <w:vAlign w:val="center"/>
          </w:tcPr>
          <w:p w14:paraId="57375152">
            <w:pPr>
              <w:widowControl/>
              <w:jc w:val="center"/>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台</w:t>
            </w:r>
          </w:p>
        </w:tc>
        <w:tc>
          <w:tcPr>
            <w:tcW w:w="870" w:type="dxa"/>
            <w:vAlign w:val="center"/>
          </w:tcPr>
          <w:p w14:paraId="00379E45">
            <w:pPr>
              <w:widowControl/>
              <w:jc w:val="center"/>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 xml:space="preserve">1 </w:t>
            </w:r>
          </w:p>
        </w:tc>
      </w:tr>
      <w:tr w14:paraId="5E8867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0" w:hRule="atLeast"/>
          <w:jc w:val="center"/>
        </w:trPr>
        <w:tc>
          <w:tcPr>
            <w:tcW w:w="644" w:type="dxa"/>
            <w:vAlign w:val="center"/>
          </w:tcPr>
          <w:p w14:paraId="7A6A4062">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14</w:t>
            </w:r>
          </w:p>
        </w:tc>
        <w:tc>
          <w:tcPr>
            <w:tcW w:w="851" w:type="dxa"/>
            <w:vAlign w:val="center"/>
          </w:tcPr>
          <w:p w14:paraId="5934EA1C">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辅材</w:t>
            </w:r>
          </w:p>
        </w:tc>
        <w:tc>
          <w:tcPr>
            <w:tcW w:w="6378" w:type="dxa"/>
            <w:vAlign w:val="center"/>
          </w:tcPr>
          <w:p w14:paraId="5E060D69">
            <w:pPr>
              <w:widowControl/>
              <w:ind w:left="440"/>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项目辅材包括但不限于以下材料：</w:t>
            </w:r>
          </w:p>
          <w:p w14:paraId="293D5BCC">
            <w:pPr>
              <w:widowControl/>
              <w:numPr>
                <w:ilvl w:val="0"/>
                <w:numId w:val="112"/>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实施本项目所需要的六类网线、电源线、光缆等所有线材；</w:t>
            </w:r>
          </w:p>
          <w:p w14:paraId="31F7751B">
            <w:pPr>
              <w:widowControl/>
              <w:numPr>
                <w:ilvl w:val="0"/>
                <w:numId w:val="112"/>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实施本项目所需要的机柜、光纤配线架、理线架，PDU等所有弱电间材料；</w:t>
            </w:r>
          </w:p>
          <w:p w14:paraId="7D545808">
            <w:pPr>
              <w:widowControl/>
              <w:numPr>
                <w:ilvl w:val="0"/>
                <w:numId w:val="112"/>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实施本项目所需要的立杆、支架、弱电箱、光纤终端盒等前端材料；</w:t>
            </w:r>
          </w:p>
          <w:p w14:paraId="27C23932">
            <w:pPr>
              <w:widowControl/>
              <w:numPr>
                <w:ilvl w:val="0"/>
                <w:numId w:val="112"/>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实施本项目所需要的PVC管，PVC线槽、镀锌管、软管等材料；</w:t>
            </w:r>
          </w:p>
          <w:p w14:paraId="61190A9B">
            <w:pPr>
              <w:widowControl/>
              <w:numPr>
                <w:ilvl w:val="0"/>
                <w:numId w:val="112"/>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实施本项目所需要的监控中心所有材料和设备；</w:t>
            </w:r>
          </w:p>
          <w:p w14:paraId="18B8B52D">
            <w:pPr>
              <w:widowControl/>
              <w:numPr>
                <w:ilvl w:val="0"/>
                <w:numId w:val="112"/>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实施本项目所需要的其他材料。</w:t>
            </w:r>
          </w:p>
        </w:tc>
        <w:tc>
          <w:tcPr>
            <w:tcW w:w="567" w:type="dxa"/>
            <w:vAlign w:val="center"/>
          </w:tcPr>
          <w:p w14:paraId="010B432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批</w:t>
            </w:r>
          </w:p>
        </w:tc>
        <w:tc>
          <w:tcPr>
            <w:tcW w:w="870" w:type="dxa"/>
            <w:vAlign w:val="center"/>
          </w:tcPr>
          <w:p w14:paraId="281C3E22">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 xml:space="preserve">1 </w:t>
            </w:r>
          </w:p>
        </w:tc>
      </w:tr>
      <w:tr w14:paraId="6674E5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0" w:hRule="atLeast"/>
          <w:jc w:val="center"/>
        </w:trPr>
        <w:tc>
          <w:tcPr>
            <w:tcW w:w="644" w:type="dxa"/>
            <w:vAlign w:val="center"/>
          </w:tcPr>
          <w:p w14:paraId="31FF696D">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15</w:t>
            </w:r>
          </w:p>
        </w:tc>
        <w:tc>
          <w:tcPr>
            <w:tcW w:w="851" w:type="dxa"/>
            <w:vAlign w:val="center"/>
          </w:tcPr>
          <w:p w14:paraId="2E7C5483">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工程安装调试</w:t>
            </w:r>
          </w:p>
        </w:tc>
        <w:tc>
          <w:tcPr>
            <w:tcW w:w="6378" w:type="dxa"/>
            <w:vAlign w:val="center"/>
          </w:tcPr>
          <w:p w14:paraId="72C2FE3A">
            <w:pPr>
              <w:widowControl/>
              <w:numPr>
                <w:ilvl w:val="0"/>
                <w:numId w:val="113"/>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包含项目施工、调试、验收搬运等所有费用。</w:t>
            </w:r>
          </w:p>
        </w:tc>
        <w:tc>
          <w:tcPr>
            <w:tcW w:w="567" w:type="dxa"/>
            <w:vAlign w:val="center"/>
          </w:tcPr>
          <w:p w14:paraId="3D9FF2B4">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项</w:t>
            </w:r>
          </w:p>
        </w:tc>
        <w:tc>
          <w:tcPr>
            <w:tcW w:w="870" w:type="dxa"/>
            <w:vAlign w:val="center"/>
          </w:tcPr>
          <w:p w14:paraId="3C2EB224">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5A6FA7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jc w:val="center"/>
        </w:trPr>
        <w:tc>
          <w:tcPr>
            <w:tcW w:w="9310" w:type="dxa"/>
            <w:gridSpan w:val="5"/>
            <w:tcBorders>
              <w:top w:val="single" w:color="000000" w:sz="4" w:space="0"/>
              <w:left w:val="single" w:color="000000" w:sz="4" w:space="0"/>
              <w:bottom w:val="single" w:color="000000" w:sz="4" w:space="0"/>
              <w:right w:val="single" w:color="000000" w:sz="4" w:space="0"/>
            </w:tcBorders>
            <w:noWrap/>
            <w:vAlign w:val="center"/>
          </w:tcPr>
          <w:p w14:paraId="2D8B7762">
            <w:pPr>
              <w:widowControl/>
              <w:jc w:val="center"/>
              <w:textAlignment w:val="center"/>
              <w:rPr>
                <w:rFonts w:hint="eastAsia" w:ascii="宋体" w:hAnsi="宋体"/>
                <w:b/>
                <w:bCs/>
                <w:color w:val="auto"/>
                <w:szCs w:val="21"/>
                <w:highlight w:val="none"/>
              </w:rPr>
            </w:pPr>
            <w:r>
              <w:rPr>
                <w:rFonts w:hint="eastAsia" w:ascii="宋体" w:hAnsi="宋体"/>
                <w:b/>
                <w:bCs/>
                <w:color w:val="auto"/>
                <w:kern w:val="0"/>
                <w:szCs w:val="21"/>
                <w:highlight w:val="none"/>
                <w:lang w:bidi="ar"/>
              </w:rPr>
              <w:t>十二、校园防控报警</w:t>
            </w:r>
          </w:p>
        </w:tc>
      </w:tr>
      <w:tr w14:paraId="4F85F6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jc w:val="center"/>
        </w:trPr>
        <w:tc>
          <w:tcPr>
            <w:tcW w:w="644" w:type="dxa"/>
            <w:tcBorders>
              <w:top w:val="single" w:color="000000" w:sz="4" w:space="0"/>
              <w:left w:val="single" w:color="000000" w:sz="4" w:space="0"/>
              <w:bottom w:val="single" w:color="000000" w:sz="4" w:space="0"/>
              <w:right w:val="single" w:color="000000" w:sz="4" w:space="0"/>
            </w:tcBorders>
            <w:noWrap/>
            <w:vAlign w:val="center"/>
          </w:tcPr>
          <w:p w14:paraId="08830642">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c>
          <w:tcPr>
            <w:tcW w:w="851" w:type="dxa"/>
            <w:tcBorders>
              <w:top w:val="single" w:color="000000" w:sz="4" w:space="0"/>
              <w:left w:val="single" w:color="000000" w:sz="4" w:space="0"/>
              <w:bottom w:val="single" w:color="000000" w:sz="4" w:space="0"/>
              <w:right w:val="single" w:color="000000" w:sz="4" w:space="0"/>
            </w:tcBorders>
            <w:noWrap/>
            <w:vAlign w:val="center"/>
          </w:tcPr>
          <w:p w14:paraId="2593CA7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防欺凌报警盒</w:t>
            </w:r>
          </w:p>
        </w:tc>
        <w:tc>
          <w:tcPr>
            <w:tcW w:w="6378" w:type="dxa"/>
            <w:tcBorders>
              <w:top w:val="single" w:color="000000" w:sz="4" w:space="0"/>
              <w:left w:val="single" w:color="000000" w:sz="4" w:space="0"/>
              <w:bottom w:val="single" w:color="000000" w:sz="4" w:space="0"/>
              <w:right w:val="single" w:color="000000" w:sz="4" w:space="0"/>
            </w:tcBorders>
            <w:noWrap/>
            <w:vAlign w:val="center"/>
          </w:tcPr>
          <w:p w14:paraId="31CB5C26">
            <w:pPr>
              <w:widowControl/>
              <w:numPr>
                <w:ilvl w:val="1"/>
                <w:numId w:val="114"/>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支持实体按键/无线按钮紧急呼叫，实现与管理中心或个人的双向语音对讲；中心呼叫前端报警盒</w:t>
            </w:r>
          </w:p>
          <w:p w14:paraId="619AEFA0">
            <w:pPr>
              <w:widowControl/>
              <w:numPr>
                <w:ilvl w:val="1"/>
                <w:numId w:val="114"/>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支持监听功能、广播功能</w:t>
            </w:r>
          </w:p>
          <w:p w14:paraId="0FE7B474">
            <w:pPr>
              <w:widowControl/>
              <w:numPr>
                <w:ilvl w:val="1"/>
                <w:numId w:val="114"/>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支持通过语音关键字识别进行报警呼叫</w:t>
            </w:r>
          </w:p>
          <w:p w14:paraId="47028C20">
            <w:pPr>
              <w:widowControl/>
              <w:numPr>
                <w:ilvl w:val="1"/>
                <w:numId w:val="114"/>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支持4G全网通，支持拨打≥4个电话号码，优先级可配置</w:t>
            </w:r>
          </w:p>
          <w:p w14:paraId="47C67420">
            <w:pPr>
              <w:widowControl/>
              <w:numPr>
                <w:ilvl w:val="1"/>
                <w:numId w:val="114"/>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最大支持≥64个无线按钮和≥32个无线探测器；支持≥2个无线中继器、≥8个无线遥控器、≥1个无线继电器模块</w:t>
            </w:r>
          </w:p>
          <w:p w14:paraId="2361DAED">
            <w:pPr>
              <w:widowControl/>
              <w:numPr>
                <w:ilvl w:val="1"/>
                <w:numId w:val="114"/>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自带1个红蓝双色灯，可控制关闭/开启不同颜色</w:t>
            </w:r>
          </w:p>
          <w:p w14:paraId="7C186DC4">
            <w:pPr>
              <w:widowControl/>
              <w:numPr>
                <w:ilvl w:val="1"/>
                <w:numId w:val="114"/>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支持EHOME，实现公网间的穿透</w:t>
            </w:r>
          </w:p>
          <w:p w14:paraId="5037F6D5">
            <w:pPr>
              <w:widowControl/>
              <w:numPr>
                <w:ilvl w:val="1"/>
                <w:numId w:val="114"/>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支持有线网络、4G（4G版本支持）接入中心平台</w:t>
            </w:r>
          </w:p>
          <w:p w14:paraId="0E052252">
            <w:pPr>
              <w:widowControl/>
              <w:numPr>
                <w:ilvl w:val="1"/>
                <w:numId w:val="114"/>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支持标准的Micro SD卡插槽，最大支持256G  Micro SD/SDHC/SDXC卡，将音视频存储到SD卡</w:t>
            </w:r>
          </w:p>
          <w:p w14:paraId="76026E91">
            <w:pPr>
              <w:widowControl/>
              <w:numPr>
                <w:ilvl w:val="1"/>
                <w:numId w:val="114"/>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支持一路3.5mm音频输入及输出扩展，可外接拾音器、音箱等设备</w:t>
            </w:r>
          </w:p>
          <w:p w14:paraId="56589527">
            <w:pPr>
              <w:widowControl/>
              <w:numPr>
                <w:ilvl w:val="1"/>
                <w:numId w:val="114"/>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支持防拆报警/喧哗报警</w:t>
            </w:r>
          </w:p>
        </w:tc>
        <w:tc>
          <w:tcPr>
            <w:tcW w:w="567" w:type="dxa"/>
            <w:tcBorders>
              <w:top w:val="single" w:color="000000" w:sz="4" w:space="0"/>
              <w:left w:val="single" w:color="000000" w:sz="4" w:space="0"/>
              <w:bottom w:val="single" w:color="000000" w:sz="4" w:space="0"/>
              <w:right w:val="single" w:color="000000" w:sz="4" w:space="0"/>
            </w:tcBorders>
            <w:vAlign w:val="center"/>
          </w:tcPr>
          <w:p w14:paraId="1F5EE957">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台</w:t>
            </w:r>
          </w:p>
        </w:tc>
        <w:tc>
          <w:tcPr>
            <w:tcW w:w="870" w:type="dxa"/>
            <w:tcBorders>
              <w:top w:val="single" w:color="000000" w:sz="4" w:space="0"/>
              <w:left w:val="single" w:color="000000" w:sz="4" w:space="0"/>
              <w:bottom w:val="single" w:color="000000" w:sz="4" w:space="0"/>
              <w:right w:val="single" w:color="000000" w:sz="4" w:space="0"/>
            </w:tcBorders>
            <w:vAlign w:val="center"/>
          </w:tcPr>
          <w:p w14:paraId="172A5EDD">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 xml:space="preserve">20 </w:t>
            </w:r>
          </w:p>
        </w:tc>
      </w:tr>
      <w:tr w14:paraId="307DF2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jc w:val="center"/>
        </w:trPr>
        <w:tc>
          <w:tcPr>
            <w:tcW w:w="644" w:type="dxa"/>
            <w:tcBorders>
              <w:top w:val="single" w:color="000000" w:sz="4" w:space="0"/>
              <w:left w:val="single" w:color="000000" w:sz="4" w:space="0"/>
              <w:bottom w:val="single" w:color="000000" w:sz="4" w:space="0"/>
              <w:right w:val="single" w:color="000000" w:sz="4" w:space="0"/>
            </w:tcBorders>
            <w:vAlign w:val="center"/>
          </w:tcPr>
          <w:p w14:paraId="615C4710">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w:t>
            </w:r>
          </w:p>
        </w:tc>
        <w:tc>
          <w:tcPr>
            <w:tcW w:w="851" w:type="dxa"/>
            <w:tcBorders>
              <w:top w:val="single" w:color="000000" w:sz="4" w:space="0"/>
              <w:left w:val="single" w:color="000000" w:sz="4" w:space="0"/>
              <w:bottom w:val="single" w:color="000000" w:sz="4" w:space="0"/>
              <w:right w:val="single" w:color="000000" w:sz="4" w:space="0"/>
            </w:tcBorders>
            <w:vAlign w:val="center"/>
          </w:tcPr>
          <w:p w14:paraId="2C1F154B">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紧急报警柱</w:t>
            </w:r>
          </w:p>
        </w:tc>
        <w:tc>
          <w:tcPr>
            <w:tcW w:w="6378" w:type="dxa"/>
            <w:tcBorders>
              <w:top w:val="single" w:color="000000" w:sz="4" w:space="0"/>
              <w:left w:val="single" w:color="000000" w:sz="4" w:space="0"/>
              <w:bottom w:val="single" w:color="000000" w:sz="4" w:space="0"/>
              <w:right w:val="single" w:color="000000" w:sz="4" w:space="0"/>
            </w:tcBorders>
            <w:vAlign w:val="center"/>
          </w:tcPr>
          <w:p w14:paraId="3F80A7FA">
            <w:pPr>
              <w:widowControl/>
              <w:numPr>
                <w:ilvl w:val="0"/>
                <w:numId w:val="115"/>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采用嵌入式Linux操作系统, 嵌入式SOC处理器，系统运行稳定可靠</w:t>
            </w:r>
          </w:p>
          <w:p w14:paraId="45B8F178">
            <w:pPr>
              <w:widowControl/>
              <w:numPr>
                <w:ilvl w:val="0"/>
                <w:numId w:val="115"/>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支持网络自适应、音视频自适应功能，在网络丢包情况下，实现音视频低延迟</w:t>
            </w:r>
          </w:p>
          <w:p w14:paraId="631465A7">
            <w:pPr>
              <w:widowControl/>
              <w:numPr>
                <w:ilvl w:val="0"/>
                <w:numId w:val="115"/>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支持语音对讲功能，内置高灵敏度麦克风，可实现5米对讲</w:t>
            </w:r>
          </w:p>
          <w:p w14:paraId="208CA870">
            <w:pPr>
              <w:widowControl/>
              <w:numPr>
                <w:ilvl w:val="0"/>
                <w:numId w:val="115"/>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报警面板内置≥400W自动红外超广角高清摄像头，实现全天候24小时实时监控</w:t>
            </w:r>
          </w:p>
          <w:p w14:paraId="4F269253">
            <w:pPr>
              <w:widowControl/>
              <w:numPr>
                <w:ilvl w:val="0"/>
                <w:numId w:val="115"/>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支持H.264、 H.264SVC和H.265视频编码格式，支持G.711U和G.726音频压缩标准，支持宽动态、强光抑制，场景适应性好</w:t>
            </w:r>
          </w:p>
          <w:p w14:paraId="15C8587D">
            <w:pPr>
              <w:widowControl/>
              <w:numPr>
                <w:ilvl w:val="0"/>
                <w:numId w:val="115"/>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支持多种网络通信协议：TCP/IP、SNMP、海康SIP、RTSP、GB28181(2016)、ONVIF</w:t>
            </w:r>
          </w:p>
          <w:p w14:paraId="41F78130">
            <w:pPr>
              <w:widowControl/>
              <w:numPr>
                <w:ilvl w:val="0"/>
                <w:numId w:val="115"/>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支持音频扩展，3.5mm标准音频接口可外接有源音箱和麦克风；</w:t>
            </w:r>
          </w:p>
          <w:p w14:paraId="4F23D6BE">
            <w:pPr>
              <w:widowControl/>
              <w:numPr>
                <w:ilvl w:val="0"/>
                <w:numId w:val="115"/>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 xml:space="preserve">协议：TCP/IP、SNMP、海康SIP、RTSP、GB28181(2016)、ONVIF </w:t>
            </w:r>
          </w:p>
          <w:p w14:paraId="2CF21BBB">
            <w:pPr>
              <w:widowControl/>
              <w:numPr>
                <w:ilvl w:val="0"/>
                <w:numId w:val="115"/>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报警输入：≥2路</w:t>
            </w:r>
          </w:p>
          <w:p w14:paraId="5F1E8D34">
            <w:pPr>
              <w:widowControl/>
              <w:numPr>
                <w:ilvl w:val="0"/>
                <w:numId w:val="115"/>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报警输出：≥2路</w:t>
            </w:r>
          </w:p>
          <w:p w14:paraId="321BED8A">
            <w:pPr>
              <w:widowControl/>
              <w:numPr>
                <w:ilvl w:val="0"/>
                <w:numId w:val="115"/>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警号输出：≥1个声音110分贝，可独立控制</w:t>
            </w:r>
          </w:p>
          <w:p w14:paraId="7474A551">
            <w:pPr>
              <w:widowControl/>
              <w:numPr>
                <w:ilvl w:val="0"/>
                <w:numId w:val="115"/>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警灯输出：≥1个红蓝双色警灯，可独立控制</w:t>
            </w:r>
          </w:p>
          <w:p w14:paraId="39F6FAA1">
            <w:pPr>
              <w:widowControl/>
              <w:numPr>
                <w:ilvl w:val="0"/>
                <w:numId w:val="115"/>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网络接口：10M/100M自适应网口</w:t>
            </w:r>
          </w:p>
          <w:p w14:paraId="52F9C309">
            <w:pPr>
              <w:widowControl/>
              <w:numPr>
                <w:ilvl w:val="0"/>
                <w:numId w:val="115"/>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音频接口：≥1个音频输入、1个音频输出接口</w:t>
            </w:r>
          </w:p>
          <w:p w14:paraId="52BC1439">
            <w:pPr>
              <w:widowControl/>
              <w:numPr>
                <w:ilvl w:val="0"/>
                <w:numId w:val="115"/>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SD卡：标准Micro SD卡插槽，支持 Micro SD/SDHC/SDXC卡（支持128G）</w:t>
            </w:r>
          </w:p>
          <w:p w14:paraId="1460B463">
            <w:pPr>
              <w:widowControl/>
              <w:numPr>
                <w:ilvl w:val="0"/>
                <w:numId w:val="115"/>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 xml:space="preserve">扬声器：内置≥1路30W扬声器 </w:t>
            </w:r>
          </w:p>
          <w:p w14:paraId="5CF50019">
            <w:pPr>
              <w:widowControl/>
              <w:numPr>
                <w:ilvl w:val="0"/>
                <w:numId w:val="115"/>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视频压缩标准：H.264;H.265</w:t>
            </w:r>
          </w:p>
          <w:p w14:paraId="3E119985">
            <w:pPr>
              <w:widowControl/>
              <w:numPr>
                <w:ilvl w:val="0"/>
                <w:numId w:val="115"/>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帧率：帧率≥25fps</w:t>
            </w:r>
          </w:p>
          <w:p w14:paraId="443B665F">
            <w:pPr>
              <w:widowControl/>
              <w:numPr>
                <w:ilvl w:val="0"/>
                <w:numId w:val="115"/>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镜头视场角：水平视场角: ≥128°</w:t>
            </w:r>
          </w:p>
          <w:p w14:paraId="35D3294C">
            <w:pPr>
              <w:widowControl/>
              <w:numPr>
                <w:ilvl w:val="0"/>
                <w:numId w:val="115"/>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补光方式：红外补光</w:t>
            </w:r>
          </w:p>
          <w:p w14:paraId="00E419D6">
            <w:pPr>
              <w:widowControl/>
              <w:numPr>
                <w:ilvl w:val="0"/>
                <w:numId w:val="115"/>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 xml:space="preserve">日夜转换模式：ICR红外滤片式自动切换 </w:t>
            </w:r>
          </w:p>
          <w:p w14:paraId="49BFD652">
            <w:pPr>
              <w:widowControl/>
              <w:numPr>
                <w:ilvl w:val="0"/>
                <w:numId w:val="115"/>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音频输入：支持≥1路3.5mm音频插口</w:t>
            </w:r>
          </w:p>
          <w:p w14:paraId="5F8DEEBD">
            <w:pPr>
              <w:widowControl/>
              <w:numPr>
                <w:ilvl w:val="0"/>
                <w:numId w:val="115"/>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音频输出：支持≥1路3.5mm音频插口</w:t>
            </w:r>
          </w:p>
          <w:p w14:paraId="630CC3FE">
            <w:pPr>
              <w:widowControl/>
              <w:numPr>
                <w:ilvl w:val="0"/>
                <w:numId w:val="115"/>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音频压缩标准：G.711;G.726</w:t>
            </w:r>
          </w:p>
          <w:p w14:paraId="7BC7C05C">
            <w:pPr>
              <w:widowControl/>
              <w:numPr>
                <w:ilvl w:val="0"/>
                <w:numId w:val="115"/>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音频质量：智能噪声抑制;回声消除</w:t>
            </w:r>
          </w:p>
          <w:p w14:paraId="392B8880">
            <w:pPr>
              <w:widowControl/>
              <w:numPr>
                <w:ilvl w:val="0"/>
                <w:numId w:val="115"/>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 xml:space="preserve">音频压缩码率：16Kbps;64Kbps </w:t>
            </w:r>
          </w:p>
          <w:p w14:paraId="562072BC">
            <w:pPr>
              <w:widowControl/>
              <w:numPr>
                <w:ilvl w:val="0"/>
                <w:numId w:val="115"/>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 xml:space="preserve">功耗：≤70W </w:t>
            </w:r>
          </w:p>
          <w:p w14:paraId="35DE8724">
            <w:pPr>
              <w:widowControl/>
              <w:numPr>
                <w:ilvl w:val="0"/>
                <w:numId w:val="115"/>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有线连接：≥2路RJ45接口</w:t>
            </w:r>
          </w:p>
        </w:tc>
        <w:tc>
          <w:tcPr>
            <w:tcW w:w="567" w:type="dxa"/>
            <w:tcBorders>
              <w:top w:val="single" w:color="000000" w:sz="4" w:space="0"/>
              <w:left w:val="single" w:color="000000" w:sz="4" w:space="0"/>
              <w:bottom w:val="single" w:color="000000" w:sz="4" w:space="0"/>
              <w:right w:val="single" w:color="000000" w:sz="4" w:space="0"/>
            </w:tcBorders>
            <w:vAlign w:val="center"/>
          </w:tcPr>
          <w:p w14:paraId="34F338AF">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台</w:t>
            </w:r>
          </w:p>
        </w:tc>
        <w:tc>
          <w:tcPr>
            <w:tcW w:w="870" w:type="dxa"/>
            <w:tcBorders>
              <w:top w:val="single" w:color="000000" w:sz="4" w:space="0"/>
              <w:left w:val="single" w:color="000000" w:sz="4" w:space="0"/>
              <w:bottom w:val="single" w:color="000000" w:sz="4" w:space="0"/>
              <w:right w:val="single" w:color="000000" w:sz="4" w:space="0"/>
            </w:tcBorders>
            <w:vAlign w:val="center"/>
          </w:tcPr>
          <w:p w14:paraId="71D26BC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 xml:space="preserve">5 </w:t>
            </w:r>
          </w:p>
        </w:tc>
      </w:tr>
      <w:tr w14:paraId="582D81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jc w:val="center"/>
        </w:trPr>
        <w:tc>
          <w:tcPr>
            <w:tcW w:w="644" w:type="dxa"/>
            <w:tcBorders>
              <w:top w:val="single" w:color="000000" w:sz="4" w:space="0"/>
              <w:left w:val="single" w:color="000000" w:sz="4" w:space="0"/>
              <w:bottom w:val="single" w:color="000000" w:sz="4" w:space="0"/>
              <w:right w:val="single" w:color="000000" w:sz="4" w:space="0"/>
            </w:tcBorders>
            <w:vAlign w:val="center"/>
          </w:tcPr>
          <w:p w14:paraId="6ACE36A0">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3</w:t>
            </w:r>
          </w:p>
        </w:tc>
        <w:tc>
          <w:tcPr>
            <w:tcW w:w="851" w:type="dxa"/>
            <w:tcBorders>
              <w:top w:val="single" w:color="000000" w:sz="4" w:space="0"/>
              <w:left w:val="single" w:color="000000" w:sz="4" w:space="0"/>
              <w:bottom w:val="single" w:color="000000" w:sz="4" w:space="0"/>
              <w:right w:val="single" w:color="000000" w:sz="4" w:space="0"/>
            </w:tcBorders>
            <w:vAlign w:val="center"/>
          </w:tcPr>
          <w:p w14:paraId="0412958F">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紧急报警管理主机</w:t>
            </w:r>
          </w:p>
        </w:tc>
        <w:tc>
          <w:tcPr>
            <w:tcW w:w="6378" w:type="dxa"/>
            <w:tcBorders>
              <w:top w:val="single" w:color="000000" w:sz="4" w:space="0"/>
              <w:left w:val="single" w:color="000000" w:sz="4" w:space="0"/>
              <w:bottom w:val="single" w:color="000000" w:sz="4" w:space="0"/>
              <w:right w:val="single" w:color="000000" w:sz="4" w:space="0"/>
            </w:tcBorders>
            <w:vAlign w:val="center"/>
          </w:tcPr>
          <w:p w14:paraId="5800451F">
            <w:pPr>
              <w:widowControl/>
              <w:numPr>
                <w:ilvl w:val="0"/>
                <w:numId w:val="116"/>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一体式钢化玻璃面板设计， ≥10.1寸彩色IPS 触摸屏，≥1280*800分辨率，扁平化风格UI操作界面，绚丽大气，操作简便</w:t>
            </w:r>
          </w:p>
          <w:p w14:paraId="1D689C9E">
            <w:pPr>
              <w:widowControl/>
              <w:numPr>
                <w:ilvl w:val="0"/>
                <w:numId w:val="116"/>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具有硬件噪声抑制与回声消除功能，保证通话音质清晰明亮；</w:t>
            </w:r>
          </w:p>
          <w:p w14:paraId="514D1185">
            <w:pPr>
              <w:widowControl/>
              <w:numPr>
                <w:ilvl w:val="0"/>
                <w:numId w:val="116"/>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实时对讲：支持与报警盒、报警箱、报警柱、门口机、室内机及管理机之间的可视对讲；</w:t>
            </w:r>
          </w:p>
          <w:p w14:paraId="14A5F708">
            <w:pPr>
              <w:widowControl/>
              <w:numPr>
                <w:ilvl w:val="0"/>
                <w:numId w:val="116"/>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监听监视：支持实时预览前端设备的音视频；</w:t>
            </w:r>
          </w:p>
          <w:p w14:paraId="3E02ADF8">
            <w:pPr>
              <w:widowControl/>
              <w:numPr>
                <w:ilvl w:val="0"/>
                <w:numId w:val="116"/>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报警功能：实时接收、显示前端设备的报警信息</w:t>
            </w:r>
          </w:p>
          <w:p w14:paraId="07D8E88D">
            <w:pPr>
              <w:widowControl/>
              <w:numPr>
                <w:ilvl w:val="0"/>
                <w:numId w:val="116"/>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分组广播：支持对前端设备进行分组广播喊话；</w:t>
            </w:r>
          </w:p>
          <w:p w14:paraId="275E1A74">
            <w:pPr>
              <w:widowControl/>
              <w:numPr>
                <w:ilvl w:val="0"/>
                <w:numId w:val="116"/>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具有web管理功能，支持进行参数配置、账号管理、系统维护等操作；</w:t>
            </w:r>
          </w:p>
          <w:p w14:paraId="60299494">
            <w:pPr>
              <w:widowControl/>
              <w:numPr>
                <w:ilvl w:val="0"/>
                <w:numId w:val="116"/>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具有USB接口，标配鹅颈话筒，可外设拓展，支持拓展音箱&amp;指纹模块、TF卡用于提高音量，扩展容量，提高安全性；</w:t>
            </w:r>
          </w:p>
          <w:p w14:paraId="3635D3B3">
            <w:pPr>
              <w:widowControl/>
              <w:numPr>
                <w:ilvl w:val="0"/>
                <w:numId w:val="116"/>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具有HDMI接口可外接显示屏，3.5mm音频输入输出接口可外接麦克风和扬声器；</w:t>
            </w:r>
          </w:p>
          <w:p w14:paraId="4A073D03">
            <w:pPr>
              <w:widowControl/>
              <w:numPr>
                <w:ilvl w:val="0"/>
                <w:numId w:val="116"/>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安卓系统，支持第三方app安装，便于三方拓展个性化业务应用；</w:t>
            </w:r>
          </w:p>
          <w:p w14:paraId="12BC84C5">
            <w:pPr>
              <w:widowControl/>
              <w:numPr>
                <w:ilvl w:val="0"/>
                <w:numId w:val="116"/>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自带铝合金支架，支持桌面多个角度摆放，同时支持选配壁挂式安装</w:t>
            </w:r>
          </w:p>
        </w:tc>
        <w:tc>
          <w:tcPr>
            <w:tcW w:w="567" w:type="dxa"/>
            <w:tcBorders>
              <w:top w:val="single" w:color="000000" w:sz="4" w:space="0"/>
              <w:left w:val="single" w:color="000000" w:sz="4" w:space="0"/>
              <w:bottom w:val="single" w:color="000000" w:sz="4" w:space="0"/>
              <w:right w:val="single" w:color="000000" w:sz="4" w:space="0"/>
            </w:tcBorders>
            <w:vAlign w:val="center"/>
          </w:tcPr>
          <w:p w14:paraId="653E2386">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台</w:t>
            </w:r>
          </w:p>
        </w:tc>
        <w:tc>
          <w:tcPr>
            <w:tcW w:w="870" w:type="dxa"/>
            <w:tcBorders>
              <w:top w:val="single" w:color="000000" w:sz="4" w:space="0"/>
              <w:left w:val="single" w:color="000000" w:sz="4" w:space="0"/>
              <w:bottom w:val="single" w:color="000000" w:sz="4" w:space="0"/>
              <w:right w:val="single" w:color="000000" w:sz="4" w:space="0"/>
            </w:tcBorders>
            <w:vAlign w:val="center"/>
          </w:tcPr>
          <w:p w14:paraId="1BE5C118">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 xml:space="preserve">1 </w:t>
            </w:r>
          </w:p>
        </w:tc>
      </w:tr>
      <w:tr w14:paraId="77E360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jc w:val="center"/>
        </w:trPr>
        <w:tc>
          <w:tcPr>
            <w:tcW w:w="644" w:type="dxa"/>
            <w:tcBorders>
              <w:top w:val="single" w:color="000000" w:sz="4" w:space="0"/>
              <w:left w:val="single" w:color="000000" w:sz="4" w:space="0"/>
              <w:bottom w:val="single" w:color="000000" w:sz="4" w:space="0"/>
              <w:right w:val="single" w:color="000000" w:sz="4" w:space="0"/>
            </w:tcBorders>
            <w:vAlign w:val="center"/>
          </w:tcPr>
          <w:p w14:paraId="64C9EB10">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4</w:t>
            </w:r>
          </w:p>
        </w:tc>
        <w:tc>
          <w:tcPr>
            <w:tcW w:w="851" w:type="dxa"/>
            <w:tcBorders>
              <w:top w:val="single" w:color="000000" w:sz="4" w:space="0"/>
              <w:left w:val="single" w:color="000000" w:sz="4" w:space="0"/>
              <w:bottom w:val="single" w:color="000000" w:sz="4" w:space="0"/>
              <w:right w:val="single" w:color="000000" w:sz="4" w:space="0"/>
            </w:tcBorders>
            <w:vAlign w:val="center"/>
          </w:tcPr>
          <w:p w14:paraId="314BA9D1">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辅材</w:t>
            </w:r>
          </w:p>
        </w:tc>
        <w:tc>
          <w:tcPr>
            <w:tcW w:w="6378" w:type="dxa"/>
            <w:tcBorders>
              <w:top w:val="single" w:color="000000" w:sz="4" w:space="0"/>
              <w:left w:val="single" w:color="000000" w:sz="4" w:space="0"/>
              <w:bottom w:val="single" w:color="000000" w:sz="4" w:space="0"/>
              <w:right w:val="single" w:color="000000" w:sz="4" w:space="0"/>
            </w:tcBorders>
            <w:vAlign w:val="center"/>
          </w:tcPr>
          <w:p w14:paraId="3EBE8B12">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满足本项目施工所需要的全部材料</w:t>
            </w:r>
          </w:p>
        </w:tc>
        <w:tc>
          <w:tcPr>
            <w:tcW w:w="567" w:type="dxa"/>
            <w:tcBorders>
              <w:top w:val="single" w:color="000000" w:sz="4" w:space="0"/>
              <w:left w:val="single" w:color="000000" w:sz="4" w:space="0"/>
              <w:bottom w:val="single" w:color="000000" w:sz="4" w:space="0"/>
              <w:right w:val="single" w:color="000000" w:sz="4" w:space="0"/>
            </w:tcBorders>
            <w:vAlign w:val="center"/>
          </w:tcPr>
          <w:p w14:paraId="2EEA0AB5">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批</w:t>
            </w:r>
          </w:p>
        </w:tc>
        <w:tc>
          <w:tcPr>
            <w:tcW w:w="870" w:type="dxa"/>
            <w:tcBorders>
              <w:top w:val="single" w:color="000000" w:sz="4" w:space="0"/>
              <w:left w:val="single" w:color="000000" w:sz="4" w:space="0"/>
              <w:bottom w:val="single" w:color="000000" w:sz="4" w:space="0"/>
              <w:right w:val="single" w:color="000000" w:sz="4" w:space="0"/>
            </w:tcBorders>
            <w:vAlign w:val="center"/>
          </w:tcPr>
          <w:p w14:paraId="63A97B12">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 xml:space="preserve">1 </w:t>
            </w:r>
          </w:p>
        </w:tc>
      </w:tr>
      <w:tr w14:paraId="47EE67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jc w:val="center"/>
        </w:trPr>
        <w:tc>
          <w:tcPr>
            <w:tcW w:w="644" w:type="dxa"/>
            <w:tcBorders>
              <w:top w:val="single" w:color="000000" w:sz="4" w:space="0"/>
              <w:left w:val="single" w:color="000000" w:sz="4" w:space="0"/>
              <w:bottom w:val="single" w:color="000000" w:sz="4" w:space="0"/>
              <w:right w:val="single" w:color="000000" w:sz="4" w:space="0"/>
            </w:tcBorders>
            <w:vAlign w:val="center"/>
          </w:tcPr>
          <w:p w14:paraId="68E76AAB">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5</w:t>
            </w:r>
          </w:p>
        </w:tc>
        <w:tc>
          <w:tcPr>
            <w:tcW w:w="851" w:type="dxa"/>
            <w:tcBorders>
              <w:top w:val="single" w:color="000000" w:sz="4" w:space="0"/>
              <w:left w:val="single" w:color="000000" w:sz="4" w:space="0"/>
              <w:bottom w:val="single" w:color="000000" w:sz="4" w:space="0"/>
              <w:right w:val="single" w:color="000000" w:sz="4" w:space="0"/>
            </w:tcBorders>
            <w:vAlign w:val="center"/>
          </w:tcPr>
          <w:p w14:paraId="10F40DA5">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工程安装调试</w:t>
            </w:r>
          </w:p>
        </w:tc>
        <w:tc>
          <w:tcPr>
            <w:tcW w:w="6378" w:type="dxa"/>
            <w:tcBorders>
              <w:top w:val="single" w:color="000000" w:sz="4" w:space="0"/>
              <w:left w:val="single" w:color="000000" w:sz="4" w:space="0"/>
              <w:bottom w:val="single" w:color="000000" w:sz="4" w:space="0"/>
              <w:right w:val="single" w:color="000000" w:sz="4" w:space="0"/>
            </w:tcBorders>
            <w:vAlign w:val="center"/>
          </w:tcPr>
          <w:p w14:paraId="7DBC3F84">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包含项目施工、调试、验收搬运等所有费用。</w:t>
            </w:r>
          </w:p>
        </w:tc>
        <w:tc>
          <w:tcPr>
            <w:tcW w:w="567" w:type="dxa"/>
            <w:tcBorders>
              <w:top w:val="single" w:color="000000" w:sz="4" w:space="0"/>
              <w:left w:val="single" w:color="000000" w:sz="4" w:space="0"/>
              <w:bottom w:val="single" w:color="000000" w:sz="4" w:space="0"/>
              <w:right w:val="single" w:color="000000" w:sz="4" w:space="0"/>
            </w:tcBorders>
            <w:vAlign w:val="center"/>
          </w:tcPr>
          <w:p w14:paraId="39DD9D38">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项</w:t>
            </w:r>
          </w:p>
        </w:tc>
        <w:tc>
          <w:tcPr>
            <w:tcW w:w="870" w:type="dxa"/>
            <w:tcBorders>
              <w:top w:val="single" w:color="000000" w:sz="4" w:space="0"/>
              <w:left w:val="single" w:color="000000" w:sz="4" w:space="0"/>
              <w:bottom w:val="single" w:color="000000" w:sz="4" w:space="0"/>
              <w:right w:val="single" w:color="000000" w:sz="4" w:space="0"/>
            </w:tcBorders>
            <w:vAlign w:val="center"/>
          </w:tcPr>
          <w:p w14:paraId="05E54756">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7999F7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jc w:val="center"/>
        </w:trPr>
        <w:tc>
          <w:tcPr>
            <w:tcW w:w="9310" w:type="dxa"/>
            <w:gridSpan w:val="5"/>
            <w:tcBorders>
              <w:top w:val="single" w:color="000000" w:sz="4" w:space="0"/>
              <w:left w:val="single" w:color="000000" w:sz="4" w:space="0"/>
              <w:bottom w:val="single" w:color="000000" w:sz="4" w:space="0"/>
              <w:right w:val="single" w:color="000000" w:sz="4" w:space="0"/>
            </w:tcBorders>
            <w:noWrap/>
            <w:vAlign w:val="center"/>
          </w:tcPr>
          <w:p w14:paraId="2004F78F">
            <w:pPr>
              <w:widowControl/>
              <w:jc w:val="center"/>
              <w:textAlignment w:val="center"/>
              <w:rPr>
                <w:rFonts w:hint="eastAsia" w:ascii="宋体" w:hAnsi="宋体"/>
                <w:b/>
                <w:bCs/>
                <w:color w:val="auto"/>
                <w:szCs w:val="21"/>
                <w:highlight w:val="none"/>
              </w:rPr>
            </w:pPr>
            <w:r>
              <w:rPr>
                <w:rFonts w:hint="eastAsia" w:ascii="Times New Roman" w:hAnsi="Times New Roman" w:cs="Times New Roman"/>
                <w:b/>
                <w:bCs/>
                <w:color w:val="auto"/>
                <w:highlight w:val="none"/>
              </w:rPr>
              <w:t>十三、指挥中心</w:t>
            </w:r>
          </w:p>
        </w:tc>
      </w:tr>
      <w:tr w14:paraId="230C17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jc w:val="center"/>
        </w:trPr>
        <w:tc>
          <w:tcPr>
            <w:tcW w:w="644" w:type="dxa"/>
            <w:tcBorders>
              <w:top w:val="single" w:color="000000" w:sz="4" w:space="0"/>
              <w:left w:val="single" w:color="000000" w:sz="4" w:space="0"/>
              <w:bottom w:val="single" w:color="000000" w:sz="4" w:space="0"/>
              <w:right w:val="single" w:color="000000" w:sz="4" w:space="0"/>
            </w:tcBorders>
            <w:vAlign w:val="center"/>
          </w:tcPr>
          <w:p w14:paraId="22C903CF">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c>
          <w:tcPr>
            <w:tcW w:w="851" w:type="dxa"/>
            <w:tcBorders>
              <w:top w:val="single" w:color="000000" w:sz="4" w:space="0"/>
              <w:left w:val="single" w:color="000000" w:sz="4" w:space="0"/>
              <w:bottom w:val="single" w:color="000000" w:sz="4" w:space="0"/>
              <w:right w:val="single" w:color="000000" w:sz="4" w:space="0"/>
            </w:tcBorders>
            <w:vAlign w:val="center"/>
          </w:tcPr>
          <w:p w14:paraId="14A3E568">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超脑边缘一体机</w:t>
            </w:r>
          </w:p>
        </w:tc>
        <w:tc>
          <w:tcPr>
            <w:tcW w:w="6378" w:type="dxa"/>
            <w:tcBorders>
              <w:top w:val="single" w:color="000000" w:sz="4" w:space="0"/>
              <w:left w:val="single" w:color="000000" w:sz="4" w:space="0"/>
              <w:bottom w:val="single" w:color="000000" w:sz="4" w:space="0"/>
              <w:right w:val="single" w:color="000000" w:sz="4" w:space="0"/>
            </w:tcBorders>
            <w:vAlign w:val="center"/>
          </w:tcPr>
          <w:p w14:paraId="6EA48C03">
            <w:pPr>
              <w:widowControl/>
              <w:numPr>
                <w:ilvl w:val="0"/>
                <w:numId w:val="117"/>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具有≥2个HDMI接口、≥2个VGA接口、≥1个CVBS接口、≥2个RJ45千兆网络接口、≥2个USB2.0接口、≥2个USB3.0接口、≥1个RS232接口、≥1个RS485接口（可接入RS485键盘）、≥1个eSata接口、1+1冗余电源、1+1冗余风扇；具有≥1路音频输入接口、≥2路音频输出接口、≥16路报警输入接口、≥9路报警输出接口（其中第9路支持受控直流12V输出）、具有≥1路直流12V输出接口（12V 1A）、可内置≥16块SATA接口硬盘</w:t>
            </w:r>
          </w:p>
          <w:p w14:paraId="399C4900">
            <w:pPr>
              <w:widowControl/>
              <w:numPr>
                <w:ilvl w:val="0"/>
                <w:numId w:val="117"/>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设备支持以文搜图功能，可通过文字语义描述，快速检索目标对象或内容；并可基于以文搜图快速检索的结果，对目标进行图搜的二次精准检索定位。</w:t>
            </w:r>
          </w:p>
          <w:p w14:paraId="3BA94CDB">
            <w:pPr>
              <w:widowControl/>
              <w:numPr>
                <w:ilvl w:val="0"/>
                <w:numId w:val="117"/>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支持独立的以文搜图应用展示界面，默认支持全通道录像检索，且通道和时间范围可设；支持自定义选择时间范围，可快速选择1天、3天、7天。</w:t>
            </w:r>
          </w:p>
          <w:p w14:paraId="68F64ED0">
            <w:pPr>
              <w:widowControl/>
              <w:numPr>
                <w:ilvl w:val="0"/>
                <w:numId w:val="117"/>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设备支持独立的智能以文搜图应用模块，支持人，车，单车，物品，动物等应用模块，应用内置以文搜图高频热词；高频热词包括：人的上衣颜色、下装颜色、随身物品、性别；车的颜色、类型、品牌；单车类型：二轮车，三轮车，儿童滑板车，婴儿车；动物类型：猫，狗，羊，牛，兔；其他特征：保安、抽烟、打电话、玩手机等；支持用户选择高频词后，设备可自动填充描述成句。</w:t>
            </w:r>
          </w:p>
          <w:p w14:paraId="4C3A78EC">
            <w:pPr>
              <w:widowControl/>
              <w:numPr>
                <w:ilvl w:val="0"/>
                <w:numId w:val="117"/>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支持针对画面中单独出现的物品抓拍和检索功能，独立物品抓拍支持按照点位单独配置，也支持批量配置，物品抓拍支持固定间隔抓拍和固定时间点两种方案，固定间隔抓拍支持15分钟，30分钟等间隔配置，固定间隔时间点抓拍最大支持≥8组时间点配置，独立物品检索结果，支持物品目标框显示，可快速查找目标。提供检测报告。</w:t>
            </w:r>
          </w:p>
          <w:p w14:paraId="7A3DDD22">
            <w:pPr>
              <w:widowControl/>
              <w:numPr>
                <w:ilvl w:val="0"/>
                <w:numId w:val="117"/>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以文搜图检索界面支持车牌号检索，车牌检索具备独立的输入界面，支持通过快速点选的方式，实现车牌检索；车牌检索方式支持三种类型，输入精准车牌检索，输入模糊车牌检索，输入模糊车牌号和车辆属性组合检索，提供检测报告。</w:t>
            </w:r>
          </w:p>
          <w:p w14:paraId="325954AB">
            <w:pPr>
              <w:widowControl/>
              <w:numPr>
                <w:ilvl w:val="0"/>
                <w:numId w:val="117"/>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支持≥32个人脸库，库容≥10万张人脸图片；支持路人库，库容≥10万张人脸抓拍图片，提供检测报告。</w:t>
            </w:r>
          </w:p>
          <w:p w14:paraId="2811EC94">
            <w:pPr>
              <w:widowControl/>
              <w:numPr>
                <w:ilvl w:val="0"/>
                <w:numId w:val="117"/>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人脸在低头角度不超过 20°，左右侧脸不超过 45°情况下，人脸检出率≥98%</w:t>
            </w:r>
          </w:p>
          <w:p w14:paraId="52ADB60B">
            <w:pPr>
              <w:widowControl/>
              <w:numPr>
                <w:ilvl w:val="0"/>
                <w:numId w:val="117"/>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支持≥24路视频流人脸识别，支持≥64路图片流人脸识别，并支持联动录像、抓图、报警和日志记录。</w:t>
            </w:r>
          </w:p>
          <w:p w14:paraId="6D2D9A63">
            <w:pPr>
              <w:widowControl/>
              <w:numPr>
                <w:ilvl w:val="0"/>
                <w:numId w:val="117"/>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支持人员档案聚合，一人一档功能，可将陌生人自动归入到档案库，并统计和展示每个陌生人出现的次数，多次出现的陌生人，设备自动选取一张评分最高的人脸图片作为人员档案封面。</w:t>
            </w:r>
          </w:p>
        </w:tc>
        <w:tc>
          <w:tcPr>
            <w:tcW w:w="567" w:type="dxa"/>
            <w:tcBorders>
              <w:top w:val="single" w:color="000000" w:sz="4" w:space="0"/>
              <w:left w:val="single" w:color="000000" w:sz="4" w:space="0"/>
              <w:bottom w:val="single" w:color="000000" w:sz="4" w:space="0"/>
              <w:right w:val="single" w:color="000000" w:sz="4" w:space="0"/>
            </w:tcBorders>
            <w:vAlign w:val="center"/>
          </w:tcPr>
          <w:p w14:paraId="0988B25E">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台</w:t>
            </w:r>
          </w:p>
        </w:tc>
        <w:tc>
          <w:tcPr>
            <w:tcW w:w="870" w:type="dxa"/>
            <w:tcBorders>
              <w:top w:val="single" w:color="000000" w:sz="4" w:space="0"/>
              <w:left w:val="single" w:color="000000" w:sz="4" w:space="0"/>
              <w:bottom w:val="single" w:color="000000" w:sz="4" w:space="0"/>
              <w:right w:val="single" w:color="000000" w:sz="4" w:space="0"/>
            </w:tcBorders>
            <w:vAlign w:val="center"/>
          </w:tcPr>
          <w:p w14:paraId="5C2F70ED">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 xml:space="preserve">1 </w:t>
            </w:r>
          </w:p>
        </w:tc>
      </w:tr>
      <w:tr w14:paraId="2AA536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jc w:val="center"/>
        </w:trPr>
        <w:tc>
          <w:tcPr>
            <w:tcW w:w="644" w:type="dxa"/>
            <w:tcBorders>
              <w:top w:val="single" w:color="000000" w:sz="4" w:space="0"/>
              <w:left w:val="single" w:color="000000" w:sz="4" w:space="0"/>
              <w:bottom w:val="single" w:color="000000" w:sz="4" w:space="0"/>
              <w:right w:val="single" w:color="000000" w:sz="4" w:space="0"/>
            </w:tcBorders>
            <w:vAlign w:val="center"/>
          </w:tcPr>
          <w:p w14:paraId="21EC9170">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w:t>
            </w:r>
          </w:p>
        </w:tc>
        <w:tc>
          <w:tcPr>
            <w:tcW w:w="851" w:type="dxa"/>
            <w:tcBorders>
              <w:top w:val="single" w:color="000000" w:sz="4" w:space="0"/>
              <w:left w:val="single" w:color="000000" w:sz="4" w:space="0"/>
              <w:bottom w:val="single" w:color="000000" w:sz="4" w:space="0"/>
              <w:right w:val="single" w:color="000000" w:sz="4" w:space="0"/>
            </w:tcBorders>
            <w:vAlign w:val="center"/>
          </w:tcPr>
          <w:p w14:paraId="0B94366E">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12T硬盘</w:t>
            </w:r>
          </w:p>
        </w:tc>
        <w:tc>
          <w:tcPr>
            <w:tcW w:w="6378" w:type="dxa"/>
            <w:tcBorders>
              <w:top w:val="single" w:color="000000" w:sz="4" w:space="0"/>
              <w:left w:val="single" w:color="000000" w:sz="4" w:space="0"/>
              <w:bottom w:val="single" w:color="000000" w:sz="4" w:space="0"/>
              <w:right w:val="single" w:color="000000" w:sz="4" w:space="0"/>
            </w:tcBorders>
            <w:vAlign w:val="center"/>
          </w:tcPr>
          <w:p w14:paraId="4FF8CB0A">
            <w:pPr>
              <w:widowControl/>
              <w:numPr>
                <w:ilvl w:val="0"/>
                <w:numId w:val="118"/>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标称容量：≥12TB</w:t>
            </w:r>
          </w:p>
          <w:p w14:paraId="16921780">
            <w:pPr>
              <w:widowControl/>
              <w:numPr>
                <w:ilvl w:val="0"/>
                <w:numId w:val="118"/>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外形规格：3.5-inch</w:t>
            </w:r>
          </w:p>
          <w:p w14:paraId="7D9C4D4F">
            <w:pPr>
              <w:widowControl/>
              <w:numPr>
                <w:ilvl w:val="0"/>
                <w:numId w:val="118"/>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接口类型：SATA</w:t>
            </w:r>
          </w:p>
          <w:p w14:paraId="704EB84C">
            <w:pPr>
              <w:widowControl/>
              <w:numPr>
                <w:ilvl w:val="0"/>
                <w:numId w:val="118"/>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刻录技术：CMR</w:t>
            </w:r>
          </w:p>
          <w:p w14:paraId="17012B55">
            <w:pPr>
              <w:widowControl/>
              <w:numPr>
                <w:ilvl w:val="0"/>
                <w:numId w:val="118"/>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转速：≥7200RPM</w:t>
            </w:r>
          </w:p>
          <w:p w14:paraId="22E808C3">
            <w:pPr>
              <w:widowControl/>
              <w:numPr>
                <w:ilvl w:val="0"/>
                <w:numId w:val="118"/>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缓存：≥512MB</w:t>
            </w:r>
          </w:p>
          <w:p w14:paraId="3AA4F31D">
            <w:pPr>
              <w:widowControl/>
              <w:numPr>
                <w:ilvl w:val="0"/>
                <w:numId w:val="118"/>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最大读取速度：≥265MB/s</w:t>
            </w:r>
          </w:p>
          <w:p w14:paraId="650F63F1">
            <w:pPr>
              <w:widowControl/>
              <w:numPr>
                <w:ilvl w:val="0"/>
                <w:numId w:val="118"/>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接口传输速率（最大值）：≥6.0Gb/s</w:t>
            </w:r>
          </w:p>
          <w:p w14:paraId="1A7A0E89">
            <w:pPr>
              <w:widowControl/>
              <w:numPr>
                <w:ilvl w:val="0"/>
                <w:numId w:val="118"/>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平均读写功率（W）：≥9.1W</w:t>
            </w:r>
          </w:p>
          <w:p w14:paraId="578C6C85">
            <w:pPr>
              <w:widowControl/>
              <w:numPr>
                <w:ilvl w:val="0"/>
                <w:numId w:val="118"/>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MTBF：≥2,500,000</w:t>
            </w:r>
          </w:p>
          <w:p w14:paraId="412C007C">
            <w:pPr>
              <w:widowControl/>
              <w:numPr>
                <w:ilvl w:val="0"/>
                <w:numId w:val="118"/>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年负荷（TB/年）：≥550TB</w:t>
            </w:r>
          </w:p>
        </w:tc>
        <w:tc>
          <w:tcPr>
            <w:tcW w:w="567" w:type="dxa"/>
            <w:tcBorders>
              <w:top w:val="single" w:color="000000" w:sz="4" w:space="0"/>
              <w:left w:val="single" w:color="000000" w:sz="4" w:space="0"/>
              <w:bottom w:val="single" w:color="000000" w:sz="4" w:space="0"/>
              <w:right w:val="single" w:color="000000" w:sz="4" w:space="0"/>
            </w:tcBorders>
            <w:vAlign w:val="center"/>
          </w:tcPr>
          <w:p w14:paraId="501B6A8A">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块</w:t>
            </w:r>
          </w:p>
        </w:tc>
        <w:tc>
          <w:tcPr>
            <w:tcW w:w="870" w:type="dxa"/>
            <w:tcBorders>
              <w:top w:val="single" w:color="000000" w:sz="4" w:space="0"/>
              <w:left w:val="single" w:color="000000" w:sz="4" w:space="0"/>
              <w:bottom w:val="single" w:color="000000" w:sz="4" w:space="0"/>
              <w:right w:val="single" w:color="000000" w:sz="4" w:space="0"/>
            </w:tcBorders>
            <w:vAlign w:val="center"/>
          </w:tcPr>
          <w:p w14:paraId="46D313A3">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 xml:space="preserve">8 </w:t>
            </w:r>
          </w:p>
        </w:tc>
      </w:tr>
      <w:tr w14:paraId="25E449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jc w:val="center"/>
        </w:trPr>
        <w:tc>
          <w:tcPr>
            <w:tcW w:w="644" w:type="dxa"/>
            <w:tcBorders>
              <w:top w:val="single" w:color="000000" w:sz="4" w:space="0"/>
              <w:left w:val="single" w:color="000000" w:sz="4" w:space="0"/>
              <w:bottom w:val="single" w:color="000000" w:sz="4" w:space="0"/>
              <w:right w:val="single" w:color="000000" w:sz="4" w:space="0"/>
            </w:tcBorders>
            <w:vAlign w:val="center"/>
          </w:tcPr>
          <w:p w14:paraId="1F269247">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3</w:t>
            </w:r>
          </w:p>
        </w:tc>
        <w:tc>
          <w:tcPr>
            <w:tcW w:w="851" w:type="dxa"/>
            <w:tcBorders>
              <w:top w:val="single" w:color="000000" w:sz="4" w:space="0"/>
              <w:left w:val="single" w:color="000000" w:sz="4" w:space="0"/>
              <w:bottom w:val="single" w:color="000000" w:sz="4" w:space="0"/>
              <w:right w:val="single" w:color="000000" w:sz="4" w:space="0"/>
            </w:tcBorders>
            <w:vAlign w:val="center"/>
          </w:tcPr>
          <w:p w14:paraId="25C65F9F">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监控管理电脑</w:t>
            </w:r>
          </w:p>
        </w:tc>
        <w:tc>
          <w:tcPr>
            <w:tcW w:w="6378" w:type="dxa"/>
            <w:tcBorders>
              <w:top w:val="single" w:color="000000" w:sz="4" w:space="0"/>
              <w:left w:val="single" w:color="000000" w:sz="4" w:space="0"/>
              <w:bottom w:val="single" w:color="000000" w:sz="4" w:space="0"/>
              <w:right w:val="single" w:color="000000" w:sz="4" w:space="0"/>
            </w:tcBorders>
            <w:vAlign w:val="center"/>
          </w:tcPr>
          <w:p w14:paraId="464F2895">
            <w:pPr>
              <w:widowControl/>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CPU：≥15-13400</w:t>
            </w:r>
          </w:p>
          <w:p w14:paraId="65D4C374">
            <w:pPr>
              <w:widowControl/>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 xml:space="preserve">内存：≥16GB </w:t>
            </w:r>
          </w:p>
          <w:p w14:paraId="2E5B257D">
            <w:pPr>
              <w:widowControl/>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硬盘：≥512GB SSD</w:t>
            </w:r>
          </w:p>
          <w:p w14:paraId="79B9F8E9">
            <w:pPr>
              <w:widowControl/>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操作系统：Win11</w:t>
            </w:r>
          </w:p>
          <w:p w14:paraId="6E8EEDF0">
            <w:pPr>
              <w:widowControl/>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显示器：≥23.8寸显示器</w:t>
            </w:r>
          </w:p>
        </w:tc>
        <w:tc>
          <w:tcPr>
            <w:tcW w:w="567" w:type="dxa"/>
            <w:tcBorders>
              <w:top w:val="single" w:color="000000" w:sz="4" w:space="0"/>
              <w:left w:val="single" w:color="000000" w:sz="4" w:space="0"/>
              <w:bottom w:val="single" w:color="000000" w:sz="4" w:space="0"/>
              <w:right w:val="single" w:color="000000" w:sz="4" w:space="0"/>
            </w:tcBorders>
            <w:vAlign w:val="center"/>
          </w:tcPr>
          <w:p w14:paraId="7C4B1495">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台</w:t>
            </w:r>
          </w:p>
        </w:tc>
        <w:tc>
          <w:tcPr>
            <w:tcW w:w="870" w:type="dxa"/>
            <w:tcBorders>
              <w:top w:val="single" w:color="000000" w:sz="4" w:space="0"/>
              <w:left w:val="single" w:color="000000" w:sz="4" w:space="0"/>
              <w:bottom w:val="single" w:color="000000" w:sz="4" w:space="0"/>
              <w:right w:val="single" w:color="000000" w:sz="4" w:space="0"/>
            </w:tcBorders>
            <w:vAlign w:val="center"/>
          </w:tcPr>
          <w:p w14:paraId="676196D5">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 xml:space="preserve">2 </w:t>
            </w:r>
          </w:p>
        </w:tc>
      </w:tr>
      <w:tr w14:paraId="2B4DB6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jc w:val="center"/>
        </w:trPr>
        <w:tc>
          <w:tcPr>
            <w:tcW w:w="644" w:type="dxa"/>
            <w:tcBorders>
              <w:top w:val="single" w:color="000000" w:sz="4" w:space="0"/>
              <w:left w:val="single" w:color="000000" w:sz="4" w:space="0"/>
              <w:bottom w:val="single" w:color="000000" w:sz="4" w:space="0"/>
              <w:right w:val="single" w:color="000000" w:sz="4" w:space="0"/>
            </w:tcBorders>
            <w:vAlign w:val="center"/>
          </w:tcPr>
          <w:p w14:paraId="41D982AB">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4</w:t>
            </w:r>
          </w:p>
        </w:tc>
        <w:tc>
          <w:tcPr>
            <w:tcW w:w="851" w:type="dxa"/>
            <w:tcBorders>
              <w:top w:val="single" w:color="000000" w:sz="4" w:space="0"/>
              <w:left w:val="single" w:color="000000" w:sz="4" w:space="0"/>
              <w:bottom w:val="single" w:color="000000" w:sz="4" w:space="0"/>
              <w:right w:val="single" w:color="000000" w:sz="4" w:space="0"/>
            </w:tcBorders>
            <w:vAlign w:val="center"/>
          </w:tcPr>
          <w:p w14:paraId="5076C318">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55寸液晶拼接单元</w:t>
            </w:r>
          </w:p>
        </w:tc>
        <w:tc>
          <w:tcPr>
            <w:tcW w:w="6378" w:type="dxa"/>
            <w:tcBorders>
              <w:top w:val="single" w:color="000000" w:sz="4" w:space="0"/>
              <w:left w:val="single" w:color="000000" w:sz="4" w:space="0"/>
              <w:bottom w:val="single" w:color="000000" w:sz="4" w:space="0"/>
              <w:right w:val="single" w:color="000000" w:sz="4" w:space="0"/>
            </w:tcBorders>
            <w:vAlign w:val="center"/>
          </w:tcPr>
          <w:p w14:paraId="77275BEA">
            <w:pPr>
              <w:widowControl/>
              <w:numPr>
                <w:ilvl w:val="0"/>
                <w:numId w:val="119"/>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LCD显示单元为：55英寸超窄边液晶屏；物理分辨率≥1920×1080，响应时间≤8ms。</w:t>
            </w:r>
          </w:p>
          <w:p w14:paraId="3BFE04F0">
            <w:pPr>
              <w:widowControl/>
              <w:numPr>
                <w:ilvl w:val="0"/>
                <w:numId w:val="119"/>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LCD显示单元物理拼缝≤3.5mm，亮度达到500cd/㎡，图像显示清晰度≥950TVL，对比度达到1000：1。</w:t>
            </w:r>
          </w:p>
          <w:p w14:paraId="1B103871">
            <w:pPr>
              <w:widowControl/>
              <w:numPr>
                <w:ilvl w:val="0"/>
                <w:numId w:val="119"/>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LCD显示单元具有视频输入接口：≥HDMI*1、≥DVI*1、≥USB*1，控制接口：≥RS232 IN * 1、≥RS232 OUT * 1。</w:t>
            </w:r>
          </w:p>
          <w:p w14:paraId="585204F1">
            <w:pPr>
              <w:widowControl/>
              <w:numPr>
                <w:ilvl w:val="0"/>
                <w:numId w:val="119"/>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通过控制面板远程无线控制屏幕，控制距离最远可支持10米，控制角度范围可支持水平-80°至80°。支持进行显示单元开关机、亮度调节等操作。</w:t>
            </w:r>
          </w:p>
          <w:p w14:paraId="5D946CBD">
            <w:pPr>
              <w:widowControl/>
              <w:numPr>
                <w:ilvl w:val="0"/>
                <w:numId w:val="119"/>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可通过控制面板进行监控场景切换，最大可支持切换场景数≥4个，场景切换时间≤2s，切换过程中无黑屏、闪屏现象。</w:t>
            </w:r>
          </w:p>
          <w:p w14:paraId="221C6AAD">
            <w:pPr>
              <w:widowControl/>
              <w:numPr>
                <w:ilvl w:val="0"/>
                <w:numId w:val="119"/>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支持信息交互功能，通过平台/客户端界面能够查看屏幕运维信息，包括使用时长、序列号、温度、亮度、显示模式，支持下发配置屏幕参数。</w:t>
            </w:r>
          </w:p>
          <w:p w14:paraId="3735246C">
            <w:pPr>
              <w:widowControl/>
              <w:numPr>
                <w:ilvl w:val="0"/>
                <w:numId w:val="119"/>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支持通过自动识别屏幕的行列号信息，能根据行列号信息，自动生成对应的电视墙规模和绑定输出口关系，无需手动配置电视墙。</w:t>
            </w:r>
          </w:p>
          <w:p w14:paraId="0CC31835">
            <w:pPr>
              <w:widowControl/>
              <w:numPr>
                <w:ilvl w:val="0"/>
                <w:numId w:val="119"/>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支持自动检测输入源的信号类型，根据信号源类型和显示位置，自动配置信号源所在屏幕的显示场景模式。</w:t>
            </w:r>
          </w:p>
          <w:p w14:paraId="33845BFB">
            <w:pPr>
              <w:widowControl/>
              <w:numPr>
                <w:ilvl w:val="0"/>
                <w:numId w:val="119"/>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液晶显示单元支持U盘自动播放功能，开启状态下，自动读取U盘中的视频、图片或文本资源并播放，视频间衔接时长≤30ms。</w:t>
            </w:r>
          </w:p>
          <w:p w14:paraId="77C984E5">
            <w:pPr>
              <w:widowControl/>
              <w:numPr>
                <w:ilvl w:val="0"/>
                <w:numId w:val="119"/>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液晶拼接显示单元具有信号自动检测功能，当有新信号输入时，自动转到相应信源；当前接入的信号接口无信号输入时，可自动切换到其他有信号输入的接口。提供检测报告。</w:t>
            </w:r>
          </w:p>
        </w:tc>
        <w:tc>
          <w:tcPr>
            <w:tcW w:w="567" w:type="dxa"/>
            <w:tcBorders>
              <w:top w:val="single" w:color="000000" w:sz="4" w:space="0"/>
              <w:left w:val="single" w:color="000000" w:sz="4" w:space="0"/>
              <w:bottom w:val="single" w:color="000000" w:sz="4" w:space="0"/>
              <w:right w:val="single" w:color="000000" w:sz="4" w:space="0"/>
            </w:tcBorders>
            <w:vAlign w:val="center"/>
          </w:tcPr>
          <w:p w14:paraId="08FC47CC">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块</w:t>
            </w:r>
          </w:p>
        </w:tc>
        <w:tc>
          <w:tcPr>
            <w:tcW w:w="870" w:type="dxa"/>
            <w:tcBorders>
              <w:top w:val="single" w:color="000000" w:sz="4" w:space="0"/>
              <w:left w:val="single" w:color="000000" w:sz="4" w:space="0"/>
              <w:bottom w:val="single" w:color="000000" w:sz="4" w:space="0"/>
              <w:right w:val="single" w:color="000000" w:sz="4" w:space="0"/>
            </w:tcBorders>
            <w:vAlign w:val="center"/>
          </w:tcPr>
          <w:p w14:paraId="515B014D">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 xml:space="preserve">9 </w:t>
            </w:r>
          </w:p>
        </w:tc>
      </w:tr>
      <w:tr w14:paraId="1E97EE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jc w:val="center"/>
        </w:trPr>
        <w:tc>
          <w:tcPr>
            <w:tcW w:w="644" w:type="dxa"/>
            <w:tcBorders>
              <w:top w:val="single" w:color="000000" w:sz="4" w:space="0"/>
              <w:left w:val="single" w:color="000000" w:sz="4" w:space="0"/>
              <w:bottom w:val="single" w:color="000000" w:sz="4" w:space="0"/>
              <w:right w:val="single" w:color="000000" w:sz="4" w:space="0"/>
            </w:tcBorders>
            <w:vAlign w:val="center"/>
          </w:tcPr>
          <w:p w14:paraId="5F60EEF3">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5</w:t>
            </w:r>
          </w:p>
        </w:tc>
        <w:tc>
          <w:tcPr>
            <w:tcW w:w="851" w:type="dxa"/>
            <w:tcBorders>
              <w:top w:val="single" w:color="000000" w:sz="4" w:space="0"/>
              <w:left w:val="single" w:color="000000" w:sz="4" w:space="0"/>
              <w:bottom w:val="single" w:color="000000" w:sz="4" w:space="0"/>
              <w:right w:val="single" w:color="000000" w:sz="4" w:space="0"/>
            </w:tcBorders>
            <w:vAlign w:val="center"/>
          </w:tcPr>
          <w:p w14:paraId="24BBD52B">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视频信号线</w:t>
            </w:r>
          </w:p>
        </w:tc>
        <w:tc>
          <w:tcPr>
            <w:tcW w:w="6378" w:type="dxa"/>
            <w:tcBorders>
              <w:top w:val="single" w:color="000000" w:sz="4" w:space="0"/>
              <w:left w:val="single" w:color="000000" w:sz="4" w:space="0"/>
              <w:bottom w:val="single" w:color="000000" w:sz="4" w:space="0"/>
              <w:right w:val="single" w:color="000000" w:sz="4" w:space="0"/>
            </w:tcBorders>
            <w:vAlign w:val="center"/>
          </w:tcPr>
          <w:p w14:paraId="54ED93E2">
            <w:pPr>
              <w:widowControl/>
              <w:numPr>
                <w:ilvl w:val="0"/>
                <w:numId w:val="120"/>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线芯：铜芯导体</w:t>
            </w:r>
          </w:p>
          <w:p w14:paraId="394F26F5">
            <w:pPr>
              <w:widowControl/>
              <w:numPr>
                <w:ilvl w:val="0"/>
                <w:numId w:val="120"/>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颜色：接头金色，线黑色</w:t>
            </w:r>
          </w:p>
          <w:p w14:paraId="2C966763">
            <w:pPr>
              <w:widowControl/>
              <w:numPr>
                <w:ilvl w:val="0"/>
                <w:numId w:val="120"/>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外皮：环保PVC</w:t>
            </w:r>
          </w:p>
          <w:p w14:paraId="21090766">
            <w:pPr>
              <w:widowControl/>
              <w:numPr>
                <w:ilvl w:val="0"/>
                <w:numId w:val="120"/>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分辨率：≥3840*2160  （往下兼容）</w:t>
            </w:r>
          </w:p>
          <w:p w14:paraId="726DA400">
            <w:pPr>
              <w:widowControl/>
              <w:numPr>
                <w:ilvl w:val="0"/>
                <w:numId w:val="120"/>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刷新率：≥4K@30Hz   （往下兼容）</w:t>
            </w:r>
          </w:p>
        </w:tc>
        <w:tc>
          <w:tcPr>
            <w:tcW w:w="567" w:type="dxa"/>
            <w:tcBorders>
              <w:top w:val="single" w:color="000000" w:sz="4" w:space="0"/>
              <w:left w:val="single" w:color="000000" w:sz="4" w:space="0"/>
              <w:bottom w:val="single" w:color="000000" w:sz="4" w:space="0"/>
              <w:right w:val="single" w:color="000000" w:sz="4" w:space="0"/>
            </w:tcBorders>
            <w:vAlign w:val="center"/>
          </w:tcPr>
          <w:p w14:paraId="73398CEE">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条</w:t>
            </w:r>
          </w:p>
        </w:tc>
        <w:tc>
          <w:tcPr>
            <w:tcW w:w="870" w:type="dxa"/>
            <w:tcBorders>
              <w:top w:val="single" w:color="000000" w:sz="4" w:space="0"/>
              <w:left w:val="single" w:color="000000" w:sz="4" w:space="0"/>
              <w:bottom w:val="single" w:color="000000" w:sz="4" w:space="0"/>
              <w:right w:val="single" w:color="000000" w:sz="4" w:space="0"/>
            </w:tcBorders>
            <w:vAlign w:val="center"/>
          </w:tcPr>
          <w:p w14:paraId="01E08D43">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 xml:space="preserve">9 </w:t>
            </w:r>
          </w:p>
        </w:tc>
      </w:tr>
      <w:tr w14:paraId="154427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jc w:val="center"/>
        </w:trPr>
        <w:tc>
          <w:tcPr>
            <w:tcW w:w="644" w:type="dxa"/>
            <w:tcBorders>
              <w:top w:val="single" w:color="000000" w:sz="4" w:space="0"/>
              <w:left w:val="single" w:color="000000" w:sz="4" w:space="0"/>
              <w:bottom w:val="single" w:color="000000" w:sz="4" w:space="0"/>
              <w:right w:val="single" w:color="000000" w:sz="4" w:space="0"/>
            </w:tcBorders>
            <w:vAlign w:val="center"/>
          </w:tcPr>
          <w:p w14:paraId="4597109A">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6</w:t>
            </w:r>
          </w:p>
        </w:tc>
        <w:tc>
          <w:tcPr>
            <w:tcW w:w="851" w:type="dxa"/>
            <w:tcBorders>
              <w:top w:val="single" w:color="000000" w:sz="4" w:space="0"/>
              <w:left w:val="single" w:color="000000" w:sz="4" w:space="0"/>
              <w:bottom w:val="single" w:color="000000" w:sz="4" w:space="0"/>
              <w:right w:val="single" w:color="000000" w:sz="4" w:space="0"/>
            </w:tcBorders>
            <w:vAlign w:val="center"/>
          </w:tcPr>
          <w:p w14:paraId="4F64BFA8">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电视墙</w:t>
            </w:r>
          </w:p>
        </w:tc>
        <w:tc>
          <w:tcPr>
            <w:tcW w:w="6378" w:type="dxa"/>
            <w:tcBorders>
              <w:top w:val="single" w:color="000000" w:sz="4" w:space="0"/>
              <w:left w:val="single" w:color="000000" w:sz="4" w:space="0"/>
              <w:bottom w:val="single" w:color="000000" w:sz="4" w:space="0"/>
              <w:right w:val="single" w:color="000000" w:sz="4" w:space="0"/>
            </w:tcBorders>
            <w:vAlign w:val="center"/>
          </w:tcPr>
          <w:p w14:paraId="67197675">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定制落地式电视墙支架</w:t>
            </w:r>
          </w:p>
        </w:tc>
        <w:tc>
          <w:tcPr>
            <w:tcW w:w="567" w:type="dxa"/>
            <w:tcBorders>
              <w:top w:val="single" w:color="000000" w:sz="4" w:space="0"/>
              <w:left w:val="single" w:color="000000" w:sz="4" w:space="0"/>
              <w:bottom w:val="single" w:color="000000" w:sz="4" w:space="0"/>
              <w:right w:val="single" w:color="000000" w:sz="4" w:space="0"/>
            </w:tcBorders>
            <w:vAlign w:val="center"/>
          </w:tcPr>
          <w:p w14:paraId="56E24BF5">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块</w:t>
            </w:r>
          </w:p>
        </w:tc>
        <w:tc>
          <w:tcPr>
            <w:tcW w:w="870" w:type="dxa"/>
            <w:tcBorders>
              <w:top w:val="single" w:color="000000" w:sz="4" w:space="0"/>
              <w:left w:val="single" w:color="000000" w:sz="4" w:space="0"/>
              <w:bottom w:val="single" w:color="000000" w:sz="4" w:space="0"/>
              <w:right w:val="single" w:color="000000" w:sz="4" w:space="0"/>
            </w:tcBorders>
            <w:vAlign w:val="center"/>
          </w:tcPr>
          <w:p w14:paraId="4288CD98">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 xml:space="preserve">1 </w:t>
            </w:r>
          </w:p>
        </w:tc>
      </w:tr>
      <w:tr w14:paraId="215633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jc w:val="center"/>
        </w:trPr>
        <w:tc>
          <w:tcPr>
            <w:tcW w:w="644" w:type="dxa"/>
            <w:tcBorders>
              <w:top w:val="single" w:color="000000" w:sz="4" w:space="0"/>
              <w:left w:val="single" w:color="000000" w:sz="4" w:space="0"/>
              <w:bottom w:val="single" w:color="000000" w:sz="4" w:space="0"/>
              <w:right w:val="single" w:color="000000" w:sz="4" w:space="0"/>
            </w:tcBorders>
            <w:vAlign w:val="center"/>
          </w:tcPr>
          <w:p w14:paraId="7299CCBF">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7</w:t>
            </w:r>
          </w:p>
        </w:tc>
        <w:tc>
          <w:tcPr>
            <w:tcW w:w="851" w:type="dxa"/>
            <w:tcBorders>
              <w:top w:val="single" w:color="000000" w:sz="4" w:space="0"/>
              <w:left w:val="single" w:color="000000" w:sz="4" w:space="0"/>
              <w:bottom w:val="single" w:color="000000" w:sz="4" w:space="0"/>
              <w:right w:val="single" w:color="000000" w:sz="4" w:space="0"/>
            </w:tcBorders>
            <w:vAlign w:val="center"/>
          </w:tcPr>
          <w:p w14:paraId="1150A4BD">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高清解码器</w:t>
            </w:r>
          </w:p>
        </w:tc>
        <w:tc>
          <w:tcPr>
            <w:tcW w:w="6378" w:type="dxa"/>
            <w:tcBorders>
              <w:top w:val="single" w:color="000000" w:sz="4" w:space="0"/>
              <w:left w:val="single" w:color="000000" w:sz="4" w:space="0"/>
              <w:bottom w:val="single" w:color="000000" w:sz="4" w:space="0"/>
              <w:right w:val="single" w:color="000000" w:sz="4" w:space="0"/>
            </w:tcBorders>
            <w:vAlign w:val="center"/>
          </w:tcPr>
          <w:p w14:paraId="5DCCA91F">
            <w:pPr>
              <w:widowControl/>
              <w:numPr>
                <w:ilvl w:val="0"/>
                <w:numId w:val="121"/>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采用嵌入式架构，专用Linux系统，使用DSP解码。为了设备稳定可靠运行，不得采用工控机或者PC机的X86架构。</w:t>
            </w:r>
          </w:p>
          <w:p w14:paraId="0F80E886">
            <w:pPr>
              <w:widowControl/>
              <w:numPr>
                <w:ilvl w:val="0"/>
                <w:numId w:val="121"/>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支持≥8路3200W、或≥8路2400W、或≥16路1200W、或≥32路800W、或≥40路分辨率为600W、或≥64路400W、或≥128路200W、或≥256路100W像素的视频图像同时解码上墙，支持对主/子码流区分取流和解码显示。</w:t>
            </w:r>
          </w:p>
          <w:p w14:paraId="5F65237C">
            <w:pPr>
              <w:widowControl/>
              <w:numPr>
                <w:ilvl w:val="0"/>
                <w:numId w:val="121"/>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支持接入MPEG4、MPEG2、H.264、MJPEG、H.265、SVAC等编码格式视频，并解码输出。</w:t>
            </w:r>
          </w:p>
          <w:p w14:paraId="460F3ED6">
            <w:pPr>
              <w:widowControl/>
              <w:numPr>
                <w:ilvl w:val="0"/>
                <w:numId w:val="121"/>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支持客户端软件将电脑投屏后，通过设备对电脑进行远程操作。</w:t>
            </w:r>
          </w:p>
          <w:p w14:paraId="51EA7C12">
            <w:pPr>
              <w:widowControl/>
              <w:numPr>
                <w:ilvl w:val="0"/>
                <w:numId w:val="121"/>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支持全部输出口同时输出≥3840×2160分辨率的图像，提供检测报告。</w:t>
            </w:r>
          </w:p>
          <w:p w14:paraId="2BA6A0B2">
            <w:pPr>
              <w:widowControl/>
              <w:numPr>
                <w:ilvl w:val="0"/>
                <w:numId w:val="121"/>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每个输出口支持任意开窗、漫游；任意1路信号显示画面可进行任意漫游、缩放；可在单屏或多屏的任意位置上叠加显示，图层≥100层。</w:t>
            </w:r>
          </w:p>
          <w:p w14:paraId="326FA48E">
            <w:pPr>
              <w:widowControl/>
              <w:numPr>
                <w:ilvl w:val="0"/>
                <w:numId w:val="121"/>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支持1、2、4、6、8、9、10、12、16、25、36、64、100画面分割显示，支持M×N≤100的任意分割。</w:t>
            </w:r>
          </w:p>
          <w:p w14:paraId="0008B7E7">
            <w:pPr>
              <w:widowControl/>
              <w:numPr>
                <w:ilvl w:val="0"/>
                <w:numId w:val="121"/>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支持跨屏同步显示功能，所有跨屏信号源可同时发送至各个屏幕显示，时差小于1ms。</w:t>
            </w:r>
          </w:p>
          <w:p w14:paraId="6983C400">
            <w:pPr>
              <w:widowControl/>
              <w:numPr>
                <w:ilvl w:val="0"/>
                <w:numId w:val="121"/>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 xml:space="preserve">单个HDMI输出接口可实现≥40个画面分割显示，每个视频流的分辨率为≥1920×1080、帧率为≥30fps。 </w:t>
            </w:r>
          </w:p>
        </w:tc>
        <w:tc>
          <w:tcPr>
            <w:tcW w:w="567" w:type="dxa"/>
            <w:tcBorders>
              <w:top w:val="single" w:color="000000" w:sz="4" w:space="0"/>
              <w:left w:val="single" w:color="000000" w:sz="4" w:space="0"/>
              <w:bottom w:val="single" w:color="000000" w:sz="4" w:space="0"/>
              <w:right w:val="single" w:color="000000" w:sz="4" w:space="0"/>
            </w:tcBorders>
            <w:vAlign w:val="center"/>
          </w:tcPr>
          <w:p w14:paraId="7F031ED8">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套</w:t>
            </w:r>
          </w:p>
        </w:tc>
        <w:tc>
          <w:tcPr>
            <w:tcW w:w="870" w:type="dxa"/>
            <w:tcBorders>
              <w:top w:val="single" w:color="000000" w:sz="4" w:space="0"/>
              <w:left w:val="single" w:color="000000" w:sz="4" w:space="0"/>
              <w:bottom w:val="single" w:color="000000" w:sz="4" w:space="0"/>
              <w:right w:val="single" w:color="000000" w:sz="4" w:space="0"/>
            </w:tcBorders>
            <w:vAlign w:val="center"/>
          </w:tcPr>
          <w:p w14:paraId="35C3530F">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 xml:space="preserve">1 </w:t>
            </w:r>
          </w:p>
        </w:tc>
      </w:tr>
      <w:tr w14:paraId="658860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jc w:val="center"/>
        </w:trPr>
        <w:tc>
          <w:tcPr>
            <w:tcW w:w="644" w:type="dxa"/>
            <w:tcBorders>
              <w:top w:val="single" w:color="000000" w:sz="4" w:space="0"/>
              <w:left w:val="single" w:color="000000" w:sz="4" w:space="0"/>
              <w:bottom w:val="single" w:color="000000" w:sz="4" w:space="0"/>
              <w:right w:val="single" w:color="000000" w:sz="4" w:space="0"/>
            </w:tcBorders>
            <w:vAlign w:val="center"/>
          </w:tcPr>
          <w:p w14:paraId="02FEBECE">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8</w:t>
            </w:r>
          </w:p>
        </w:tc>
        <w:tc>
          <w:tcPr>
            <w:tcW w:w="851" w:type="dxa"/>
            <w:tcBorders>
              <w:top w:val="single" w:color="000000" w:sz="4" w:space="0"/>
              <w:left w:val="single" w:color="000000" w:sz="4" w:space="0"/>
              <w:bottom w:val="single" w:color="000000" w:sz="4" w:space="0"/>
              <w:right w:val="single" w:color="000000" w:sz="4" w:space="0"/>
            </w:tcBorders>
            <w:vAlign w:val="center"/>
          </w:tcPr>
          <w:p w14:paraId="01EA83C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操作台</w:t>
            </w:r>
          </w:p>
        </w:tc>
        <w:tc>
          <w:tcPr>
            <w:tcW w:w="6378" w:type="dxa"/>
            <w:tcBorders>
              <w:top w:val="single" w:color="000000" w:sz="4" w:space="0"/>
              <w:left w:val="single" w:color="000000" w:sz="4" w:space="0"/>
              <w:bottom w:val="single" w:color="000000" w:sz="4" w:space="0"/>
              <w:right w:val="single" w:color="000000" w:sz="4" w:space="0"/>
            </w:tcBorders>
            <w:vAlign w:val="center"/>
          </w:tcPr>
          <w:p w14:paraId="1CCE6A2D">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2联 台面：≥1200mm*900mm。 高：≥750mm。 ≥1.2mm优质冷轧钢</w:t>
            </w:r>
          </w:p>
        </w:tc>
        <w:tc>
          <w:tcPr>
            <w:tcW w:w="567" w:type="dxa"/>
            <w:tcBorders>
              <w:top w:val="single" w:color="000000" w:sz="4" w:space="0"/>
              <w:left w:val="single" w:color="000000" w:sz="4" w:space="0"/>
              <w:bottom w:val="single" w:color="000000" w:sz="4" w:space="0"/>
              <w:right w:val="single" w:color="000000" w:sz="4" w:space="0"/>
            </w:tcBorders>
            <w:vAlign w:val="center"/>
          </w:tcPr>
          <w:p w14:paraId="35CBF4A5">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套</w:t>
            </w:r>
          </w:p>
        </w:tc>
        <w:tc>
          <w:tcPr>
            <w:tcW w:w="870" w:type="dxa"/>
            <w:tcBorders>
              <w:top w:val="single" w:color="000000" w:sz="4" w:space="0"/>
              <w:left w:val="single" w:color="000000" w:sz="4" w:space="0"/>
              <w:bottom w:val="single" w:color="000000" w:sz="4" w:space="0"/>
              <w:right w:val="single" w:color="000000" w:sz="4" w:space="0"/>
            </w:tcBorders>
            <w:vAlign w:val="center"/>
          </w:tcPr>
          <w:p w14:paraId="6C7527E5">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 xml:space="preserve">3 </w:t>
            </w:r>
          </w:p>
        </w:tc>
      </w:tr>
      <w:tr w14:paraId="71116F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jc w:val="center"/>
        </w:trPr>
        <w:tc>
          <w:tcPr>
            <w:tcW w:w="644" w:type="dxa"/>
            <w:tcBorders>
              <w:top w:val="single" w:color="000000" w:sz="4" w:space="0"/>
              <w:left w:val="single" w:color="000000" w:sz="4" w:space="0"/>
              <w:bottom w:val="single" w:color="000000" w:sz="4" w:space="0"/>
              <w:right w:val="single" w:color="000000" w:sz="4" w:space="0"/>
            </w:tcBorders>
            <w:vAlign w:val="center"/>
          </w:tcPr>
          <w:p w14:paraId="3BF4503C">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9</w:t>
            </w:r>
          </w:p>
        </w:tc>
        <w:tc>
          <w:tcPr>
            <w:tcW w:w="851" w:type="dxa"/>
            <w:tcBorders>
              <w:top w:val="single" w:color="000000" w:sz="4" w:space="0"/>
              <w:left w:val="single" w:color="000000" w:sz="4" w:space="0"/>
              <w:bottom w:val="single" w:color="000000" w:sz="4" w:space="0"/>
              <w:right w:val="single" w:color="000000" w:sz="4" w:space="0"/>
            </w:tcBorders>
            <w:vAlign w:val="center"/>
          </w:tcPr>
          <w:p w14:paraId="26B6E743">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服务器机柜</w:t>
            </w:r>
          </w:p>
        </w:tc>
        <w:tc>
          <w:tcPr>
            <w:tcW w:w="6378" w:type="dxa"/>
            <w:tcBorders>
              <w:top w:val="single" w:color="000000" w:sz="4" w:space="0"/>
              <w:left w:val="single" w:color="000000" w:sz="4" w:space="0"/>
              <w:bottom w:val="single" w:color="000000" w:sz="4" w:space="0"/>
              <w:right w:val="single" w:color="000000" w:sz="4" w:space="0"/>
            </w:tcBorders>
            <w:vAlign w:val="center"/>
          </w:tcPr>
          <w:p w14:paraId="51D2CA88">
            <w:pPr>
              <w:widowControl/>
              <w:numPr>
                <w:ilvl w:val="0"/>
                <w:numId w:val="122"/>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规格型号：≥600×800×2000（42U）</w:t>
            </w:r>
          </w:p>
          <w:p w14:paraId="1EB0B167">
            <w:pPr>
              <w:widowControl/>
              <w:numPr>
                <w:ilvl w:val="0"/>
                <w:numId w:val="122"/>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材质：SPCC优质冷轧钢板</w:t>
            </w:r>
          </w:p>
          <w:p w14:paraId="7B9288C4">
            <w:pPr>
              <w:widowControl/>
              <w:numPr>
                <w:ilvl w:val="0"/>
                <w:numId w:val="122"/>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材料厚度：立柱≥2.0，横梁≥1.2，门板≥1.0</w:t>
            </w:r>
          </w:p>
          <w:p w14:paraId="3F95CAED">
            <w:pPr>
              <w:widowControl/>
              <w:numPr>
                <w:ilvl w:val="0"/>
                <w:numId w:val="122"/>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通风系统：置顶式风机散热单元，底部活动进线孔</w:t>
            </w:r>
          </w:p>
          <w:p w14:paraId="7096CC86">
            <w:pPr>
              <w:widowControl/>
              <w:numPr>
                <w:ilvl w:val="0"/>
                <w:numId w:val="122"/>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立柱间距： 19英寸</w:t>
            </w:r>
          </w:p>
          <w:p w14:paraId="64311621">
            <w:pPr>
              <w:widowControl/>
              <w:numPr>
                <w:ilvl w:val="0"/>
                <w:numId w:val="122"/>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表面处理工艺：脱脂-酸洗-磷化-静电喷塑，方孔条镀锌</w:t>
            </w:r>
          </w:p>
          <w:p w14:paraId="4A2AEE18">
            <w:pPr>
              <w:widowControl/>
              <w:numPr>
                <w:ilvl w:val="0"/>
                <w:numId w:val="122"/>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附加功能：速拆卸式双侧板</w:t>
            </w:r>
          </w:p>
          <w:p w14:paraId="6BFCDD17">
            <w:pPr>
              <w:widowControl/>
              <w:numPr>
                <w:ilvl w:val="0"/>
                <w:numId w:val="122"/>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配置：≥3个层板，≥5MM钢化玻璃前门+冷轧钢网孔后门，≥20套哈姆螺丝</w:t>
            </w:r>
          </w:p>
        </w:tc>
        <w:tc>
          <w:tcPr>
            <w:tcW w:w="567" w:type="dxa"/>
            <w:tcBorders>
              <w:top w:val="single" w:color="000000" w:sz="4" w:space="0"/>
              <w:left w:val="single" w:color="000000" w:sz="4" w:space="0"/>
              <w:bottom w:val="single" w:color="000000" w:sz="4" w:space="0"/>
              <w:right w:val="single" w:color="000000" w:sz="4" w:space="0"/>
            </w:tcBorders>
            <w:vAlign w:val="center"/>
          </w:tcPr>
          <w:p w14:paraId="5EBABB68">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台</w:t>
            </w:r>
          </w:p>
        </w:tc>
        <w:tc>
          <w:tcPr>
            <w:tcW w:w="870" w:type="dxa"/>
            <w:tcBorders>
              <w:top w:val="single" w:color="000000" w:sz="4" w:space="0"/>
              <w:left w:val="single" w:color="000000" w:sz="4" w:space="0"/>
              <w:bottom w:val="single" w:color="000000" w:sz="4" w:space="0"/>
              <w:right w:val="single" w:color="000000" w:sz="4" w:space="0"/>
            </w:tcBorders>
            <w:vAlign w:val="center"/>
          </w:tcPr>
          <w:p w14:paraId="3CB46EF5">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 xml:space="preserve">4 </w:t>
            </w:r>
          </w:p>
        </w:tc>
      </w:tr>
      <w:tr w14:paraId="610120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jc w:val="center"/>
        </w:trPr>
        <w:tc>
          <w:tcPr>
            <w:tcW w:w="644" w:type="dxa"/>
            <w:tcBorders>
              <w:top w:val="single" w:color="000000" w:sz="4" w:space="0"/>
              <w:left w:val="single" w:color="000000" w:sz="4" w:space="0"/>
              <w:bottom w:val="single" w:color="000000" w:sz="4" w:space="0"/>
              <w:right w:val="single" w:color="000000" w:sz="4" w:space="0"/>
            </w:tcBorders>
            <w:vAlign w:val="center"/>
          </w:tcPr>
          <w:p w14:paraId="44E566E1">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10</w:t>
            </w:r>
          </w:p>
        </w:tc>
        <w:tc>
          <w:tcPr>
            <w:tcW w:w="851" w:type="dxa"/>
            <w:tcBorders>
              <w:top w:val="single" w:color="000000" w:sz="4" w:space="0"/>
              <w:left w:val="single" w:color="000000" w:sz="4" w:space="0"/>
              <w:bottom w:val="single" w:color="000000" w:sz="4" w:space="0"/>
              <w:right w:val="single" w:color="000000" w:sz="4" w:space="0"/>
            </w:tcBorders>
            <w:vAlign w:val="center"/>
          </w:tcPr>
          <w:p w14:paraId="2FA898FC">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辅材</w:t>
            </w:r>
          </w:p>
        </w:tc>
        <w:tc>
          <w:tcPr>
            <w:tcW w:w="6378" w:type="dxa"/>
            <w:tcBorders>
              <w:top w:val="single" w:color="000000" w:sz="4" w:space="0"/>
              <w:left w:val="single" w:color="000000" w:sz="4" w:space="0"/>
              <w:bottom w:val="single" w:color="000000" w:sz="4" w:space="0"/>
              <w:right w:val="single" w:color="000000" w:sz="4" w:space="0"/>
            </w:tcBorders>
            <w:vAlign w:val="center"/>
          </w:tcPr>
          <w:p w14:paraId="7201CDD1">
            <w:pPr>
              <w:widowControl/>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项目辅材包括但不限于以下材料</w:t>
            </w:r>
          </w:p>
          <w:p w14:paraId="4A41B5B3">
            <w:pPr>
              <w:widowControl/>
              <w:numPr>
                <w:ilvl w:val="0"/>
                <w:numId w:val="123"/>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实施本项目所需要的网线、电源线、音视频线、光缆等线材；</w:t>
            </w:r>
          </w:p>
          <w:p w14:paraId="55E467B9">
            <w:pPr>
              <w:widowControl/>
              <w:numPr>
                <w:ilvl w:val="0"/>
                <w:numId w:val="123"/>
              </w:numPr>
              <w:jc w:val="left"/>
              <w:textAlignment w:val="center"/>
              <w:rPr>
                <w:rFonts w:hint="eastAsia" w:ascii="宋体" w:hAnsi="宋体"/>
                <w:color w:val="auto"/>
                <w:szCs w:val="21"/>
                <w:highlight w:val="none"/>
              </w:rPr>
            </w:pPr>
            <w:r>
              <w:rPr>
                <w:rFonts w:hint="eastAsia" w:ascii="宋体" w:hAnsi="宋体"/>
                <w:color w:val="auto"/>
                <w:szCs w:val="21"/>
                <w:highlight w:val="none"/>
              </w:rPr>
              <w:t>实施本项目所需要的其他全部材料和设备。</w:t>
            </w:r>
          </w:p>
        </w:tc>
        <w:tc>
          <w:tcPr>
            <w:tcW w:w="567" w:type="dxa"/>
            <w:tcBorders>
              <w:top w:val="single" w:color="000000" w:sz="4" w:space="0"/>
              <w:left w:val="single" w:color="000000" w:sz="4" w:space="0"/>
              <w:bottom w:val="single" w:color="000000" w:sz="4" w:space="0"/>
              <w:right w:val="single" w:color="000000" w:sz="4" w:space="0"/>
            </w:tcBorders>
            <w:vAlign w:val="center"/>
          </w:tcPr>
          <w:p w14:paraId="366BF9ED">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批</w:t>
            </w:r>
          </w:p>
        </w:tc>
        <w:tc>
          <w:tcPr>
            <w:tcW w:w="870" w:type="dxa"/>
            <w:tcBorders>
              <w:top w:val="single" w:color="000000" w:sz="4" w:space="0"/>
              <w:left w:val="single" w:color="000000" w:sz="4" w:space="0"/>
              <w:bottom w:val="single" w:color="000000" w:sz="4" w:space="0"/>
              <w:right w:val="single" w:color="000000" w:sz="4" w:space="0"/>
            </w:tcBorders>
            <w:vAlign w:val="center"/>
          </w:tcPr>
          <w:p w14:paraId="675FCB24">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 xml:space="preserve">1 </w:t>
            </w:r>
          </w:p>
        </w:tc>
      </w:tr>
      <w:tr w14:paraId="0EF747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jc w:val="center"/>
        </w:trPr>
        <w:tc>
          <w:tcPr>
            <w:tcW w:w="644" w:type="dxa"/>
            <w:tcBorders>
              <w:top w:val="single" w:color="000000" w:sz="4" w:space="0"/>
              <w:left w:val="single" w:color="000000" w:sz="4" w:space="0"/>
              <w:bottom w:val="single" w:color="000000" w:sz="4" w:space="0"/>
              <w:right w:val="single" w:color="000000" w:sz="4" w:space="0"/>
            </w:tcBorders>
            <w:vAlign w:val="center"/>
          </w:tcPr>
          <w:p w14:paraId="034156B0">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11</w:t>
            </w:r>
          </w:p>
        </w:tc>
        <w:tc>
          <w:tcPr>
            <w:tcW w:w="851" w:type="dxa"/>
            <w:tcBorders>
              <w:top w:val="single" w:color="000000" w:sz="4" w:space="0"/>
              <w:left w:val="single" w:color="000000" w:sz="4" w:space="0"/>
              <w:bottom w:val="single" w:color="000000" w:sz="4" w:space="0"/>
              <w:right w:val="single" w:color="000000" w:sz="4" w:space="0"/>
            </w:tcBorders>
            <w:vAlign w:val="center"/>
          </w:tcPr>
          <w:p w14:paraId="7CA74532">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工程安装调试</w:t>
            </w:r>
          </w:p>
        </w:tc>
        <w:tc>
          <w:tcPr>
            <w:tcW w:w="6378" w:type="dxa"/>
            <w:tcBorders>
              <w:top w:val="single" w:color="000000" w:sz="4" w:space="0"/>
              <w:left w:val="single" w:color="000000" w:sz="4" w:space="0"/>
              <w:bottom w:val="single" w:color="000000" w:sz="4" w:space="0"/>
              <w:right w:val="single" w:color="000000" w:sz="4" w:space="0"/>
            </w:tcBorders>
            <w:vAlign w:val="center"/>
          </w:tcPr>
          <w:p w14:paraId="38169643">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包含项目施工、调试、验收搬运等所有费用。</w:t>
            </w:r>
          </w:p>
        </w:tc>
        <w:tc>
          <w:tcPr>
            <w:tcW w:w="567" w:type="dxa"/>
            <w:tcBorders>
              <w:top w:val="single" w:color="000000" w:sz="4" w:space="0"/>
              <w:left w:val="single" w:color="000000" w:sz="4" w:space="0"/>
              <w:bottom w:val="single" w:color="000000" w:sz="4" w:space="0"/>
              <w:right w:val="single" w:color="000000" w:sz="4" w:space="0"/>
            </w:tcBorders>
            <w:vAlign w:val="center"/>
          </w:tcPr>
          <w:p w14:paraId="558F65ED">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项</w:t>
            </w:r>
          </w:p>
        </w:tc>
        <w:tc>
          <w:tcPr>
            <w:tcW w:w="870" w:type="dxa"/>
            <w:tcBorders>
              <w:top w:val="single" w:color="000000" w:sz="4" w:space="0"/>
              <w:left w:val="single" w:color="000000" w:sz="4" w:space="0"/>
              <w:bottom w:val="single" w:color="000000" w:sz="4" w:space="0"/>
              <w:right w:val="single" w:color="000000" w:sz="4" w:space="0"/>
            </w:tcBorders>
            <w:vAlign w:val="center"/>
          </w:tcPr>
          <w:p w14:paraId="794609EA">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2310E8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jc w:val="center"/>
        </w:trPr>
        <w:tc>
          <w:tcPr>
            <w:tcW w:w="9310" w:type="dxa"/>
            <w:gridSpan w:val="5"/>
            <w:tcBorders>
              <w:top w:val="single" w:color="000000" w:sz="4" w:space="0"/>
              <w:left w:val="single" w:color="000000" w:sz="4" w:space="0"/>
              <w:bottom w:val="single" w:color="000000" w:sz="4" w:space="0"/>
              <w:right w:val="single" w:color="000000" w:sz="4" w:space="0"/>
            </w:tcBorders>
            <w:noWrap/>
            <w:vAlign w:val="center"/>
          </w:tcPr>
          <w:p w14:paraId="3F7FC0B6">
            <w:pPr>
              <w:widowControl/>
              <w:jc w:val="center"/>
              <w:textAlignment w:val="center"/>
              <w:rPr>
                <w:rFonts w:hint="eastAsia" w:ascii="宋体" w:hAnsi="宋体"/>
                <w:b/>
                <w:bCs/>
                <w:color w:val="auto"/>
                <w:szCs w:val="21"/>
                <w:highlight w:val="none"/>
              </w:rPr>
            </w:pPr>
            <w:r>
              <w:rPr>
                <w:rFonts w:hint="eastAsia" w:ascii="宋体" w:hAnsi="宋体"/>
                <w:b/>
                <w:bCs/>
                <w:color w:val="auto"/>
                <w:kern w:val="0"/>
                <w:szCs w:val="21"/>
                <w:highlight w:val="none"/>
                <w:lang w:bidi="ar"/>
              </w:rPr>
              <w:t>十四、车辆出入管理</w:t>
            </w:r>
          </w:p>
        </w:tc>
      </w:tr>
      <w:tr w14:paraId="7EC7D0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jc w:val="center"/>
        </w:trPr>
        <w:tc>
          <w:tcPr>
            <w:tcW w:w="644" w:type="dxa"/>
            <w:tcBorders>
              <w:top w:val="single" w:color="000000" w:sz="4" w:space="0"/>
              <w:left w:val="single" w:color="000000" w:sz="4" w:space="0"/>
              <w:bottom w:val="single" w:color="000000" w:sz="4" w:space="0"/>
              <w:right w:val="single" w:color="000000" w:sz="4" w:space="0"/>
            </w:tcBorders>
            <w:noWrap/>
            <w:vAlign w:val="center"/>
          </w:tcPr>
          <w:p w14:paraId="5AB71CCD">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c>
          <w:tcPr>
            <w:tcW w:w="851" w:type="dxa"/>
            <w:tcBorders>
              <w:top w:val="single" w:color="000000" w:sz="4" w:space="0"/>
              <w:left w:val="single" w:color="000000" w:sz="4" w:space="0"/>
              <w:bottom w:val="single" w:color="000000" w:sz="4" w:space="0"/>
              <w:right w:val="single" w:color="000000" w:sz="4" w:space="0"/>
            </w:tcBorders>
            <w:noWrap/>
            <w:vAlign w:val="center"/>
          </w:tcPr>
          <w:p w14:paraId="3DD8D6AA">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道闸</w:t>
            </w:r>
          </w:p>
        </w:tc>
        <w:tc>
          <w:tcPr>
            <w:tcW w:w="6378" w:type="dxa"/>
            <w:tcBorders>
              <w:top w:val="single" w:color="000000" w:sz="4" w:space="0"/>
              <w:left w:val="single" w:color="000000" w:sz="4" w:space="0"/>
              <w:bottom w:val="single" w:color="000000" w:sz="4" w:space="0"/>
              <w:right w:val="single" w:color="000000" w:sz="4" w:space="0"/>
            </w:tcBorders>
            <w:noWrap/>
            <w:vAlign w:val="center"/>
          </w:tcPr>
          <w:p w14:paraId="42B00AB4">
            <w:pPr>
              <w:widowControl/>
              <w:numPr>
                <w:ilvl w:val="0"/>
                <w:numId w:val="124"/>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有效通行宽度：≥3630mm</w:t>
            </w:r>
          </w:p>
          <w:p w14:paraId="76977826">
            <w:pPr>
              <w:widowControl/>
              <w:numPr>
                <w:ilvl w:val="0"/>
                <w:numId w:val="124"/>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通道宽度：≥4113mm</w:t>
            </w:r>
          </w:p>
          <w:p w14:paraId="2BE94510">
            <w:pPr>
              <w:widowControl/>
              <w:numPr>
                <w:ilvl w:val="0"/>
                <w:numId w:val="124"/>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 xml:space="preserve">道闸高度：≥4750mm </w:t>
            </w:r>
          </w:p>
          <w:p w14:paraId="2F0B4903">
            <w:pPr>
              <w:widowControl/>
              <w:numPr>
                <w:ilvl w:val="0"/>
                <w:numId w:val="124"/>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开/关到位输出接口：各≥1组</w:t>
            </w:r>
          </w:p>
          <w:p w14:paraId="5EFCB588">
            <w:pPr>
              <w:widowControl/>
              <w:numPr>
                <w:ilvl w:val="0"/>
                <w:numId w:val="124"/>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开/关/停控制信号接口：各≥1组</w:t>
            </w:r>
          </w:p>
          <w:p w14:paraId="1FCCFA26">
            <w:pPr>
              <w:widowControl/>
              <w:numPr>
                <w:ilvl w:val="0"/>
                <w:numId w:val="124"/>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红外/地感防砸信号接口：≥1组</w:t>
            </w:r>
          </w:p>
          <w:p w14:paraId="15A5522F">
            <w:pPr>
              <w:widowControl/>
              <w:numPr>
                <w:ilvl w:val="0"/>
                <w:numId w:val="124"/>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 xml:space="preserve">485控制接口：≥1组 </w:t>
            </w:r>
          </w:p>
          <w:p w14:paraId="024E8867">
            <w:pPr>
              <w:widowControl/>
              <w:numPr>
                <w:ilvl w:val="0"/>
                <w:numId w:val="124"/>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道闸：栅栏</w:t>
            </w:r>
          </w:p>
          <w:p w14:paraId="19D39B28">
            <w:pPr>
              <w:widowControl/>
              <w:numPr>
                <w:ilvl w:val="0"/>
                <w:numId w:val="124"/>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 xml:space="preserve">工作温度和湿度：-30~70 °C </w:t>
            </w:r>
          </w:p>
          <w:p w14:paraId="65F408CD">
            <w:pPr>
              <w:widowControl/>
              <w:numPr>
                <w:ilvl w:val="0"/>
                <w:numId w:val="124"/>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尺寸(mm)：≥370*262*1060</w:t>
            </w:r>
          </w:p>
          <w:p w14:paraId="5E0284F3">
            <w:pPr>
              <w:widowControl/>
              <w:numPr>
                <w:ilvl w:val="0"/>
                <w:numId w:val="124"/>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防护等级：IP54</w:t>
            </w:r>
          </w:p>
          <w:p w14:paraId="21B34E5F">
            <w:pPr>
              <w:widowControl/>
              <w:numPr>
                <w:ilvl w:val="0"/>
                <w:numId w:val="124"/>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机箱材质：SECC</w:t>
            </w:r>
          </w:p>
        </w:tc>
        <w:tc>
          <w:tcPr>
            <w:tcW w:w="567" w:type="dxa"/>
            <w:tcBorders>
              <w:top w:val="single" w:color="000000" w:sz="4" w:space="0"/>
              <w:left w:val="single" w:color="000000" w:sz="4" w:space="0"/>
              <w:bottom w:val="single" w:color="000000" w:sz="4" w:space="0"/>
              <w:right w:val="single" w:color="000000" w:sz="4" w:space="0"/>
            </w:tcBorders>
            <w:vAlign w:val="center"/>
          </w:tcPr>
          <w:p w14:paraId="76D26228">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台</w:t>
            </w:r>
          </w:p>
        </w:tc>
        <w:tc>
          <w:tcPr>
            <w:tcW w:w="870" w:type="dxa"/>
            <w:tcBorders>
              <w:top w:val="single" w:color="000000" w:sz="4" w:space="0"/>
              <w:left w:val="single" w:color="000000" w:sz="4" w:space="0"/>
              <w:bottom w:val="single" w:color="000000" w:sz="4" w:space="0"/>
              <w:right w:val="single" w:color="000000" w:sz="4" w:space="0"/>
            </w:tcBorders>
            <w:vAlign w:val="center"/>
          </w:tcPr>
          <w:p w14:paraId="000C9BF6">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4</w:t>
            </w:r>
          </w:p>
        </w:tc>
      </w:tr>
      <w:tr w14:paraId="0D538E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jc w:val="center"/>
        </w:trPr>
        <w:tc>
          <w:tcPr>
            <w:tcW w:w="644" w:type="dxa"/>
            <w:tcBorders>
              <w:top w:val="single" w:color="000000" w:sz="4" w:space="0"/>
              <w:left w:val="single" w:color="000000" w:sz="4" w:space="0"/>
              <w:bottom w:val="single" w:color="000000" w:sz="4" w:space="0"/>
              <w:right w:val="single" w:color="000000" w:sz="4" w:space="0"/>
            </w:tcBorders>
            <w:vAlign w:val="center"/>
          </w:tcPr>
          <w:p w14:paraId="5298CD86">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w:t>
            </w:r>
          </w:p>
        </w:tc>
        <w:tc>
          <w:tcPr>
            <w:tcW w:w="851" w:type="dxa"/>
            <w:tcBorders>
              <w:top w:val="single" w:color="000000" w:sz="4" w:space="0"/>
              <w:left w:val="single" w:color="000000" w:sz="4" w:space="0"/>
              <w:bottom w:val="single" w:color="000000" w:sz="4" w:space="0"/>
              <w:right w:val="single" w:color="000000" w:sz="4" w:space="0"/>
            </w:tcBorders>
            <w:vAlign w:val="center"/>
          </w:tcPr>
          <w:p w14:paraId="4B11718F">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抓拍显示一体机</w:t>
            </w:r>
          </w:p>
        </w:tc>
        <w:tc>
          <w:tcPr>
            <w:tcW w:w="6378" w:type="dxa"/>
            <w:tcBorders>
              <w:top w:val="single" w:color="000000" w:sz="4" w:space="0"/>
              <w:left w:val="single" w:color="000000" w:sz="4" w:space="0"/>
              <w:bottom w:val="single" w:color="000000" w:sz="4" w:space="0"/>
              <w:right w:val="single" w:color="000000" w:sz="4" w:space="0"/>
            </w:tcBorders>
            <w:vAlign w:val="bottom"/>
          </w:tcPr>
          <w:p w14:paraId="773E59A8">
            <w:pPr>
              <w:widowControl/>
              <w:numPr>
                <w:ilvl w:val="0"/>
                <w:numId w:val="125"/>
              </w:numPr>
              <w:jc w:val="left"/>
              <w:textAlignment w:val="bottom"/>
              <w:rPr>
                <w:rFonts w:hint="eastAsia" w:ascii="宋体" w:hAnsi="宋体"/>
                <w:color w:val="auto"/>
                <w:kern w:val="0"/>
                <w:szCs w:val="21"/>
                <w:highlight w:val="none"/>
                <w:lang w:bidi="ar"/>
              </w:rPr>
            </w:pPr>
            <w:r>
              <w:rPr>
                <w:rFonts w:hint="eastAsia" w:ascii="宋体" w:hAnsi="宋体"/>
                <w:color w:val="auto"/>
                <w:kern w:val="0"/>
                <w:szCs w:val="21"/>
                <w:highlight w:val="none"/>
                <w:lang w:bidi="ar"/>
              </w:rPr>
              <w:t xml:space="preserve">断网续传功能：当网络断开时，可将抓拍图片存储于样机内置TF卡内，当网络恢复时，可上传抓拍图片至PC本地。支持TF卡支持自动识别自动格式化和TF卡抓拍图片自动覆盖功能。 </w:t>
            </w:r>
          </w:p>
          <w:p w14:paraId="2E0272A6">
            <w:pPr>
              <w:widowControl/>
              <w:numPr>
                <w:ilvl w:val="0"/>
                <w:numId w:val="125"/>
              </w:numPr>
              <w:jc w:val="left"/>
              <w:textAlignment w:val="bottom"/>
              <w:rPr>
                <w:rFonts w:hint="eastAsia" w:ascii="宋体" w:hAnsi="宋体"/>
                <w:color w:val="auto"/>
                <w:kern w:val="0"/>
                <w:szCs w:val="21"/>
                <w:highlight w:val="none"/>
                <w:lang w:bidi="ar"/>
              </w:rPr>
            </w:pPr>
            <w:r>
              <w:rPr>
                <w:rFonts w:hint="eastAsia" w:ascii="宋体" w:hAnsi="宋体"/>
                <w:color w:val="auto"/>
                <w:kern w:val="0"/>
                <w:szCs w:val="21"/>
                <w:highlight w:val="none"/>
                <w:lang w:bidi="ar"/>
              </w:rPr>
              <w:t>车牌跟踪功能检查：支持对车牌实时跟踪并识别</w:t>
            </w:r>
          </w:p>
          <w:p w14:paraId="2EF52472">
            <w:pPr>
              <w:widowControl/>
              <w:numPr>
                <w:ilvl w:val="0"/>
                <w:numId w:val="125"/>
              </w:numPr>
              <w:jc w:val="left"/>
              <w:textAlignment w:val="bottom"/>
              <w:rPr>
                <w:rFonts w:hint="eastAsia" w:ascii="宋体" w:hAnsi="宋体"/>
                <w:color w:val="auto"/>
                <w:kern w:val="0"/>
                <w:szCs w:val="21"/>
                <w:highlight w:val="none"/>
                <w:lang w:bidi="ar"/>
              </w:rPr>
            </w:pPr>
            <w:r>
              <w:rPr>
                <w:rFonts w:hint="eastAsia" w:ascii="宋体" w:hAnsi="宋体"/>
                <w:color w:val="auto"/>
                <w:kern w:val="0"/>
                <w:szCs w:val="21"/>
                <w:highlight w:val="none"/>
                <w:lang w:bidi="ar"/>
              </w:rPr>
              <w:t>无牌车辆抓拍功能检查：当视频监控区域内有无号牌车辆进入时，可对该车辆进行抓拍</w:t>
            </w:r>
          </w:p>
          <w:p w14:paraId="0D83F099">
            <w:pPr>
              <w:widowControl/>
              <w:numPr>
                <w:ilvl w:val="0"/>
                <w:numId w:val="125"/>
              </w:numPr>
              <w:jc w:val="left"/>
              <w:textAlignment w:val="bottom"/>
              <w:rPr>
                <w:rFonts w:hint="eastAsia" w:ascii="宋体" w:hAnsi="宋体"/>
                <w:color w:val="auto"/>
                <w:kern w:val="0"/>
                <w:szCs w:val="21"/>
                <w:highlight w:val="none"/>
                <w:lang w:bidi="ar"/>
              </w:rPr>
            </w:pPr>
            <w:r>
              <w:rPr>
                <w:rFonts w:hint="eastAsia" w:ascii="宋体" w:hAnsi="宋体"/>
                <w:color w:val="auto"/>
                <w:kern w:val="0"/>
                <w:szCs w:val="21"/>
                <w:highlight w:val="none"/>
                <w:lang w:bidi="ar"/>
              </w:rPr>
              <w:t>机动车捕获率：在天气晴朗无雾条件下进行测试，日间环境光照度不低于200 lx，夜间辅助光照度不高于30 lx。日间机动车捕获率≥99.9%；夜间机动车捕获率≥99.9%</w:t>
            </w:r>
          </w:p>
          <w:p w14:paraId="19B1E67D">
            <w:pPr>
              <w:widowControl/>
              <w:numPr>
                <w:ilvl w:val="0"/>
                <w:numId w:val="125"/>
              </w:numPr>
              <w:jc w:val="left"/>
              <w:textAlignment w:val="bottom"/>
              <w:rPr>
                <w:rFonts w:hint="eastAsia" w:ascii="宋体" w:hAnsi="宋体"/>
                <w:color w:val="auto"/>
                <w:kern w:val="0"/>
                <w:szCs w:val="21"/>
                <w:highlight w:val="none"/>
                <w:lang w:bidi="ar"/>
              </w:rPr>
            </w:pPr>
            <w:r>
              <w:rPr>
                <w:rFonts w:hint="eastAsia" w:ascii="宋体" w:hAnsi="宋体"/>
                <w:color w:val="auto"/>
                <w:kern w:val="0"/>
                <w:szCs w:val="21"/>
                <w:highlight w:val="none"/>
                <w:lang w:bidi="ar"/>
              </w:rPr>
              <w:t>机动车车牌识别准确率试验：在天气晴朗无雾，机动车结构化属性信息清晰可辨的条件下进行测试，日间环境光照度不低于2001x，夜间辅助光照度不高于301x。日间机动车车牌号识别准确率≥99.9%；夜间机动车车牌号识别准确率≥99.9%</w:t>
            </w:r>
          </w:p>
          <w:p w14:paraId="58E41922">
            <w:pPr>
              <w:widowControl/>
              <w:numPr>
                <w:ilvl w:val="0"/>
                <w:numId w:val="125"/>
              </w:numPr>
              <w:jc w:val="left"/>
              <w:textAlignment w:val="bottom"/>
              <w:rPr>
                <w:rFonts w:hint="eastAsia" w:ascii="宋体" w:hAnsi="宋体"/>
                <w:color w:val="auto"/>
                <w:kern w:val="0"/>
                <w:szCs w:val="21"/>
                <w:highlight w:val="none"/>
                <w:lang w:bidi="ar"/>
              </w:rPr>
            </w:pPr>
            <w:r>
              <w:rPr>
                <w:rFonts w:hint="eastAsia" w:ascii="宋体" w:hAnsi="宋体"/>
                <w:color w:val="auto"/>
                <w:kern w:val="0"/>
                <w:szCs w:val="21"/>
                <w:highlight w:val="none"/>
                <w:lang w:bidi="ar"/>
              </w:rPr>
              <w:t>车身颜色识别功能检查：支持车身识别的颜色种类包括：白、灰、黄、粉、紫、蓝、红、棕、黑共10种颜色</w:t>
            </w:r>
          </w:p>
          <w:p w14:paraId="41A51162">
            <w:pPr>
              <w:widowControl/>
              <w:numPr>
                <w:ilvl w:val="0"/>
                <w:numId w:val="125"/>
              </w:numPr>
              <w:jc w:val="left"/>
              <w:textAlignment w:val="bottom"/>
              <w:rPr>
                <w:rFonts w:hint="eastAsia" w:ascii="宋体" w:hAnsi="宋体"/>
                <w:color w:val="auto"/>
                <w:kern w:val="0"/>
                <w:szCs w:val="21"/>
                <w:highlight w:val="none"/>
                <w:lang w:bidi="ar"/>
              </w:rPr>
            </w:pPr>
            <w:r>
              <w:rPr>
                <w:rFonts w:hint="eastAsia" w:ascii="宋体" w:hAnsi="宋体"/>
                <w:color w:val="auto"/>
                <w:kern w:val="0"/>
                <w:szCs w:val="21"/>
                <w:highlight w:val="none"/>
                <w:lang w:bidi="ar"/>
              </w:rPr>
              <w:t>显示屏功能检查：支持滚动或静止显示过车时间、车牌号、停车时长、收费金额、自定义内容等信息</w:t>
            </w:r>
          </w:p>
          <w:p w14:paraId="7498A2E2">
            <w:pPr>
              <w:widowControl/>
              <w:numPr>
                <w:ilvl w:val="0"/>
                <w:numId w:val="125"/>
              </w:numPr>
              <w:jc w:val="left"/>
              <w:textAlignment w:val="bottom"/>
              <w:rPr>
                <w:rFonts w:hint="eastAsia" w:ascii="宋体" w:hAnsi="宋体"/>
                <w:color w:val="auto"/>
                <w:kern w:val="0"/>
                <w:szCs w:val="21"/>
                <w:highlight w:val="none"/>
                <w:lang w:bidi="ar"/>
              </w:rPr>
            </w:pPr>
            <w:r>
              <w:rPr>
                <w:rFonts w:hint="eastAsia" w:ascii="宋体" w:hAnsi="宋体"/>
                <w:color w:val="auto"/>
                <w:kern w:val="0"/>
                <w:szCs w:val="21"/>
                <w:highlight w:val="none"/>
                <w:lang w:bidi="ar"/>
              </w:rPr>
              <w:t>报警功能检查：发生以下情况之一时应产生报警提醒：（1）当识读到未授权的车辆时；（2）当识读到已设定须提示的车辆时；(3）当未经正常操作而使出入口挡车器开启时(4)当通讯发生故障时，提供检测报告。</w:t>
            </w:r>
          </w:p>
          <w:p w14:paraId="1EADA07B">
            <w:pPr>
              <w:widowControl/>
              <w:numPr>
                <w:ilvl w:val="0"/>
                <w:numId w:val="125"/>
              </w:numPr>
              <w:jc w:val="left"/>
              <w:textAlignment w:val="bottom"/>
              <w:rPr>
                <w:rFonts w:hint="eastAsia" w:ascii="宋体" w:hAnsi="宋体"/>
                <w:color w:val="auto"/>
                <w:szCs w:val="21"/>
                <w:highlight w:val="none"/>
              </w:rPr>
            </w:pPr>
            <w:r>
              <w:rPr>
                <w:rFonts w:hint="eastAsia" w:ascii="宋体" w:hAnsi="宋体"/>
                <w:color w:val="auto"/>
                <w:kern w:val="0"/>
                <w:szCs w:val="21"/>
                <w:highlight w:val="none"/>
                <w:lang w:bidi="ar"/>
              </w:rPr>
              <w:t>车牌识别功能检查：支持识别大（小）型汽车、使领馆汽车、警用汽车、军车、新能源汽车（小车的绿色和大车的黄绿色的车牌号；支持识别倾斜角度0°~30°的车牌号；支持识别相机法线与行车方向角度小于65°的车牌号；支持识别车牌宽度范围为70像素~300像素的车牌号。提供检测报告。</w:t>
            </w:r>
          </w:p>
        </w:tc>
        <w:tc>
          <w:tcPr>
            <w:tcW w:w="567" w:type="dxa"/>
            <w:tcBorders>
              <w:top w:val="single" w:color="000000" w:sz="4" w:space="0"/>
              <w:left w:val="single" w:color="000000" w:sz="4" w:space="0"/>
              <w:bottom w:val="single" w:color="000000" w:sz="4" w:space="0"/>
              <w:right w:val="single" w:color="000000" w:sz="4" w:space="0"/>
            </w:tcBorders>
            <w:vAlign w:val="center"/>
          </w:tcPr>
          <w:p w14:paraId="05F24336">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台</w:t>
            </w:r>
          </w:p>
        </w:tc>
        <w:tc>
          <w:tcPr>
            <w:tcW w:w="870" w:type="dxa"/>
            <w:tcBorders>
              <w:top w:val="single" w:color="000000" w:sz="4" w:space="0"/>
              <w:left w:val="single" w:color="000000" w:sz="4" w:space="0"/>
              <w:bottom w:val="single" w:color="000000" w:sz="4" w:space="0"/>
              <w:right w:val="single" w:color="000000" w:sz="4" w:space="0"/>
            </w:tcBorders>
            <w:vAlign w:val="center"/>
          </w:tcPr>
          <w:p w14:paraId="3A092EC2">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4</w:t>
            </w:r>
          </w:p>
        </w:tc>
      </w:tr>
      <w:tr w14:paraId="3570D8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jc w:val="center"/>
        </w:trPr>
        <w:tc>
          <w:tcPr>
            <w:tcW w:w="644" w:type="dxa"/>
            <w:tcBorders>
              <w:top w:val="single" w:color="000000" w:sz="4" w:space="0"/>
              <w:left w:val="single" w:color="000000" w:sz="4" w:space="0"/>
              <w:bottom w:val="single" w:color="000000" w:sz="4" w:space="0"/>
              <w:right w:val="single" w:color="000000" w:sz="4" w:space="0"/>
            </w:tcBorders>
            <w:vAlign w:val="center"/>
          </w:tcPr>
          <w:p w14:paraId="598FF13D">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3</w:t>
            </w:r>
          </w:p>
        </w:tc>
        <w:tc>
          <w:tcPr>
            <w:tcW w:w="851" w:type="dxa"/>
            <w:tcBorders>
              <w:top w:val="single" w:color="000000" w:sz="4" w:space="0"/>
              <w:left w:val="single" w:color="000000" w:sz="4" w:space="0"/>
              <w:bottom w:val="single" w:color="000000" w:sz="4" w:space="0"/>
              <w:right w:val="single" w:color="000000" w:sz="4" w:space="0"/>
            </w:tcBorders>
            <w:vAlign w:val="center"/>
          </w:tcPr>
          <w:p w14:paraId="02269857">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出入口雷达</w:t>
            </w:r>
          </w:p>
        </w:tc>
        <w:tc>
          <w:tcPr>
            <w:tcW w:w="6378" w:type="dxa"/>
            <w:tcBorders>
              <w:top w:val="single" w:color="000000" w:sz="4" w:space="0"/>
              <w:left w:val="single" w:color="000000" w:sz="4" w:space="0"/>
              <w:bottom w:val="single" w:color="000000" w:sz="4" w:space="0"/>
              <w:right w:val="single" w:color="000000" w:sz="4" w:space="0"/>
            </w:tcBorders>
            <w:vAlign w:val="bottom"/>
          </w:tcPr>
          <w:p w14:paraId="1DAEF9A7">
            <w:pPr>
              <w:widowControl/>
              <w:numPr>
                <w:ilvl w:val="0"/>
                <w:numId w:val="126"/>
              </w:numPr>
              <w:jc w:val="left"/>
              <w:textAlignment w:val="bottom"/>
              <w:rPr>
                <w:rFonts w:hint="eastAsia" w:ascii="宋体" w:hAnsi="宋体"/>
                <w:color w:val="auto"/>
                <w:kern w:val="0"/>
                <w:szCs w:val="21"/>
                <w:highlight w:val="none"/>
                <w:lang w:bidi="ar"/>
              </w:rPr>
            </w:pPr>
            <w:r>
              <w:rPr>
                <w:rFonts w:hint="eastAsia" w:ascii="宋体" w:hAnsi="宋体"/>
                <w:color w:val="auto"/>
                <w:kern w:val="0"/>
                <w:szCs w:val="21"/>
                <w:highlight w:val="none"/>
                <w:lang w:bidi="ar"/>
              </w:rPr>
              <w:t>设备具有电源和状态指示灯。一个红色电源指示灯，一个绿色状态指示灯；实时反映是否有车或有人。</w:t>
            </w:r>
          </w:p>
          <w:p w14:paraId="5CAC506A">
            <w:pPr>
              <w:widowControl/>
              <w:numPr>
                <w:ilvl w:val="0"/>
                <w:numId w:val="126"/>
              </w:numPr>
              <w:jc w:val="left"/>
              <w:textAlignment w:val="bottom"/>
              <w:rPr>
                <w:rFonts w:hint="eastAsia" w:ascii="宋体" w:hAnsi="宋体"/>
                <w:color w:val="auto"/>
                <w:kern w:val="0"/>
                <w:szCs w:val="21"/>
                <w:highlight w:val="none"/>
                <w:lang w:bidi="ar"/>
              </w:rPr>
            </w:pPr>
            <w:r>
              <w:rPr>
                <w:rFonts w:hint="eastAsia" w:ascii="宋体" w:hAnsi="宋体"/>
                <w:color w:val="auto"/>
                <w:kern w:val="0"/>
                <w:szCs w:val="21"/>
                <w:highlight w:val="none"/>
                <w:lang w:bidi="ar"/>
              </w:rPr>
              <w:t>在触发雷达作用区域内，车速30km/h以内，触发捕获率≥99%。</w:t>
            </w:r>
          </w:p>
          <w:p w14:paraId="5995CDB2">
            <w:pPr>
              <w:widowControl/>
              <w:numPr>
                <w:ilvl w:val="0"/>
                <w:numId w:val="126"/>
              </w:numPr>
              <w:jc w:val="left"/>
              <w:textAlignment w:val="bottom"/>
              <w:rPr>
                <w:rFonts w:hint="eastAsia" w:ascii="宋体" w:hAnsi="宋体"/>
                <w:color w:val="auto"/>
                <w:kern w:val="0"/>
                <w:szCs w:val="21"/>
                <w:highlight w:val="none"/>
                <w:lang w:bidi="ar"/>
              </w:rPr>
            </w:pPr>
            <w:r>
              <w:rPr>
                <w:rFonts w:hint="eastAsia" w:ascii="宋体" w:hAnsi="宋体"/>
                <w:color w:val="auto"/>
                <w:kern w:val="0"/>
                <w:szCs w:val="21"/>
                <w:highlight w:val="none"/>
                <w:lang w:bidi="ar"/>
              </w:rPr>
              <w:t>具有人车区分功能。可对行人和车辆进行区分，控制触发。</w:t>
            </w:r>
          </w:p>
          <w:p w14:paraId="630101AD">
            <w:pPr>
              <w:widowControl/>
              <w:numPr>
                <w:ilvl w:val="0"/>
                <w:numId w:val="126"/>
              </w:numPr>
              <w:jc w:val="left"/>
              <w:textAlignment w:val="bottom"/>
              <w:rPr>
                <w:rFonts w:hint="eastAsia" w:ascii="宋体" w:hAnsi="宋体"/>
                <w:color w:val="auto"/>
                <w:kern w:val="0"/>
                <w:szCs w:val="21"/>
                <w:highlight w:val="none"/>
                <w:lang w:bidi="ar"/>
              </w:rPr>
            </w:pPr>
            <w:r>
              <w:rPr>
                <w:rFonts w:hint="eastAsia" w:ascii="宋体" w:hAnsi="宋体"/>
                <w:color w:val="auto"/>
                <w:kern w:val="0"/>
                <w:szCs w:val="21"/>
                <w:highlight w:val="none"/>
                <w:lang w:bidi="ar"/>
              </w:rPr>
              <w:t>触发模式具有区分方向功能，方向区分成功率≥95%。</w:t>
            </w:r>
          </w:p>
          <w:p w14:paraId="38AA25C9">
            <w:pPr>
              <w:widowControl/>
              <w:numPr>
                <w:ilvl w:val="0"/>
                <w:numId w:val="126"/>
              </w:numPr>
              <w:jc w:val="left"/>
              <w:textAlignment w:val="bottom"/>
              <w:rPr>
                <w:rFonts w:hint="eastAsia" w:ascii="宋体" w:hAnsi="宋体"/>
                <w:color w:val="auto"/>
                <w:kern w:val="0"/>
                <w:szCs w:val="21"/>
                <w:highlight w:val="none"/>
                <w:lang w:bidi="ar"/>
              </w:rPr>
            </w:pPr>
            <w:r>
              <w:rPr>
                <w:rFonts w:hint="eastAsia" w:ascii="宋体" w:hAnsi="宋体"/>
                <w:color w:val="auto"/>
                <w:kern w:val="0"/>
                <w:szCs w:val="21"/>
                <w:highlight w:val="none"/>
                <w:lang w:bidi="ar"/>
              </w:rPr>
              <w:t>检测距离：≥6米（可设置）；检测宽度：≥2米（可设置）。</w:t>
            </w:r>
          </w:p>
          <w:p w14:paraId="727864FC">
            <w:pPr>
              <w:widowControl/>
              <w:numPr>
                <w:ilvl w:val="0"/>
                <w:numId w:val="126"/>
              </w:numPr>
              <w:jc w:val="left"/>
              <w:textAlignment w:val="bottom"/>
              <w:rPr>
                <w:rFonts w:hint="eastAsia" w:ascii="宋体" w:hAnsi="宋体"/>
                <w:color w:val="auto"/>
                <w:kern w:val="0"/>
                <w:szCs w:val="21"/>
                <w:highlight w:val="none"/>
                <w:lang w:bidi="ar"/>
              </w:rPr>
            </w:pPr>
            <w:r>
              <w:rPr>
                <w:rFonts w:hint="eastAsia" w:ascii="宋体" w:hAnsi="宋体"/>
                <w:color w:val="auto"/>
                <w:kern w:val="0"/>
                <w:szCs w:val="21"/>
                <w:highlight w:val="none"/>
                <w:lang w:bidi="ar"/>
              </w:rPr>
              <w:t>可通过WIFI和串口线进行数据通信，对设备进行升级和调试。</w:t>
            </w:r>
          </w:p>
          <w:p w14:paraId="0FC71701">
            <w:pPr>
              <w:widowControl/>
              <w:numPr>
                <w:ilvl w:val="0"/>
                <w:numId w:val="126"/>
              </w:numPr>
              <w:jc w:val="left"/>
              <w:textAlignment w:val="bottom"/>
              <w:rPr>
                <w:rFonts w:hint="eastAsia" w:ascii="宋体" w:hAnsi="宋体"/>
                <w:color w:val="auto"/>
                <w:kern w:val="0"/>
                <w:szCs w:val="21"/>
                <w:highlight w:val="none"/>
                <w:lang w:bidi="ar"/>
              </w:rPr>
            </w:pPr>
            <w:r>
              <w:rPr>
                <w:rFonts w:hint="eastAsia" w:ascii="宋体" w:hAnsi="宋体"/>
                <w:color w:val="auto"/>
                <w:kern w:val="0"/>
                <w:szCs w:val="21"/>
                <w:highlight w:val="none"/>
                <w:lang w:bidi="ar"/>
              </w:rPr>
              <w:t>≥1组RS485接口；≥1组报警信号输出；≥1组固件升级接口。支持WIFI。</w:t>
            </w:r>
          </w:p>
          <w:p w14:paraId="63CA33CA">
            <w:pPr>
              <w:widowControl/>
              <w:numPr>
                <w:ilvl w:val="0"/>
                <w:numId w:val="126"/>
              </w:numPr>
              <w:jc w:val="left"/>
              <w:textAlignment w:val="bottom"/>
              <w:rPr>
                <w:rFonts w:hint="eastAsia" w:ascii="宋体" w:hAnsi="宋体"/>
                <w:color w:val="auto"/>
                <w:szCs w:val="21"/>
                <w:highlight w:val="none"/>
              </w:rPr>
            </w:pPr>
            <w:r>
              <w:rPr>
                <w:rFonts w:hint="eastAsia" w:ascii="宋体" w:hAnsi="宋体"/>
                <w:color w:val="auto"/>
                <w:kern w:val="0"/>
                <w:szCs w:val="21"/>
                <w:highlight w:val="none"/>
                <w:lang w:bidi="ar"/>
              </w:rPr>
              <w:t>外壳防护等级：IP67。</w:t>
            </w:r>
          </w:p>
        </w:tc>
        <w:tc>
          <w:tcPr>
            <w:tcW w:w="567" w:type="dxa"/>
            <w:tcBorders>
              <w:top w:val="single" w:color="000000" w:sz="4" w:space="0"/>
              <w:left w:val="single" w:color="000000" w:sz="4" w:space="0"/>
              <w:bottom w:val="single" w:color="000000" w:sz="4" w:space="0"/>
              <w:right w:val="single" w:color="000000" w:sz="4" w:space="0"/>
            </w:tcBorders>
            <w:vAlign w:val="center"/>
          </w:tcPr>
          <w:p w14:paraId="5F31AF96">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台</w:t>
            </w:r>
          </w:p>
        </w:tc>
        <w:tc>
          <w:tcPr>
            <w:tcW w:w="870" w:type="dxa"/>
            <w:tcBorders>
              <w:top w:val="single" w:color="000000" w:sz="4" w:space="0"/>
              <w:left w:val="single" w:color="000000" w:sz="4" w:space="0"/>
              <w:bottom w:val="single" w:color="000000" w:sz="4" w:space="0"/>
              <w:right w:val="single" w:color="000000" w:sz="4" w:space="0"/>
            </w:tcBorders>
            <w:vAlign w:val="center"/>
          </w:tcPr>
          <w:p w14:paraId="1029FA37">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4</w:t>
            </w:r>
          </w:p>
        </w:tc>
      </w:tr>
      <w:tr w14:paraId="387473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jc w:val="center"/>
        </w:trPr>
        <w:tc>
          <w:tcPr>
            <w:tcW w:w="644" w:type="dxa"/>
            <w:tcBorders>
              <w:top w:val="single" w:color="000000" w:sz="4" w:space="0"/>
              <w:left w:val="single" w:color="000000" w:sz="4" w:space="0"/>
              <w:bottom w:val="single" w:color="000000" w:sz="4" w:space="0"/>
              <w:right w:val="single" w:color="000000" w:sz="4" w:space="0"/>
            </w:tcBorders>
            <w:vAlign w:val="center"/>
          </w:tcPr>
          <w:p w14:paraId="45402C0F">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4</w:t>
            </w:r>
          </w:p>
        </w:tc>
        <w:tc>
          <w:tcPr>
            <w:tcW w:w="851" w:type="dxa"/>
            <w:tcBorders>
              <w:top w:val="single" w:color="000000" w:sz="4" w:space="0"/>
              <w:left w:val="single" w:color="000000" w:sz="4" w:space="0"/>
              <w:bottom w:val="single" w:color="000000" w:sz="4" w:space="0"/>
              <w:right w:val="single" w:color="000000" w:sz="4" w:space="0"/>
            </w:tcBorders>
            <w:vAlign w:val="center"/>
          </w:tcPr>
          <w:p w14:paraId="49E71B5B">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出入口控制终端</w:t>
            </w:r>
          </w:p>
        </w:tc>
        <w:tc>
          <w:tcPr>
            <w:tcW w:w="6378" w:type="dxa"/>
            <w:tcBorders>
              <w:top w:val="single" w:color="000000" w:sz="4" w:space="0"/>
              <w:left w:val="single" w:color="000000" w:sz="4" w:space="0"/>
              <w:bottom w:val="single" w:color="000000" w:sz="4" w:space="0"/>
              <w:right w:val="single" w:color="000000" w:sz="4" w:space="0"/>
            </w:tcBorders>
            <w:vAlign w:val="center"/>
          </w:tcPr>
          <w:p w14:paraId="42115F14">
            <w:pPr>
              <w:widowControl/>
              <w:numPr>
                <w:ilvl w:val="0"/>
                <w:numId w:val="127"/>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屏幕尺寸：≥21.5英寸，LCD显示器</w:t>
            </w:r>
          </w:p>
          <w:p w14:paraId="2F79671F">
            <w:pPr>
              <w:widowControl/>
              <w:numPr>
                <w:ilvl w:val="0"/>
                <w:numId w:val="127"/>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 xml:space="preserve">分辨率：≥1080P </w:t>
            </w:r>
          </w:p>
          <w:p w14:paraId="5F75D678">
            <w:pPr>
              <w:widowControl/>
              <w:numPr>
                <w:ilvl w:val="0"/>
                <w:numId w:val="127"/>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 xml:space="preserve">存储功能：≥128G SSD </w:t>
            </w:r>
          </w:p>
          <w:p w14:paraId="46B19B00">
            <w:pPr>
              <w:widowControl/>
              <w:numPr>
                <w:ilvl w:val="0"/>
                <w:numId w:val="127"/>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音频输入：3.5MM标准输入</w:t>
            </w:r>
          </w:p>
          <w:p w14:paraId="26942DF0">
            <w:pPr>
              <w:widowControl/>
              <w:numPr>
                <w:ilvl w:val="0"/>
                <w:numId w:val="127"/>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音频输出：3.5MM标准输出</w:t>
            </w:r>
          </w:p>
          <w:p w14:paraId="1DB308FC">
            <w:pPr>
              <w:widowControl/>
              <w:numPr>
                <w:ilvl w:val="0"/>
                <w:numId w:val="127"/>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报警输入：≥4路报警输入</w:t>
            </w:r>
          </w:p>
          <w:p w14:paraId="786C793F">
            <w:pPr>
              <w:widowControl/>
              <w:numPr>
                <w:ilvl w:val="0"/>
                <w:numId w:val="127"/>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 xml:space="preserve">报警输出：≥4路报警输出 </w:t>
            </w:r>
          </w:p>
          <w:p w14:paraId="74744D96">
            <w:pPr>
              <w:widowControl/>
              <w:numPr>
                <w:ilvl w:val="0"/>
                <w:numId w:val="127"/>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RS232接口：≥2路</w:t>
            </w:r>
          </w:p>
          <w:p w14:paraId="2CD15C52">
            <w:pPr>
              <w:widowControl/>
              <w:numPr>
                <w:ilvl w:val="0"/>
                <w:numId w:val="127"/>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RS485接口：≥1路</w:t>
            </w:r>
          </w:p>
          <w:p w14:paraId="76CF6DC2">
            <w:pPr>
              <w:widowControl/>
              <w:numPr>
                <w:ilvl w:val="0"/>
                <w:numId w:val="127"/>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USB接口：≥4个USB接口</w:t>
            </w:r>
          </w:p>
          <w:p w14:paraId="0EB29F9E">
            <w:pPr>
              <w:widowControl/>
              <w:numPr>
                <w:ilvl w:val="0"/>
                <w:numId w:val="127"/>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 xml:space="preserve">网络接口：≥1个外网千兆网口+5个内网百兆网口 </w:t>
            </w:r>
          </w:p>
          <w:p w14:paraId="75A238DA">
            <w:pPr>
              <w:widowControl/>
              <w:numPr>
                <w:ilvl w:val="0"/>
                <w:numId w:val="127"/>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CPU：≥N5095</w:t>
            </w:r>
          </w:p>
          <w:p w14:paraId="6B6BF5D5">
            <w:pPr>
              <w:widowControl/>
              <w:numPr>
                <w:ilvl w:val="0"/>
                <w:numId w:val="127"/>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 xml:space="preserve">内存：≥4G </w:t>
            </w:r>
          </w:p>
          <w:p w14:paraId="27C2E949">
            <w:pPr>
              <w:widowControl/>
              <w:numPr>
                <w:ilvl w:val="0"/>
                <w:numId w:val="127"/>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 xml:space="preserve">HDMI：≥1路 </w:t>
            </w:r>
          </w:p>
          <w:p w14:paraId="7B7C6790">
            <w:pPr>
              <w:widowControl/>
              <w:numPr>
                <w:ilvl w:val="0"/>
                <w:numId w:val="127"/>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配件：标配鼠标键盘套装</w:t>
            </w:r>
          </w:p>
        </w:tc>
        <w:tc>
          <w:tcPr>
            <w:tcW w:w="567" w:type="dxa"/>
            <w:tcBorders>
              <w:top w:val="single" w:color="000000" w:sz="4" w:space="0"/>
              <w:left w:val="single" w:color="000000" w:sz="4" w:space="0"/>
              <w:bottom w:val="single" w:color="000000" w:sz="4" w:space="0"/>
              <w:right w:val="single" w:color="000000" w:sz="4" w:space="0"/>
            </w:tcBorders>
            <w:vAlign w:val="center"/>
          </w:tcPr>
          <w:p w14:paraId="6E9DFB8B">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台</w:t>
            </w:r>
          </w:p>
        </w:tc>
        <w:tc>
          <w:tcPr>
            <w:tcW w:w="870" w:type="dxa"/>
            <w:tcBorders>
              <w:top w:val="single" w:color="000000" w:sz="4" w:space="0"/>
              <w:left w:val="single" w:color="000000" w:sz="4" w:space="0"/>
              <w:bottom w:val="single" w:color="000000" w:sz="4" w:space="0"/>
              <w:right w:val="single" w:color="000000" w:sz="4" w:space="0"/>
            </w:tcBorders>
            <w:vAlign w:val="center"/>
          </w:tcPr>
          <w:p w14:paraId="3DC7E3A1">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25DC5D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jc w:val="center"/>
        </w:trPr>
        <w:tc>
          <w:tcPr>
            <w:tcW w:w="644" w:type="dxa"/>
            <w:tcBorders>
              <w:top w:val="single" w:color="000000" w:sz="4" w:space="0"/>
              <w:left w:val="single" w:color="000000" w:sz="4" w:space="0"/>
              <w:bottom w:val="single" w:color="000000" w:sz="4" w:space="0"/>
              <w:right w:val="single" w:color="000000" w:sz="4" w:space="0"/>
            </w:tcBorders>
            <w:vAlign w:val="center"/>
          </w:tcPr>
          <w:p w14:paraId="66717215">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5</w:t>
            </w:r>
          </w:p>
        </w:tc>
        <w:tc>
          <w:tcPr>
            <w:tcW w:w="851" w:type="dxa"/>
            <w:tcBorders>
              <w:top w:val="single" w:color="000000" w:sz="4" w:space="0"/>
              <w:left w:val="single" w:color="000000" w:sz="4" w:space="0"/>
              <w:bottom w:val="single" w:color="000000" w:sz="4" w:space="0"/>
              <w:right w:val="single" w:color="000000" w:sz="4" w:space="0"/>
            </w:tcBorders>
            <w:vAlign w:val="center"/>
          </w:tcPr>
          <w:p w14:paraId="29327934">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辅材</w:t>
            </w:r>
          </w:p>
        </w:tc>
        <w:tc>
          <w:tcPr>
            <w:tcW w:w="6378" w:type="dxa"/>
            <w:tcBorders>
              <w:top w:val="single" w:color="000000" w:sz="4" w:space="0"/>
              <w:left w:val="single" w:color="000000" w:sz="4" w:space="0"/>
              <w:bottom w:val="single" w:color="000000" w:sz="4" w:space="0"/>
              <w:right w:val="single" w:color="000000" w:sz="4" w:space="0"/>
            </w:tcBorders>
            <w:vAlign w:val="center"/>
          </w:tcPr>
          <w:p w14:paraId="1060971C">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满足本项目施工所需要的全部材料</w:t>
            </w:r>
          </w:p>
        </w:tc>
        <w:tc>
          <w:tcPr>
            <w:tcW w:w="567" w:type="dxa"/>
            <w:tcBorders>
              <w:top w:val="single" w:color="000000" w:sz="4" w:space="0"/>
              <w:left w:val="single" w:color="000000" w:sz="4" w:space="0"/>
              <w:bottom w:val="single" w:color="000000" w:sz="4" w:space="0"/>
              <w:right w:val="single" w:color="000000" w:sz="4" w:space="0"/>
            </w:tcBorders>
            <w:vAlign w:val="center"/>
          </w:tcPr>
          <w:p w14:paraId="6491D121">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批</w:t>
            </w:r>
          </w:p>
        </w:tc>
        <w:tc>
          <w:tcPr>
            <w:tcW w:w="870" w:type="dxa"/>
            <w:tcBorders>
              <w:top w:val="single" w:color="000000" w:sz="4" w:space="0"/>
              <w:left w:val="single" w:color="000000" w:sz="4" w:space="0"/>
              <w:bottom w:val="single" w:color="000000" w:sz="4" w:space="0"/>
              <w:right w:val="single" w:color="000000" w:sz="4" w:space="0"/>
            </w:tcBorders>
            <w:vAlign w:val="center"/>
          </w:tcPr>
          <w:p w14:paraId="4910D586">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 xml:space="preserve">1 </w:t>
            </w:r>
          </w:p>
        </w:tc>
      </w:tr>
      <w:tr w14:paraId="2BCC78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jc w:val="center"/>
        </w:trPr>
        <w:tc>
          <w:tcPr>
            <w:tcW w:w="644" w:type="dxa"/>
            <w:tcBorders>
              <w:top w:val="single" w:color="000000" w:sz="4" w:space="0"/>
              <w:left w:val="single" w:color="000000" w:sz="4" w:space="0"/>
              <w:bottom w:val="single" w:color="000000" w:sz="4" w:space="0"/>
              <w:right w:val="single" w:color="000000" w:sz="4" w:space="0"/>
            </w:tcBorders>
            <w:vAlign w:val="center"/>
          </w:tcPr>
          <w:p w14:paraId="11EE9B74">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6</w:t>
            </w:r>
          </w:p>
        </w:tc>
        <w:tc>
          <w:tcPr>
            <w:tcW w:w="851" w:type="dxa"/>
            <w:tcBorders>
              <w:top w:val="single" w:color="000000" w:sz="4" w:space="0"/>
              <w:left w:val="single" w:color="000000" w:sz="4" w:space="0"/>
              <w:bottom w:val="single" w:color="000000" w:sz="4" w:space="0"/>
              <w:right w:val="single" w:color="000000" w:sz="4" w:space="0"/>
            </w:tcBorders>
            <w:vAlign w:val="center"/>
          </w:tcPr>
          <w:p w14:paraId="09CE7567">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工程安装调试</w:t>
            </w:r>
          </w:p>
        </w:tc>
        <w:tc>
          <w:tcPr>
            <w:tcW w:w="6378" w:type="dxa"/>
            <w:tcBorders>
              <w:top w:val="single" w:color="000000" w:sz="4" w:space="0"/>
              <w:left w:val="single" w:color="000000" w:sz="4" w:space="0"/>
              <w:bottom w:val="single" w:color="000000" w:sz="4" w:space="0"/>
              <w:right w:val="single" w:color="000000" w:sz="4" w:space="0"/>
            </w:tcBorders>
            <w:vAlign w:val="center"/>
          </w:tcPr>
          <w:p w14:paraId="507AB61A">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包含项目施工、调试、验收搬运等所有费用。</w:t>
            </w:r>
          </w:p>
        </w:tc>
        <w:tc>
          <w:tcPr>
            <w:tcW w:w="567" w:type="dxa"/>
            <w:tcBorders>
              <w:top w:val="single" w:color="000000" w:sz="4" w:space="0"/>
              <w:left w:val="single" w:color="000000" w:sz="4" w:space="0"/>
              <w:bottom w:val="single" w:color="000000" w:sz="4" w:space="0"/>
              <w:right w:val="single" w:color="000000" w:sz="4" w:space="0"/>
            </w:tcBorders>
            <w:vAlign w:val="center"/>
          </w:tcPr>
          <w:p w14:paraId="0EA8DA71">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项</w:t>
            </w:r>
          </w:p>
        </w:tc>
        <w:tc>
          <w:tcPr>
            <w:tcW w:w="870" w:type="dxa"/>
            <w:tcBorders>
              <w:top w:val="single" w:color="000000" w:sz="4" w:space="0"/>
              <w:left w:val="single" w:color="000000" w:sz="4" w:space="0"/>
              <w:bottom w:val="single" w:color="000000" w:sz="4" w:space="0"/>
              <w:right w:val="single" w:color="000000" w:sz="4" w:space="0"/>
            </w:tcBorders>
            <w:vAlign w:val="center"/>
          </w:tcPr>
          <w:p w14:paraId="7ED0D01A">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32FC3E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0" w:hRule="atLeast"/>
          <w:jc w:val="center"/>
        </w:trPr>
        <w:tc>
          <w:tcPr>
            <w:tcW w:w="9310" w:type="dxa"/>
            <w:gridSpan w:val="5"/>
            <w:tcBorders>
              <w:tl2br w:val="nil"/>
              <w:tr2bl w:val="nil"/>
            </w:tcBorders>
            <w:noWrap/>
            <w:vAlign w:val="center"/>
          </w:tcPr>
          <w:p w14:paraId="5E31AE65">
            <w:pPr>
              <w:widowControl/>
              <w:jc w:val="center"/>
              <w:textAlignment w:val="center"/>
              <w:rPr>
                <w:rFonts w:hint="eastAsia" w:ascii="宋体" w:hAnsi="宋体"/>
                <w:b/>
                <w:bCs/>
                <w:color w:val="auto"/>
                <w:szCs w:val="21"/>
                <w:highlight w:val="none"/>
              </w:rPr>
            </w:pPr>
            <w:r>
              <w:rPr>
                <w:rFonts w:hint="eastAsia" w:ascii="宋体" w:hAnsi="宋体"/>
                <w:b/>
                <w:bCs/>
                <w:color w:val="auto"/>
                <w:kern w:val="0"/>
                <w:szCs w:val="21"/>
                <w:highlight w:val="none"/>
                <w:lang w:bidi="ar"/>
              </w:rPr>
              <w:t>十五、有线网络</w:t>
            </w:r>
          </w:p>
        </w:tc>
      </w:tr>
      <w:tr w14:paraId="29540C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0" w:hRule="atLeast"/>
          <w:jc w:val="center"/>
        </w:trPr>
        <w:tc>
          <w:tcPr>
            <w:tcW w:w="644" w:type="dxa"/>
            <w:tcBorders>
              <w:tl2br w:val="nil"/>
              <w:tr2bl w:val="nil"/>
            </w:tcBorders>
            <w:noWrap/>
            <w:vAlign w:val="center"/>
          </w:tcPr>
          <w:p w14:paraId="11E8E90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c>
          <w:tcPr>
            <w:tcW w:w="851" w:type="dxa"/>
            <w:tcBorders>
              <w:tl2br w:val="nil"/>
              <w:tr2bl w:val="nil"/>
            </w:tcBorders>
            <w:noWrap/>
            <w:vAlign w:val="center"/>
          </w:tcPr>
          <w:p w14:paraId="2F40BEB6">
            <w:pPr>
              <w:widowControl/>
              <w:textAlignment w:val="center"/>
              <w:rPr>
                <w:rFonts w:hint="eastAsia" w:ascii="宋体" w:hAnsi="宋体"/>
                <w:color w:val="auto"/>
                <w:szCs w:val="21"/>
                <w:highlight w:val="none"/>
              </w:rPr>
            </w:pPr>
            <w:r>
              <w:rPr>
                <w:rFonts w:hint="eastAsia" w:ascii="宋体" w:hAnsi="宋体"/>
                <w:color w:val="auto"/>
                <w:szCs w:val="21"/>
                <w:highlight w:val="none"/>
              </w:rPr>
              <w:t>核心交换机</w:t>
            </w:r>
          </w:p>
        </w:tc>
        <w:tc>
          <w:tcPr>
            <w:tcW w:w="6378" w:type="dxa"/>
            <w:tcBorders>
              <w:tl2br w:val="nil"/>
              <w:tr2bl w:val="nil"/>
            </w:tcBorders>
            <w:noWrap/>
            <w:vAlign w:val="center"/>
          </w:tcPr>
          <w:p w14:paraId="61E107AF">
            <w:pPr>
              <w:widowControl/>
              <w:numPr>
                <w:ilvl w:val="0"/>
                <w:numId w:val="128"/>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交换容量≥38Tbps；包转发率≥7200Mpps，如官网存在A/B值，以最小值为准；提供官网截图。</w:t>
            </w:r>
          </w:p>
          <w:p w14:paraId="10F0ADED">
            <w:pPr>
              <w:widowControl/>
              <w:numPr>
                <w:ilvl w:val="0"/>
                <w:numId w:val="128"/>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主控引擎与业务板卡完全物理分离, 采用全分布式转发处理架构，独立主控引擎插槽≥2个，独立业务插槽数≥3个；主控引擎故障情况下，不能影响整机转发能力。</w:t>
            </w:r>
          </w:p>
          <w:p w14:paraId="7C4D1F68">
            <w:pPr>
              <w:widowControl/>
              <w:numPr>
                <w:ilvl w:val="0"/>
                <w:numId w:val="128"/>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支持1+1冗余的硬件监控系统，可以集中监控板卡、风扇、电源、环境等状态参数。</w:t>
            </w:r>
          </w:p>
          <w:p w14:paraId="35BACF78">
            <w:pPr>
              <w:widowControl/>
              <w:numPr>
                <w:ilvl w:val="0"/>
                <w:numId w:val="128"/>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★为提高设备面板空间利用率，要求采用高密度端口设计，所投产品单张业务卡最大可用物理端口≥52个，整机转发业务物理端口≥156个；提供官网截图。</w:t>
            </w:r>
          </w:p>
          <w:p w14:paraId="5AB5FDA4">
            <w:pPr>
              <w:widowControl/>
              <w:numPr>
                <w:ilvl w:val="0"/>
                <w:numId w:val="128"/>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N:1虚拟化：可将2台物理设备虚拟化为1台逻辑设备，虚拟组内设备具备统一的二层及三层转发表项，统一的管理界面，并可实现跨设备链路聚合；</w:t>
            </w:r>
          </w:p>
          <w:p w14:paraId="12D06E9F">
            <w:pPr>
              <w:widowControl/>
              <w:numPr>
                <w:ilvl w:val="0"/>
                <w:numId w:val="128"/>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支持IEEE 802.1d(STP)、 802.1w(RSTP)、 802.1s(MSTP)，支持端口聚合，支持一对一镜像、多对一镜像、一对多镜像，支持流镜像，支持SPAN、RSPAN远程镜像。</w:t>
            </w:r>
          </w:p>
          <w:p w14:paraId="61308EC5">
            <w:pPr>
              <w:widowControl/>
              <w:numPr>
                <w:ilvl w:val="0"/>
                <w:numId w:val="128"/>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支持静态路由、RIP、RIPng、OSPF、OSPFv3、BGP、BGP4+、ISIS、ISISv6，支持路由协议多实例，支持GR for OSPF/IS-IS/BGP，支持策略路由。</w:t>
            </w:r>
          </w:p>
          <w:p w14:paraId="1EE20092">
            <w:pPr>
              <w:widowControl/>
              <w:numPr>
                <w:ilvl w:val="0"/>
                <w:numId w:val="128"/>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支持IPv6过渡技术，IPv4/IPv6双栈、6over4隧道、4 over6隧道；支持IPv6 DHCP SERVER、IPv6 DHCP Relay、DHCP Snooping。</w:t>
            </w:r>
          </w:p>
          <w:p w14:paraId="5F3CB52F">
            <w:pPr>
              <w:widowControl/>
              <w:numPr>
                <w:ilvl w:val="0"/>
                <w:numId w:val="128"/>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★支持专门针对CPU保护机制的功能，可将送CPU的报文，如ARP报文的速率进行限制，使CPU的使用率降低到10%以内，保障了CPU安全；提供检测报告。</w:t>
            </w:r>
          </w:p>
          <w:p w14:paraId="36FFA53D">
            <w:pPr>
              <w:widowControl/>
              <w:numPr>
                <w:ilvl w:val="0"/>
                <w:numId w:val="128"/>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★支持基础安全保护策略 ，可实现ARP等各种攻击的自动防御，保护系统各种服务的正常运行；提供检测报告。</w:t>
            </w:r>
          </w:p>
          <w:p w14:paraId="0872F4D9">
            <w:pPr>
              <w:widowControl/>
              <w:numPr>
                <w:ilvl w:val="0"/>
                <w:numId w:val="128"/>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设备支持云管理功能，支持网络设备基本信息监控功能，可以查看端口状态图/CPU、内存使用率/连通状态/设备状态、端口列表等；支持版本推送、一键升级、定时升级功能；支持一键设备发现，并在线生成交付验收报告； 支持一键全网巡检操作，随时随地掌握网络健康状况，并自动生成巡检报告；支持配置批量复用下发、复制配置、备份配置、配置回退、配置查看、配置对比、删除配置等配置模板功能。</w:t>
            </w:r>
          </w:p>
          <w:p w14:paraId="3D27DA96">
            <w:pPr>
              <w:widowControl/>
              <w:numPr>
                <w:ilvl w:val="0"/>
                <w:numId w:val="128"/>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配置主控引擎≥2个；电源≥2个；千兆电口≥24个；千兆光口≥8个；万兆光口≥8个。</w:t>
            </w:r>
          </w:p>
        </w:tc>
        <w:tc>
          <w:tcPr>
            <w:tcW w:w="567" w:type="dxa"/>
            <w:tcBorders>
              <w:tl2br w:val="nil"/>
              <w:tr2bl w:val="nil"/>
            </w:tcBorders>
            <w:vAlign w:val="center"/>
          </w:tcPr>
          <w:p w14:paraId="3CF9775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套</w:t>
            </w:r>
          </w:p>
        </w:tc>
        <w:tc>
          <w:tcPr>
            <w:tcW w:w="870" w:type="dxa"/>
            <w:tcBorders>
              <w:tl2br w:val="nil"/>
              <w:tr2bl w:val="nil"/>
            </w:tcBorders>
            <w:vAlign w:val="center"/>
          </w:tcPr>
          <w:p w14:paraId="4964566A">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464970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0" w:hRule="atLeast"/>
          <w:jc w:val="center"/>
        </w:trPr>
        <w:tc>
          <w:tcPr>
            <w:tcW w:w="644" w:type="dxa"/>
            <w:vAlign w:val="center"/>
          </w:tcPr>
          <w:p w14:paraId="186F9AB6">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w:t>
            </w:r>
          </w:p>
        </w:tc>
        <w:tc>
          <w:tcPr>
            <w:tcW w:w="851" w:type="dxa"/>
            <w:vAlign w:val="center"/>
          </w:tcPr>
          <w:p w14:paraId="0C8EEB4C">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光模块</w:t>
            </w:r>
          </w:p>
        </w:tc>
        <w:tc>
          <w:tcPr>
            <w:tcW w:w="6378" w:type="dxa"/>
            <w:vAlign w:val="center"/>
          </w:tcPr>
          <w:p w14:paraId="61E57868">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1、 千兆单模双芯光模块，波长1310nm，距离≥10KM。</w:t>
            </w:r>
          </w:p>
        </w:tc>
        <w:tc>
          <w:tcPr>
            <w:tcW w:w="567" w:type="dxa"/>
            <w:vAlign w:val="center"/>
          </w:tcPr>
          <w:p w14:paraId="3B4917A8">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870" w:type="dxa"/>
            <w:vAlign w:val="center"/>
          </w:tcPr>
          <w:p w14:paraId="7E1D54C1">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60</w:t>
            </w:r>
          </w:p>
        </w:tc>
      </w:tr>
      <w:tr w14:paraId="3BD1B0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0" w:hRule="atLeast"/>
          <w:jc w:val="center"/>
        </w:trPr>
        <w:tc>
          <w:tcPr>
            <w:tcW w:w="644" w:type="dxa"/>
            <w:vAlign w:val="center"/>
          </w:tcPr>
          <w:p w14:paraId="0A66A52D">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3</w:t>
            </w:r>
          </w:p>
        </w:tc>
        <w:tc>
          <w:tcPr>
            <w:tcW w:w="851" w:type="dxa"/>
            <w:vAlign w:val="center"/>
          </w:tcPr>
          <w:p w14:paraId="1EDB6958">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接入交换机</w:t>
            </w:r>
          </w:p>
        </w:tc>
        <w:tc>
          <w:tcPr>
            <w:tcW w:w="6378" w:type="dxa"/>
            <w:vAlign w:val="center"/>
          </w:tcPr>
          <w:p w14:paraId="62651F12">
            <w:pPr>
              <w:widowControl/>
              <w:numPr>
                <w:ilvl w:val="0"/>
                <w:numId w:val="129"/>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交换容量≥598Gbps。</w:t>
            </w:r>
          </w:p>
          <w:p w14:paraId="5C65E807">
            <w:pPr>
              <w:widowControl/>
              <w:numPr>
                <w:ilvl w:val="0"/>
                <w:numId w:val="129"/>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包转发率≥126Mpps。</w:t>
            </w:r>
          </w:p>
          <w:p w14:paraId="4C83435D">
            <w:pPr>
              <w:widowControl/>
              <w:numPr>
                <w:ilvl w:val="0"/>
                <w:numId w:val="129"/>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固化10/100/1000M以太网端口≥24个，固化1G SFP光接口≥4个。</w:t>
            </w:r>
          </w:p>
          <w:p w14:paraId="62BC130F">
            <w:pPr>
              <w:widowControl/>
              <w:numPr>
                <w:ilvl w:val="0"/>
                <w:numId w:val="129"/>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★为保证设备在受到外界机械碰撞时能够正常运行，要求所投交换机IK防护测试级别至少达到IK05，提供检测报告。</w:t>
            </w:r>
          </w:p>
          <w:p w14:paraId="64342334">
            <w:pPr>
              <w:widowControl/>
              <w:numPr>
                <w:ilvl w:val="0"/>
                <w:numId w:val="129"/>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为满足工作场所的耐高温要求，要求设备具备0~50°的宽温设计</w:t>
            </w:r>
          </w:p>
          <w:p w14:paraId="3F376C4A">
            <w:pPr>
              <w:widowControl/>
              <w:numPr>
                <w:ilvl w:val="0"/>
                <w:numId w:val="129"/>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绿色节能：要求支持高效节能以太网特性。端口如果在连续一段时间之内空闲，系统会将该端口设置为节能模式，当有报文收发时再通过定时发送的监听码流唤醒端口恢复业务，达到节能的效果</w:t>
            </w:r>
          </w:p>
          <w:p w14:paraId="4C422A06">
            <w:pPr>
              <w:widowControl/>
              <w:numPr>
                <w:ilvl w:val="0"/>
                <w:numId w:val="129"/>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要求所投设备MAC地址≥16K。</w:t>
            </w:r>
          </w:p>
          <w:p w14:paraId="21530B89">
            <w:pPr>
              <w:widowControl/>
              <w:numPr>
                <w:ilvl w:val="0"/>
                <w:numId w:val="129"/>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要求设备采用静音无风扇节能设计。</w:t>
            </w:r>
          </w:p>
          <w:p w14:paraId="09EE5B11">
            <w:pPr>
              <w:widowControl/>
              <w:numPr>
                <w:ilvl w:val="0"/>
                <w:numId w:val="129"/>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支持生成树协议STP(IEEE 802.1d)，RSTP(IEEE 802.1w)和MSTP(IEEE 802.1s)，完全保证快速收敛，提高容错能力，保证网络的稳定运行和链路的负载均衡，合理使用网络通道，提供冗余链路利用率。</w:t>
            </w:r>
          </w:p>
          <w:p w14:paraId="18285BEB">
            <w:pPr>
              <w:widowControl/>
              <w:numPr>
                <w:ilvl w:val="0"/>
                <w:numId w:val="129"/>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支持IPV4/IPV6静态路由</w:t>
            </w:r>
          </w:p>
        </w:tc>
        <w:tc>
          <w:tcPr>
            <w:tcW w:w="567" w:type="dxa"/>
            <w:vAlign w:val="center"/>
          </w:tcPr>
          <w:p w14:paraId="5F5AF773">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台</w:t>
            </w:r>
          </w:p>
        </w:tc>
        <w:tc>
          <w:tcPr>
            <w:tcW w:w="870" w:type="dxa"/>
            <w:vAlign w:val="center"/>
          </w:tcPr>
          <w:p w14:paraId="3FD3CFA5">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20</w:t>
            </w:r>
          </w:p>
        </w:tc>
      </w:tr>
      <w:tr w14:paraId="6763E6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0" w:hRule="atLeast"/>
          <w:jc w:val="center"/>
        </w:trPr>
        <w:tc>
          <w:tcPr>
            <w:tcW w:w="644" w:type="dxa"/>
            <w:vAlign w:val="center"/>
          </w:tcPr>
          <w:p w14:paraId="76769E5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4</w:t>
            </w:r>
          </w:p>
        </w:tc>
        <w:tc>
          <w:tcPr>
            <w:tcW w:w="851" w:type="dxa"/>
            <w:vAlign w:val="center"/>
          </w:tcPr>
          <w:p w14:paraId="3FA5AC0D">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安全网关</w:t>
            </w:r>
          </w:p>
        </w:tc>
        <w:tc>
          <w:tcPr>
            <w:tcW w:w="6378" w:type="dxa"/>
            <w:vAlign w:val="center"/>
          </w:tcPr>
          <w:p w14:paraId="51C641F8">
            <w:pPr>
              <w:widowControl/>
              <w:numPr>
                <w:ilvl w:val="0"/>
                <w:numId w:val="130"/>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要求要求固化千兆电口数量≥4个；固化2.5千兆电口数量≥4个；固化万兆光口数量≥2个；配置1T硬盘≥1个；</w:t>
            </w:r>
          </w:p>
          <w:p w14:paraId="3DDD995E">
            <w:pPr>
              <w:widowControl/>
              <w:numPr>
                <w:ilvl w:val="0"/>
                <w:numId w:val="130"/>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要求最大并发连接≥50万；每秒最大新建连接≥8万；</w:t>
            </w:r>
          </w:p>
          <w:p w14:paraId="79516F8E">
            <w:pPr>
              <w:widowControl/>
              <w:numPr>
                <w:ilvl w:val="0"/>
                <w:numId w:val="130"/>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要求内网并发用户数≥1300人；</w:t>
            </w:r>
          </w:p>
          <w:p w14:paraId="44319492">
            <w:pPr>
              <w:widowControl/>
              <w:numPr>
                <w:ilvl w:val="0"/>
                <w:numId w:val="130"/>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最大整机网络吞吐≥9Gbps ，开启应用识别、流量审计、流控、负载均衡、NAT、IPSEC等功能后应用吞吐≥6Gbps；</w:t>
            </w:r>
          </w:p>
          <w:p w14:paraId="3D1D73CA">
            <w:pPr>
              <w:widowControl/>
              <w:numPr>
                <w:ilvl w:val="0"/>
                <w:numId w:val="130"/>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支持快速上线向导功能，指导配置人员完成快速入网，包括网络配置、流控配置、授权激活等必要上线步骤；</w:t>
            </w:r>
          </w:p>
          <w:p w14:paraId="2DEFE28D">
            <w:pPr>
              <w:widowControl/>
              <w:numPr>
                <w:ilvl w:val="0"/>
                <w:numId w:val="130"/>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支持静态地址、DHCP、PPPoE等网络连接类型；支持静态路由、子接口、NAT等基础网络功能；</w:t>
            </w:r>
          </w:p>
          <w:p w14:paraId="66D310B7">
            <w:pPr>
              <w:widowControl/>
              <w:numPr>
                <w:ilvl w:val="0"/>
                <w:numId w:val="130"/>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★支持关键应用监控，包括对预置应用和自定义应用的网络体验质量监控；支持关键角色监控，包括对单IP、IP网段的网络体验质量监控;支持呈现基础服务运行质量; 提供检测报告。</w:t>
            </w:r>
          </w:p>
          <w:p w14:paraId="4A351FFC">
            <w:pPr>
              <w:widowControl/>
              <w:numPr>
                <w:ilvl w:val="0"/>
                <w:numId w:val="130"/>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 xml:space="preserve">支持基于关键应用体验质量的链路自动化切换； </w:t>
            </w:r>
          </w:p>
          <w:p w14:paraId="7318E8C6">
            <w:pPr>
              <w:widowControl/>
              <w:numPr>
                <w:ilvl w:val="0"/>
                <w:numId w:val="130"/>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支持对DNS服务器的运行状态进行监测，支持呈现各DNS服务器的解析时延、请求数、解析失败数、设备探测时延。支持从系统DNS、WAN口DHCP分配的DNS导入监测对象，支持自定义DNS监测对象；提供产品功能界面截图。</w:t>
            </w:r>
          </w:p>
          <w:p w14:paraId="1DA6F928">
            <w:pPr>
              <w:widowControl/>
              <w:numPr>
                <w:ilvl w:val="0"/>
                <w:numId w:val="130"/>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为了简化流控策略的配置和管理，要求支持通过模板方式配置流控策略，模板类型包括：办公模板，娱乐模板等；提供检测报告。</w:t>
            </w:r>
          </w:p>
          <w:p w14:paraId="29B12583">
            <w:pPr>
              <w:widowControl/>
              <w:numPr>
                <w:ilvl w:val="0"/>
                <w:numId w:val="130"/>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★所投产品URL数据库、应用分类库、地址库、内容审计特征库、提供十年内免费升级服务，提供原厂声明文件，另外URL数据库和应用特征库支持远程HTTP自动升级，提供设备配置界面截图；</w:t>
            </w:r>
          </w:p>
          <w:p w14:paraId="0BF8CBFD">
            <w:pPr>
              <w:widowControl/>
              <w:numPr>
                <w:ilvl w:val="0"/>
                <w:numId w:val="130"/>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支持策略模拟功能，可提供虚拟策略空间用于创建和运行模拟策略，不影响真实业务流量，可与现有真实策略的不同处置动作进行对比展示，方便用户评估模拟策略对重要业务的影响，如满足需求时可一键下发为真实策略。提供检测报告。</w:t>
            </w:r>
          </w:p>
          <w:p w14:paraId="62B661A1">
            <w:pPr>
              <w:widowControl/>
              <w:numPr>
                <w:ilvl w:val="0"/>
                <w:numId w:val="130"/>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支持对用户网内资产的自动扫描，识别端口与协议，并根据这些用户资产信息生成推荐的安全防护策略。</w:t>
            </w:r>
          </w:p>
          <w:p w14:paraId="09CC4A96">
            <w:pPr>
              <w:widowControl/>
              <w:numPr>
                <w:ilvl w:val="0"/>
                <w:numId w:val="130"/>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支持显示策略来源、首次创建时间、源安全区域、源地址、目的安全区域、目的地址、服务、应用、首次匹配时间、命中次数统计；</w:t>
            </w:r>
          </w:p>
          <w:p w14:paraId="7D5621F3">
            <w:pPr>
              <w:widowControl/>
              <w:numPr>
                <w:ilvl w:val="0"/>
                <w:numId w:val="130"/>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为便于策略优化与梳理，要求支持对配置的策略进行梳理、问题识别以及列表展示，策略问题类型包括但不限于一般问题、严重问题、建议优化并提供优化建议等。分析维度包括但不限于从未匹配、7天未匹配、30天未匹配、90天未匹配、冗余策略、冲突策略、过期策略等；</w:t>
            </w:r>
          </w:p>
          <w:p w14:paraId="6C614FBA">
            <w:pPr>
              <w:widowControl/>
              <w:numPr>
                <w:ilvl w:val="0"/>
                <w:numId w:val="130"/>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支持策略的全生命周期展现，包括策略的变更时间、变更类型、变更账号、变更策略、变更内容等；支持通过颜色区分策略的变更项、删除等；支持策略项变更前后的对比展示。</w:t>
            </w:r>
          </w:p>
          <w:p w14:paraId="6C3C7480">
            <w:pPr>
              <w:widowControl/>
              <w:numPr>
                <w:ilvl w:val="0"/>
                <w:numId w:val="130"/>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为增强出口安全的防护能力，要求设备支持集成IPS入侵防御功能，拥有≥17000条IPS规则。管理员可以根据网络环境和安全需求自定义和管理IPS规则的应用，可针对具体规则条目设置启用和禁用；系统提供IPS入侵检测预定义模板，同时支持用户通过设置新的签名过滤器，自定义新的IPS入侵检测防御模板；提供检测报告。</w:t>
            </w:r>
          </w:p>
          <w:p w14:paraId="664E3BEC">
            <w:pPr>
              <w:widowControl/>
              <w:numPr>
                <w:ilvl w:val="0"/>
                <w:numId w:val="130"/>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支持自定义恶意情报功能并导入情报信息。即使威胁情报特征库授权未更新，自定义情报仍然有效。要求可导入自定义情报的条目不少于8万条，其中当某些对象不再构成风险时，可以一键将其设置为例外，系统可不再对这些对象进行拦截。提供检测报告。</w:t>
            </w:r>
          </w:p>
          <w:p w14:paraId="625DBC73">
            <w:pPr>
              <w:widowControl/>
              <w:numPr>
                <w:ilvl w:val="0"/>
                <w:numId w:val="130"/>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支持对欺骗攻击、注入攻击、跨站请求伪造、跨站脚本攻击、代码执行、释放重利用等多种类别的威胁进行检测和防御；</w:t>
            </w:r>
          </w:p>
          <w:p w14:paraId="41138150">
            <w:pPr>
              <w:widowControl/>
              <w:numPr>
                <w:ilvl w:val="0"/>
                <w:numId w:val="130"/>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支持扩展防病毒功能，病毒库特征≥100万；支持HTTP、FTP、POP3、SMTP协议病毒过滤，支持2层以上的文件压缩。</w:t>
            </w:r>
          </w:p>
          <w:p w14:paraId="2454A55E">
            <w:pPr>
              <w:widowControl/>
              <w:numPr>
                <w:ilvl w:val="0"/>
                <w:numId w:val="130"/>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★为了方便用户更好的分析和理解安全日志，要求支持安全日志上云，上云的信息包含攻击详细信息。提供检测报告。</w:t>
            </w:r>
          </w:p>
          <w:p w14:paraId="5E58CFAD">
            <w:pPr>
              <w:widowControl/>
              <w:numPr>
                <w:ilvl w:val="0"/>
                <w:numId w:val="130"/>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为了确保网络安全、访问控制、数据安全性，帮助管理员有效管理和保护SSL VPN网络，要求SSL VPN支持硬件特征码管理，针对硬件特征码可以进行导入和审批等管理行为。</w:t>
            </w:r>
          </w:p>
          <w:p w14:paraId="10241976">
            <w:pPr>
              <w:widowControl/>
              <w:numPr>
                <w:ilvl w:val="0"/>
                <w:numId w:val="130"/>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为了可以更好地管理IP地址分配，要求支持IPv4/IPv6双栈的DHCP Server功能。用户在配置IPv4时可指定如下参数：接口、设置IP分配范围、子网掩码、默认网关、DNS、不分配的IP/IP段，绑定的MAC；用户在配置IPv6时可指定如下参数：接口、设置IP分配范围、DNS。</w:t>
            </w:r>
          </w:p>
          <w:p w14:paraId="53F16FC6">
            <w:pPr>
              <w:widowControl/>
              <w:numPr>
                <w:ilvl w:val="0"/>
                <w:numId w:val="130"/>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支持已分配DHCP地址信息的展现, 同时可以指定已分配地址转成静态IP/MAC绑定。</w:t>
            </w:r>
          </w:p>
          <w:p w14:paraId="7059E9B3">
            <w:pPr>
              <w:widowControl/>
              <w:numPr>
                <w:ilvl w:val="0"/>
                <w:numId w:val="130"/>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支持通过WEB导航的方式，对指定业务进行通断检测，分析和追踪设备中各个安全业务模块对报文的处理过程，通过查看报文示踪记录的详细信息，帮助用户对网络故障的快速排查和定位，流会话支持在WEB进行条件查询，支持基于策略显示流会话明细。</w:t>
            </w:r>
          </w:p>
          <w:p w14:paraId="44677203">
            <w:pPr>
              <w:widowControl/>
              <w:numPr>
                <w:ilvl w:val="0"/>
                <w:numId w:val="130"/>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支持基于接口启用链路探测，配置探测时间、间隔，支持使用ICMP进行探测，日志包括探测事件时间、探测结果详情；</w:t>
            </w:r>
          </w:p>
          <w:p w14:paraId="4F8DABD7">
            <w:pPr>
              <w:widowControl/>
              <w:numPr>
                <w:ilvl w:val="0"/>
                <w:numId w:val="130"/>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支持基于带宽、源地址、优先级、权重、会话、带宽+会话等多种负载分担方式，包括但不限于基于会话、带宽+会话的负载分担技术。</w:t>
            </w:r>
          </w:p>
          <w:p w14:paraId="09062D47">
            <w:pPr>
              <w:widowControl/>
              <w:numPr>
                <w:ilvl w:val="0"/>
                <w:numId w:val="130"/>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支持基于源目的地址、时间、源目的端口、攻击类型等参数溯源攻击行为，找到攻击源；支持基于源目的地址、时间、源目的端口、域名等参数溯源行为审计日志。</w:t>
            </w:r>
          </w:p>
        </w:tc>
        <w:tc>
          <w:tcPr>
            <w:tcW w:w="567" w:type="dxa"/>
            <w:vAlign w:val="center"/>
          </w:tcPr>
          <w:p w14:paraId="4D03ABEC">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台</w:t>
            </w:r>
          </w:p>
        </w:tc>
        <w:tc>
          <w:tcPr>
            <w:tcW w:w="870" w:type="dxa"/>
            <w:vAlign w:val="center"/>
          </w:tcPr>
          <w:p w14:paraId="20E7603E">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690390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3" w:hRule="atLeast"/>
          <w:jc w:val="center"/>
        </w:trPr>
        <w:tc>
          <w:tcPr>
            <w:tcW w:w="644" w:type="dxa"/>
            <w:vAlign w:val="center"/>
          </w:tcPr>
          <w:p w14:paraId="7E8A692F">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5</w:t>
            </w:r>
          </w:p>
        </w:tc>
        <w:tc>
          <w:tcPr>
            <w:tcW w:w="851" w:type="dxa"/>
            <w:vAlign w:val="center"/>
          </w:tcPr>
          <w:p w14:paraId="1EF22EA1">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防火墙</w:t>
            </w:r>
          </w:p>
        </w:tc>
        <w:tc>
          <w:tcPr>
            <w:tcW w:w="6378" w:type="dxa"/>
            <w:vAlign w:val="center"/>
          </w:tcPr>
          <w:p w14:paraId="4BF3A862">
            <w:pPr>
              <w:widowControl/>
              <w:numPr>
                <w:ilvl w:val="0"/>
                <w:numId w:val="131"/>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要求固化千兆电口数量≥8个；固化千兆光口数量≥2个；固化万兆光口数量≥4个；≥2个扩展槽；提供产品外观图片证明；</w:t>
            </w:r>
          </w:p>
          <w:p w14:paraId="5D8FA5E5">
            <w:pPr>
              <w:widowControl/>
              <w:numPr>
                <w:ilvl w:val="0"/>
                <w:numId w:val="131"/>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配置可插拔1TB HDD企业级硬盘 ；</w:t>
            </w:r>
          </w:p>
          <w:p w14:paraId="6ADC2A6A">
            <w:pPr>
              <w:widowControl/>
              <w:numPr>
                <w:ilvl w:val="0"/>
                <w:numId w:val="131"/>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最大整机吞吐≥15Gbps ，IPS吞吐量≥5Gbps；</w:t>
            </w:r>
          </w:p>
          <w:p w14:paraId="1B5417C0">
            <w:pPr>
              <w:widowControl/>
              <w:numPr>
                <w:ilvl w:val="0"/>
                <w:numId w:val="131"/>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最大并发连接≥100万；最大新建连接≥12万；</w:t>
            </w:r>
          </w:p>
          <w:p w14:paraId="041FE251">
            <w:pPr>
              <w:widowControl/>
              <w:numPr>
                <w:ilvl w:val="0"/>
                <w:numId w:val="131"/>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★支持策略模拟功能，可提供一个虚拟的策略空间来对运行创建的模拟策略，模拟策略不会对真实业务流量产生影响 ，但可以把模拟策略的执行结果与现有的真实策略的不同的处置动作进行对比展现，方便用户判断模拟策略是否会对重要业务产生不良影响，如模拟策略符合用户需求，可一键转化为真实策略，提供检测报告；</w:t>
            </w:r>
          </w:p>
          <w:p w14:paraId="5639EE6E">
            <w:pPr>
              <w:widowControl/>
              <w:numPr>
                <w:ilvl w:val="0"/>
                <w:numId w:val="131"/>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★支持自动扫描用户网内资产，自动识别资产端口和协议启用情况，结合用户资产信息生成推荐的安全防护策略，提供检测报告；</w:t>
            </w:r>
          </w:p>
          <w:p w14:paraId="077CC3DD">
            <w:pPr>
              <w:widowControl/>
              <w:numPr>
                <w:ilvl w:val="0"/>
                <w:numId w:val="131"/>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支持基于流量学习的方式对网内资产的互访关系进行梳理，可视化展示目标资产的端口的访问关系，包括：访问源IP、命中策略、阻断次数、最近一次阻断时间等信息；</w:t>
            </w:r>
          </w:p>
          <w:p w14:paraId="587296DA">
            <w:pPr>
              <w:widowControl/>
              <w:numPr>
                <w:ilvl w:val="0"/>
                <w:numId w:val="131"/>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支持策略配置向导功能，运维人员可通过向导流程完成地址对象创建、策略创建、策略模拟运行、策略执行等必要配置步骤（要求提供产品功能界面截图）；</w:t>
            </w:r>
          </w:p>
          <w:p w14:paraId="3F12116C">
            <w:pPr>
              <w:widowControl/>
              <w:numPr>
                <w:ilvl w:val="0"/>
                <w:numId w:val="131"/>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支持显示策略来源、首次创建时间、源安全区域、源地址、目的安全区域、目的地址、服务、应用、首次匹配时间、命中次数统计；</w:t>
            </w:r>
          </w:p>
          <w:p w14:paraId="3333291D">
            <w:pPr>
              <w:widowControl/>
              <w:numPr>
                <w:ilvl w:val="0"/>
                <w:numId w:val="131"/>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支持策略的全生命周期展现，包括策略的变更时间、变更类型、变更账号、变更策略、变更内容等；支持通过颜色区分策略的变更项、删除等；支持策略项变更前后的对比展示；</w:t>
            </w:r>
          </w:p>
          <w:p w14:paraId="4CBCFEF2">
            <w:pPr>
              <w:widowControl/>
              <w:numPr>
                <w:ilvl w:val="0"/>
                <w:numId w:val="131"/>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支持创建IP地址对象、IP地址对象组，同时支持查看IP地址对象或IP地址对象组被策略引用的情况（要求提供产品功能界面截图）；</w:t>
            </w:r>
          </w:p>
          <w:p w14:paraId="098D79B6">
            <w:pPr>
              <w:widowControl/>
              <w:numPr>
                <w:ilvl w:val="0"/>
                <w:numId w:val="131"/>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支持自定义设置登录端口、登录超时时间、登录错误允许次数、锁定时间；开启、关闭验证码功能，支持恢复默认配置；支持一键收集本机上所有信息，并提供打包下载，用于故障定位（要求提供产品功能界面截图）；</w:t>
            </w:r>
          </w:p>
          <w:p w14:paraId="1382EEE5">
            <w:pPr>
              <w:widowControl/>
              <w:numPr>
                <w:ilvl w:val="0"/>
                <w:numId w:val="131"/>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基于首页设备图示，实现鼠标移动到相应接口，即可显示接口的加电状态、接口类型、接口IP和上下行速率等（要求提供产品功能界面截图）；</w:t>
            </w:r>
          </w:p>
          <w:p w14:paraId="21138E60">
            <w:pPr>
              <w:widowControl/>
              <w:numPr>
                <w:ilvl w:val="0"/>
                <w:numId w:val="131"/>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支持一站式故障排查向导，按照客户端访问目标资源的路径，自动化执行排查动作，定位因防火墙自身故障、网络配置、功能模块、策略模板、流量是否到达等配置面与转发面造成的网络故障问题；提供检测报告；</w:t>
            </w:r>
          </w:p>
          <w:p w14:paraId="0649C1C9">
            <w:pPr>
              <w:widowControl/>
              <w:numPr>
                <w:ilvl w:val="0"/>
                <w:numId w:val="131"/>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★支持防火墙故障排查后可一键跳转到对应的功能配置界面进行问题处置；提供检测报告；</w:t>
            </w:r>
          </w:p>
          <w:p w14:paraId="569BE561">
            <w:pPr>
              <w:widowControl/>
              <w:numPr>
                <w:ilvl w:val="0"/>
                <w:numId w:val="131"/>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支持静态地址、DHCP、PPPoE等网络连接类型；支持静态路由、子接口、安全域、NAT等基础网络功能；</w:t>
            </w:r>
          </w:p>
          <w:p w14:paraId="35BB9E45">
            <w:pPr>
              <w:widowControl/>
              <w:numPr>
                <w:ilvl w:val="0"/>
                <w:numId w:val="131"/>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支持对HTTP、TCP、UDP、DNS、TLS等常用协议及应用的攻击检测和防御；</w:t>
            </w:r>
          </w:p>
          <w:p w14:paraId="79B38359">
            <w:pPr>
              <w:widowControl/>
              <w:numPr>
                <w:ilvl w:val="0"/>
                <w:numId w:val="131"/>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支持对欺骗攻击、注入攻击、跨站请求伪造、跨站脚本攻击、代码执行、释放重利用等多种类别的威胁进行检测和防御；</w:t>
            </w:r>
          </w:p>
          <w:p w14:paraId="76C2D5B4">
            <w:pPr>
              <w:widowControl/>
              <w:numPr>
                <w:ilvl w:val="0"/>
                <w:numId w:val="131"/>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支持扩展防病毒功能，病毒库特征≥100万；</w:t>
            </w:r>
          </w:p>
          <w:p w14:paraId="2B8D5BA5">
            <w:pPr>
              <w:widowControl/>
              <w:numPr>
                <w:ilvl w:val="0"/>
                <w:numId w:val="131"/>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支持HTTP、FTP、POP3、SMTP协议病毒过滤，支持2层以上的文件压缩；</w:t>
            </w:r>
          </w:p>
          <w:p w14:paraId="69018927">
            <w:pPr>
              <w:widowControl/>
              <w:numPr>
                <w:ilvl w:val="0"/>
                <w:numId w:val="131"/>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IPS规则数量≥15000条，可针对具体的规则条目设置启用和禁用；要求系统自带IPS入侵检测预定义模板，用户可设置新的签名过滤器，来自定义新的IPS入侵检测防御模板；</w:t>
            </w:r>
          </w:p>
          <w:p w14:paraId="7AF7908E">
            <w:pPr>
              <w:widowControl/>
              <w:numPr>
                <w:ilvl w:val="0"/>
                <w:numId w:val="131"/>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支持自定义安全区域，支持自定义应用分组，方便用户基于不同的应用组配置安全策略，支持查看应用和应用组被策略引用的情况；基于安全区域的访问控制策略，同时支持查看安全区域被安全策略的引用情况；提供预定义服务端口、支持配置自定义服务端口，支持服务组，支持查看被策略引用的情况；</w:t>
            </w:r>
          </w:p>
          <w:p w14:paraId="06718D4D">
            <w:pPr>
              <w:widowControl/>
              <w:numPr>
                <w:ilvl w:val="0"/>
                <w:numId w:val="131"/>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提供3年入侵防御、防病毒、应用识别特征库升级授权。</w:t>
            </w:r>
          </w:p>
        </w:tc>
        <w:tc>
          <w:tcPr>
            <w:tcW w:w="567" w:type="dxa"/>
            <w:vAlign w:val="center"/>
          </w:tcPr>
          <w:p w14:paraId="4D46843C">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台</w:t>
            </w:r>
          </w:p>
        </w:tc>
        <w:tc>
          <w:tcPr>
            <w:tcW w:w="870" w:type="dxa"/>
            <w:vAlign w:val="center"/>
          </w:tcPr>
          <w:p w14:paraId="254BD3A8">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7FA2AB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0" w:hRule="atLeast"/>
          <w:jc w:val="center"/>
        </w:trPr>
        <w:tc>
          <w:tcPr>
            <w:tcW w:w="644" w:type="dxa"/>
            <w:vAlign w:val="center"/>
          </w:tcPr>
          <w:p w14:paraId="48BA0928">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6</w:t>
            </w:r>
          </w:p>
        </w:tc>
        <w:tc>
          <w:tcPr>
            <w:tcW w:w="851" w:type="dxa"/>
            <w:vAlign w:val="center"/>
          </w:tcPr>
          <w:p w14:paraId="23FE137B">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SDN管理平台</w:t>
            </w:r>
          </w:p>
        </w:tc>
        <w:tc>
          <w:tcPr>
            <w:tcW w:w="6378" w:type="dxa"/>
            <w:vAlign w:val="center"/>
          </w:tcPr>
          <w:p w14:paraId="653E2841">
            <w:pPr>
              <w:widowControl/>
              <w:numPr>
                <w:ilvl w:val="0"/>
                <w:numId w:val="132"/>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支持在控制器端对远端模块自动发现、自动纳管，远端模块无需做任何配置即可完成上线。</w:t>
            </w:r>
          </w:p>
          <w:p w14:paraId="1C9B25E6">
            <w:pPr>
              <w:widowControl/>
              <w:numPr>
                <w:ilvl w:val="0"/>
                <w:numId w:val="132"/>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支持硬件健康状态可视化，可以对风扇状态、电源、温度进行监控。</w:t>
            </w:r>
          </w:p>
          <w:p w14:paraId="0709ABB2">
            <w:pPr>
              <w:widowControl/>
              <w:numPr>
                <w:ilvl w:val="0"/>
                <w:numId w:val="132"/>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★支持在控制器端通过Excel表格批量绑定远端模块区域位置信息，便于运维时定位远端模块物理位置，提供检测报告。</w:t>
            </w:r>
          </w:p>
          <w:p w14:paraId="190C758D">
            <w:pPr>
              <w:widowControl/>
              <w:numPr>
                <w:ilvl w:val="0"/>
                <w:numId w:val="132"/>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支持在控制器端对远端模块统一配置。</w:t>
            </w:r>
          </w:p>
          <w:p w14:paraId="0E066A4F">
            <w:pPr>
              <w:widowControl/>
              <w:numPr>
                <w:ilvl w:val="0"/>
                <w:numId w:val="132"/>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支持在控制器端对远端模块的配置进行统一备份，并快速恢复到任意备份时间点。</w:t>
            </w:r>
          </w:p>
          <w:p w14:paraId="27290223">
            <w:pPr>
              <w:widowControl/>
              <w:numPr>
                <w:ilvl w:val="0"/>
                <w:numId w:val="132"/>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控制器支持云地协同功能，控制器可与云平台联动，在云平台上支持网络设备基本信息监控功能，支持状态监控，可以查看网络拓扑、连通状态、端口列表等，还可通过云平台访问控制器，提供检测报告。</w:t>
            </w:r>
          </w:p>
          <w:p w14:paraId="6B43BD59">
            <w:pPr>
              <w:widowControl/>
              <w:numPr>
                <w:ilvl w:val="0"/>
                <w:numId w:val="132"/>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当远端模块出现故障，支持替换用的新设备零配置替换，新设备接线后，配置从控制器端自动下发，无需手动配置。支持自动识别及自适应不同型号替换，支持自适应端口配置跟随业务。</w:t>
            </w:r>
          </w:p>
          <w:p w14:paraId="20C3E7DC">
            <w:pPr>
              <w:widowControl/>
              <w:numPr>
                <w:ilvl w:val="0"/>
                <w:numId w:val="132"/>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★支持在控制器端检测远端模块端口下的环路问题，当远端模块端口检测到环路时，执行关联策略并可通告控制器，发生环路的接口告警信息并记录，提供检测报告。</w:t>
            </w:r>
          </w:p>
        </w:tc>
        <w:tc>
          <w:tcPr>
            <w:tcW w:w="567" w:type="dxa"/>
            <w:vAlign w:val="center"/>
          </w:tcPr>
          <w:p w14:paraId="16A2A563">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套</w:t>
            </w:r>
          </w:p>
        </w:tc>
        <w:tc>
          <w:tcPr>
            <w:tcW w:w="870" w:type="dxa"/>
            <w:vAlign w:val="center"/>
          </w:tcPr>
          <w:p w14:paraId="78AF7EDC">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2C2864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0" w:hRule="atLeast"/>
          <w:jc w:val="center"/>
        </w:trPr>
        <w:tc>
          <w:tcPr>
            <w:tcW w:w="644" w:type="dxa"/>
            <w:vAlign w:val="center"/>
          </w:tcPr>
          <w:p w14:paraId="1E8A843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7</w:t>
            </w:r>
          </w:p>
        </w:tc>
        <w:tc>
          <w:tcPr>
            <w:tcW w:w="851" w:type="dxa"/>
            <w:vAlign w:val="center"/>
          </w:tcPr>
          <w:p w14:paraId="42FF43B7">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网络安全平台</w:t>
            </w:r>
          </w:p>
        </w:tc>
        <w:tc>
          <w:tcPr>
            <w:tcW w:w="6378" w:type="dxa"/>
            <w:vAlign w:val="center"/>
          </w:tcPr>
          <w:p w14:paraId="55D5A87C">
            <w:pPr>
              <w:widowControl/>
              <w:numPr>
                <w:ilvl w:val="0"/>
                <w:numId w:val="133"/>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支持安全日志关联分析，挖掘用户需要重点关注的高危威胁；提供设备运行态势的监控。</w:t>
            </w:r>
          </w:p>
          <w:p w14:paraId="00AD7132">
            <w:pPr>
              <w:widowControl/>
              <w:numPr>
                <w:ilvl w:val="0"/>
                <w:numId w:val="133"/>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支持云端安全能力的订阅，后续不断增加漏洞扫描，合规评估等能力订阅。</w:t>
            </w:r>
          </w:p>
          <w:p w14:paraId="18DC3DF8">
            <w:pPr>
              <w:widowControl/>
              <w:numPr>
                <w:ilvl w:val="0"/>
                <w:numId w:val="133"/>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支持云端态势的移动端推送，随时了解安全和设备运行态势。</w:t>
            </w:r>
          </w:p>
          <w:p w14:paraId="54420C6A">
            <w:pPr>
              <w:widowControl/>
              <w:numPr>
                <w:ilvl w:val="0"/>
                <w:numId w:val="133"/>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对用户现网流量进行深度检测，发现并阻止恶意流量；接收云端下发的告警处置命令，执行封禁动作。</w:t>
            </w:r>
          </w:p>
          <w:p w14:paraId="04E32221">
            <w:pPr>
              <w:widowControl/>
              <w:numPr>
                <w:ilvl w:val="0"/>
                <w:numId w:val="133"/>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支持安全日志关联分析，挖矿，勒索，C&amp;C远控，暴力破解，漏洞利用，扫描探测，后门攻击等威胁深度分析；</w:t>
            </w:r>
          </w:p>
          <w:p w14:paraId="18A0FF18">
            <w:pPr>
              <w:widowControl/>
              <w:numPr>
                <w:ilvl w:val="0"/>
                <w:numId w:val="133"/>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支持安全基线分析，资产基线（如开放高危端口），行为基线（如告警量异常，应用流量异常）等；</w:t>
            </w:r>
          </w:p>
          <w:p w14:paraId="7366EA8C">
            <w:pPr>
              <w:widowControl/>
              <w:numPr>
                <w:ilvl w:val="0"/>
                <w:numId w:val="133"/>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支持威胁闭环处置功能，外部攻击源、恶意域名联动防火墙黑白名单，自动化封禁；内部失陷主机和恶意文件，秒级告警通知；</w:t>
            </w:r>
          </w:p>
          <w:p w14:paraId="4E40EADB">
            <w:pPr>
              <w:widowControl/>
              <w:numPr>
                <w:ilvl w:val="0"/>
                <w:numId w:val="133"/>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支持安全态势实时感知功能，定期自动生成周报、月报，推送用户；</w:t>
            </w:r>
          </w:p>
          <w:p w14:paraId="2B7E9FE9">
            <w:pPr>
              <w:widowControl/>
              <w:numPr>
                <w:ilvl w:val="0"/>
                <w:numId w:val="133"/>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设备存在重大运行故障或重大漏洞时，提供紧急通知，可通过移动端公众号/小程序、短信、邮件多种方式通知用户，提供公众号和小程序功能截图；</w:t>
            </w:r>
          </w:p>
          <w:p w14:paraId="33C98B02">
            <w:pPr>
              <w:widowControl/>
              <w:numPr>
                <w:ilvl w:val="0"/>
                <w:numId w:val="133"/>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支持设备端故障监测能力，包括内存CPU运行异常，异常重启，接口UP/DOWN监测等能力；</w:t>
            </w:r>
          </w:p>
          <w:p w14:paraId="55E68BA4">
            <w:pPr>
              <w:widowControl/>
              <w:numPr>
                <w:ilvl w:val="0"/>
                <w:numId w:val="133"/>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支持本地设备软件版本管理，补丁管理，特征库版本管理功能，并提供版本的在线/离线升级能力；</w:t>
            </w:r>
          </w:p>
          <w:p w14:paraId="0887EA19">
            <w:pPr>
              <w:widowControl/>
              <w:numPr>
                <w:ilvl w:val="0"/>
                <w:numId w:val="133"/>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利用智能分析对防护节点检测到的安全事件进行分析确认，保障攻击拦截以及安全告警的准确性，及时优化攻击识别规则，提升现网防护效果。</w:t>
            </w:r>
          </w:p>
          <w:p w14:paraId="612C7A8D">
            <w:pPr>
              <w:widowControl/>
              <w:numPr>
                <w:ilvl w:val="0"/>
                <w:numId w:val="133"/>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支持互联网暴露面的监测功能，针对客户的对外暴露端口和服务进行持续检测看护；</w:t>
            </w:r>
          </w:p>
          <w:p w14:paraId="02665947">
            <w:pPr>
              <w:widowControl/>
              <w:numPr>
                <w:ilvl w:val="0"/>
                <w:numId w:val="133"/>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支持安全态势大屏展示功能，通过对安全事件的综合分析，实时呈现TOP威胁类型、失陷类型、最新威胁事件等信息，提供截图。</w:t>
            </w:r>
          </w:p>
        </w:tc>
        <w:tc>
          <w:tcPr>
            <w:tcW w:w="567" w:type="dxa"/>
            <w:vAlign w:val="center"/>
          </w:tcPr>
          <w:p w14:paraId="2B7BBB68">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套</w:t>
            </w:r>
          </w:p>
        </w:tc>
        <w:tc>
          <w:tcPr>
            <w:tcW w:w="870" w:type="dxa"/>
            <w:vAlign w:val="center"/>
          </w:tcPr>
          <w:p w14:paraId="44D14A9E">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209F80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0" w:hRule="atLeast"/>
          <w:jc w:val="center"/>
        </w:trPr>
        <w:tc>
          <w:tcPr>
            <w:tcW w:w="644" w:type="dxa"/>
            <w:vAlign w:val="center"/>
          </w:tcPr>
          <w:p w14:paraId="24B64235">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8</w:t>
            </w:r>
          </w:p>
        </w:tc>
        <w:tc>
          <w:tcPr>
            <w:tcW w:w="851" w:type="dxa"/>
            <w:vAlign w:val="center"/>
          </w:tcPr>
          <w:p w14:paraId="7F16A2FF">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六类网线</w:t>
            </w:r>
          </w:p>
        </w:tc>
        <w:tc>
          <w:tcPr>
            <w:tcW w:w="6378" w:type="dxa"/>
            <w:vAlign w:val="center"/>
          </w:tcPr>
          <w:p w14:paraId="2278163C">
            <w:pPr>
              <w:widowControl/>
              <w:numPr>
                <w:ilvl w:val="0"/>
                <w:numId w:val="134"/>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Cat.6 非屏蔽4对双绞线, 导体无氧铜，PVC，305米/箱</w:t>
            </w:r>
          </w:p>
        </w:tc>
        <w:tc>
          <w:tcPr>
            <w:tcW w:w="567" w:type="dxa"/>
            <w:vAlign w:val="center"/>
          </w:tcPr>
          <w:p w14:paraId="73F9D08A">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批</w:t>
            </w:r>
          </w:p>
        </w:tc>
        <w:tc>
          <w:tcPr>
            <w:tcW w:w="870" w:type="dxa"/>
            <w:vAlign w:val="center"/>
          </w:tcPr>
          <w:p w14:paraId="51C228AE">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2A931D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0" w:hRule="atLeast"/>
          <w:jc w:val="center"/>
        </w:trPr>
        <w:tc>
          <w:tcPr>
            <w:tcW w:w="644" w:type="dxa"/>
            <w:vAlign w:val="center"/>
          </w:tcPr>
          <w:p w14:paraId="220F31BD">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9</w:t>
            </w:r>
          </w:p>
        </w:tc>
        <w:tc>
          <w:tcPr>
            <w:tcW w:w="851" w:type="dxa"/>
            <w:vAlign w:val="center"/>
          </w:tcPr>
          <w:p w14:paraId="3BF3EC76">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12芯光缆</w:t>
            </w:r>
          </w:p>
        </w:tc>
        <w:tc>
          <w:tcPr>
            <w:tcW w:w="6378" w:type="dxa"/>
            <w:vAlign w:val="center"/>
          </w:tcPr>
          <w:p w14:paraId="17C34BAD">
            <w:pPr>
              <w:widowControl/>
              <w:numPr>
                <w:ilvl w:val="0"/>
                <w:numId w:val="135"/>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光缆标称直径：≥9.4mm，加强件直径：≥1.4mm，敷设方式：穿管；非自承式架空，松套管识别：全色谱，产品符合YD/T901标准</w:t>
            </w:r>
          </w:p>
        </w:tc>
        <w:tc>
          <w:tcPr>
            <w:tcW w:w="567" w:type="dxa"/>
            <w:vAlign w:val="center"/>
          </w:tcPr>
          <w:p w14:paraId="3A3AF966">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批</w:t>
            </w:r>
          </w:p>
        </w:tc>
        <w:tc>
          <w:tcPr>
            <w:tcW w:w="870" w:type="dxa"/>
            <w:vAlign w:val="center"/>
          </w:tcPr>
          <w:p w14:paraId="037E97D3">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7AEAE5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0" w:hRule="atLeast"/>
          <w:jc w:val="center"/>
        </w:trPr>
        <w:tc>
          <w:tcPr>
            <w:tcW w:w="644" w:type="dxa"/>
            <w:vAlign w:val="center"/>
          </w:tcPr>
          <w:p w14:paraId="68F276C8">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10</w:t>
            </w:r>
          </w:p>
        </w:tc>
        <w:tc>
          <w:tcPr>
            <w:tcW w:w="851" w:type="dxa"/>
            <w:vAlign w:val="center"/>
          </w:tcPr>
          <w:p w14:paraId="38C3CADF">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光纤配线架</w:t>
            </w:r>
          </w:p>
        </w:tc>
        <w:tc>
          <w:tcPr>
            <w:tcW w:w="6378" w:type="dxa"/>
            <w:vAlign w:val="center"/>
          </w:tcPr>
          <w:p w14:paraId="4A4A9C49">
            <w:pPr>
              <w:widowControl/>
              <w:numPr>
                <w:ilvl w:val="0"/>
                <w:numId w:val="136"/>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12芯机架式光纤配线架，；</w:t>
            </w:r>
          </w:p>
          <w:p w14:paraId="2B5A7D1B">
            <w:pPr>
              <w:widowControl/>
              <w:numPr>
                <w:ilvl w:val="0"/>
                <w:numId w:val="136"/>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含裸纤保护管、单芯热熔管、喉箍和光缆开剥固定装置，具备1块熔配一体化托盘安装位；</w:t>
            </w:r>
          </w:p>
          <w:p w14:paraId="497E2D74">
            <w:pPr>
              <w:widowControl/>
              <w:numPr>
                <w:ilvl w:val="0"/>
                <w:numId w:val="136"/>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整机满配配置，包含熔配一体化盘*1，FC/UPC法兰盘*12，12芯束状尾纤*1；</w:t>
            </w:r>
          </w:p>
          <w:p w14:paraId="08A2A146">
            <w:pPr>
              <w:widowControl/>
              <w:numPr>
                <w:ilvl w:val="0"/>
                <w:numId w:val="136"/>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网络机柜机架式安装；</w:t>
            </w:r>
          </w:p>
          <w:p w14:paraId="62119DA5">
            <w:pPr>
              <w:widowControl/>
              <w:numPr>
                <w:ilvl w:val="0"/>
                <w:numId w:val="136"/>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盐雾要求：≥72H；</w:t>
            </w:r>
          </w:p>
        </w:tc>
        <w:tc>
          <w:tcPr>
            <w:tcW w:w="567" w:type="dxa"/>
            <w:vAlign w:val="center"/>
          </w:tcPr>
          <w:p w14:paraId="58D9AB04">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批</w:t>
            </w:r>
          </w:p>
        </w:tc>
        <w:tc>
          <w:tcPr>
            <w:tcW w:w="870" w:type="dxa"/>
            <w:vAlign w:val="center"/>
          </w:tcPr>
          <w:p w14:paraId="31829DC2">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294B22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0" w:hRule="atLeast"/>
          <w:jc w:val="center"/>
        </w:trPr>
        <w:tc>
          <w:tcPr>
            <w:tcW w:w="644" w:type="dxa"/>
            <w:vAlign w:val="center"/>
          </w:tcPr>
          <w:p w14:paraId="2065120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11</w:t>
            </w:r>
          </w:p>
        </w:tc>
        <w:tc>
          <w:tcPr>
            <w:tcW w:w="851" w:type="dxa"/>
            <w:vAlign w:val="center"/>
          </w:tcPr>
          <w:p w14:paraId="60719E3D">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辅材</w:t>
            </w:r>
          </w:p>
        </w:tc>
        <w:tc>
          <w:tcPr>
            <w:tcW w:w="6378" w:type="dxa"/>
            <w:vAlign w:val="center"/>
          </w:tcPr>
          <w:p w14:paraId="01D06221">
            <w:pPr>
              <w:widowControl/>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项目辅材包括但不限于以下材料：</w:t>
            </w:r>
          </w:p>
          <w:p w14:paraId="325148E8">
            <w:pPr>
              <w:widowControl/>
              <w:numPr>
                <w:ilvl w:val="0"/>
                <w:numId w:val="137"/>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网络机柜、网络配线架、理线架、PDU、网络跳线、光纤跳线等弱电间全部材料；</w:t>
            </w:r>
          </w:p>
          <w:p w14:paraId="7366B99B">
            <w:pPr>
              <w:widowControl/>
              <w:numPr>
                <w:ilvl w:val="0"/>
                <w:numId w:val="137"/>
              </w:numPr>
              <w:jc w:val="left"/>
              <w:textAlignment w:val="center"/>
              <w:rPr>
                <w:rFonts w:hint="eastAsia" w:ascii="宋体" w:hAnsi="宋体"/>
                <w:color w:val="auto"/>
                <w:szCs w:val="21"/>
                <w:highlight w:val="none"/>
              </w:rPr>
            </w:pPr>
            <w:r>
              <w:rPr>
                <w:rFonts w:hint="eastAsia" w:ascii="宋体" w:hAnsi="宋体"/>
                <w:color w:val="auto"/>
                <w:szCs w:val="21"/>
                <w:highlight w:val="none"/>
              </w:rPr>
              <w:t>单口面板、双口面板、六类非屏蔽模块、底盒、跳线等工作区所全部材料；</w:t>
            </w:r>
          </w:p>
          <w:p w14:paraId="46EB7189">
            <w:pPr>
              <w:widowControl/>
              <w:numPr>
                <w:ilvl w:val="0"/>
                <w:numId w:val="137"/>
              </w:numPr>
              <w:jc w:val="left"/>
              <w:textAlignment w:val="center"/>
              <w:rPr>
                <w:rFonts w:hint="eastAsia" w:ascii="宋体" w:hAnsi="宋体"/>
                <w:color w:val="auto"/>
                <w:szCs w:val="21"/>
                <w:highlight w:val="none"/>
              </w:rPr>
            </w:pPr>
            <w:r>
              <w:rPr>
                <w:rFonts w:hint="eastAsia" w:ascii="宋体" w:hAnsi="宋体"/>
                <w:color w:val="auto"/>
                <w:szCs w:val="21"/>
                <w:highlight w:val="none"/>
              </w:rPr>
              <w:t>服务器机柜、UPS、PDU、静电地板、光纤跳线、ODF架、机房电路改造等中心机房全部材料；</w:t>
            </w:r>
          </w:p>
          <w:p w14:paraId="516F62EB">
            <w:pPr>
              <w:widowControl/>
              <w:numPr>
                <w:ilvl w:val="0"/>
                <w:numId w:val="137"/>
              </w:numPr>
              <w:jc w:val="left"/>
              <w:textAlignment w:val="center"/>
              <w:rPr>
                <w:rFonts w:hint="eastAsia" w:ascii="宋体" w:hAnsi="宋体"/>
                <w:color w:val="auto"/>
                <w:szCs w:val="21"/>
                <w:highlight w:val="none"/>
              </w:rPr>
            </w:pPr>
            <w:r>
              <w:rPr>
                <w:rFonts w:hint="eastAsia" w:ascii="宋体" w:hAnsi="宋体"/>
                <w:color w:val="auto"/>
                <w:szCs w:val="21"/>
                <w:highlight w:val="none"/>
              </w:rPr>
              <w:t>PVC管、镀锌管、桥架、软管等；</w:t>
            </w:r>
          </w:p>
          <w:p w14:paraId="3932BC85">
            <w:pPr>
              <w:widowControl/>
              <w:numPr>
                <w:ilvl w:val="0"/>
                <w:numId w:val="137"/>
              </w:numPr>
              <w:jc w:val="left"/>
              <w:textAlignment w:val="center"/>
              <w:rPr>
                <w:rFonts w:hint="eastAsia" w:ascii="宋体" w:hAnsi="宋体"/>
                <w:color w:val="auto"/>
                <w:szCs w:val="21"/>
                <w:highlight w:val="none"/>
              </w:rPr>
            </w:pPr>
            <w:r>
              <w:rPr>
                <w:rFonts w:hint="eastAsia" w:ascii="宋体" w:hAnsi="宋体"/>
                <w:color w:val="auto"/>
                <w:szCs w:val="21"/>
                <w:highlight w:val="none"/>
              </w:rPr>
              <w:t>项目实施所需要的其他材料。</w:t>
            </w:r>
          </w:p>
        </w:tc>
        <w:tc>
          <w:tcPr>
            <w:tcW w:w="567" w:type="dxa"/>
            <w:vAlign w:val="center"/>
          </w:tcPr>
          <w:p w14:paraId="6A770A6A">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批</w:t>
            </w:r>
          </w:p>
        </w:tc>
        <w:tc>
          <w:tcPr>
            <w:tcW w:w="870" w:type="dxa"/>
            <w:vAlign w:val="center"/>
          </w:tcPr>
          <w:p w14:paraId="73D76503">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0D582C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0" w:hRule="atLeast"/>
          <w:jc w:val="center"/>
        </w:trPr>
        <w:tc>
          <w:tcPr>
            <w:tcW w:w="644" w:type="dxa"/>
            <w:vAlign w:val="center"/>
          </w:tcPr>
          <w:p w14:paraId="4277261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12</w:t>
            </w:r>
          </w:p>
        </w:tc>
        <w:tc>
          <w:tcPr>
            <w:tcW w:w="851" w:type="dxa"/>
            <w:vAlign w:val="center"/>
          </w:tcPr>
          <w:p w14:paraId="6FFD5D41">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施工安装调试</w:t>
            </w:r>
          </w:p>
        </w:tc>
        <w:tc>
          <w:tcPr>
            <w:tcW w:w="6378" w:type="dxa"/>
            <w:vAlign w:val="center"/>
          </w:tcPr>
          <w:p w14:paraId="65EF6E16">
            <w:pPr>
              <w:widowControl/>
              <w:numPr>
                <w:ilvl w:val="0"/>
                <w:numId w:val="138"/>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包含项目施工、调试、验收搬运等所有费用。</w:t>
            </w:r>
          </w:p>
        </w:tc>
        <w:tc>
          <w:tcPr>
            <w:tcW w:w="567" w:type="dxa"/>
            <w:vAlign w:val="center"/>
          </w:tcPr>
          <w:p w14:paraId="2D5F3C5A">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项</w:t>
            </w:r>
          </w:p>
        </w:tc>
        <w:tc>
          <w:tcPr>
            <w:tcW w:w="870" w:type="dxa"/>
            <w:vAlign w:val="center"/>
          </w:tcPr>
          <w:p w14:paraId="399B13ED">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bookmarkEnd w:id="1"/>
    </w:tbl>
    <w:p w14:paraId="0AB626C4">
      <w:pPr>
        <w:spacing w:line="360" w:lineRule="auto"/>
        <w:rPr>
          <w:rFonts w:hint="eastAsia" w:ascii="宋体" w:hAnsi="宋体"/>
          <w:b/>
          <w:bCs/>
          <w:color w:val="auto"/>
          <w:szCs w:val="21"/>
          <w:highlight w:val="none"/>
        </w:rPr>
      </w:pPr>
    </w:p>
    <w:p w14:paraId="08F9D8BD">
      <w:pPr>
        <w:spacing w:line="360" w:lineRule="auto"/>
        <w:rPr>
          <w:rFonts w:hint="eastAsia" w:ascii="宋体" w:hAnsi="宋体"/>
          <w:b/>
          <w:bCs/>
          <w:color w:val="auto"/>
          <w:szCs w:val="21"/>
          <w:highlight w:val="none"/>
        </w:rPr>
      </w:pPr>
    </w:p>
    <w:p w14:paraId="73FC9297">
      <w:pPr>
        <w:spacing w:line="360" w:lineRule="auto"/>
        <w:rPr>
          <w:rFonts w:hint="eastAsia" w:ascii="宋体" w:hAnsi="宋体"/>
          <w:b/>
          <w:bCs/>
          <w:color w:val="auto"/>
          <w:szCs w:val="21"/>
          <w:highlight w:val="none"/>
        </w:rPr>
      </w:pPr>
      <w:r>
        <w:rPr>
          <w:rFonts w:hint="eastAsia" w:ascii="宋体" w:hAnsi="宋体"/>
          <w:b/>
          <w:bCs/>
          <w:color w:val="auto"/>
          <w:szCs w:val="21"/>
          <w:highlight w:val="none"/>
        </w:rPr>
        <w:t xml:space="preserve">2.二标段          </w:t>
      </w:r>
    </w:p>
    <w:tbl>
      <w:tblPr>
        <w:tblStyle w:val="24"/>
        <w:tblW w:w="997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49"/>
        <w:gridCol w:w="1227"/>
        <w:gridCol w:w="6167"/>
        <w:gridCol w:w="20"/>
        <w:gridCol w:w="13"/>
        <w:gridCol w:w="24"/>
        <w:gridCol w:w="806"/>
        <w:gridCol w:w="20"/>
        <w:gridCol w:w="17"/>
        <w:gridCol w:w="888"/>
        <w:gridCol w:w="20"/>
        <w:gridCol w:w="27"/>
      </w:tblGrid>
      <w:tr w14:paraId="59EB6B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gridAfter w:val="2"/>
          <w:wAfter w:w="47" w:type="dxa"/>
          <w:jc w:val="center"/>
        </w:trPr>
        <w:tc>
          <w:tcPr>
            <w:tcW w:w="749" w:type="dxa"/>
            <w:noWrap/>
            <w:vAlign w:val="center"/>
          </w:tcPr>
          <w:p w14:paraId="3B909315">
            <w:pPr>
              <w:widowControl/>
              <w:jc w:val="center"/>
              <w:textAlignment w:val="center"/>
              <w:rPr>
                <w:rFonts w:hint="eastAsia" w:ascii="宋体" w:hAnsi="宋体"/>
                <w:b/>
                <w:bCs/>
                <w:color w:val="auto"/>
                <w:szCs w:val="21"/>
                <w:highlight w:val="none"/>
              </w:rPr>
            </w:pPr>
            <w:r>
              <w:rPr>
                <w:rFonts w:hint="eastAsia" w:ascii="宋体" w:hAnsi="宋体"/>
                <w:b/>
                <w:bCs/>
                <w:color w:val="auto"/>
                <w:kern w:val="0"/>
                <w:szCs w:val="21"/>
                <w:highlight w:val="none"/>
                <w:lang w:bidi="ar"/>
              </w:rPr>
              <w:t>序号</w:t>
            </w:r>
          </w:p>
        </w:tc>
        <w:tc>
          <w:tcPr>
            <w:tcW w:w="1227" w:type="dxa"/>
            <w:noWrap/>
            <w:vAlign w:val="center"/>
          </w:tcPr>
          <w:p w14:paraId="34675995">
            <w:pPr>
              <w:widowControl/>
              <w:jc w:val="center"/>
              <w:textAlignment w:val="center"/>
              <w:rPr>
                <w:rFonts w:hint="eastAsia" w:ascii="宋体" w:hAnsi="宋体"/>
                <w:b/>
                <w:bCs/>
                <w:color w:val="auto"/>
                <w:szCs w:val="21"/>
                <w:highlight w:val="none"/>
              </w:rPr>
            </w:pPr>
            <w:r>
              <w:rPr>
                <w:rFonts w:hint="eastAsia" w:ascii="宋体" w:hAnsi="宋体"/>
                <w:b/>
                <w:bCs/>
                <w:color w:val="auto"/>
                <w:kern w:val="0"/>
                <w:szCs w:val="21"/>
                <w:highlight w:val="none"/>
                <w:lang w:bidi="ar"/>
              </w:rPr>
              <w:t>名称</w:t>
            </w:r>
          </w:p>
        </w:tc>
        <w:tc>
          <w:tcPr>
            <w:tcW w:w="6167" w:type="dxa"/>
            <w:noWrap/>
            <w:vAlign w:val="center"/>
          </w:tcPr>
          <w:p w14:paraId="7BE47182">
            <w:pPr>
              <w:widowControl/>
              <w:jc w:val="center"/>
              <w:textAlignment w:val="center"/>
              <w:rPr>
                <w:rFonts w:hint="eastAsia" w:ascii="宋体" w:hAnsi="宋体"/>
                <w:b/>
                <w:bCs/>
                <w:color w:val="auto"/>
                <w:szCs w:val="21"/>
                <w:highlight w:val="none"/>
              </w:rPr>
            </w:pPr>
            <w:r>
              <w:rPr>
                <w:rFonts w:hint="eastAsia" w:ascii="宋体" w:hAnsi="宋体"/>
                <w:b/>
                <w:bCs/>
                <w:color w:val="auto"/>
                <w:kern w:val="0"/>
                <w:szCs w:val="21"/>
                <w:highlight w:val="none"/>
                <w:lang w:bidi="ar"/>
              </w:rPr>
              <w:t>规格要求</w:t>
            </w:r>
          </w:p>
        </w:tc>
        <w:tc>
          <w:tcPr>
            <w:tcW w:w="863" w:type="dxa"/>
            <w:gridSpan w:val="4"/>
            <w:vAlign w:val="center"/>
          </w:tcPr>
          <w:p w14:paraId="05E373E7">
            <w:pPr>
              <w:widowControl/>
              <w:jc w:val="center"/>
              <w:textAlignment w:val="center"/>
              <w:rPr>
                <w:rFonts w:hint="eastAsia" w:ascii="宋体" w:hAnsi="宋体"/>
                <w:b/>
                <w:bCs/>
                <w:color w:val="auto"/>
                <w:szCs w:val="21"/>
                <w:highlight w:val="none"/>
              </w:rPr>
            </w:pPr>
            <w:r>
              <w:rPr>
                <w:rFonts w:hint="eastAsia" w:ascii="宋体" w:hAnsi="宋体"/>
                <w:b/>
                <w:bCs/>
                <w:color w:val="auto"/>
                <w:kern w:val="0"/>
                <w:szCs w:val="21"/>
                <w:highlight w:val="none"/>
                <w:lang w:bidi="ar"/>
              </w:rPr>
              <w:t>单位</w:t>
            </w:r>
          </w:p>
        </w:tc>
        <w:tc>
          <w:tcPr>
            <w:tcW w:w="925" w:type="dxa"/>
            <w:gridSpan w:val="3"/>
            <w:vAlign w:val="center"/>
          </w:tcPr>
          <w:p w14:paraId="01E21926">
            <w:pPr>
              <w:widowControl/>
              <w:jc w:val="center"/>
              <w:textAlignment w:val="center"/>
              <w:rPr>
                <w:rFonts w:hint="eastAsia" w:ascii="宋体" w:hAnsi="宋体"/>
                <w:b/>
                <w:bCs/>
                <w:color w:val="auto"/>
                <w:szCs w:val="21"/>
                <w:highlight w:val="none"/>
              </w:rPr>
            </w:pPr>
            <w:r>
              <w:rPr>
                <w:rFonts w:hint="eastAsia" w:ascii="宋体" w:hAnsi="宋体"/>
                <w:b/>
                <w:bCs/>
                <w:color w:val="auto"/>
                <w:kern w:val="0"/>
                <w:szCs w:val="21"/>
                <w:highlight w:val="none"/>
                <w:lang w:bidi="ar"/>
              </w:rPr>
              <w:t>数量</w:t>
            </w:r>
          </w:p>
        </w:tc>
      </w:tr>
      <w:tr w14:paraId="7AE0D6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trHeight w:val="575" w:hRule="atLeast"/>
          <w:jc w:val="center"/>
        </w:trPr>
        <w:tc>
          <w:tcPr>
            <w:tcW w:w="9931" w:type="dxa"/>
            <w:gridSpan w:val="10"/>
            <w:noWrap/>
            <w:vAlign w:val="center"/>
          </w:tcPr>
          <w:p w14:paraId="37776816">
            <w:pPr>
              <w:widowControl/>
              <w:jc w:val="center"/>
              <w:textAlignment w:val="center"/>
              <w:rPr>
                <w:rFonts w:hint="eastAsia" w:ascii="宋体" w:hAnsi="宋体"/>
                <w:b/>
                <w:bCs/>
                <w:color w:val="auto"/>
                <w:kern w:val="0"/>
                <w:szCs w:val="21"/>
                <w:highlight w:val="none"/>
                <w:lang w:bidi="ar"/>
              </w:rPr>
            </w:pPr>
            <w:r>
              <w:rPr>
                <w:rFonts w:hint="eastAsia" w:ascii="宋体" w:hAnsi="宋体"/>
                <w:b/>
                <w:bCs/>
                <w:color w:val="auto"/>
                <w:kern w:val="0"/>
                <w:szCs w:val="21"/>
                <w:highlight w:val="none"/>
                <w:lang w:bidi="ar"/>
              </w:rPr>
              <w:t>一、化学实验室</w:t>
            </w:r>
          </w:p>
        </w:tc>
      </w:tr>
      <w:tr w14:paraId="0A1F55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noWrap/>
            <w:vAlign w:val="center"/>
          </w:tcPr>
          <w:p w14:paraId="1E95BE25">
            <w:pPr>
              <w:rPr>
                <w:rFonts w:hint="eastAsia" w:ascii="宋体" w:hAnsi="宋体"/>
                <w:b/>
                <w:bCs/>
                <w:color w:val="auto"/>
                <w:szCs w:val="21"/>
                <w:highlight w:val="none"/>
              </w:rPr>
            </w:pPr>
            <w:r>
              <w:rPr>
                <w:rFonts w:hint="eastAsia" w:ascii="宋体" w:hAnsi="宋体"/>
                <w:b/>
                <w:bCs/>
                <w:color w:val="auto"/>
                <w:szCs w:val="21"/>
                <w:highlight w:val="none"/>
              </w:rPr>
              <w:t>(一)</w:t>
            </w:r>
          </w:p>
        </w:tc>
        <w:tc>
          <w:tcPr>
            <w:tcW w:w="1227" w:type="dxa"/>
            <w:vAlign w:val="center"/>
          </w:tcPr>
          <w:p w14:paraId="71AC5001">
            <w:pPr>
              <w:widowControl/>
              <w:jc w:val="center"/>
              <w:textAlignment w:val="center"/>
              <w:rPr>
                <w:rFonts w:hint="eastAsia" w:ascii="宋体" w:hAnsi="宋体"/>
                <w:b/>
                <w:bCs/>
                <w:color w:val="auto"/>
                <w:szCs w:val="21"/>
                <w:highlight w:val="none"/>
              </w:rPr>
            </w:pPr>
            <w:r>
              <w:rPr>
                <w:rFonts w:hint="eastAsia" w:ascii="宋体" w:hAnsi="宋体"/>
                <w:b/>
                <w:bCs/>
                <w:color w:val="auto"/>
                <w:kern w:val="0"/>
                <w:szCs w:val="21"/>
                <w:highlight w:val="none"/>
                <w:lang w:bidi="ar"/>
              </w:rPr>
              <w:t>化学智慧吊装豪华实验室</w:t>
            </w:r>
          </w:p>
        </w:tc>
        <w:tc>
          <w:tcPr>
            <w:tcW w:w="6167" w:type="dxa"/>
            <w:vAlign w:val="center"/>
          </w:tcPr>
          <w:p w14:paraId="7A8629E6">
            <w:pPr>
              <w:widowControl/>
              <w:jc w:val="left"/>
              <w:textAlignment w:val="center"/>
              <w:rPr>
                <w:rFonts w:hint="eastAsia" w:ascii="宋体" w:hAnsi="宋体"/>
                <w:b/>
                <w:bCs/>
                <w:color w:val="auto"/>
                <w:szCs w:val="21"/>
                <w:highlight w:val="none"/>
              </w:rPr>
            </w:pPr>
            <w:r>
              <w:rPr>
                <w:rFonts w:hint="eastAsia" w:ascii="宋体" w:hAnsi="宋体"/>
                <w:b/>
                <w:bCs/>
                <w:color w:val="auto"/>
                <w:kern w:val="0"/>
                <w:szCs w:val="21"/>
                <w:highlight w:val="none"/>
                <w:lang w:bidi="ar"/>
              </w:rPr>
              <w:t>64座（每室设备配置标准详见以下具体配置）</w:t>
            </w:r>
          </w:p>
        </w:tc>
        <w:tc>
          <w:tcPr>
            <w:tcW w:w="863" w:type="dxa"/>
            <w:gridSpan w:val="4"/>
            <w:vAlign w:val="center"/>
          </w:tcPr>
          <w:p w14:paraId="0802605B">
            <w:pPr>
              <w:jc w:val="center"/>
              <w:rPr>
                <w:rFonts w:hint="eastAsia" w:ascii="宋体" w:hAnsi="宋体"/>
                <w:color w:val="auto"/>
                <w:szCs w:val="21"/>
                <w:highlight w:val="none"/>
              </w:rPr>
            </w:pPr>
          </w:p>
        </w:tc>
        <w:tc>
          <w:tcPr>
            <w:tcW w:w="925" w:type="dxa"/>
            <w:gridSpan w:val="3"/>
            <w:vAlign w:val="center"/>
          </w:tcPr>
          <w:p w14:paraId="5E374A04">
            <w:pPr>
              <w:jc w:val="center"/>
              <w:rPr>
                <w:rFonts w:hint="eastAsia" w:ascii="宋体" w:hAnsi="宋体"/>
                <w:color w:val="auto"/>
                <w:szCs w:val="21"/>
                <w:highlight w:val="none"/>
              </w:rPr>
            </w:pPr>
          </w:p>
        </w:tc>
      </w:tr>
      <w:tr w14:paraId="17CCC8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6F2C0F03">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c>
          <w:tcPr>
            <w:tcW w:w="1227" w:type="dxa"/>
            <w:vAlign w:val="center"/>
          </w:tcPr>
          <w:p w14:paraId="0848C900">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教师演示台</w:t>
            </w:r>
          </w:p>
        </w:tc>
        <w:tc>
          <w:tcPr>
            <w:tcW w:w="6167" w:type="dxa"/>
            <w:vAlign w:val="center"/>
          </w:tcPr>
          <w:p w14:paraId="6B53AF7B">
            <w:pPr>
              <w:widowControl/>
              <w:numPr>
                <w:ilvl w:val="0"/>
                <w:numId w:val="139"/>
              </w:numPr>
              <w:spacing w:line="276" w:lineRule="auto"/>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规格：≥2800mm×700mm×850mm</w:t>
            </w:r>
          </w:p>
          <w:p w14:paraId="04800184">
            <w:pPr>
              <w:widowControl/>
              <w:numPr>
                <w:ilvl w:val="0"/>
                <w:numId w:val="139"/>
              </w:numPr>
              <w:spacing w:line="276" w:lineRule="auto"/>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台面：采用≥12.7mm厚实芯理化板倍边加工，四周边缘总厚度≥25.4mm；台面易清洁、耐磨、耐腐蚀、耐辐射、耐高温、耐冲击；甲醛释放量达到E1级标准。</w:t>
            </w:r>
          </w:p>
          <w:p w14:paraId="3DC6D3EF">
            <w:pPr>
              <w:widowControl/>
              <w:numPr>
                <w:ilvl w:val="0"/>
                <w:numId w:val="139"/>
              </w:numPr>
              <w:spacing w:line="276" w:lineRule="auto"/>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台体：采用喷塑铝合金方管框架结构；立柱采用≥33mm×60mmD型管，壁厚≥1.5 mm，横梁≥32mm×35mm壁厚≥1.5 mm，卡锁式连接件组装，立柱下部安装高强度可调节地脚，要求组合严密、牢固、稳定；框架内镶嵌≥16mm厚环保E1级浸渍胶膜纸饰面刨花板；台体按上部抽屉下部板式门设计，设水箱，安装水槽、水嘴;安装教师电源和学生电源受控装置；所用的板材及铝合金框架内镶嵌的板材体均选用≥18 mm厚环保EI级浸渍胶膜纸饰面刨花板，裸露板截面采用≥1.5 mmPVC封边条机械封边。</w:t>
            </w:r>
          </w:p>
          <w:p w14:paraId="0FBD4D65">
            <w:pPr>
              <w:widowControl/>
              <w:numPr>
                <w:ilvl w:val="0"/>
                <w:numId w:val="139"/>
              </w:numPr>
              <w:spacing w:line="276" w:lineRule="auto"/>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五金件：抽屉导轨：消声三节滑轨，合金钢板一次性成型，壁厚≥1.0mm。门铰链：自卸铰链，壁厚≥1.0mm，防腐，承重耐用。铝合金通体一字型扣手</w:t>
            </w:r>
          </w:p>
        </w:tc>
        <w:tc>
          <w:tcPr>
            <w:tcW w:w="863" w:type="dxa"/>
            <w:gridSpan w:val="4"/>
            <w:vAlign w:val="center"/>
          </w:tcPr>
          <w:p w14:paraId="6C4EDFCD">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台</w:t>
            </w:r>
          </w:p>
        </w:tc>
        <w:tc>
          <w:tcPr>
            <w:tcW w:w="925" w:type="dxa"/>
            <w:gridSpan w:val="3"/>
            <w:vAlign w:val="center"/>
          </w:tcPr>
          <w:p w14:paraId="28EC9996">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65E99D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262F6C75">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w:t>
            </w:r>
          </w:p>
        </w:tc>
        <w:tc>
          <w:tcPr>
            <w:tcW w:w="1227" w:type="dxa"/>
            <w:vAlign w:val="center"/>
          </w:tcPr>
          <w:p w14:paraId="046081B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教师办公椅</w:t>
            </w:r>
          </w:p>
        </w:tc>
        <w:tc>
          <w:tcPr>
            <w:tcW w:w="6167" w:type="dxa"/>
            <w:vAlign w:val="center"/>
          </w:tcPr>
          <w:p w14:paraId="055D590C">
            <w:pPr>
              <w:widowControl/>
              <w:spacing w:line="276" w:lineRule="auto"/>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工字型网布面料五金配件，美观大方。</w:t>
            </w:r>
          </w:p>
        </w:tc>
        <w:tc>
          <w:tcPr>
            <w:tcW w:w="863" w:type="dxa"/>
            <w:gridSpan w:val="4"/>
            <w:vAlign w:val="center"/>
          </w:tcPr>
          <w:p w14:paraId="692DD5BB">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把</w:t>
            </w:r>
          </w:p>
        </w:tc>
        <w:tc>
          <w:tcPr>
            <w:tcW w:w="925" w:type="dxa"/>
            <w:gridSpan w:val="3"/>
            <w:vAlign w:val="center"/>
          </w:tcPr>
          <w:p w14:paraId="1E6D65DD">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57C7E8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4E4F5636">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3</w:t>
            </w:r>
          </w:p>
        </w:tc>
        <w:tc>
          <w:tcPr>
            <w:tcW w:w="1227" w:type="dxa"/>
            <w:vAlign w:val="center"/>
          </w:tcPr>
          <w:p w14:paraId="54AB43D6">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中央实验台</w:t>
            </w:r>
          </w:p>
        </w:tc>
        <w:tc>
          <w:tcPr>
            <w:tcW w:w="6167" w:type="dxa"/>
            <w:vAlign w:val="center"/>
          </w:tcPr>
          <w:p w14:paraId="49564A00">
            <w:pPr>
              <w:widowControl/>
              <w:numPr>
                <w:ilvl w:val="0"/>
                <w:numId w:val="140"/>
              </w:numPr>
              <w:spacing w:line="276" w:lineRule="auto"/>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规格：≥2300mm×1400mm×760mm（根据教室长度适当增加或减少台面长度）</w:t>
            </w:r>
          </w:p>
          <w:p w14:paraId="0E61B300">
            <w:pPr>
              <w:widowControl/>
              <w:numPr>
                <w:ilvl w:val="0"/>
                <w:numId w:val="140"/>
              </w:numPr>
              <w:spacing w:line="276" w:lineRule="auto"/>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台面：采用≥12.7mm厚实芯理化板倍边加工，四周边缘总厚度≥25.4mm；台面易清洁、耐磨、耐腐蚀、耐辐射、耐高温、耐冲击；甲醛释放量达到E1级标准。</w:t>
            </w:r>
          </w:p>
          <w:p w14:paraId="551CC809">
            <w:pPr>
              <w:widowControl/>
              <w:numPr>
                <w:ilvl w:val="0"/>
                <w:numId w:val="140"/>
              </w:numPr>
              <w:spacing w:line="276" w:lineRule="auto"/>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台体：采用喷塑铝合金方管框架结构；立柱采用≥33mm*60mmD型管，壁厚≥1.5 mm，横梁采用≥32mm*35mm方管，壁厚≥1.5 mm，卡锁式连接件组装，立柱下部安装高强度可调节地脚，要求组合严密、牢固、稳定；框架内镶嵌≥16mm厚环保E1级浸渍胶膜纸饰面刨花板。</w:t>
            </w:r>
          </w:p>
          <w:p w14:paraId="4C32F495">
            <w:pPr>
              <w:widowControl/>
              <w:numPr>
                <w:ilvl w:val="0"/>
                <w:numId w:val="140"/>
              </w:numPr>
              <w:spacing w:line="276" w:lineRule="auto"/>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要求组合严密、牢固、稳定；台体按八人座设计，上部书斗，两端设水箱柜，带门方便维修；材料选用≥18mm厚环保E1级浸渍胶膜纸饰面刨花板，板截面≥1.5mm厚塑制封边条机械封边，台面设置铝合金置物架。</w:t>
            </w:r>
          </w:p>
        </w:tc>
        <w:tc>
          <w:tcPr>
            <w:tcW w:w="863" w:type="dxa"/>
            <w:gridSpan w:val="4"/>
            <w:vAlign w:val="center"/>
          </w:tcPr>
          <w:p w14:paraId="59DDE6DF">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台</w:t>
            </w:r>
          </w:p>
        </w:tc>
        <w:tc>
          <w:tcPr>
            <w:tcW w:w="925" w:type="dxa"/>
            <w:gridSpan w:val="3"/>
            <w:vAlign w:val="center"/>
          </w:tcPr>
          <w:p w14:paraId="30EEE4AF">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8</w:t>
            </w:r>
          </w:p>
        </w:tc>
      </w:tr>
      <w:tr w14:paraId="624FB6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2B1F7E04">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4</w:t>
            </w:r>
          </w:p>
        </w:tc>
        <w:tc>
          <w:tcPr>
            <w:tcW w:w="1227" w:type="dxa"/>
            <w:vAlign w:val="center"/>
          </w:tcPr>
          <w:p w14:paraId="72323A1D">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学生凳</w:t>
            </w:r>
          </w:p>
        </w:tc>
        <w:tc>
          <w:tcPr>
            <w:tcW w:w="6167" w:type="dxa"/>
            <w:vAlign w:val="center"/>
          </w:tcPr>
          <w:p w14:paraId="0BEC6280">
            <w:pPr>
              <w:widowControl/>
              <w:numPr>
                <w:ilvl w:val="0"/>
                <w:numId w:val="141"/>
              </w:numPr>
              <w:spacing w:line="276" w:lineRule="auto"/>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座高：≥450mm。</w:t>
            </w:r>
          </w:p>
          <w:p w14:paraId="068B74A3">
            <w:pPr>
              <w:widowControl/>
              <w:numPr>
                <w:ilvl w:val="0"/>
                <w:numId w:val="141"/>
              </w:numPr>
              <w:spacing w:line="276" w:lineRule="auto"/>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坐板：材质：采用全新PP一次注塑成三角型，坐垫下自生加强筋及塑制背盖。</w:t>
            </w:r>
          </w:p>
          <w:p w14:paraId="2F06442B">
            <w:pPr>
              <w:widowControl/>
              <w:numPr>
                <w:ilvl w:val="0"/>
                <w:numId w:val="141"/>
              </w:numPr>
              <w:spacing w:line="276" w:lineRule="auto"/>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脚架：采用≥22mm*32mm*2.0mm枣弧管；经数控弯管机弯曲成型，钢管架焊接完成后，表面经大型抛丸机抛丸除锈。静电喷塑，附着力强。涂层需无漏喷、锈蚀；涂层需光滑均匀，色泽一致，长时间使用也不会产生表面漆剥落现象。</w:t>
            </w:r>
          </w:p>
          <w:p w14:paraId="1E71ECE1">
            <w:pPr>
              <w:widowControl/>
              <w:numPr>
                <w:ilvl w:val="0"/>
                <w:numId w:val="141"/>
              </w:numPr>
              <w:spacing w:line="276" w:lineRule="auto"/>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脚垫：材质采用PA塑料。</w:t>
            </w:r>
          </w:p>
        </w:tc>
        <w:tc>
          <w:tcPr>
            <w:tcW w:w="863" w:type="dxa"/>
            <w:gridSpan w:val="4"/>
            <w:vAlign w:val="center"/>
          </w:tcPr>
          <w:p w14:paraId="1399439D">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25" w:type="dxa"/>
            <w:gridSpan w:val="3"/>
            <w:vAlign w:val="center"/>
          </w:tcPr>
          <w:p w14:paraId="79C3A9A2">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64</w:t>
            </w:r>
          </w:p>
        </w:tc>
      </w:tr>
      <w:tr w14:paraId="571A0B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271DB486">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5</w:t>
            </w:r>
          </w:p>
        </w:tc>
        <w:tc>
          <w:tcPr>
            <w:tcW w:w="1227" w:type="dxa"/>
            <w:vAlign w:val="center"/>
          </w:tcPr>
          <w:p w14:paraId="39A34C73">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水嘴</w:t>
            </w:r>
          </w:p>
        </w:tc>
        <w:tc>
          <w:tcPr>
            <w:tcW w:w="6167" w:type="dxa"/>
            <w:vAlign w:val="center"/>
          </w:tcPr>
          <w:p w14:paraId="48B8B477">
            <w:pPr>
              <w:widowControl/>
              <w:spacing w:line="276" w:lineRule="auto"/>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直径≥20mm，三联高压水嘴设有一个高位水嘴，材质为铜质喷塑，陶瓷芯，快闭、快开型。</w:t>
            </w:r>
          </w:p>
        </w:tc>
        <w:tc>
          <w:tcPr>
            <w:tcW w:w="863" w:type="dxa"/>
            <w:gridSpan w:val="4"/>
            <w:vAlign w:val="center"/>
          </w:tcPr>
          <w:p w14:paraId="70F00727">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25" w:type="dxa"/>
            <w:gridSpan w:val="3"/>
            <w:vAlign w:val="center"/>
          </w:tcPr>
          <w:p w14:paraId="434F5FC6">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17</w:t>
            </w:r>
          </w:p>
        </w:tc>
      </w:tr>
      <w:tr w14:paraId="2DC1F9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1D36BA96">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6</w:t>
            </w:r>
          </w:p>
        </w:tc>
        <w:tc>
          <w:tcPr>
            <w:tcW w:w="1227" w:type="dxa"/>
            <w:vAlign w:val="center"/>
          </w:tcPr>
          <w:p w14:paraId="57A0C49D">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水槽（小）</w:t>
            </w:r>
          </w:p>
        </w:tc>
        <w:tc>
          <w:tcPr>
            <w:tcW w:w="6167" w:type="dxa"/>
            <w:vAlign w:val="center"/>
          </w:tcPr>
          <w:p w14:paraId="4DA396BF">
            <w:pPr>
              <w:widowControl/>
              <w:spacing w:line="276" w:lineRule="auto"/>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水槽规格≥380mm×280mm×190mm，采用PP（聚丙烯）材质，一次成型；壁厚≥5mm。带返水弯；台面下安装，要求水箱有检修门，下水口密封。</w:t>
            </w:r>
          </w:p>
        </w:tc>
        <w:tc>
          <w:tcPr>
            <w:tcW w:w="863" w:type="dxa"/>
            <w:gridSpan w:val="4"/>
            <w:vAlign w:val="center"/>
          </w:tcPr>
          <w:p w14:paraId="17DB03D1">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25" w:type="dxa"/>
            <w:gridSpan w:val="3"/>
            <w:vAlign w:val="center"/>
          </w:tcPr>
          <w:p w14:paraId="482E2804">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16</w:t>
            </w:r>
          </w:p>
        </w:tc>
      </w:tr>
      <w:tr w14:paraId="27333A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057C01CD">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7</w:t>
            </w:r>
          </w:p>
        </w:tc>
        <w:tc>
          <w:tcPr>
            <w:tcW w:w="1227" w:type="dxa"/>
            <w:vAlign w:val="center"/>
          </w:tcPr>
          <w:p w14:paraId="015DD10B">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水槽、（大）</w:t>
            </w:r>
          </w:p>
        </w:tc>
        <w:tc>
          <w:tcPr>
            <w:tcW w:w="6167" w:type="dxa"/>
            <w:vAlign w:val="center"/>
          </w:tcPr>
          <w:p w14:paraId="072955FC">
            <w:pPr>
              <w:widowControl/>
              <w:spacing w:line="276" w:lineRule="auto"/>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规格：≥485mm×385mm×290mm，采用PP（聚丙烯）材质，一次成型；壁厚≥5mm。带返水弯；台面下安装，要求水箱有检修门，下水口密封。</w:t>
            </w:r>
          </w:p>
        </w:tc>
        <w:tc>
          <w:tcPr>
            <w:tcW w:w="863" w:type="dxa"/>
            <w:gridSpan w:val="4"/>
            <w:vAlign w:val="center"/>
          </w:tcPr>
          <w:p w14:paraId="57D466DC">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25" w:type="dxa"/>
            <w:gridSpan w:val="3"/>
            <w:vAlign w:val="center"/>
          </w:tcPr>
          <w:p w14:paraId="0A7AE1C0">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5F0BF7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7346BA25">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8</w:t>
            </w:r>
          </w:p>
        </w:tc>
        <w:tc>
          <w:tcPr>
            <w:tcW w:w="1227" w:type="dxa"/>
            <w:vAlign w:val="center"/>
          </w:tcPr>
          <w:p w14:paraId="7B600AD5">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化学教师总控电源</w:t>
            </w:r>
          </w:p>
        </w:tc>
        <w:tc>
          <w:tcPr>
            <w:tcW w:w="6167" w:type="dxa"/>
            <w:vAlign w:val="center"/>
          </w:tcPr>
          <w:p w14:paraId="2E8C9513">
            <w:pPr>
              <w:widowControl/>
              <w:numPr>
                <w:ilvl w:val="1"/>
                <w:numId w:val="142"/>
              </w:numPr>
              <w:spacing w:line="276" w:lineRule="auto"/>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教师主控电源采用数字化模块、高精密集成电子电路、采用10寸以上触摸屏式人机操作界面、人性化设计理念，方便教师多元化使用；主控电源主机采用金属材料制成，表面磷化喷塑防护处理，采用机械抽拉式结构。电源主控台需与教师演示台一体化，实现设备故障报警，远程控制，密码开机管理功能，通过无线网络访问学生分机、演示台防护屏、制动窗帘以及室内照明等终端，实现智能化控制，这样教师就实现了随时随地监控学生的每台设备。可获得软件提问状态，教师可在主控电源面板及智能无线移动工具，真正实现统一化智能管理教室。</w:t>
            </w:r>
          </w:p>
          <w:p w14:paraId="623FD1F1">
            <w:pPr>
              <w:widowControl/>
              <w:numPr>
                <w:ilvl w:val="1"/>
                <w:numId w:val="142"/>
              </w:numPr>
              <w:spacing w:line="276" w:lineRule="auto"/>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教师能通过手机下载APP软件控制塔吊的升降、灯光及插座的输出。教师在主机显示屏可观测每台学生实验台的实验数据，交流、直流电压，交流、直流电流，知道学生的当前实验状况。如实验时当前的电压，电流是否正确，教师也能观测到学生哪一台电子举手管理功能获取优先提问解决。</w:t>
            </w:r>
          </w:p>
          <w:p w14:paraId="4565F4CD">
            <w:pPr>
              <w:widowControl/>
              <w:numPr>
                <w:ilvl w:val="1"/>
                <w:numId w:val="142"/>
              </w:numPr>
              <w:spacing w:line="276" w:lineRule="auto"/>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教师演示台配备总漏电保护和分组保护，可远程和锁定学生的高低压电源，确保学生实验安全方便。教师主控可实现对学生低压直流电压的设置和分组控制，对学生的锁定的信号切换等，锁定后学生电压与教师机保持同步。</w:t>
            </w:r>
          </w:p>
          <w:p w14:paraId="736D25AD">
            <w:pPr>
              <w:widowControl/>
              <w:numPr>
                <w:ilvl w:val="1"/>
                <w:numId w:val="142"/>
              </w:numPr>
              <w:spacing w:line="276" w:lineRule="auto"/>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教师电源总控采用10寸以上触摸屏式人机操作界面，能设置和显示主控台各项电气参数，触摸屏操作解决了以往采用的机械式按键使用寿命短、故障率高的问题。显示界面清晰直观，教师电源总控密码开机、时钟显示（可自行设置，默认开机密码8888），由相应的老师输入相应的密码方可开机，有效防止学生私动电源，造成设备损毁及安全事故的发生，主机具有20分钟无操作（可定时）自动关机功能。</w:t>
            </w:r>
          </w:p>
          <w:p w14:paraId="3D4B4972">
            <w:pPr>
              <w:widowControl/>
              <w:numPr>
                <w:ilvl w:val="1"/>
                <w:numId w:val="142"/>
              </w:numPr>
              <w:spacing w:line="276" w:lineRule="auto"/>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教师可远程控制和锁定学生电源的低压直流电压1.0V-36.0V,分辩率为0.1V。教师主机可控制任意一台学生分机220V输出。</w:t>
            </w:r>
          </w:p>
          <w:p w14:paraId="0C4D6DF6">
            <w:pPr>
              <w:widowControl/>
              <w:numPr>
                <w:ilvl w:val="1"/>
                <w:numId w:val="142"/>
              </w:numPr>
              <w:spacing w:line="276" w:lineRule="auto"/>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教师自用低压直流电源电压为1.0V-36.0V无极可调稳压输出，输出电流1.0-8.0A可设定、超出设定值报警提示、制动切断输出，分辩率为0.1V。具备自动过载保护功能，屏幕显示过载提示。</w:t>
            </w:r>
          </w:p>
        </w:tc>
        <w:tc>
          <w:tcPr>
            <w:tcW w:w="863" w:type="dxa"/>
            <w:gridSpan w:val="4"/>
            <w:vAlign w:val="center"/>
          </w:tcPr>
          <w:p w14:paraId="11803E27">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台</w:t>
            </w:r>
          </w:p>
        </w:tc>
        <w:tc>
          <w:tcPr>
            <w:tcW w:w="925" w:type="dxa"/>
            <w:gridSpan w:val="3"/>
            <w:vAlign w:val="center"/>
          </w:tcPr>
          <w:p w14:paraId="7FDD1217">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1B161D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692FB3C4">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9</w:t>
            </w:r>
          </w:p>
        </w:tc>
        <w:tc>
          <w:tcPr>
            <w:tcW w:w="1227" w:type="dxa"/>
            <w:vAlign w:val="center"/>
          </w:tcPr>
          <w:p w14:paraId="66105D0A">
            <w:pPr>
              <w:widowControl/>
              <w:jc w:val="center"/>
              <w:textAlignment w:val="center"/>
              <w:rPr>
                <w:rFonts w:hint="eastAsia" w:ascii="宋体" w:hAnsi="宋体"/>
                <w:color w:val="auto"/>
                <w:szCs w:val="21"/>
                <w:highlight w:val="none"/>
              </w:rPr>
            </w:pPr>
            <w:r>
              <w:rPr>
                <w:rFonts w:hint="eastAsia" w:ascii="宋体" w:hAnsi="宋体"/>
                <w:color w:val="auto"/>
                <w:szCs w:val="21"/>
                <w:highlight w:val="none"/>
                <w:lang w:bidi="ar"/>
              </w:rPr>
              <w:t>化学智能电源（吊塔）</w:t>
            </w:r>
            <w:r>
              <w:rPr>
                <w:rFonts w:ascii="宋体" w:hAnsi="宋体"/>
                <w:b/>
                <w:bCs/>
                <w:color w:val="auto"/>
                <w:szCs w:val="21"/>
                <w:highlight w:val="none"/>
                <w:lang w:bidi="ar"/>
              </w:rPr>
              <w:t>（核心产品）</w:t>
            </w:r>
          </w:p>
        </w:tc>
        <w:tc>
          <w:tcPr>
            <w:tcW w:w="6167" w:type="dxa"/>
            <w:vAlign w:val="center"/>
          </w:tcPr>
          <w:p w14:paraId="1CCE259F">
            <w:pPr>
              <w:widowControl/>
              <w:numPr>
                <w:ilvl w:val="0"/>
                <w:numId w:val="143"/>
              </w:numPr>
              <w:spacing w:line="276" w:lineRule="auto"/>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整体由电动吊架、智能电源、ABS风箱等组成；包括通风系统、交、直流电源、经电动吊架实现主机箱上下升降，从而达到在实验过程中排出有害气体、实验用交、直流电源等辅助功能要求；</w:t>
            </w:r>
          </w:p>
          <w:p w14:paraId="2B860833">
            <w:pPr>
              <w:widowControl/>
              <w:numPr>
                <w:ilvl w:val="0"/>
                <w:numId w:val="143"/>
              </w:numPr>
              <w:spacing w:line="276" w:lineRule="auto"/>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电动吊架：高强度铝合金电动吊架，具有运行平稳，噪音低、安全性强，行程随意、定位精准的特点，每个吊塔自身控制升降随意调节高度，或由教师主机或手机、移动工具等通过无线网络实现远程控制，教师在演示台上可以单控或全控所有吊塔升降高度方便学生实验需求。</w:t>
            </w:r>
          </w:p>
          <w:p w14:paraId="4FF55249">
            <w:pPr>
              <w:widowControl/>
              <w:numPr>
                <w:ilvl w:val="0"/>
                <w:numId w:val="143"/>
              </w:numPr>
              <w:spacing w:line="276" w:lineRule="auto"/>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智能电源：可供四组学生同时使用，电源采用不小于4.3寸触摸式彩色显示屏（提供实物照片证明），直流稳压输出0--36V采用数字键盘式输入、无极可调，精度0.1V,额定输出电流2A（过载电流0.1A-3.0A可设定）、超载自动关断输出、显示屏提示过载指示。 微电脑逻辑控制伺服系统空载与加载电压无压降；具有时间设定，超载自动关断，在无操作的时间内20分钟（可设定）自动关机；安装220V二、三孔交流插座二个和照明补助光源（提供实物照片证明），照明、插座输出由学生触摸屏或教师主机交互控制操作；电源箱规格≥370mm*320mm*150mm采用≥1.0mm金属板、矩形管精加工制作，表面喷塑。</w:t>
            </w:r>
          </w:p>
          <w:p w14:paraId="1162987C">
            <w:pPr>
              <w:widowControl/>
              <w:numPr>
                <w:ilvl w:val="0"/>
                <w:numId w:val="143"/>
              </w:numPr>
              <w:spacing w:line="276" w:lineRule="auto"/>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通风装置：由风箱及四套万向吸气罩、转向节、柔性风管组成；风箱规格为420mm*420mm*125mm，采用全新ABS注塑成型。万向吸气罩采用PP塑料材质，形状如喇叭口，具有吸风效果好，阻燃、耐酸碱功效。</w:t>
            </w:r>
          </w:p>
          <w:p w14:paraId="0E8077FC">
            <w:pPr>
              <w:widowControl/>
              <w:numPr>
                <w:ilvl w:val="0"/>
                <w:numId w:val="143"/>
              </w:numPr>
              <w:spacing w:line="276" w:lineRule="auto"/>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升降控制器：控制升降器的升、降开关。</w:t>
            </w:r>
          </w:p>
          <w:p w14:paraId="7187B518">
            <w:pPr>
              <w:widowControl/>
              <w:numPr>
                <w:ilvl w:val="0"/>
                <w:numId w:val="143"/>
              </w:numPr>
              <w:spacing w:line="276" w:lineRule="auto"/>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电动伸缩吊架保护外壳：椭圆形，外壳规格≥ 440mm*145mm*910mm，内壳规格≥400mm*135mm*950mm，均采用全新ABS工程塑料经大型注塑机注塑而成。</w:t>
            </w:r>
          </w:p>
        </w:tc>
        <w:tc>
          <w:tcPr>
            <w:tcW w:w="863" w:type="dxa"/>
            <w:gridSpan w:val="4"/>
            <w:vAlign w:val="center"/>
          </w:tcPr>
          <w:p w14:paraId="7E3B3C8C">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台</w:t>
            </w:r>
          </w:p>
        </w:tc>
        <w:tc>
          <w:tcPr>
            <w:tcW w:w="925" w:type="dxa"/>
            <w:gridSpan w:val="3"/>
            <w:vAlign w:val="center"/>
          </w:tcPr>
          <w:p w14:paraId="418EB72D">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8</w:t>
            </w:r>
          </w:p>
        </w:tc>
      </w:tr>
      <w:tr w14:paraId="637CD5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3A88D77D">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10</w:t>
            </w:r>
          </w:p>
        </w:tc>
        <w:tc>
          <w:tcPr>
            <w:tcW w:w="1227" w:type="dxa"/>
            <w:vAlign w:val="center"/>
          </w:tcPr>
          <w:p w14:paraId="2EBF9DD1">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通风系统安装</w:t>
            </w:r>
          </w:p>
        </w:tc>
        <w:tc>
          <w:tcPr>
            <w:tcW w:w="6167" w:type="dxa"/>
            <w:vAlign w:val="center"/>
          </w:tcPr>
          <w:p w14:paraId="081638BD">
            <w:pPr>
              <w:widowControl/>
              <w:numPr>
                <w:ilvl w:val="0"/>
                <w:numId w:val="144"/>
              </w:numPr>
              <w:spacing w:line="276" w:lineRule="auto"/>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通风机：4-72型AC式6.5#PP材质离心式通风机，带进风口消音器，风机叶片耐酸碱腐蚀、抗高压材料加工制作；电机，减震器；电机动力：5.5KW，n=125～1250转/分；风速连续可调，最大风速下可实现换气次数不低于10次/h。风罩口风速应基本一致，噪声要求55分贝以下；要求单独设置三相动力电源，独立控制，变频调速；风量：0～12000m3/小时。</w:t>
            </w:r>
          </w:p>
          <w:p w14:paraId="578B6E05">
            <w:pPr>
              <w:widowControl/>
              <w:numPr>
                <w:ilvl w:val="0"/>
                <w:numId w:val="144"/>
              </w:numPr>
              <w:spacing w:line="276" w:lineRule="auto"/>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通风管道：材质UPVC，规格：垂直引风道：Ø400mm,壁厚≥5.0mm。水平管道：主风道为≥520mm*260mm，壁厚≥5.0mm。支管分别为Ø250mm、Ø160mm、Ø75mm包括支架、管件、软连接等全部原辅材料及系统的制作安装。</w:t>
            </w:r>
          </w:p>
        </w:tc>
        <w:tc>
          <w:tcPr>
            <w:tcW w:w="863" w:type="dxa"/>
            <w:gridSpan w:val="4"/>
            <w:vAlign w:val="center"/>
          </w:tcPr>
          <w:p w14:paraId="1B089AF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室</w:t>
            </w:r>
          </w:p>
        </w:tc>
        <w:tc>
          <w:tcPr>
            <w:tcW w:w="925" w:type="dxa"/>
            <w:gridSpan w:val="3"/>
            <w:vAlign w:val="center"/>
          </w:tcPr>
          <w:p w14:paraId="342DFE2D">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4FD668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470E9880">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11</w:t>
            </w:r>
          </w:p>
        </w:tc>
        <w:tc>
          <w:tcPr>
            <w:tcW w:w="1227" w:type="dxa"/>
            <w:vAlign w:val="center"/>
          </w:tcPr>
          <w:p w14:paraId="15FD3793">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配电系统安装</w:t>
            </w:r>
          </w:p>
        </w:tc>
        <w:tc>
          <w:tcPr>
            <w:tcW w:w="6167" w:type="dxa"/>
            <w:vAlign w:val="center"/>
          </w:tcPr>
          <w:p w14:paraId="2E49CA69">
            <w:pPr>
              <w:widowControl/>
              <w:spacing w:line="276" w:lineRule="auto"/>
              <w:jc w:val="left"/>
              <w:textAlignment w:val="center"/>
              <w:rPr>
                <w:rFonts w:hint="eastAsia" w:ascii="宋体" w:hAnsi="宋体"/>
                <w:color w:val="auto"/>
                <w:szCs w:val="21"/>
                <w:highlight w:val="none"/>
              </w:rPr>
            </w:pPr>
            <w:r>
              <w:rPr>
                <w:rFonts w:ascii="宋体" w:hAnsi="宋体"/>
                <w:color w:val="auto"/>
                <w:szCs w:val="21"/>
                <w:highlight w:val="none"/>
                <w:lang w:bidi="ar"/>
              </w:rPr>
              <w:t>天棚内、地板内敷设安装Ø20mmPVC阻燃塑料管，主干电源线采用4mm</w:t>
            </w:r>
            <w:r>
              <w:rPr>
                <w:rFonts w:ascii="宋体" w:hAnsi="宋体"/>
                <w:color w:val="auto"/>
                <w:szCs w:val="21"/>
                <w:highlight w:val="none"/>
                <w:vertAlign w:val="superscript"/>
                <w:lang w:bidi="ar"/>
              </w:rPr>
              <w:t>2</w:t>
            </w:r>
            <w:r>
              <w:rPr>
                <w:rFonts w:ascii="宋体" w:hAnsi="宋体"/>
                <w:color w:val="auto"/>
                <w:szCs w:val="21"/>
                <w:highlight w:val="none"/>
                <w:lang w:bidi="ar"/>
              </w:rPr>
              <w:t xml:space="preserve"> BV塑铜线，支干电源线采用1.5mm</w:t>
            </w:r>
            <w:r>
              <w:rPr>
                <w:rFonts w:ascii="宋体" w:hAnsi="宋体"/>
                <w:color w:val="auto"/>
                <w:szCs w:val="21"/>
                <w:highlight w:val="none"/>
                <w:vertAlign w:val="superscript"/>
                <w:lang w:bidi="ar"/>
              </w:rPr>
              <w:t>2</w:t>
            </w:r>
            <w:r>
              <w:rPr>
                <w:rFonts w:ascii="宋体" w:hAnsi="宋体"/>
                <w:color w:val="auto"/>
                <w:szCs w:val="21"/>
                <w:highlight w:val="none"/>
                <w:lang w:bidi="ar"/>
              </w:rPr>
              <w:t xml:space="preserve"> BV塑铜线；支干电源线于插座电源线采用1.5mm</w:t>
            </w:r>
            <w:r>
              <w:rPr>
                <w:rFonts w:ascii="宋体" w:hAnsi="宋体"/>
                <w:color w:val="auto"/>
                <w:szCs w:val="21"/>
                <w:highlight w:val="none"/>
                <w:vertAlign w:val="superscript"/>
                <w:lang w:bidi="ar"/>
              </w:rPr>
              <w:t>2</w:t>
            </w:r>
            <w:r>
              <w:rPr>
                <w:rFonts w:ascii="宋体" w:hAnsi="宋体"/>
                <w:color w:val="auto"/>
                <w:szCs w:val="21"/>
                <w:highlight w:val="none"/>
                <w:lang w:bidi="ar"/>
              </w:rPr>
              <w:t>多芯塑铜线；保证线路安全，安装符合现行国家专业规范。</w:t>
            </w:r>
          </w:p>
        </w:tc>
        <w:tc>
          <w:tcPr>
            <w:tcW w:w="863" w:type="dxa"/>
            <w:gridSpan w:val="4"/>
            <w:vAlign w:val="center"/>
          </w:tcPr>
          <w:p w14:paraId="5FE6E6F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室</w:t>
            </w:r>
          </w:p>
        </w:tc>
        <w:tc>
          <w:tcPr>
            <w:tcW w:w="925" w:type="dxa"/>
            <w:gridSpan w:val="3"/>
            <w:vAlign w:val="center"/>
          </w:tcPr>
          <w:p w14:paraId="3837CD94">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3FC595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6F75D57E">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12</w:t>
            </w:r>
          </w:p>
        </w:tc>
        <w:tc>
          <w:tcPr>
            <w:tcW w:w="1227" w:type="dxa"/>
            <w:vAlign w:val="center"/>
          </w:tcPr>
          <w:p w14:paraId="168C2EAC">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给排水系统安装</w:t>
            </w:r>
          </w:p>
        </w:tc>
        <w:tc>
          <w:tcPr>
            <w:tcW w:w="6167" w:type="dxa"/>
            <w:vAlign w:val="center"/>
          </w:tcPr>
          <w:p w14:paraId="1AE7458B">
            <w:pPr>
              <w:widowControl/>
              <w:spacing w:line="276" w:lineRule="auto"/>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给水采用PPR专用给水管热熔连接，每个给水点设阀门一个，与水嘴连接采用专用给水软链接管。排水采用PVC塑料管管件连接。与水槽连接采用专用排水软连接管，接口处密封。</w:t>
            </w:r>
          </w:p>
        </w:tc>
        <w:tc>
          <w:tcPr>
            <w:tcW w:w="863" w:type="dxa"/>
            <w:gridSpan w:val="4"/>
            <w:vAlign w:val="center"/>
          </w:tcPr>
          <w:p w14:paraId="35639CCB">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室</w:t>
            </w:r>
          </w:p>
        </w:tc>
        <w:tc>
          <w:tcPr>
            <w:tcW w:w="925" w:type="dxa"/>
            <w:gridSpan w:val="3"/>
            <w:vAlign w:val="center"/>
          </w:tcPr>
          <w:p w14:paraId="4982F388">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3AD2D8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1A10BACF">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13</w:t>
            </w:r>
          </w:p>
        </w:tc>
        <w:tc>
          <w:tcPr>
            <w:tcW w:w="1227" w:type="dxa"/>
            <w:vAlign w:val="center"/>
          </w:tcPr>
          <w:p w14:paraId="0EDB48CE">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环境布置</w:t>
            </w:r>
          </w:p>
        </w:tc>
        <w:tc>
          <w:tcPr>
            <w:tcW w:w="6167" w:type="dxa"/>
          </w:tcPr>
          <w:p w14:paraId="0D84C3C2">
            <w:pPr>
              <w:widowControl/>
              <w:spacing w:line="276" w:lineRule="auto"/>
              <w:jc w:val="left"/>
              <w:textAlignment w:val="top"/>
              <w:rPr>
                <w:rFonts w:hint="eastAsia" w:ascii="宋体" w:hAnsi="宋体"/>
                <w:color w:val="auto"/>
                <w:szCs w:val="21"/>
                <w:highlight w:val="none"/>
              </w:rPr>
            </w:pPr>
            <w:r>
              <w:rPr>
                <w:rFonts w:hint="eastAsia" w:ascii="宋体" w:hAnsi="宋体"/>
                <w:color w:val="auto"/>
                <w:kern w:val="0"/>
                <w:szCs w:val="21"/>
                <w:highlight w:val="none"/>
                <w:lang w:bidi="ar"/>
              </w:rPr>
              <w:t>需满足项目学校功能室基本环境需求：包含基础装修、垃圾清运、设备安装、货物搬运等</w:t>
            </w:r>
          </w:p>
        </w:tc>
        <w:tc>
          <w:tcPr>
            <w:tcW w:w="863" w:type="dxa"/>
            <w:gridSpan w:val="4"/>
            <w:vAlign w:val="center"/>
          </w:tcPr>
          <w:p w14:paraId="39569071">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室</w:t>
            </w:r>
          </w:p>
        </w:tc>
        <w:tc>
          <w:tcPr>
            <w:tcW w:w="925" w:type="dxa"/>
            <w:gridSpan w:val="3"/>
            <w:vAlign w:val="center"/>
          </w:tcPr>
          <w:p w14:paraId="48F003E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3874BB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noWrap/>
            <w:vAlign w:val="center"/>
          </w:tcPr>
          <w:p w14:paraId="45D09A81">
            <w:pPr>
              <w:rPr>
                <w:rFonts w:hint="eastAsia" w:ascii="宋体" w:hAnsi="宋体"/>
                <w:b/>
                <w:bCs/>
                <w:color w:val="auto"/>
                <w:szCs w:val="21"/>
                <w:highlight w:val="none"/>
              </w:rPr>
            </w:pPr>
            <w:r>
              <w:rPr>
                <w:rFonts w:hint="eastAsia" w:ascii="宋体" w:hAnsi="宋体"/>
                <w:b/>
                <w:bCs/>
                <w:color w:val="auto"/>
                <w:szCs w:val="21"/>
                <w:highlight w:val="none"/>
              </w:rPr>
              <w:t>(二)</w:t>
            </w:r>
          </w:p>
        </w:tc>
        <w:tc>
          <w:tcPr>
            <w:tcW w:w="1227" w:type="dxa"/>
            <w:noWrap/>
            <w:vAlign w:val="center"/>
          </w:tcPr>
          <w:p w14:paraId="6EC41F47">
            <w:pPr>
              <w:widowControl/>
              <w:jc w:val="center"/>
              <w:textAlignment w:val="center"/>
              <w:rPr>
                <w:rFonts w:hint="eastAsia" w:ascii="宋体" w:hAnsi="宋体"/>
                <w:b/>
                <w:bCs/>
                <w:color w:val="auto"/>
                <w:szCs w:val="21"/>
                <w:highlight w:val="none"/>
              </w:rPr>
            </w:pPr>
            <w:r>
              <w:rPr>
                <w:rFonts w:hint="eastAsia" w:ascii="宋体" w:hAnsi="宋体"/>
                <w:b/>
                <w:bCs/>
                <w:color w:val="auto"/>
                <w:kern w:val="0"/>
                <w:szCs w:val="21"/>
                <w:highlight w:val="none"/>
                <w:lang w:bidi="ar"/>
              </w:rPr>
              <w:t>化学准备室</w:t>
            </w:r>
          </w:p>
        </w:tc>
        <w:tc>
          <w:tcPr>
            <w:tcW w:w="6167" w:type="dxa"/>
            <w:noWrap/>
            <w:vAlign w:val="center"/>
          </w:tcPr>
          <w:p w14:paraId="74F0CD84">
            <w:pPr>
              <w:jc w:val="left"/>
              <w:rPr>
                <w:rFonts w:hint="eastAsia" w:ascii="宋体" w:hAnsi="宋体"/>
                <w:b/>
                <w:bCs/>
                <w:color w:val="auto"/>
                <w:szCs w:val="21"/>
                <w:highlight w:val="none"/>
              </w:rPr>
            </w:pPr>
          </w:p>
        </w:tc>
        <w:tc>
          <w:tcPr>
            <w:tcW w:w="863" w:type="dxa"/>
            <w:gridSpan w:val="4"/>
            <w:vAlign w:val="center"/>
          </w:tcPr>
          <w:p w14:paraId="5509425A">
            <w:pPr>
              <w:jc w:val="center"/>
              <w:rPr>
                <w:rFonts w:hint="eastAsia" w:ascii="宋体" w:hAnsi="宋体"/>
                <w:b/>
                <w:bCs/>
                <w:color w:val="auto"/>
                <w:szCs w:val="21"/>
                <w:highlight w:val="none"/>
              </w:rPr>
            </w:pPr>
          </w:p>
        </w:tc>
        <w:tc>
          <w:tcPr>
            <w:tcW w:w="925" w:type="dxa"/>
            <w:gridSpan w:val="3"/>
            <w:vAlign w:val="center"/>
          </w:tcPr>
          <w:p w14:paraId="5F436B35">
            <w:pPr>
              <w:jc w:val="center"/>
              <w:rPr>
                <w:rFonts w:hint="eastAsia" w:ascii="宋体" w:hAnsi="宋体"/>
                <w:color w:val="auto"/>
                <w:szCs w:val="21"/>
                <w:highlight w:val="none"/>
              </w:rPr>
            </w:pPr>
          </w:p>
        </w:tc>
      </w:tr>
      <w:tr w14:paraId="187124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71462E83">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c>
          <w:tcPr>
            <w:tcW w:w="1227" w:type="dxa"/>
            <w:vAlign w:val="center"/>
          </w:tcPr>
          <w:p w14:paraId="2C735E76">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准备台</w:t>
            </w:r>
          </w:p>
        </w:tc>
        <w:tc>
          <w:tcPr>
            <w:tcW w:w="6167" w:type="dxa"/>
            <w:vAlign w:val="center"/>
          </w:tcPr>
          <w:p w14:paraId="60FBACE8">
            <w:pPr>
              <w:widowControl/>
              <w:numPr>
                <w:ilvl w:val="0"/>
                <w:numId w:val="145"/>
              </w:numPr>
              <w:spacing w:line="276" w:lineRule="auto"/>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规格：≥2800mm×700mm×850mm</w:t>
            </w:r>
          </w:p>
          <w:p w14:paraId="32252A88">
            <w:pPr>
              <w:widowControl/>
              <w:numPr>
                <w:ilvl w:val="0"/>
                <w:numId w:val="145"/>
              </w:numPr>
              <w:spacing w:line="276" w:lineRule="auto"/>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台面：采用≥12.7mm厚实芯理化板倍边加工，四周边缘总厚度为≥25.4mm；台面易清洁、耐磨、耐腐蚀、耐辐射、耐高温、耐冲击；甲醛释放量达到E1级标准；</w:t>
            </w:r>
          </w:p>
          <w:p w14:paraId="56DD6C9C">
            <w:pPr>
              <w:widowControl/>
              <w:numPr>
                <w:ilvl w:val="0"/>
                <w:numId w:val="145"/>
              </w:numPr>
              <w:spacing w:line="276" w:lineRule="auto"/>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台体：喷塑铝合金框架结构，框架内镶嵌≥18mm 厚环保E1级浸渍胶膜纸饰面刨花板，立柱规格≥33mm*60 mmD型管，壁厚≥1.5 mm；横梁规格≥32mm*35mm*1.5 mm，卡锁式连接件组装；立柱下部镶嵌ABS地脚座，预埋铜质螺母，安装高强度可调地脚；要求组合严密、牢固、稳定；台体一侧设水箱，按上部抽屉下部板式门设计，抽屉和柜门的材质采用≥18mm厚环保E1级浸渍胶膜纸饰面刨花板，板截面采用≥1.5mm厚塑制封边条机械封边。</w:t>
            </w:r>
          </w:p>
          <w:p w14:paraId="079C8846">
            <w:pPr>
              <w:widowControl/>
              <w:numPr>
                <w:ilvl w:val="0"/>
                <w:numId w:val="145"/>
              </w:numPr>
              <w:spacing w:line="276" w:lineRule="auto"/>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五金件：抽屉导轨选用消声三节滑轨，合金钢板一次性成型，壁厚≥1.0mm；自卸门铰链，壁厚≥1.0mm，防腐，承重耐用；铝合金一字型扣手；配置铝合金置物架。</w:t>
            </w:r>
          </w:p>
        </w:tc>
        <w:tc>
          <w:tcPr>
            <w:tcW w:w="863" w:type="dxa"/>
            <w:gridSpan w:val="4"/>
            <w:vAlign w:val="center"/>
          </w:tcPr>
          <w:p w14:paraId="1B24929D">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台</w:t>
            </w:r>
          </w:p>
        </w:tc>
        <w:tc>
          <w:tcPr>
            <w:tcW w:w="925" w:type="dxa"/>
            <w:gridSpan w:val="3"/>
            <w:vAlign w:val="center"/>
          </w:tcPr>
          <w:p w14:paraId="651958D1">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234227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4787271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w:t>
            </w:r>
          </w:p>
        </w:tc>
        <w:tc>
          <w:tcPr>
            <w:tcW w:w="1227" w:type="dxa"/>
            <w:vAlign w:val="center"/>
          </w:tcPr>
          <w:p w14:paraId="26F3D11C">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实验插座</w:t>
            </w:r>
          </w:p>
        </w:tc>
        <w:tc>
          <w:tcPr>
            <w:tcW w:w="6167" w:type="dxa"/>
            <w:vAlign w:val="center"/>
          </w:tcPr>
          <w:p w14:paraId="72A9EFA4">
            <w:pPr>
              <w:widowControl/>
              <w:spacing w:line="276" w:lineRule="auto"/>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多用插座220V/2A要求带防尘盒。</w:t>
            </w:r>
          </w:p>
        </w:tc>
        <w:tc>
          <w:tcPr>
            <w:tcW w:w="863" w:type="dxa"/>
            <w:gridSpan w:val="4"/>
            <w:vAlign w:val="center"/>
          </w:tcPr>
          <w:p w14:paraId="7C5B69ED">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套</w:t>
            </w:r>
          </w:p>
        </w:tc>
        <w:tc>
          <w:tcPr>
            <w:tcW w:w="925" w:type="dxa"/>
            <w:gridSpan w:val="3"/>
            <w:vAlign w:val="center"/>
          </w:tcPr>
          <w:p w14:paraId="59FB92F8">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57B61C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3BE8EFC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3</w:t>
            </w:r>
          </w:p>
        </w:tc>
        <w:tc>
          <w:tcPr>
            <w:tcW w:w="1227" w:type="dxa"/>
            <w:vAlign w:val="center"/>
          </w:tcPr>
          <w:p w14:paraId="7243BF91">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水槽</w:t>
            </w:r>
          </w:p>
        </w:tc>
        <w:tc>
          <w:tcPr>
            <w:tcW w:w="6167" w:type="dxa"/>
            <w:vAlign w:val="center"/>
          </w:tcPr>
          <w:p w14:paraId="2C191DCE">
            <w:pPr>
              <w:widowControl/>
              <w:spacing w:line="276" w:lineRule="auto"/>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规格：≥485mm×385mm×290mm采用PP（聚丙烯）材质，一次成型；要求带水封式水槽；台面下安装，下水口密封。</w:t>
            </w:r>
          </w:p>
        </w:tc>
        <w:tc>
          <w:tcPr>
            <w:tcW w:w="863" w:type="dxa"/>
            <w:gridSpan w:val="4"/>
            <w:vAlign w:val="center"/>
          </w:tcPr>
          <w:p w14:paraId="5A9932B0">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套</w:t>
            </w:r>
          </w:p>
        </w:tc>
        <w:tc>
          <w:tcPr>
            <w:tcW w:w="925" w:type="dxa"/>
            <w:gridSpan w:val="3"/>
            <w:vAlign w:val="center"/>
          </w:tcPr>
          <w:p w14:paraId="423A7563">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5F7DCB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0073036E">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4</w:t>
            </w:r>
          </w:p>
        </w:tc>
        <w:tc>
          <w:tcPr>
            <w:tcW w:w="1227" w:type="dxa"/>
            <w:vAlign w:val="center"/>
          </w:tcPr>
          <w:p w14:paraId="57574623">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水嘴</w:t>
            </w:r>
          </w:p>
        </w:tc>
        <w:tc>
          <w:tcPr>
            <w:tcW w:w="6167" w:type="dxa"/>
            <w:vAlign w:val="center"/>
          </w:tcPr>
          <w:p w14:paraId="4A2A88E1">
            <w:pPr>
              <w:widowControl/>
              <w:spacing w:line="276" w:lineRule="auto"/>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直径≥20mm，三联高压水嘴设有一个高位水嘴，材质为钢质喷塑，陶瓷芯，搬把快闭、快开型。</w:t>
            </w:r>
          </w:p>
        </w:tc>
        <w:tc>
          <w:tcPr>
            <w:tcW w:w="863" w:type="dxa"/>
            <w:gridSpan w:val="4"/>
            <w:vAlign w:val="center"/>
          </w:tcPr>
          <w:p w14:paraId="5CD1EEB6">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套</w:t>
            </w:r>
          </w:p>
        </w:tc>
        <w:tc>
          <w:tcPr>
            <w:tcW w:w="925" w:type="dxa"/>
            <w:gridSpan w:val="3"/>
            <w:vAlign w:val="center"/>
          </w:tcPr>
          <w:p w14:paraId="7CBFA730">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383A63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78054E16">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5</w:t>
            </w:r>
          </w:p>
        </w:tc>
        <w:tc>
          <w:tcPr>
            <w:tcW w:w="1227" w:type="dxa"/>
            <w:vAlign w:val="center"/>
          </w:tcPr>
          <w:p w14:paraId="7E91A005">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通风橱</w:t>
            </w:r>
          </w:p>
        </w:tc>
        <w:tc>
          <w:tcPr>
            <w:tcW w:w="6167" w:type="dxa"/>
            <w:vAlign w:val="center"/>
          </w:tcPr>
          <w:p w14:paraId="33B4CDBD">
            <w:pPr>
              <w:widowControl/>
              <w:numPr>
                <w:ilvl w:val="0"/>
                <w:numId w:val="146"/>
              </w:numPr>
              <w:spacing w:line="276" w:lineRule="auto"/>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规格：≥1200mm×850mm×2350 mm 全钢。</w:t>
            </w:r>
          </w:p>
          <w:p w14:paraId="3A45911F">
            <w:pPr>
              <w:widowControl/>
              <w:numPr>
                <w:ilvl w:val="0"/>
                <w:numId w:val="146"/>
              </w:numPr>
              <w:spacing w:line="276" w:lineRule="auto"/>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外壳：采用冷轧钢板，厚度≥1.0mm，表面经酸洗、磷化、除锈处理后，高压静电喷涂环氧树脂粉末，不脱落、耐腐蚀。</w:t>
            </w:r>
          </w:p>
          <w:p w14:paraId="19DD145A">
            <w:pPr>
              <w:widowControl/>
              <w:numPr>
                <w:ilvl w:val="0"/>
                <w:numId w:val="146"/>
              </w:numPr>
              <w:spacing w:line="276" w:lineRule="auto"/>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工作台面：采用≥12.7mm厚黑色实心理化板，耐强酸、强碱耐腐蚀、耐高温、不吸水、防火、抗老化、无毒、无褪色、材质坚硬，牢固可靠。</w:t>
            </w:r>
          </w:p>
          <w:p w14:paraId="51627C1D">
            <w:pPr>
              <w:widowControl/>
              <w:numPr>
                <w:ilvl w:val="0"/>
                <w:numId w:val="146"/>
              </w:numPr>
              <w:spacing w:line="276" w:lineRule="auto"/>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视窗：无级平衡式升降方式，可停留在滑道任何位置，具有防滑落5mm专业钢化安全玻璃；采用不锈钢悬吊钢锁及PVC覆膜钢丝绳，强度高，耐腐蚀。</w:t>
            </w:r>
          </w:p>
          <w:p w14:paraId="4A403FF3">
            <w:pPr>
              <w:widowControl/>
              <w:numPr>
                <w:ilvl w:val="0"/>
                <w:numId w:val="146"/>
              </w:numPr>
              <w:spacing w:line="276" w:lineRule="auto"/>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设置三位排风口，能够及时彻底排除有害气体，使通风柜断面风速保持在每秒0.5米左右。</w:t>
            </w:r>
          </w:p>
          <w:p w14:paraId="1DE217D5">
            <w:pPr>
              <w:widowControl/>
              <w:numPr>
                <w:ilvl w:val="0"/>
                <w:numId w:val="146"/>
              </w:numPr>
              <w:spacing w:line="276" w:lineRule="auto"/>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通风柜配置过载及短路保护装置，防水五孔插座。</w:t>
            </w:r>
          </w:p>
          <w:p w14:paraId="05B915F5">
            <w:pPr>
              <w:widowControl/>
              <w:numPr>
                <w:ilvl w:val="0"/>
                <w:numId w:val="146"/>
              </w:numPr>
              <w:spacing w:line="276" w:lineRule="auto"/>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照明：照明采用三防灯（防水、防爆、防腐蚀）。</w:t>
            </w:r>
          </w:p>
          <w:p w14:paraId="288C07BC">
            <w:pPr>
              <w:widowControl/>
              <w:numPr>
                <w:ilvl w:val="0"/>
                <w:numId w:val="146"/>
              </w:numPr>
              <w:spacing w:line="276" w:lineRule="auto"/>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台面配置实验室专用钢质单口水龙头，表面环氧树脂喷涂处理，陶瓷阀芯，出水口为PVC材质，可拆卸清洗，具缓压作用。</w:t>
            </w:r>
          </w:p>
          <w:p w14:paraId="1F1185D3">
            <w:pPr>
              <w:widowControl/>
              <w:numPr>
                <w:ilvl w:val="0"/>
                <w:numId w:val="146"/>
              </w:numPr>
              <w:spacing w:line="276" w:lineRule="auto"/>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水杯：PP台下式安装，耐酸碱、热及有机溶剂。PP下水堵臭装置，可防止下水管堵塞，具有过滤功能，并易于拆卸保养、清洁。</w:t>
            </w:r>
          </w:p>
          <w:p w14:paraId="7E47B0E9">
            <w:pPr>
              <w:widowControl/>
              <w:numPr>
                <w:ilvl w:val="0"/>
                <w:numId w:val="146"/>
              </w:numPr>
              <w:spacing w:line="276" w:lineRule="auto"/>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液晶显示电子控制面板（灯光开关、风机控制开关、风量调节等）。</w:t>
            </w:r>
          </w:p>
          <w:p w14:paraId="1F5AE2DE">
            <w:pPr>
              <w:widowControl/>
              <w:numPr>
                <w:ilvl w:val="0"/>
                <w:numId w:val="146"/>
              </w:numPr>
              <w:spacing w:line="276" w:lineRule="auto"/>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下柜柜体对开门设计，把手：采用不锈钢亚光拉手或铝合金通体一字型扣手。</w:t>
            </w:r>
          </w:p>
        </w:tc>
        <w:tc>
          <w:tcPr>
            <w:tcW w:w="863" w:type="dxa"/>
            <w:gridSpan w:val="4"/>
            <w:vAlign w:val="center"/>
          </w:tcPr>
          <w:p w14:paraId="7CBE1AD0">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25" w:type="dxa"/>
            <w:gridSpan w:val="3"/>
            <w:vAlign w:val="center"/>
          </w:tcPr>
          <w:p w14:paraId="2417984C">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377429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3306AD7D">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6</w:t>
            </w:r>
          </w:p>
        </w:tc>
        <w:tc>
          <w:tcPr>
            <w:tcW w:w="1227" w:type="dxa"/>
            <w:vAlign w:val="center"/>
          </w:tcPr>
          <w:p w14:paraId="223A656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仪器柜</w:t>
            </w:r>
          </w:p>
        </w:tc>
        <w:tc>
          <w:tcPr>
            <w:tcW w:w="6167" w:type="dxa"/>
            <w:vAlign w:val="center"/>
          </w:tcPr>
          <w:p w14:paraId="35512E2F">
            <w:pPr>
              <w:widowControl/>
              <w:numPr>
                <w:ilvl w:val="0"/>
                <w:numId w:val="147"/>
              </w:numPr>
              <w:spacing w:line="276" w:lineRule="auto"/>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柜体尺寸（宽深高）≥1000 mm×500 mm×2000mm，铝木结构：</w:t>
            </w:r>
          </w:p>
          <w:p w14:paraId="06658E08">
            <w:pPr>
              <w:widowControl/>
              <w:numPr>
                <w:ilvl w:val="0"/>
                <w:numId w:val="147"/>
              </w:numPr>
              <w:spacing w:line="276" w:lineRule="auto"/>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柜体框架：采用模具成型的专用铝合金方管制作，通过ABS专用连接件组装而成，保证连接牢固。前立柱、前横梁外径为≥30mm×44mm（误差±1mm），后立柱、后横梁外径为≥44mm×44mm（误差±1mm），铝合金管材的壁厚≥1.5 mm（误差±0.15 mm）。铝合金型材带凹槽，凹槽的宽度与柜体衬板相匹配，凹槽的深度≥14mm（误差±0.15 mm），保证柜体衬板与铝型材之间接缝严密，无晃动现象，不发生脱落。铝合金型材表面经静电粉沫喷涂处理，整体耐腐蚀、防火、防潮、稳固耐用。柜体衬板：用厚度为≥16mm±0.3 mm、彩色和灰白色双面三聚氰胺板（即双饰面板）作为台体衬板，外漏截面采用1.5mm厚塑制优质封边条机械封边。</w:t>
            </w:r>
          </w:p>
          <w:p w14:paraId="01066AEE">
            <w:pPr>
              <w:widowControl/>
              <w:numPr>
                <w:ilvl w:val="0"/>
                <w:numId w:val="147"/>
              </w:numPr>
              <w:spacing w:line="276" w:lineRule="auto"/>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柜门：上部为专用铝型材对开玻璃门，玻璃门边框规格为≥52mm*18mm*1.2mm，预留4mm螺丝孔，上下框规格为≥18mm*18mm*5mm，下部为对开木门。柜门采用优质定位铰链，*铰链下垫≥56mm*49mm*13mmABS胶垫并预留螺丝孔，铰链的壁厚≥1.5mm，安全、牢固、防腐、耐用。铝合金通体一字型扣手。</w:t>
            </w:r>
          </w:p>
          <w:p w14:paraId="6E40CB67">
            <w:pPr>
              <w:widowControl/>
              <w:numPr>
                <w:ilvl w:val="0"/>
                <w:numId w:val="147"/>
              </w:numPr>
              <w:spacing w:line="276" w:lineRule="auto"/>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隔板：上柜设置2块活动隔板，下柜设置1块固定隔板。隔板所用的板材与柜体板材相同。隔板的长边采用铝合金山形槽包边，铝合金正面预留标签卡槽，表面进行喷塑处理。</w:t>
            </w:r>
          </w:p>
          <w:p w14:paraId="46C82F4C">
            <w:pPr>
              <w:widowControl/>
              <w:numPr>
                <w:ilvl w:val="0"/>
                <w:numId w:val="147"/>
              </w:numPr>
              <w:spacing w:line="276" w:lineRule="auto"/>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高度升降条：上部柜体内侧安装高度升降条（≥1.0 mm冷轧钢板制作），每侧2根，带12个活动支撑座（位置可调）。高度升降条和支撑座表面采用纯环氧树脂静电喷涂高温固化，具有较高耐蚀性能。</w:t>
            </w:r>
          </w:p>
          <w:p w14:paraId="08CB45D0">
            <w:pPr>
              <w:widowControl/>
              <w:numPr>
                <w:ilvl w:val="0"/>
                <w:numId w:val="147"/>
              </w:numPr>
              <w:spacing w:line="276" w:lineRule="auto"/>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支脚：采用直径≥12mm的镀锌螺杆与ABS工程塑料一次注塑成型的脚垫，高度可调节。</w:t>
            </w:r>
          </w:p>
        </w:tc>
        <w:tc>
          <w:tcPr>
            <w:tcW w:w="863" w:type="dxa"/>
            <w:gridSpan w:val="4"/>
            <w:vAlign w:val="center"/>
          </w:tcPr>
          <w:p w14:paraId="7941EFCF">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25" w:type="dxa"/>
            <w:gridSpan w:val="3"/>
            <w:vAlign w:val="center"/>
          </w:tcPr>
          <w:p w14:paraId="7199E1B1">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15</w:t>
            </w:r>
          </w:p>
        </w:tc>
      </w:tr>
      <w:tr w14:paraId="15AF45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7E5AAB21">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7</w:t>
            </w:r>
          </w:p>
        </w:tc>
        <w:tc>
          <w:tcPr>
            <w:tcW w:w="1227" w:type="dxa"/>
            <w:vAlign w:val="center"/>
          </w:tcPr>
          <w:p w14:paraId="77641083">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通风药品柜</w:t>
            </w:r>
          </w:p>
        </w:tc>
        <w:tc>
          <w:tcPr>
            <w:tcW w:w="6167" w:type="dxa"/>
            <w:vAlign w:val="center"/>
          </w:tcPr>
          <w:p w14:paraId="54DA77C9">
            <w:pPr>
              <w:widowControl/>
              <w:numPr>
                <w:ilvl w:val="1"/>
                <w:numId w:val="148"/>
              </w:numPr>
              <w:spacing w:line="276" w:lineRule="auto"/>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柜体尺寸：≥1000 mm×500 mm×2400mm（宽深高）。</w:t>
            </w:r>
          </w:p>
          <w:p w14:paraId="5C324025">
            <w:pPr>
              <w:widowControl/>
              <w:numPr>
                <w:ilvl w:val="1"/>
                <w:numId w:val="148"/>
              </w:numPr>
              <w:spacing w:line="276" w:lineRule="auto"/>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铝木结构，采用柜顶通风方式，设三层九阶梯药品台。</w:t>
            </w:r>
          </w:p>
          <w:p w14:paraId="0ED3BB63">
            <w:pPr>
              <w:widowControl/>
              <w:numPr>
                <w:ilvl w:val="1"/>
                <w:numId w:val="148"/>
              </w:numPr>
              <w:spacing w:line="276" w:lineRule="auto"/>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柜体框架：采用模具成型的专用铝合金方管制作，通过ABS专用连接件组装而成，保证连接牢固。前立柱、前横梁外径≥30mm×44mm（误差±1mm），后立柱、后横梁外径≥44mm×44mm（误差±1mm），铝合金管材的壁厚≥1.5 mm（误差±0.15 mm）。铝合金型材带凹槽，凹槽的宽度与柜体衬板相匹配，凹槽的深度≥14mm（误差±0.15 mm），保证柜体衬板与铝型材之间接缝严密，无晃动现象，不发生脱落。铝合金型材表面经静电粉沫喷涂处理，整体耐腐蚀、防火、防潮、稳固耐用。</w:t>
            </w:r>
          </w:p>
          <w:p w14:paraId="6BC886AD">
            <w:pPr>
              <w:widowControl/>
              <w:numPr>
                <w:ilvl w:val="1"/>
                <w:numId w:val="148"/>
              </w:numPr>
              <w:spacing w:line="276" w:lineRule="auto"/>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柜体衬板：用厚度≥16mm±0.3 mm、彩色和灰白色双面三聚氰胺板（即双饰面板）作为台体衬板，外漏截面采用≥1.5mm厚塑制优质封边条机械封边。</w:t>
            </w:r>
          </w:p>
          <w:p w14:paraId="06E38028">
            <w:pPr>
              <w:widowControl/>
              <w:numPr>
                <w:ilvl w:val="1"/>
                <w:numId w:val="148"/>
              </w:numPr>
              <w:spacing w:line="276" w:lineRule="auto"/>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柜门：上部为专用铝型材对开玻璃门，玻璃门边框规格≥52mm*18mm*1.2mm，预留4mm螺丝孔，上下框规格≥18mm*18mm*5mm，下部为对开木门。柜门采用优质定位铰链，*铰链下垫≥56mm*49mm*13mmABS胶垫并预留螺丝孔，铰链的壁厚≥1.5mm，安全、牢固、防腐、耐用。铝合金通体一字型扣手。</w:t>
            </w:r>
          </w:p>
          <w:p w14:paraId="60B821D2">
            <w:pPr>
              <w:widowControl/>
              <w:numPr>
                <w:ilvl w:val="1"/>
                <w:numId w:val="148"/>
              </w:numPr>
              <w:spacing w:line="276" w:lineRule="auto"/>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隔板：上柜设置2块活动隔板，下柜设置1块固定隔板。隔板所用的板材与柜体板材相同。隔板的长边采用铝合金山形槽包边，铝合金正面预留标签卡槽。表面进行喷塑处理。</w:t>
            </w:r>
          </w:p>
          <w:p w14:paraId="12F66456">
            <w:pPr>
              <w:widowControl/>
              <w:numPr>
                <w:ilvl w:val="1"/>
                <w:numId w:val="148"/>
              </w:numPr>
              <w:spacing w:line="276" w:lineRule="auto"/>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高度升降条：上部柜体内侧安装高度升降条（1.0 mm冷轧钢板制作），每侧2根，带12个活动支撑座（位置可调）。高度升降条和支撑座表面采用纯环氧树脂静电喷涂高温固化，具有较高耐蚀性能。</w:t>
            </w:r>
          </w:p>
          <w:p w14:paraId="1173F210">
            <w:pPr>
              <w:widowControl/>
              <w:numPr>
                <w:ilvl w:val="1"/>
                <w:numId w:val="148"/>
              </w:numPr>
              <w:spacing w:line="276" w:lineRule="auto"/>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支脚：采用直径≥12mm的镀锌螺杆与ABS工程塑料一次注塑成型的脚垫，高度可调节。</w:t>
            </w:r>
          </w:p>
        </w:tc>
        <w:tc>
          <w:tcPr>
            <w:tcW w:w="863" w:type="dxa"/>
            <w:gridSpan w:val="4"/>
            <w:vAlign w:val="center"/>
          </w:tcPr>
          <w:p w14:paraId="281A19D8">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25" w:type="dxa"/>
            <w:gridSpan w:val="3"/>
            <w:vAlign w:val="center"/>
          </w:tcPr>
          <w:p w14:paraId="0C5E38A2">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5</w:t>
            </w:r>
          </w:p>
        </w:tc>
      </w:tr>
      <w:tr w14:paraId="73E34A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7FF96913">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8</w:t>
            </w:r>
          </w:p>
        </w:tc>
        <w:tc>
          <w:tcPr>
            <w:tcW w:w="1227" w:type="dxa"/>
            <w:vAlign w:val="center"/>
          </w:tcPr>
          <w:p w14:paraId="1E40FE2F">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通风系统安装</w:t>
            </w:r>
          </w:p>
        </w:tc>
        <w:tc>
          <w:tcPr>
            <w:tcW w:w="6167" w:type="dxa"/>
            <w:vAlign w:val="center"/>
          </w:tcPr>
          <w:p w14:paraId="3E64035A">
            <w:pPr>
              <w:widowControl/>
              <w:numPr>
                <w:ilvl w:val="1"/>
                <w:numId w:val="149"/>
              </w:numPr>
              <w:spacing w:line="276" w:lineRule="auto"/>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通风机：4-72型AC式6.5#PP材质离心式通风机，带进风口消音器，风机叶片耐酸碱腐蚀、抗高压材料加工制作；电机，减震器；电机动力：≥3.5KW，n=125～1250转/分；风速连续可调，最大风速下可实现换气次数不低于10次/h。风罩口风速应基本一致，噪声要求＜55分贝以下；要求单独设置三相动力电源，独立控制，变频调速；风量：0～12000m3/小时。</w:t>
            </w:r>
          </w:p>
          <w:p w14:paraId="1DE168F7">
            <w:pPr>
              <w:widowControl/>
              <w:numPr>
                <w:ilvl w:val="0"/>
                <w:numId w:val="149"/>
              </w:numPr>
              <w:spacing w:line="276" w:lineRule="auto"/>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通风管道：材质UPVC，规格：垂直引风道：≥Ø300mm,壁厚≥5.0mm。支管为≥Ø160mm。</w:t>
            </w:r>
          </w:p>
        </w:tc>
        <w:tc>
          <w:tcPr>
            <w:tcW w:w="863" w:type="dxa"/>
            <w:gridSpan w:val="4"/>
            <w:vAlign w:val="center"/>
          </w:tcPr>
          <w:p w14:paraId="6B849A54">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室</w:t>
            </w:r>
          </w:p>
        </w:tc>
        <w:tc>
          <w:tcPr>
            <w:tcW w:w="925" w:type="dxa"/>
            <w:gridSpan w:val="3"/>
            <w:vAlign w:val="center"/>
          </w:tcPr>
          <w:p w14:paraId="5921771C">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000B7C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71BD890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9</w:t>
            </w:r>
          </w:p>
        </w:tc>
        <w:tc>
          <w:tcPr>
            <w:tcW w:w="1227" w:type="dxa"/>
            <w:vAlign w:val="center"/>
          </w:tcPr>
          <w:p w14:paraId="0F3F07B2">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室内配电管线</w:t>
            </w:r>
          </w:p>
        </w:tc>
        <w:tc>
          <w:tcPr>
            <w:tcW w:w="6167" w:type="dxa"/>
            <w:vAlign w:val="center"/>
          </w:tcPr>
          <w:p w14:paraId="00170106">
            <w:pPr>
              <w:widowControl/>
              <w:spacing w:line="276" w:lineRule="auto"/>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天棚内、地板内敷设安装Ø20mmPVC阻燃塑料管，主干电源线采用2.5mm2 BV塑铜线，支干电源线采用1.5mm2 BV塑铜线；支干电源线于插座电源线采用1.5mm2多芯塑铜线；保证线路安全，安装符合现行国家专业规范。</w:t>
            </w:r>
          </w:p>
        </w:tc>
        <w:tc>
          <w:tcPr>
            <w:tcW w:w="863" w:type="dxa"/>
            <w:gridSpan w:val="4"/>
            <w:vAlign w:val="center"/>
          </w:tcPr>
          <w:p w14:paraId="0D8EEFFD">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套</w:t>
            </w:r>
          </w:p>
        </w:tc>
        <w:tc>
          <w:tcPr>
            <w:tcW w:w="925" w:type="dxa"/>
            <w:gridSpan w:val="3"/>
            <w:vAlign w:val="center"/>
          </w:tcPr>
          <w:p w14:paraId="3F998837">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5ADB00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53A74B3F">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10</w:t>
            </w:r>
          </w:p>
        </w:tc>
        <w:tc>
          <w:tcPr>
            <w:tcW w:w="1227" w:type="dxa"/>
            <w:vAlign w:val="center"/>
          </w:tcPr>
          <w:p w14:paraId="53FE909F">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室内给排水系统</w:t>
            </w:r>
          </w:p>
        </w:tc>
        <w:tc>
          <w:tcPr>
            <w:tcW w:w="6167" w:type="dxa"/>
            <w:vAlign w:val="center"/>
          </w:tcPr>
          <w:p w14:paraId="67FEF7FB">
            <w:pPr>
              <w:widowControl/>
              <w:spacing w:line="276" w:lineRule="auto"/>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给水采用PPR专用给水管热熔连接，每个给水点设阀门一个，与水嘴连接采用专用给水软链接管。地下排水采用PVC塑料管管件连接。与水槽连接采用专用排水软连接管，接口处密封，地面设地漏及检查口。</w:t>
            </w:r>
          </w:p>
        </w:tc>
        <w:tc>
          <w:tcPr>
            <w:tcW w:w="863" w:type="dxa"/>
            <w:gridSpan w:val="4"/>
            <w:vAlign w:val="center"/>
          </w:tcPr>
          <w:p w14:paraId="3B7C3851">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套</w:t>
            </w:r>
          </w:p>
        </w:tc>
        <w:tc>
          <w:tcPr>
            <w:tcW w:w="925" w:type="dxa"/>
            <w:gridSpan w:val="3"/>
            <w:vAlign w:val="center"/>
          </w:tcPr>
          <w:p w14:paraId="278956FD">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3DEF91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1EAB36C1">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11</w:t>
            </w:r>
          </w:p>
        </w:tc>
        <w:tc>
          <w:tcPr>
            <w:tcW w:w="1227" w:type="dxa"/>
            <w:vAlign w:val="center"/>
          </w:tcPr>
          <w:p w14:paraId="29603A98">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环境布置</w:t>
            </w:r>
          </w:p>
        </w:tc>
        <w:tc>
          <w:tcPr>
            <w:tcW w:w="6167" w:type="dxa"/>
          </w:tcPr>
          <w:p w14:paraId="6BB4A0B3">
            <w:pPr>
              <w:widowControl/>
              <w:spacing w:line="276" w:lineRule="auto"/>
              <w:jc w:val="left"/>
              <w:textAlignment w:val="top"/>
              <w:rPr>
                <w:rFonts w:hint="eastAsia" w:ascii="宋体" w:hAnsi="宋体"/>
                <w:color w:val="auto"/>
                <w:szCs w:val="21"/>
                <w:highlight w:val="none"/>
              </w:rPr>
            </w:pPr>
            <w:r>
              <w:rPr>
                <w:rFonts w:hint="eastAsia" w:ascii="宋体" w:hAnsi="宋体"/>
                <w:color w:val="auto"/>
                <w:kern w:val="0"/>
                <w:szCs w:val="21"/>
                <w:highlight w:val="none"/>
                <w:lang w:bidi="ar"/>
              </w:rPr>
              <w:t>需满足项目学校功能室基本环境需求：包含基础装修、垃圾清运、设备安装、货物搬运等</w:t>
            </w:r>
          </w:p>
        </w:tc>
        <w:tc>
          <w:tcPr>
            <w:tcW w:w="863" w:type="dxa"/>
            <w:gridSpan w:val="4"/>
            <w:vAlign w:val="center"/>
          </w:tcPr>
          <w:p w14:paraId="0B85D7CF">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室</w:t>
            </w:r>
          </w:p>
        </w:tc>
        <w:tc>
          <w:tcPr>
            <w:tcW w:w="925" w:type="dxa"/>
            <w:gridSpan w:val="3"/>
            <w:vAlign w:val="center"/>
          </w:tcPr>
          <w:p w14:paraId="28B4DF84">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5D44A7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noWrap/>
            <w:vAlign w:val="center"/>
          </w:tcPr>
          <w:p w14:paraId="2A9DD36F">
            <w:pPr>
              <w:rPr>
                <w:rFonts w:hint="eastAsia" w:ascii="宋体" w:hAnsi="宋体"/>
                <w:b/>
                <w:bCs/>
                <w:color w:val="auto"/>
                <w:szCs w:val="21"/>
                <w:highlight w:val="none"/>
              </w:rPr>
            </w:pPr>
            <w:r>
              <w:rPr>
                <w:rFonts w:hint="eastAsia" w:ascii="宋体" w:hAnsi="宋体"/>
                <w:b/>
                <w:bCs/>
                <w:color w:val="auto"/>
                <w:szCs w:val="21"/>
                <w:highlight w:val="none"/>
              </w:rPr>
              <w:t>(三)</w:t>
            </w:r>
          </w:p>
        </w:tc>
        <w:tc>
          <w:tcPr>
            <w:tcW w:w="1227" w:type="dxa"/>
            <w:noWrap/>
            <w:vAlign w:val="center"/>
          </w:tcPr>
          <w:p w14:paraId="03C50605">
            <w:pPr>
              <w:widowControl/>
              <w:jc w:val="center"/>
              <w:textAlignment w:val="center"/>
              <w:rPr>
                <w:rFonts w:hint="eastAsia" w:ascii="宋体" w:hAnsi="宋体"/>
                <w:b/>
                <w:bCs/>
                <w:color w:val="auto"/>
                <w:szCs w:val="21"/>
                <w:highlight w:val="none"/>
              </w:rPr>
            </w:pPr>
            <w:r>
              <w:rPr>
                <w:rFonts w:hint="eastAsia" w:ascii="宋体" w:hAnsi="宋体"/>
                <w:b/>
                <w:bCs/>
                <w:color w:val="auto"/>
                <w:kern w:val="0"/>
                <w:szCs w:val="21"/>
                <w:highlight w:val="none"/>
                <w:lang w:bidi="ar"/>
              </w:rPr>
              <w:t>化学仪器</w:t>
            </w:r>
          </w:p>
        </w:tc>
        <w:tc>
          <w:tcPr>
            <w:tcW w:w="6167" w:type="dxa"/>
            <w:noWrap/>
            <w:vAlign w:val="center"/>
          </w:tcPr>
          <w:p w14:paraId="3884A63D">
            <w:pPr>
              <w:jc w:val="left"/>
              <w:rPr>
                <w:rFonts w:hint="eastAsia" w:ascii="宋体" w:hAnsi="宋体"/>
                <w:color w:val="auto"/>
                <w:szCs w:val="21"/>
                <w:highlight w:val="none"/>
              </w:rPr>
            </w:pPr>
          </w:p>
        </w:tc>
        <w:tc>
          <w:tcPr>
            <w:tcW w:w="863" w:type="dxa"/>
            <w:gridSpan w:val="4"/>
            <w:vAlign w:val="center"/>
          </w:tcPr>
          <w:p w14:paraId="53EA4362">
            <w:pPr>
              <w:jc w:val="center"/>
              <w:rPr>
                <w:rFonts w:hint="eastAsia" w:ascii="宋体" w:hAnsi="宋体"/>
                <w:color w:val="auto"/>
                <w:szCs w:val="21"/>
                <w:highlight w:val="none"/>
              </w:rPr>
            </w:pPr>
          </w:p>
        </w:tc>
        <w:tc>
          <w:tcPr>
            <w:tcW w:w="925" w:type="dxa"/>
            <w:gridSpan w:val="3"/>
            <w:vAlign w:val="center"/>
          </w:tcPr>
          <w:p w14:paraId="5D27DC8B">
            <w:pPr>
              <w:jc w:val="center"/>
              <w:rPr>
                <w:rFonts w:hint="eastAsia" w:ascii="宋体" w:hAnsi="宋体"/>
                <w:color w:val="auto"/>
                <w:szCs w:val="21"/>
                <w:highlight w:val="none"/>
              </w:rPr>
            </w:pPr>
          </w:p>
        </w:tc>
      </w:tr>
      <w:tr w14:paraId="376796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2DD8B04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c>
          <w:tcPr>
            <w:tcW w:w="1227" w:type="dxa"/>
            <w:vAlign w:val="center"/>
          </w:tcPr>
          <w:p w14:paraId="6CEF9B43">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化学计算机数据采集处理系统</w:t>
            </w:r>
          </w:p>
        </w:tc>
        <w:tc>
          <w:tcPr>
            <w:tcW w:w="6167" w:type="dxa"/>
            <w:vAlign w:val="center"/>
          </w:tcPr>
          <w:p w14:paraId="3F2442C4">
            <w:pPr>
              <w:widowControl/>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有计算机采集处理分析软件，图形数据采集分析仪，传感器，可配套专用实验仪器，详细配置如下：</w:t>
            </w:r>
          </w:p>
          <w:p w14:paraId="6D22228E">
            <w:pPr>
              <w:widowControl/>
              <w:jc w:val="left"/>
              <w:textAlignment w:val="center"/>
              <w:rPr>
                <w:rFonts w:hint="eastAsia" w:ascii="宋体" w:hAnsi="宋体"/>
                <w:b/>
                <w:bCs/>
                <w:color w:val="auto"/>
                <w:kern w:val="0"/>
                <w:szCs w:val="21"/>
                <w:highlight w:val="none"/>
                <w:lang w:bidi="ar"/>
              </w:rPr>
            </w:pPr>
            <w:r>
              <w:rPr>
                <w:rFonts w:hint="eastAsia" w:ascii="宋体" w:hAnsi="宋体"/>
                <w:b/>
                <w:bCs/>
                <w:color w:val="auto"/>
                <w:kern w:val="0"/>
                <w:szCs w:val="21"/>
                <w:highlight w:val="none"/>
                <w:lang w:bidi="ar"/>
              </w:rPr>
              <w:t>一、图形数据采集分析仪：</w:t>
            </w:r>
          </w:p>
          <w:p w14:paraId="51949B1E">
            <w:pPr>
              <w:widowControl/>
              <w:numPr>
                <w:ilvl w:val="2"/>
                <w:numId w:val="150"/>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支持≥6通道TYPEC接口并行采集，单通道最高采样率≥200kHz；采集器模拟采样分辨率≥12-bits，数字采样分辨率≥0.1μs；</w:t>
            </w:r>
          </w:p>
          <w:p w14:paraId="4D0FBFB7">
            <w:pPr>
              <w:widowControl/>
              <w:numPr>
                <w:ilvl w:val="2"/>
                <w:numId w:val="150"/>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具备至少1路USB-A2.0型接口，可以外接USB设备，也可以再接一个数据采集器之用，最多可以连接18路传感器同时实验；具备1路usb-A3.0型接口，可以当普通usb接口使用，也可以传输高速数据；</w:t>
            </w:r>
          </w:p>
          <w:p w14:paraId="703AA5F2">
            <w:pPr>
              <w:widowControl/>
              <w:numPr>
                <w:ilvl w:val="2"/>
                <w:numId w:val="150"/>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具备一个micro接口，在分析仪耗尽储电时作为普通采集器使用；</w:t>
            </w:r>
          </w:p>
          <w:p w14:paraId="14FD2649">
            <w:pPr>
              <w:widowControl/>
              <w:numPr>
                <w:ilvl w:val="2"/>
                <w:numId w:val="150"/>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采用英特尔双核处理器，CPU主频≥1.44GHz，≥4GBDDR4内存，≥64GBSSD存储器；</w:t>
            </w:r>
          </w:p>
          <w:p w14:paraId="4EB26B40">
            <w:pPr>
              <w:widowControl/>
              <w:numPr>
                <w:ilvl w:val="2"/>
                <w:numId w:val="150"/>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屏幕≥10.1寸液晶屏，支持电容多点触控，预装Win10操作系统；</w:t>
            </w:r>
          </w:p>
          <w:p w14:paraId="2DC960F3">
            <w:pPr>
              <w:widowControl/>
              <w:numPr>
                <w:ilvl w:val="2"/>
                <w:numId w:val="150"/>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具备≥1路HDMI接口，可以连接外部显示设备；</w:t>
            </w:r>
          </w:p>
          <w:p w14:paraId="219916EE">
            <w:pPr>
              <w:widowControl/>
              <w:numPr>
                <w:ilvl w:val="2"/>
                <w:numId w:val="150"/>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具备≥1个RJ45接口，可以连接有线网络，内置wifi，可以连接无线网络；</w:t>
            </w:r>
          </w:p>
          <w:p w14:paraId="09117B56">
            <w:pPr>
              <w:widowControl/>
              <w:numPr>
                <w:ilvl w:val="2"/>
                <w:numId w:val="150"/>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具备≥1个mini-sd卡槽，作为扩展存储之用；</w:t>
            </w:r>
          </w:p>
          <w:p w14:paraId="7EB541AB">
            <w:pPr>
              <w:widowControl/>
              <w:numPr>
                <w:ilvl w:val="2"/>
                <w:numId w:val="150"/>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具备≥1个PJ-327型耳机插孔，，可以外接耳机，内置≥2路立体声扬声器；</w:t>
            </w:r>
          </w:p>
          <w:p w14:paraId="0AA53C81">
            <w:pPr>
              <w:widowControl/>
              <w:numPr>
                <w:ilvl w:val="2"/>
                <w:numId w:val="150"/>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具备≥1个开机实体按键，≥2个音量控制按键，可以调整系统声音。</w:t>
            </w:r>
          </w:p>
          <w:p w14:paraId="000ECC40">
            <w:pPr>
              <w:widowControl/>
              <w:jc w:val="left"/>
              <w:textAlignment w:val="center"/>
              <w:rPr>
                <w:rFonts w:hint="eastAsia" w:ascii="宋体" w:hAnsi="宋体"/>
                <w:b/>
                <w:bCs/>
                <w:color w:val="auto"/>
                <w:kern w:val="0"/>
                <w:szCs w:val="21"/>
                <w:highlight w:val="none"/>
                <w:lang w:bidi="ar"/>
              </w:rPr>
            </w:pPr>
            <w:r>
              <w:rPr>
                <w:rFonts w:hint="eastAsia" w:ascii="宋体" w:hAnsi="宋体"/>
                <w:b/>
                <w:bCs/>
                <w:color w:val="auto"/>
                <w:kern w:val="0"/>
                <w:szCs w:val="21"/>
                <w:highlight w:val="none"/>
                <w:lang w:bidi="ar"/>
              </w:rPr>
              <w:t>二、传感器：</w:t>
            </w:r>
          </w:p>
          <w:p w14:paraId="52BE6D3E">
            <w:pPr>
              <w:widowControl/>
              <w:numPr>
                <w:ilvl w:val="0"/>
                <w:numId w:val="151"/>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电压传感器：量程1：-1～1V，分辨率0.001V；量程2：-5～5V，分辨率≥0.01V；量程3：-10～10V，分辨率≥0.02V；量程4：-25～25V，分辨率≥0.05V；软件切换量程，接口为TYPEC接口，连接传感器无需辨认方向。</w:t>
            </w:r>
          </w:p>
          <w:p w14:paraId="6E71D3FD">
            <w:pPr>
              <w:widowControl/>
              <w:numPr>
                <w:ilvl w:val="0"/>
                <w:numId w:val="151"/>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温度传感器：量程：-80℃～+200℃；分辨率：≥0.1℃；接口为TYPEC接口，连接传感器无需辨认方向。</w:t>
            </w:r>
          </w:p>
          <w:p w14:paraId="1FDE910A">
            <w:pPr>
              <w:widowControl/>
              <w:numPr>
                <w:ilvl w:val="0"/>
                <w:numId w:val="151"/>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微气压传感器：量程：-10～+10kPa分辨率：≥0.01kPa；接口为TYPEC接口，连接传感器无需辨认方向。</w:t>
            </w:r>
          </w:p>
          <w:p w14:paraId="386EF77D">
            <w:pPr>
              <w:widowControl/>
              <w:numPr>
                <w:ilvl w:val="0"/>
                <w:numId w:val="151"/>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氧气传感器：量程：0～100%；分辨率：≥0.1%；接口为TYPEC接口，连接传感器无需辨认方向。</w:t>
            </w:r>
          </w:p>
          <w:p w14:paraId="14193B7F">
            <w:pPr>
              <w:widowControl/>
              <w:numPr>
                <w:ilvl w:val="0"/>
                <w:numId w:val="151"/>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pH传感器：量程：0～14分辨率：≥0.01；接口为TYPEC接口，连接传感器无需辨认方向。</w:t>
            </w:r>
          </w:p>
          <w:p w14:paraId="270C3CBF">
            <w:pPr>
              <w:widowControl/>
              <w:numPr>
                <w:ilvl w:val="0"/>
                <w:numId w:val="151"/>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电导率传感器：量程1：0～4000μS/cm，分辨率：≥1μS/cm；量程2：0～20000μS/cm，分辨率：≥10μS/cm；量程3：0-100000uS/cm分辨率：≥100μS/cm；软件切换量程，接口为TYPEC接口，连接传感器无需辨认方向。</w:t>
            </w:r>
          </w:p>
          <w:p w14:paraId="1B833B6A">
            <w:pPr>
              <w:widowControl/>
              <w:numPr>
                <w:ilvl w:val="0"/>
                <w:numId w:val="151"/>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电流传感器：量程1：-0.2～0.2A，分辨率≥0.1mA；量程2：-1～1A，分辨率≥1mA；量程3：-5～5A，分辨率≥0.01A；软件切换量程，接口为TYPEC接口，连接传感器无需辨认方向。</w:t>
            </w:r>
          </w:p>
          <w:p w14:paraId="148B04B0">
            <w:pPr>
              <w:widowControl/>
              <w:numPr>
                <w:ilvl w:val="0"/>
                <w:numId w:val="151"/>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高温传感器：量程：-40℃～+1200℃；分辨率：≥1℃；接口为TYPEC接口，连接传感器无需辨认方向。</w:t>
            </w:r>
          </w:p>
          <w:p w14:paraId="343F89BD">
            <w:pPr>
              <w:widowControl/>
              <w:numPr>
                <w:ilvl w:val="0"/>
                <w:numId w:val="151"/>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溶解氧传感器：量程:0～20mg/L；分辨率≥0.01mg/L；接口为TYPEC接口，连接传感器无需辨认方向。</w:t>
            </w:r>
          </w:p>
          <w:p w14:paraId="0493DB2D">
            <w:pPr>
              <w:widowControl/>
              <w:numPr>
                <w:ilvl w:val="0"/>
                <w:numId w:val="151"/>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高强度铝合金箱：TF铝板冷压成型表面氧化，高强度铝合金型材框架，内部缓冲海绵传感器定位嵌槽装置，USB数据线1根，TYPEC传感器数据线6根，用户手册。</w:t>
            </w:r>
          </w:p>
        </w:tc>
        <w:tc>
          <w:tcPr>
            <w:tcW w:w="863" w:type="dxa"/>
            <w:gridSpan w:val="4"/>
            <w:vAlign w:val="center"/>
          </w:tcPr>
          <w:p w14:paraId="374BF3B6">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套</w:t>
            </w:r>
          </w:p>
        </w:tc>
        <w:tc>
          <w:tcPr>
            <w:tcW w:w="925" w:type="dxa"/>
            <w:gridSpan w:val="3"/>
            <w:vAlign w:val="center"/>
          </w:tcPr>
          <w:p w14:paraId="77D166F4">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152FC0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1C0C4464">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w:t>
            </w:r>
          </w:p>
        </w:tc>
        <w:tc>
          <w:tcPr>
            <w:tcW w:w="1227" w:type="dxa"/>
            <w:vAlign w:val="center"/>
          </w:tcPr>
          <w:p w14:paraId="1DA86621">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危险化学品储存柜</w:t>
            </w:r>
          </w:p>
        </w:tc>
        <w:tc>
          <w:tcPr>
            <w:tcW w:w="6167" w:type="dxa"/>
            <w:vAlign w:val="center"/>
          </w:tcPr>
          <w:p w14:paraId="6062C37F">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≥900 mm×510 mm×1200 mm，防爆、防盗、阻 燃、耐腐蚀，带双锁</w:t>
            </w:r>
          </w:p>
        </w:tc>
        <w:tc>
          <w:tcPr>
            <w:tcW w:w="863" w:type="dxa"/>
            <w:gridSpan w:val="4"/>
            <w:vAlign w:val="center"/>
          </w:tcPr>
          <w:p w14:paraId="47F2D23A">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25" w:type="dxa"/>
            <w:gridSpan w:val="3"/>
            <w:vAlign w:val="center"/>
          </w:tcPr>
          <w:p w14:paraId="4977D4E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3</w:t>
            </w:r>
          </w:p>
        </w:tc>
      </w:tr>
      <w:tr w14:paraId="20F88B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63F1BCD0">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3</w:t>
            </w:r>
          </w:p>
        </w:tc>
        <w:tc>
          <w:tcPr>
            <w:tcW w:w="1227" w:type="dxa"/>
            <w:vAlign w:val="center"/>
          </w:tcPr>
          <w:p w14:paraId="4BE56C27">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灭火毯</w:t>
            </w:r>
          </w:p>
        </w:tc>
        <w:tc>
          <w:tcPr>
            <w:tcW w:w="6167" w:type="dxa"/>
            <w:vAlign w:val="center"/>
          </w:tcPr>
          <w:p w14:paraId="3B72DFEC">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玻璃纤维材质，≥1200mm×1800mm</w:t>
            </w:r>
          </w:p>
        </w:tc>
        <w:tc>
          <w:tcPr>
            <w:tcW w:w="863" w:type="dxa"/>
            <w:gridSpan w:val="4"/>
            <w:vAlign w:val="center"/>
          </w:tcPr>
          <w:p w14:paraId="41052CB6">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件</w:t>
            </w:r>
          </w:p>
        </w:tc>
        <w:tc>
          <w:tcPr>
            <w:tcW w:w="925" w:type="dxa"/>
            <w:gridSpan w:val="3"/>
            <w:vAlign w:val="center"/>
          </w:tcPr>
          <w:p w14:paraId="7E9122FF">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515232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7A0D42F5">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4</w:t>
            </w:r>
          </w:p>
        </w:tc>
        <w:tc>
          <w:tcPr>
            <w:tcW w:w="1227" w:type="dxa"/>
            <w:vAlign w:val="center"/>
          </w:tcPr>
          <w:p w14:paraId="69CEA271">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简易急救箱</w:t>
            </w:r>
          </w:p>
        </w:tc>
        <w:tc>
          <w:tcPr>
            <w:tcW w:w="6167" w:type="dxa"/>
            <w:vAlign w:val="center"/>
          </w:tcPr>
          <w:p w14:paraId="373AC98E">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箱内至少包括：医用酒精、饱和碳酸氢钠溶液、 饱和硼酸溶液、创可贴、灭菌结晶磺胺、碘伏、 胶布、医用纱布、药棉、手术剪、镊子、止血带 （长度≥30 cm）、烫伤膏、甘油等。箱体采用 中号铝合金材质</w:t>
            </w:r>
          </w:p>
        </w:tc>
        <w:tc>
          <w:tcPr>
            <w:tcW w:w="863" w:type="dxa"/>
            <w:gridSpan w:val="4"/>
            <w:vAlign w:val="center"/>
          </w:tcPr>
          <w:p w14:paraId="655313C4">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25" w:type="dxa"/>
            <w:gridSpan w:val="3"/>
            <w:vAlign w:val="center"/>
          </w:tcPr>
          <w:p w14:paraId="3F2A357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2C4B63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596F213D">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5</w:t>
            </w:r>
          </w:p>
        </w:tc>
        <w:tc>
          <w:tcPr>
            <w:tcW w:w="1227" w:type="dxa"/>
            <w:vAlign w:val="center"/>
          </w:tcPr>
          <w:p w14:paraId="175B0DCF">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实验服</w:t>
            </w:r>
          </w:p>
        </w:tc>
        <w:tc>
          <w:tcPr>
            <w:tcW w:w="6167" w:type="dxa"/>
            <w:vAlign w:val="center"/>
          </w:tcPr>
          <w:p w14:paraId="1B2D8037">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可分为大、中、小号</w:t>
            </w:r>
          </w:p>
        </w:tc>
        <w:tc>
          <w:tcPr>
            <w:tcW w:w="863" w:type="dxa"/>
            <w:gridSpan w:val="4"/>
            <w:vAlign w:val="center"/>
          </w:tcPr>
          <w:p w14:paraId="3B9C726E">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件</w:t>
            </w:r>
          </w:p>
        </w:tc>
        <w:tc>
          <w:tcPr>
            <w:tcW w:w="925" w:type="dxa"/>
            <w:gridSpan w:val="3"/>
            <w:vAlign w:val="center"/>
          </w:tcPr>
          <w:p w14:paraId="7BDEC57E">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52</w:t>
            </w:r>
          </w:p>
        </w:tc>
      </w:tr>
      <w:tr w14:paraId="43A072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632DEDAB">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6</w:t>
            </w:r>
          </w:p>
        </w:tc>
        <w:tc>
          <w:tcPr>
            <w:tcW w:w="1227" w:type="dxa"/>
            <w:vAlign w:val="center"/>
          </w:tcPr>
          <w:p w14:paraId="7403B1C1">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护目镜</w:t>
            </w:r>
          </w:p>
        </w:tc>
        <w:tc>
          <w:tcPr>
            <w:tcW w:w="6167" w:type="dxa"/>
            <w:vAlign w:val="center"/>
          </w:tcPr>
          <w:p w14:paraId="4CC723E3">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耐酸碱， 抗冲击， 耐磨， 便于清洗，带侧光板型 或封闭型</w:t>
            </w:r>
          </w:p>
        </w:tc>
        <w:tc>
          <w:tcPr>
            <w:tcW w:w="863" w:type="dxa"/>
            <w:gridSpan w:val="4"/>
            <w:vAlign w:val="center"/>
          </w:tcPr>
          <w:p w14:paraId="0EB88F2A">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25" w:type="dxa"/>
            <w:gridSpan w:val="3"/>
            <w:vAlign w:val="center"/>
          </w:tcPr>
          <w:p w14:paraId="5958ED9C">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52</w:t>
            </w:r>
          </w:p>
        </w:tc>
      </w:tr>
      <w:tr w14:paraId="7DC32F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7D45657E">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7</w:t>
            </w:r>
          </w:p>
        </w:tc>
        <w:tc>
          <w:tcPr>
            <w:tcW w:w="1227" w:type="dxa"/>
            <w:vAlign w:val="center"/>
          </w:tcPr>
          <w:p w14:paraId="6A53991E">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防护面罩</w:t>
            </w:r>
          </w:p>
        </w:tc>
        <w:tc>
          <w:tcPr>
            <w:tcW w:w="6167" w:type="dxa"/>
            <w:vAlign w:val="center"/>
          </w:tcPr>
          <w:p w14:paraId="242607F7">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防冲击面屏， 聚碳酸酯材质，耐45 m/s粒子冲击， 通过弹簧箍与安全帽相连， 面屏可更换， 起 到头部与面部双重保护作用，光洁，透明度高</w:t>
            </w:r>
          </w:p>
        </w:tc>
        <w:tc>
          <w:tcPr>
            <w:tcW w:w="863" w:type="dxa"/>
            <w:gridSpan w:val="4"/>
            <w:vAlign w:val="center"/>
          </w:tcPr>
          <w:p w14:paraId="620C5011">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25" w:type="dxa"/>
            <w:gridSpan w:val="3"/>
            <w:vAlign w:val="center"/>
          </w:tcPr>
          <w:p w14:paraId="0D688501">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00CD07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43F8E426">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8</w:t>
            </w:r>
          </w:p>
        </w:tc>
        <w:tc>
          <w:tcPr>
            <w:tcW w:w="1227" w:type="dxa"/>
            <w:vMerge w:val="restart"/>
            <w:vAlign w:val="center"/>
          </w:tcPr>
          <w:p w14:paraId="3E55524F">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防毒口罩</w:t>
            </w:r>
          </w:p>
        </w:tc>
        <w:tc>
          <w:tcPr>
            <w:tcW w:w="6167" w:type="dxa"/>
            <w:vAlign w:val="center"/>
          </w:tcPr>
          <w:p w14:paraId="6A4365A2">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E 型（标色：黄），防止吸入酸性气体或蒸气</w:t>
            </w:r>
          </w:p>
        </w:tc>
        <w:tc>
          <w:tcPr>
            <w:tcW w:w="863" w:type="dxa"/>
            <w:gridSpan w:val="4"/>
            <w:vAlign w:val="center"/>
          </w:tcPr>
          <w:p w14:paraId="369ED5E3">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25" w:type="dxa"/>
            <w:gridSpan w:val="3"/>
            <w:vAlign w:val="center"/>
          </w:tcPr>
          <w:p w14:paraId="06803DBC">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6B5130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54AE276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9</w:t>
            </w:r>
          </w:p>
        </w:tc>
        <w:tc>
          <w:tcPr>
            <w:tcW w:w="1227" w:type="dxa"/>
            <w:vMerge w:val="continue"/>
          </w:tcPr>
          <w:p w14:paraId="382AD3DE">
            <w:pPr>
              <w:widowControl/>
              <w:jc w:val="center"/>
              <w:textAlignment w:val="center"/>
              <w:rPr>
                <w:rFonts w:hint="eastAsia" w:ascii="宋体" w:hAnsi="宋体"/>
                <w:b/>
                <w:bCs/>
                <w:color w:val="auto"/>
                <w:kern w:val="0"/>
                <w:szCs w:val="21"/>
                <w:highlight w:val="none"/>
                <w:lang w:bidi="ar"/>
              </w:rPr>
            </w:pPr>
          </w:p>
        </w:tc>
        <w:tc>
          <w:tcPr>
            <w:tcW w:w="6167" w:type="dxa"/>
            <w:vAlign w:val="center"/>
          </w:tcPr>
          <w:p w14:paraId="5E0EC017">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CO型（标色：白），防止吸入一氧化碳气体</w:t>
            </w:r>
          </w:p>
        </w:tc>
        <w:tc>
          <w:tcPr>
            <w:tcW w:w="863" w:type="dxa"/>
            <w:gridSpan w:val="4"/>
            <w:vAlign w:val="center"/>
          </w:tcPr>
          <w:p w14:paraId="76EC2764">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25" w:type="dxa"/>
            <w:gridSpan w:val="3"/>
            <w:vAlign w:val="center"/>
          </w:tcPr>
          <w:p w14:paraId="5CB01CE4">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34FC18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24BF220E">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10</w:t>
            </w:r>
          </w:p>
        </w:tc>
        <w:tc>
          <w:tcPr>
            <w:tcW w:w="1227" w:type="dxa"/>
            <w:vAlign w:val="center"/>
          </w:tcPr>
          <w:p w14:paraId="538A2E5A">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耐酸手套</w:t>
            </w:r>
          </w:p>
        </w:tc>
        <w:tc>
          <w:tcPr>
            <w:tcW w:w="6167" w:type="dxa"/>
            <w:vAlign w:val="center"/>
          </w:tcPr>
          <w:p w14:paraId="77212688">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机械性能不低于3 级，无破损，手套应有长度≥15cm 的套袖</w:t>
            </w:r>
          </w:p>
        </w:tc>
        <w:tc>
          <w:tcPr>
            <w:tcW w:w="863" w:type="dxa"/>
            <w:gridSpan w:val="4"/>
            <w:vAlign w:val="center"/>
          </w:tcPr>
          <w:p w14:paraId="4DD02891">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双</w:t>
            </w:r>
          </w:p>
        </w:tc>
        <w:tc>
          <w:tcPr>
            <w:tcW w:w="925" w:type="dxa"/>
            <w:gridSpan w:val="3"/>
            <w:vAlign w:val="center"/>
          </w:tcPr>
          <w:p w14:paraId="45B11193">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w:t>
            </w:r>
          </w:p>
        </w:tc>
      </w:tr>
      <w:tr w14:paraId="5053A1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4645007A">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11</w:t>
            </w:r>
          </w:p>
        </w:tc>
        <w:tc>
          <w:tcPr>
            <w:tcW w:w="1227" w:type="dxa"/>
            <w:vAlign w:val="center"/>
          </w:tcPr>
          <w:p w14:paraId="60302C93">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化学实验废水 处理装置</w:t>
            </w:r>
          </w:p>
        </w:tc>
        <w:tc>
          <w:tcPr>
            <w:tcW w:w="6167" w:type="dxa"/>
            <w:vAlign w:val="center"/>
          </w:tcPr>
          <w:p w14:paraId="332ADE97">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主体透明，能进行 pH 测试、酸碱废液中和、重 金属凝聚和过滤， 兼作教学使用， 能处理中学常 见无机化学废液， 同时可以通过仪器内的活性炭 吸附少量混入的有机物。应配备适量的凝聚剂和 助凝剂， 至少应配备更换用活性炭包 1 个。处理 量≥6 L/次</w:t>
            </w:r>
          </w:p>
        </w:tc>
        <w:tc>
          <w:tcPr>
            <w:tcW w:w="863" w:type="dxa"/>
            <w:gridSpan w:val="4"/>
            <w:vAlign w:val="center"/>
          </w:tcPr>
          <w:p w14:paraId="0EAA22DF">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套</w:t>
            </w:r>
          </w:p>
        </w:tc>
        <w:tc>
          <w:tcPr>
            <w:tcW w:w="925" w:type="dxa"/>
            <w:gridSpan w:val="3"/>
            <w:vAlign w:val="center"/>
          </w:tcPr>
          <w:p w14:paraId="30087A96">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4F50D6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336604F5">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12</w:t>
            </w:r>
          </w:p>
        </w:tc>
        <w:tc>
          <w:tcPr>
            <w:tcW w:w="1227" w:type="dxa"/>
            <w:vAlign w:val="center"/>
          </w:tcPr>
          <w:p w14:paraId="6BD903B7">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废液分类回收桶</w:t>
            </w:r>
          </w:p>
        </w:tc>
        <w:tc>
          <w:tcPr>
            <w:tcW w:w="6167" w:type="dxa"/>
            <w:vAlign w:val="center"/>
          </w:tcPr>
          <w:p w14:paraId="7F708614">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塑料制，≥25 L</w:t>
            </w:r>
          </w:p>
        </w:tc>
        <w:tc>
          <w:tcPr>
            <w:tcW w:w="863" w:type="dxa"/>
            <w:gridSpan w:val="4"/>
            <w:vAlign w:val="center"/>
          </w:tcPr>
          <w:p w14:paraId="1AD49E2F">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25" w:type="dxa"/>
            <w:gridSpan w:val="3"/>
            <w:vAlign w:val="center"/>
          </w:tcPr>
          <w:p w14:paraId="69C540B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3</w:t>
            </w:r>
          </w:p>
        </w:tc>
      </w:tr>
      <w:tr w14:paraId="663014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6B38DF78">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13</w:t>
            </w:r>
          </w:p>
        </w:tc>
        <w:tc>
          <w:tcPr>
            <w:tcW w:w="1227" w:type="dxa"/>
            <w:vAlign w:val="center"/>
          </w:tcPr>
          <w:p w14:paraId="7FE1E697">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电加热器</w:t>
            </w:r>
          </w:p>
        </w:tc>
        <w:tc>
          <w:tcPr>
            <w:tcW w:w="6167" w:type="dxa"/>
            <w:vAlign w:val="center"/>
          </w:tcPr>
          <w:p w14:paraId="1858338E">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密封式</w:t>
            </w:r>
          </w:p>
        </w:tc>
        <w:tc>
          <w:tcPr>
            <w:tcW w:w="863" w:type="dxa"/>
            <w:gridSpan w:val="4"/>
            <w:vAlign w:val="center"/>
          </w:tcPr>
          <w:p w14:paraId="0ABE9C71">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25" w:type="dxa"/>
            <w:gridSpan w:val="3"/>
            <w:vAlign w:val="center"/>
          </w:tcPr>
          <w:p w14:paraId="4D8443F6">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7170DD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5DA08D4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14</w:t>
            </w:r>
          </w:p>
        </w:tc>
        <w:tc>
          <w:tcPr>
            <w:tcW w:w="1227" w:type="dxa"/>
            <w:vAlign w:val="center"/>
          </w:tcPr>
          <w:p w14:paraId="73590FA5">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列管式烘干器</w:t>
            </w:r>
          </w:p>
        </w:tc>
        <w:tc>
          <w:tcPr>
            <w:tcW w:w="6167" w:type="dxa"/>
            <w:vAlign w:val="center"/>
          </w:tcPr>
          <w:p w14:paraId="3ABA1CE3">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由外壳不少于 13 支通风管、电源线、发热器、风扇等组成。通风管用外径≥12 mm的金属管制作，管壁厚≥2 mm，长度≥185 mm，每支通风管上均布10个直径≥5 mm 的通气孔。功率≥250 W，绝缘电阻大于 100 MΩ</w:t>
            </w:r>
          </w:p>
        </w:tc>
        <w:tc>
          <w:tcPr>
            <w:tcW w:w="863" w:type="dxa"/>
            <w:gridSpan w:val="4"/>
            <w:vAlign w:val="center"/>
          </w:tcPr>
          <w:p w14:paraId="10F2F254">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台</w:t>
            </w:r>
          </w:p>
        </w:tc>
        <w:tc>
          <w:tcPr>
            <w:tcW w:w="925" w:type="dxa"/>
            <w:gridSpan w:val="3"/>
            <w:vAlign w:val="center"/>
          </w:tcPr>
          <w:p w14:paraId="53474D64">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3A94D0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11DF1E3E">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15</w:t>
            </w:r>
          </w:p>
        </w:tc>
        <w:tc>
          <w:tcPr>
            <w:tcW w:w="1227" w:type="dxa"/>
            <w:vAlign w:val="center"/>
          </w:tcPr>
          <w:p w14:paraId="3797E44D">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烘干箱</w:t>
            </w:r>
          </w:p>
        </w:tc>
        <w:tc>
          <w:tcPr>
            <w:tcW w:w="6167" w:type="dxa"/>
            <w:vAlign w:val="center"/>
          </w:tcPr>
          <w:p w14:paraId="591E2527">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电热鼓风型， 功率≥600 W，≥1.5 级（温度均匀性 为±0.03 ℃, 温度波动性为 1.5 ℃), 烘干温度 250 ℃以下，箱体内有隔板， 内部容积≥350 mm×350 mm×350 mm</w:t>
            </w:r>
          </w:p>
        </w:tc>
        <w:tc>
          <w:tcPr>
            <w:tcW w:w="863" w:type="dxa"/>
            <w:gridSpan w:val="4"/>
            <w:vAlign w:val="center"/>
          </w:tcPr>
          <w:p w14:paraId="7484386F">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台</w:t>
            </w:r>
          </w:p>
        </w:tc>
        <w:tc>
          <w:tcPr>
            <w:tcW w:w="925" w:type="dxa"/>
            <w:gridSpan w:val="3"/>
            <w:vAlign w:val="center"/>
          </w:tcPr>
          <w:p w14:paraId="0F75F06A">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577583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7A0314A1">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16</w:t>
            </w:r>
          </w:p>
        </w:tc>
        <w:tc>
          <w:tcPr>
            <w:tcW w:w="1227" w:type="dxa"/>
            <w:vAlign w:val="center"/>
          </w:tcPr>
          <w:p w14:paraId="633B4CDD">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教学电源</w:t>
            </w:r>
          </w:p>
        </w:tc>
        <w:tc>
          <w:tcPr>
            <w:tcW w:w="6167" w:type="dxa"/>
            <w:vAlign w:val="center"/>
          </w:tcPr>
          <w:p w14:paraId="7500952C">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交流 2 V～12 V，5 A，每 2 V 一档； 直流 1.5 V～12 V，2 A，分为 1.5 V、3 V、4.5 V、6 V、9 V、 12 V，共 6 档</w:t>
            </w:r>
          </w:p>
        </w:tc>
        <w:tc>
          <w:tcPr>
            <w:tcW w:w="863" w:type="dxa"/>
            <w:gridSpan w:val="4"/>
            <w:vAlign w:val="center"/>
          </w:tcPr>
          <w:p w14:paraId="32679F7D">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台</w:t>
            </w:r>
          </w:p>
        </w:tc>
        <w:tc>
          <w:tcPr>
            <w:tcW w:w="925" w:type="dxa"/>
            <w:gridSpan w:val="3"/>
            <w:vAlign w:val="center"/>
          </w:tcPr>
          <w:p w14:paraId="4C5E4478">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32BED7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5231E3FD">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17</w:t>
            </w:r>
          </w:p>
        </w:tc>
        <w:tc>
          <w:tcPr>
            <w:tcW w:w="1227" w:type="dxa"/>
            <w:vAlign w:val="center"/>
          </w:tcPr>
          <w:p w14:paraId="5F043F51">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仪器车</w:t>
            </w:r>
          </w:p>
        </w:tc>
        <w:tc>
          <w:tcPr>
            <w:tcW w:w="6167" w:type="dxa"/>
            <w:vAlign w:val="center"/>
          </w:tcPr>
          <w:p w14:paraId="40FE0189">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≥600mm×400mm×800mm，不锈钢材质，至少两 层，各层带可拆卸护栏，总载重≥60kg</w:t>
            </w:r>
          </w:p>
        </w:tc>
        <w:tc>
          <w:tcPr>
            <w:tcW w:w="863" w:type="dxa"/>
            <w:gridSpan w:val="4"/>
            <w:vAlign w:val="center"/>
          </w:tcPr>
          <w:p w14:paraId="6B8DA8F4">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辆</w:t>
            </w:r>
          </w:p>
        </w:tc>
        <w:tc>
          <w:tcPr>
            <w:tcW w:w="925" w:type="dxa"/>
            <w:gridSpan w:val="3"/>
            <w:vAlign w:val="center"/>
          </w:tcPr>
          <w:p w14:paraId="34977DB8">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w:t>
            </w:r>
          </w:p>
        </w:tc>
      </w:tr>
      <w:tr w14:paraId="4D7778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5E4C29EB">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18</w:t>
            </w:r>
          </w:p>
        </w:tc>
        <w:tc>
          <w:tcPr>
            <w:tcW w:w="1227" w:type="dxa"/>
            <w:vAlign w:val="center"/>
          </w:tcPr>
          <w:p w14:paraId="2AF0F84F">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试剂瓶托盘</w:t>
            </w:r>
          </w:p>
        </w:tc>
        <w:tc>
          <w:tcPr>
            <w:tcW w:w="6167" w:type="dxa"/>
            <w:vAlign w:val="center"/>
          </w:tcPr>
          <w:p w14:paraId="7972C3AA">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搪瓷材质，内沿≥400mm×290mm×50mm</w:t>
            </w:r>
          </w:p>
        </w:tc>
        <w:tc>
          <w:tcPr>
            <w:tcW w:w="863" w:type="dxa"/>
            <w:gridSpan w:val="4"/>
            <w:vAlign w:val="center"/>
          </w:tcPr>
          <w:p w14:paraId="42C95036">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25" w:type="dxa"/>
            <w:gridSpan w:val="3"/>
            <w:vAlign w:val="center"/>
          </w:tcPr>
          <w:p w14:paraId="40170068">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12</w:t>
            </w:r>
          </w:p>
        </w:tc>
      </w:tr>
      <w:tr w14:paraId="188392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7B694844">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19</w:t>
            </w:r>
          </w:p>
        </w:tc>
        <w:tc>
          <w:tcPr>
            <w:tcW w:w="1227" w:type="dxa"/>
            <w:vAlign w:val="center"/>
          </w:tcPr>
          <w:p w14:paraId="1106480D">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实验用品提篮</w:t>
            </w:r>
          </w:p>
        </w:tc>
        <w:tc>
          <w:tcPr>
            <w:tcW w:w="6167" w:type="dxa"/>
            <w:vAlign w:val="center"/>
          </w:tcPr>
          <w:p w14:paraId="3906CB34">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木制，配有提手，≥490 mm×360mm×290mm</w:t>
            </w:r>
          </w:p>
        </w:tc>
        <w:tc>
          <w:tcPr>
            <w:tcW w:w="863" w:type="dxa"/>
            <w:gridSpan w:val="4"/>
            <w:vAlign w:val="center"/>
          </w:tcPr>
          <w:p w14:paraId="54AE515F">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25" w:type="dxa"/>
            <w:gridSpan w:val="3"/>
            <w:vAlign w:val="center"/>
          </w:tcPr>
          <w:p w14:paraId="3E748E4A">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w:t>
            </w:r>
          </w:p>
        </w:tc>
      </w:tr>
      <w:tr w14:paraId="423EC2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0A978494">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20</w:t>
            </w:r>
          </w:p>
        </w:tc>
        <w:tc>
          <w:tcPr>
            <w:tcW w:w="1227" w:type="dxa"/>
            <w:vAlign w:val="center"/>
          </w:tcPr>
          <w:p w14:paraId="71C5D9F6">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一字螺丝刀</w:t>
            </w:r>
          </w:p>
        </w:tc>
        <w:tc>
          <w:tcPr>
            <w:tcW w:w="6167" w:type="dxa"/>
            <w:vAlign w:val="center"/>
          </w:tcPr>
          <w:p w14:paraId="4E47950C">
            <w:pPr>
              <w:widowControl/>
              <w:jc w:val="left"/>
              <w:textAlignment w:val="center"/>
              <w:rPr>
                <w:rFonts w:hint="eastAsia" w:ascii="宋体" w:hAnsi="宋体"/>
                <w:i/>
                <w:iCs/>
                <w:color w:val="auto"/>
                <w:szCs w:val="21"/>
                <w:highlight w:val="none"/>
              </w:rPr>
            </w:pPr>
            <w:r>
              <w:rPr>
                <w:rFonts w:hint="eastAsia" w:ascii="宋体" w:hAnsi="宋体"/>
                <w:i/>
                <w:iCs/>
                <w:color w:val="auto"/>
                <w:kern w:val="0"/>
                <w:szCs w:val="21"/>
                <w:highlight w:val="none"/>
                <w:lang w:bidi="ar"/>
              </w:rPr>
              <w:t>Ф</w:t>
            </w:r>
            <w:r>
              <w:rPr>
                <w:rFonts w:hint="eastAsia" w:ascii="宋体" w:hAnsi="宋体"/>
                <w:color w:val="auto"/>
                <w:kern w:val="0"/>
                <w:szCs w:val="21"/>
                <w:highlight w:val="none"/>
                <w:lang w:bidi="ar"/>
              </w:rPr>
              <w:t>6mm，长≥150 mm，工作端带磁性</w:t>
            </w:r>
          </w:p>
        </w:tc>
        <w:tc>
          <w:tcPr>
            <w:tcW w:w="863" w:type="dxa"/>
            <w:gridSpan w:val="4"/>
            <w:vAlign w:val="center"/>
          </w:tcPr>
          <w:p w14:paraId="2B2DCFBE">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支</w:t>
            </w:r>
          </w:p>
        </w:tc>
        <w:tc>
          <w:tcPr>
            <w:tcW w:w="925" w:type="dxa"/>
            <w:gridSpan w:val="3"/>
            <w:vAlign w:val="center"/>
          </w:tcPr>
          <w:p w14:paraId="17877275">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004DB8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7CB6AEB5">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21</w:t>
            </w:r>
          </w:p>
        </w:tc>
        <w:tc>
          <w:tcPr>
            <w:tcW w:w="1227" w:type="dxa"/>
            <w:vAlign w:val="center"/>
          </w:tcPr>
          <w:p w14:paraId="07595C67">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十字螺丝刀</w:t>
            </w:r>
          </w:p>
        </w:tc>
        <w:tc>
          <w:tcPr>
            <w:tcW w:w="6167" w:type="dxa"/>
            <w:vAlign w:val="center"/>
          </w:tcPr>
          <w:p w14:paraId="0A3A9EA2">
            <w:pPr>
              <w:widowControl/>
              <w:jc w:val="left"/>
              <w:textAlignment w:val="center"/>
              <w:rPr>
                <w:rFonts w:hint="eastAsia" w:ascii="宋体" w:hAnsi="宋体"/>
                <w:i/>
                <w:iCs/>
                <w:color w:val="auto"/>
                <w:szCs w:val="21"/>
                <w:highlight w:val="none"/>
              </w:rPr>
            </w:pPr>
            <w:r>
              <w:rPr>
                <w:rFonts w:hint="eastAsia" w:ascii="宋体" w:hAnsi="宋体"/>
                <w:i/>
                <w:iCs/>
                <w:color w:val="auto"/>
                <w:kern w:val="0"/>
                <w:szCs w:val="21"/>
                <w:highlight w:val="none"/>
                <w:lang w:bidi="ar"/>
              </w:rPr>
              <w:t xml:space="preserve">Ф </w:t>
            </w:r>
            <w:r>
              <w:rPr>
                <w:rFonts w:hint="eastAsia" w:ascii="宋体" w:hAnsi="宋体"/>
                <w:color w:val="auto"/>
                <w:kern w:val="0"/>
                <w:szCs w:val="21"/>
                <w:highlight w:val="none"/>
                <w:lang w:bidi="ar"/>
              </w:rPr>
              <w:t>6mm，长≥150 mm，工作端带磁性</w:t>
            </w:r>
          </w:p>
        </w:tc>
        <w:tc>
          <w:tcPr>
            <w:tcW w:w="863" w:type="dxa"/>
            <w:gridSpan w:val="4"/>
            <w:vAlign w:val="center"/>
          </w:tcPr>
          <w:p w14:paraId="05E45DB5">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支</w:t>
            </w:r>
          </w:p>
        </w:tc>
        <w:tc>
          <w:tcPr>
            <w:tcW w:w="925" w:type="dxa"/>
            <w:gridSpan w:val="3"/>
            <w:vAlign w:val="center"/>
          </w:tcPr>
          <w:p w14:paraId="24EBACB7">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0FF83F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40B1C625">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22</w:t>
            </w:r>
          </w:p>
        </w:tc>
        <w:tc>
          <w:tcPr>
            <w:tcW w:w="1227" w:type="dxa"/>
            <w:vAlign w:val="center"/>
          </w:tcPr>
          <w:p w14:paraId="7F0B4D5C">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钢丝钳</w:t>
            </w:r>
          </w:p>
        </w:tc>
        <w:tc>
          <w:tcPr>
            <w:tcW w:w="6167" w:type="dxa"/>
            <w:vAlign w:val="center"/>
          </w:tcPr>
          <w:p w14:paraId="6FA3BB6E">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≥160 mm</w:t>
            </w:r>
          </w:p>
        </w:tc>
        <w:tc>
          <w:tcPr>
            <w:tcW w:w="863" w:type="dxa"/>
            <w:gridSpan w:val="4"/>
            <w:vAlign w:val="center"/>
          </w:tcPr>
          <w:p w14:paraId="775A524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把</w:t>
            </w:r>
          </w:p>
        </w:tc>
        <w:tc>
          <w:tcPr>
            <w:tcW w:w="925" w:type="dxa"/>
            <w:gridSpan w:val="3"/>
            <w:vAlign w:val="center"/>
          </w:tcPr>
          <w:p w14:paraId="5F13A6F0">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4D9802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419969DD">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23</w:t>
            </w:r>
          </w:p>
        </w:tc>
        <w:tc>
          <w:tcPr>
            <w:tcW w:w="1227" w:type="dxa"/>
            <w:vAlign w:val="center"/>
          </w:tcPr>
          <w:p w14:paraId="357F1D93">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钢锤</w:t>
            </w:r>
          </w:p>
        </w:tc>
        <w:tc>
          <w:tcPr>
            <w:tcW w:w="6167" w:type="dxa"/>
            <w:vAlign w:val="center"/>
          </w:tcPr>
          <w:p w14:paraId="689E6585">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≥0.25 kg，羊角锤</w:t>
            </w:r>
          </w:p>
        </w:tc>
        <w:tc>
          <w:tcPr>
            <w:tcW w:w="863" w:type="dxa"/>
            <w:gridSpan w:val="4"/>
            <w:vAlign w:val="center"/>
          </w:tcPr>
          <w:p w14:paraId="1FA98658">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把</w:t>
            </w:r>
          </w:p>
        </w:tc>
        <w:tc>
          <w:tcPr>
            <w:tcW w:w="925" w:type="dxa"/>
            <w:gridSpan w:val="3"/>
            <w:vAlign w:val="center"/>
          </w:tcPr>
          <w:p w14:paraId="4593AE71">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0C9FB3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5B92FD11">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24</w:t>
            </w:r>
          </w:p>
        </w:tc>
        <w:tc>
          <w:tcPr>
            <w:tcW w:w="1227" w:type="dxa"/>
            <w:vAlign w:val="center"/>
          </w:tcPr>
          <w:p w14:paraId="3103614C">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三角锉</w:t>
            </w:r>
          </w:p>
        </w:tc>
        <w:tc>
          <w:tcPr>
            <w:tcW w:w="6167" w:type="dxa"/>
            <w:vAlign w:val="center"/>
          </w:tcPr>
          <w:p w14:paraId="69B87E91">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≥250 mm，带柄</w:t>
            </w:r>
          </w:p>
        </w:tc>
        <w:tc>
          <w:tcPr>
            <w:tcW w:w="863" w:type="dxa"/>
            <w:gridSpan w:val="4"/>
            <w:vAlign w:val="center"/>
          </w:tcPr>
          <w:p w14:paraId="65DC7856">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25" w:type="dxa"/>
            <w:gridSpan w:val="3"/>
            <w:vAlign w:val="center"/>
          </w:tcPr>
          <w:p w14:paraId="56015827">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3E5054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65A2D0E1">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25</w:t>
            </w:r>
          </w:p>
        </w:tc>
        <w:tc>
          <w:tcPr>
            <w:tcW w:w="1227" w:type="dxa"/>
            <w:vAlign w:val="center"/>
          </w:tcPr>
          <w:p w14:paraId="32342553">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民用剪刀</w:t>
            </w:r>
          </w:p>
        </w:tc>
        <w:tc>
          <w:tcPr>
            <w:tcW w:w="6167" w:type="dxa"/>
            <w:vAlign w:val="center"/>
          </w:tcPr>
          <w:p w14:paraId="1588B5F9">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3 号，≥150 mm，A 型</w:t>
            </w:r>
          </w:p>
        </w:tc>
        <w:tc>
          <w:tcPr>
            <w:tcW w:w="863" w:type="dxa"/>
            <w:gridSpan w:val="4"/>
            <w:vAlign w:val="center"/>
          </w:tcPr>
          <w:p w14:paraId="38B9DC9C">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把</w:t>
            </w:r>
          </w:p>
        </w:tc>
        <w:tc>
          <w:tcPr>
            <w:tcW w:w="925" w:type="dxa"/>
            <w:gridSpan w:val="3"/>
            <w:vAlign w:val="center"/>
          </w:tcPr>
          <w:p w14:paraId="4D512DA1">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3</w:t>
            </w:r>
          </w:p>
        </w:tc>
      </w:tr>
      <w:tr w14:paraId="53CBEE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2AD8CC58">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26</w:t>
            </w:r>
          </w:p>
        </w:tc>
        <w:tc>
          <w:tcPr>
            <w:tcW w:w="1227" w:type="dxa"/>
            <w:vAlign w:val="center"/>
          </w:tcPr>
          <w:p w14:paraId="5A24176C">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打孔器</w:t>
            </w:r>
          </w:p>
        </w:tc>
        <w:tc>
          <w:tcPr>
            <w:tcW w:w="6167" w:type="dxa"/>
            <w:vAlign w:val="center"/>
          </w:tcPr>
          <w:p w14:paraId="35A360B4">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刀口式， 材质为不锈钢管、钢管或黄铜管， 每组 不少于 4 支，外径分别为 9 mm、8 mm、7 mm、6 mm， 并配一支带柄金属通扦</w:t>
            </w:r>
          </w:p>
        </w:tc>
        <w:tc>
          <w:tcPr>
            <w:tcW w:w="863" w:type="dxa"/>
            <w:gridSpan w:val="4"/>
            <w:vAlign w:val="center"/>
          </w:tcPr>
          <w:p w14:paraId="57C1A465">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套</w:t>
            </w:r>
          </w:p>
        </w:tc>
        <w:tc>
          <w:tcPr>
            <w:tcW w:w="925" w:type="dxa"/>
            <w:gridSpan w:val="3"/>
            <w:vAlign w:val="center"/>
          </w:tcPr>
          <w:p w14:paraId="3ACC89B6">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w:t>
            </w:r>
          </w:p>
        </w:tc>
      </w:tr>
      <w:tr w14:paraId="2ABF88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5196CB9B">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27</w:t>
            </w:r>
          </w:p>
        </w:tc>
        <w:tc>
          <w:tcPr>
            <w:tcW w:w="1227" w:type="dxa"/>
            <w:vAlign w:val="center"/>
          </w:tcPr>
          <w:p w14:paraId="210DCBCF">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打孔夹板</w:t>
            </w:r>
          </w:p>
        </w:tc>
        <w:tc>
          <w:tcPr>
            <w:tcW w:w="6167" w:type="dxa"/>
            <w:vAlign w:val="center"/>
          </w:tcPr>
          <w:p w14:paraId="29507727">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硬木或硬塑料制</w:t>
            </w:r>
          </w:p>
        </w:tc>
        <w:tc>
          <w:tcPr>
            <w:tcW w:w="863" w:type="dxa"/>
            <w:gridSpan w:val="4"/>
            <w:vAlign w:val="center"/>
          </w:tcPr>
          <w:p w14:paraId="0EF7DA6E">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25" w:type="dxa"/>
            <w:gridSpan w:val="3"/>
            <w:vAlign w:val="center"/>
          </w:tcPr>
          <w:p w14:paraId="55835778">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6E30B8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10E6BA5B">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28</w:t>
            </w:r>
          </w:p>
        </w:tc>
        <w:tc>
          <w:tcPr>
            <w:tcW w:w="1227" w:type="dxa"/>
            <w:vAlign w:val="center"/>
          </w:tcPr>
          <w:p w14:paraId="7E87F7D1">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打孔器刮刀</w:t>
            </w:r>
          </w:p>
        </w:tc>
        <w:tc>
          <w:tcPr>
            <w:tcW w:w="6167" w:type="dxa"/>
            <w:vAlign w:val="center"/>
          </w:tcPr>
          <w:p w14:paraId="413B070F">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刮刀宜用65M板制成，表面热处理，55 HRC～60 HRC， 总长为 70 mm±0.5mm，宽 14.5mm±0.1 mm，厚 1.8 mm±0.5 mm，刀口角度宜为60°±5°,锋刃 ＜0.1 mm</w:t>
            </w:r>
          </w:p>
        </w:tc>
        <w:tc>
          <w:tcPr>
            <w:tcW w:w="863" w:type="dxa"/>
            <w:gridSpan w:val="4"/>
            <w:vAlign w:val="center"/>
          </w:tcPr>
          <w:p w14:paraId="108AA74A">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25" w:type="dxa"/>
            <w:gridSpan w:val="3"/>
            <w:vAlign w:val="center"/>
          </w:tcPr>
          <w:p w14:paraId="32407762">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32186E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5E26C928">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29</w:t>
            </w:r>
          </w:p>
        </w:tc>
        <w:tc>
          <w:tcPr>
            <w:tcW w:w="1227" w:type="dxa"/>
            <w:vAlign w:val="center"/>
          </w:tcPr>
          <w:p w14:paraId="10FFDBE0">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电动钻孔器</w:t>
            </w:r>
          </w:p>
        </w:tc>
        <w:tc>
          <w:tcPr>
            <w:tcW w:w="6167" w:type="dxa"/>
            <w:vAlign w:val="center"/>
          </w:tcPr>
          <w:p w14:paraId="42A2D9C5">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钻头可拆卸，应配有2个以上不同孔径的钻头</w:t>
            </w:r>
          </w:p>
        </w:tc>
        <w:tc>
          <w:tcPr>
            <w:tcW w:w="863" w:type="dxa"/>
            <w:gridSpan w:val="4"/>
            <w:vAlign w:val="center"/>
          </w:tcPr>
          <w:p w14:paraId="7C8939A6">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台</w:t>
            </w:r>
          </w:p>
        </w:tc>
        <w:tc>
          <w:tcPr>
            <w:tcW w:w="925" w:type="dxa"/>
            <w:gridSpan w:val="3"/>
            <w:vAlign w:val="center"/>
          </w:tcPr>
          <w:p w14:paraId="37758267">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01679F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6E626FD3">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30</w:t>
            </w:r>
          </w:p>
        </w:tc>
        <w:tc>
          <w:tcPr>
            <w:tcW w:w="1227" w:type="dxa"/>
            <w:vMerge w:val="restart"/>
            <w:vAlign w:val="center"/>
          </w:tcPr>
          <w:p w14:paraId="5168D36F">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托盘天平</w:t>
            </w:r>
          </w:p>
        </w:tc>
        <w:tc>
          <w:tcPr>
            <w:tcW w:w="6167" w:type="dxa"/>
            <w:vAlign w:val="center"/>
          </w:tcPr>
          <w:p w14:paraId="3D8424D0">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≥100g，0.1g</w:t>
            </w:r>
          </w:p>
        </w:tc>
        <w:tc>
          <w:tcPr>
            <w:tcW w:w="863" w:type="dxa"/>
            <w:gridSpan w:val="4"/>
            <w:vAlign w:val="center"/>
          </w:tcPr>
          <w:p w14:paraId="11851116">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台</w:t>
            </w:r>
          </w:p>
        </w:tc>
        <w:tc>
          <w:tcPr>
            <w:tcW w:w="925" w:type="dxa"/>
            <w:gridSpan w:val="3"/>
            <w:vAlign w:val="center"/>
          </w:tcPr>
          <w:p w14:paraId="38ED4472">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25</w:t>
            </w:r>
          </w:p>
        </w:tc>
      </w:tr>
      <w:tr w14:paraId="799E41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7F6D6C1A">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31</w:t>
            </w:r>
          </w:p>
        </w:tc>
        <w:tc>
          <w:tcPr>
            <w:tcW w:w="1227" w:type="dxa"/>
            <w:vMerge w:val="continue"/>
          </w:tcPr>
          <w:p w14:paraId="23D91AD5">
            <w:pPr>
              <w:widowControl/>
              <w:jc w:val="center"/>
              <w:textAlignment w:val="center"/>
              <w:rPr>
                <w:rFonts w:hint="eastAsia" w:ascii="宋体" w:hAnsi="宋体"/>
                <w:b/>
                <w:bCs/>
                <w:color w:val="auto"/>
                <w:kern w:val="0"/>
                <w:szCs w:val="21"/>
                <w:highlight w:val="none"/>
                <w:lang w:bidi="ar"/>
              </w:rPr>
            </w:pPr>
          </w:p>
        </w:tc>
        <w:tc>
          <w:tcPr>
            <w:tcW w:w="6167" w:type="dxa"/>
            <w:vAlign w:val="center"/>
          </w:tcPr>
          <w:p w14:paraId="5AE72648">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≥500g，0.5g</w:t>
            </w:r>
          </w:p>
        </w:tc>
        <w:tc>
          <w:tcPr>
            <w:tcW w:w="863" w:type="dxa"/>
            <w:gridSpan w:val="4"/>
            <w:vAlign w:val="center"/>
          </w:tcPr>
          <w:p w14:paraId="70B48E3E">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台</w:t>
            </w:r>
          </w:p>
        </w:tc>
        <w:tc>
          <w:tcPr>
            <w:tcW w:w="925" w:type="dxa"/>
            <w:gridSpan w:val="3"/>
            <w:vAlign w:val="center"/>
          </w:tcPr>
          <w:p w14:paraId="59C1C48D">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7B8176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trHeight w:val="298" w:hRule="atLeast"/>
          <w:jc w:val="center"/>
        </w:trPr>
        <w:tc>
          <w:tcPr>
            <w:tcW w:w="749" w:type="dxa"/>
            <w:vAlign w:val="center"/>
          </w:tcPr>
          <w:p w14:paraId="4754A9E5">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32</w:t>
            </w:r>
          </w:p>
        </w:tc>
        <w:tc>
          <w:tcPr>
            <w:tcW w:w="1227" w:type="dxa"/>
            <w:vAlign w:val="center"/>
          </w:tcPr>
          <w:p w14:paraId="16068D0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电子天平</w:t>
            </w:r>
          </w:p>
        </w:tc>
        <w:tc>
          <w:tcPr>
            <w:tcW w:w="6167" w:type="dxa"/>
            <w:vAlign w:val="center"/>
          </w:tcPr>
          <w:p w14:paraId="145D59C1">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≥1000 g，0.1 g</w:t>
            </w:r>
          </w:p>
        </w:tc>
        <w:tc>
          <w:tcPr>
            <w:tcW w:w="863" w:type="dxa"/>
            <w:gridSpan w:val="4"/>
            <w:vAlign w:val="center"/>
          </w:tcPr>
          <w:p w14:paraId="5C48FF87">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台</w:t>
            </w:r>
          </w:p>
        </w:tc>
        <w:tc>
          <w:tcPr>
            <w:tcW w:w="925" w:type="dxa"/>
            <w:gridSpan w:val="3"/>
            <w:vAlign w:val="center"/>
          </w:tcPr>
          <w:p w14:paraId="777FC3A5">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0BCD28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30AAB83B">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33</w:t>
            </w:r>
          </w:p>
        </w:tc>
        <w:tc>
          <w:tcPr>
            <w:tcW w:w="1227" w:type="dxa"/>
            <w:vAlign w:val="center"/>
          </w:tcPr>
          <w:p w14:paraId="206A72CC">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红液温度计</w:t>
            </w:r>
          </w:p>
        </w:tc>
        <w:tc>
          <w:tcPr>
            <w:tcW w:w="6167" w:type="dxa"/>
            <w:vAlign w:val="center"/>
          </w:tcPr>
          <w:p w14:paraId="2EC2BAE7">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0 ℃～100 ℃, 分度值 1 ℃, 示值误差＜1.5 ℃</w:t>
            </w:r>
          </w:p>
        </w:tc>
        <w:tc>
          <w:tcPr>
            <w:tcW w:w="863" w:type="dxa"/>
            <w:gridSpan w:val="4"/>
            <w:vAlign w:val="center"/>
          </w:tcPr>
          <w:p w14:paraId="7F88EBA2">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支</w:t>
            </w:r>
          </w:p>
        </w:tc>
        <w:tc>
          <w:tcPr>
            <w:tcW w:w="925" w:type="dxa"/>
            <w:gridSpan w:val="3"/>
            <w:vAlign w:val="center"/>
          </w:tcPr>
          <w:p w14:paraId="42C49D23">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25</w:t>
            </w:r>
          </w:p>
        </w:tc>
      </w:tr>
      <w:tr w14:paraId="6406BC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588A0AE0">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34</w:t>
            </w:r>
          </w:p>
        </w:tc>
        <w:tc>
          <w:tcPr>
            <w:tcW w:w="1227" w:type="dxa"/>
            <w:vAlign w:val="center"/>
          </w:tcPr>
          <w:p w14:paraId="42D021BF">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水银温度计</w:t>
            </w:r>
          </w:p>
        </w:tc>
        <w:tc>
          <w:tcPr>
            <w:tcW w:w="6167" w:type="dxa"/>
            <w:vAlign w:val="center"/>
          </w:tcPr>
          <w:p w14:paraId="45AB6538">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0 ℃~200 ℃, 分度值 1 ℃, 示值误差＜0.5 ℃, 有保护套</w:t>
            </w:r>
          </w:p>
        </w:tc>
        <w:tc>
          <w:tcPr>
            <w:tcW w:w="863" w:type="dxa"/>
            <w:gridSpan w:val="4"/>
            <w:vAlign w:val="center"/>
          </w:tcPr>
          <w:p w14:paraId="5B56DE1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支</w:t>
            </w:r>
          </w:p>
        </w:tc>
        <w:tc>
          <w:tcPr>
            <w:tcW w:w="925" w:type="dxa"/>
            <w:gridSpan w:val="3"/>
            <w:vAlign w:val="center"/>
          </w:tcPr>
          <w:p w14:paraId="2E934D3C">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626D7F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7182314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35</w:t>
            </w:r>
          </w:p>
        </w:tc>
        <w:tc>
          <w:tcPr>
            <w:tcW w:w="1227" w:type="dxa"/>
            <w:vAlign w:val="center"/>
          </w:tcPr>
          <w:p w14:paraId="2AA9ACF1">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多用电表</w:t>
            </w:r>
          </w:p>
        </w:tc>
        <w:tc>
          <w:tcPr>
            <w:tcW w:w="6167" w:type="dxa"/>
            <w:vAlign w:val="center"/>
          </w:tcPr>
          <w:p w14:paraId="4A5C50EC">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直流电流、电压、电阻≥2.5 级，交流电压≥5 级</w:t>
            </w:r>
          </w:p>
        </w:tc>
        <w:tc>
          <w:tcPr>
            <w:tcW w:w="863" w:type="dxa"/>
            <w:gridSpan w:val="4"/>
            <w:vAlign w:val="center"/>
          </w:tcPr>
          <w:p w14:paraId="5299507D">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25" w:type="dxa"/>
            <w:gridSpan w:val="3"/>
            <w:vAlign w:val="center"/>
          </w:tcPr>
          <w:p w14:paraId="5EB1B4AF">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371EA1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1DB8C19A">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36</w:t>
            </w:r>
          </w:p>
        </w:tc>
        <w:tc>
          <w:tcPr>
            <w:tcW w:w="1227" w:type="dxa"/>
            <w:vAlign w:val="center"/>
          </w:tcPr>
          <w:p w14:paraId="53E7FF9E">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酸度计</w:t>
            </w:r>
          </w:p>
        </w:tc>
        <w:tc>
          <w:tcPr>
            <w:tcW w:w="6167" w:type="dxa"/>
            <w:vAlign w:val="center"/>
          </w:tcPr>
          <w:p w14:paraId="064645F7">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笔式， pH 测量范围 0～14，分辨力≤0.1，读数清 晰，有自动关机节电模式，配校准试剂</w:t>
            </w:r>
          </w:p>
        </w:tc>
        <w:tc>
          <w:tcPr>
            <w:tcW w:w="863" w:type="dxa"/>
            <w:gridSpan w:val="4"/>
            <w:vAlign w:val="center"/>
          </w:tcPr>
          <w:p w14:paraId="50F6C7FB">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台</w:t>
            </w:r>
          </w:p>
        </w:tc>
        <w:tc>
          <w:tcPr>
            <w:tcW w:w="925" w:type="dxa"/>
            <w:gridSpan w:val="3"/>
            <w:vAlign w:val="center"/>
          </w:tcPr>
          <w:p w14:paraId="2662CB51">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4E81B4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2D329C07">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37</w:t>
            </w:r>
          </w:p>
        </w:tc>
        <w:tc>
          <w:tcPr>
            <w:tcW w:w="1227" w:type="dxa"/>
            <w:vAlign w:val="center"/>
          </w:tcPr>
          <w:p w14:paraId="09988EDD">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教学支架</w:t>
            </w:r>
          </w:p>
        </w:tc>
        <w:tc>
          <w:tcPr>
            <w:tcW w:w="6167" w:type="dxa"/>
            <w:vAlign w:val="center"/>
          </w:tcPr>
          <w:p w14:paraId="3CAD715A">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方形座， 含铁夹、复夹、铁圈， 重心稳定不晃动， 夹持器内侧应有垫衬</w:t>
            </w:r>
          </w:p>
        </w:tc>
        <w:tc>
          <w:tcPr>
            <w:tcW w:w="863" w:type="dxa"/>
            <w:gridSpan w:val="4"/>
            <w:vAlign w:val="center"/>
          </w:tcPr>
          <w:p w14:paraId="64E264F5">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套</w:t>
            </w:r>
          </w:p>
        </w:tc>
        <w:tc>
          <w:tcPr>
            <w:tcW w:w="925" w:type="dxa"/>
            <w:gridSpan w:val="3"/>
            <w:vAlign w:val="center"/>
          </w:tcPr>
          <w:p w14:paraId="5C47EDFC">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25</w:t>
            </w:r>
          </w:p>
        </w:tc>
      </w:tr>
      <w:tr w14:paraId="64ED03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60F12920">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38</w:t>
            </w:r>
          </w:p>
        </w:tc>
        <w:tc>
          <w:tcPr>
            <w:tcW w:w="1227" w:type="dxa"/>
            <w:vAlign w:val="center"/>
          </w:tcPr>
          <w:p w14:paraId="1EC3AC8F">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三脚架</w:t>
            </w:r>
          </w:p>
        </w:tc>
        <w:tc>
          <w:tcPr>
            <w:tcW w:w="6167" w:type="dxa"/>
            <w:vAlign w:val="center"/>
          </w:tcPr>
          <w:p w14:paraId="53BFAE0F">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铁制，环内径≥75 mm，高≥150 mm</w:t>
            </w:r>
          </w:p>
        </w:tc>
        <w:tc>
          <w:tcPr>
            <w:tcW w:w="863" w:type="dxa"/>
            <w:gridSpan w:val="4"/>
            <w:vAlign w:val="center"/>
          </w:tcPr>
          <w:p w14:paraId="7B85538E">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25" w:type="dxa"/>
            <w:gridSpan w:val="3"/>
            <w:vAlign w:val="center"/>
          </w:tcPr>
          <w:p w14:paraId="44E3742F">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25</w:t>
            </w:r>
          </w:p>
        </w:tc>
      </w:tr>
      <w:tr w14:paraId="4389BF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73B8537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39</w:t>
            </w:r>
          </w:p>
        </w:tc>
        <w:tc>
          <w:tcPr>
            <w:tcW w:w="1227" w:type="dxa"/>
            <w:vAlign w:val="center"/>
          </w:tcPr>
          <w:p w14:paraId="01672E0A">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试管架</w:t>
            </w:r>
          </w:p>
        </w:tc>
        <w:tc>
          <w:tcPr>
            <w:tcW w:w="6167" w:type="dxa"/>
            <w:vAlign w:val="center"/>
          </w:tcPr>
          <w:p w14:paraId="6E5DEA74">
            <w:pPr>
              <w:widowControl/>
              <w:numPr>
                <w:ilvl w:val="0"/>
                <w:numId w:val="152"/>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试管架为组装式，由底板1块、立杆4支、挡板1块组成。</w:t>
            </w:r>
          </w:p>
          <w:p w14:paraId="23F86685">
            <w:pPr>
              <w:widowControl/>
              <w:numPr>
                <w:ilvl w:val="0"/>
                <w:numId w:val="152"/>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试管架用工程PP塑料制作，防腐性好。</w:t>
            </w:r>
          </w:p>
          <w:p w14:paraId="0B81BD6F">
            <w:pPr>
              <w:widowControl/>
              <w:numPr>
                <w:ilvl w:val="0"/>
                <w:numId w:val="152"/>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底座正面应有8个凹孔，8个凸柱。4角有4个固定立杆孔，外形尺寸不小于245mm*145mm*14mm，摆放平稳。</w:t>
            </w:r>
          </w:p>
          <w:p w14:paraId="0B4CF8E2">
            <w:pPr>
              <w:widowControl/>
              <w:numPr>
                <w:ilvl w:val="0"/>
                <w:numId w:val="152"/>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立杆用优质PP材料制作，直径不小于14mm，有效高度不小于68mm，一端插入底座，另一端插入挡板应结实坚固，无歪扭现象。</w:t>
            </w:r>
          </w:p>
          <w:p w14:paraId="22F4BA5D">
            <w:pPr>
              <w:widowControl/>
              <w:numPr>
                <w:ilvl w:val="0"/>
                <w:numId w:val="152"/>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挡板用优质PP材料制作，规格尺寸不小于245X145X8mm，正面有16个直径不小于34mm的孔。</w:t>
            </w:r>
          </w:p>
          <w:p w14:paraId="219E4778">
            <w:pPr>
              <w:widowControl/>
              <w:numPr>
                <w:ilvl w:val="0"/>
                <w:numId w:val="152"/>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组装后的试管架应能放置8支试管和可晾干8支试管。</w:t>
            </w:r>
          </w:p>
        </w:tc>
        <w:tc>
          <w:tcPr>
            <w:tcW w:w="863" w:type="dxa"/>
            <w:gridSpan w:val="4"/>
            <w:vAlign w:val="center"/>
          </w:tcPr>
          <w:p w14:paraId="50289D96">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25" w:type="dxa"/>
            <w:gridSpan w:val="3"/>
            <w:vAlign w:val="center"/>
          </w:tcPr>
          <w:p w14:paraId="413258E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25</w:t>
            </w:r>
          </w:p>
        </w:tc>
      </w:tr>
      <w:tr w14:paraId="38C235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16782E11">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40</w:t>
            </w:r>
          </w:p>
        </w:tc>
        <w:tc>
          <w:tcPr>
            <w:tcW w:w="1227" w:type="dxa"/>
            <w:vAlign w:val="center"/>
          </w:tcPr>
          <w:p w14:paraId="1B8BFA4D">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试管架</w:t>
            </w:r>
          </w:p>
        </w:tc>
        <w:tc>
          <w:tcPr>
            <w:tcW w:w="6167" w:type="dxa"/>
            <w:vAlign w:val="center"/>
          </w:tcPr>
          <w:p w14:paraId="640E1152">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木制或塑料制， 8 孔，孔径≥25 mm</w:t>
            </w:r>
          </w:p>
        </w:tc>
        <w:tc>
          <w:tcPr>
            <w:tcW w:w="863" w:type="dxa"/>
            <w:gridSpan w:val="4"/>
            <w:vAlign w:val="center"/>
          </w:tcPr>
          <w:p w14:paraId="0ABB5D38">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25" w:type="dxa"/>
            <w:gridSpan w:val="3"/>
            <w:vAlign w:val="center"/>
          </w:tcPr>
          <w:p w14:paraId="50F3EC6F">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4</w:t>
            </w:r>
          </w:p>
        </w:tc>
      </w:tr>
      <w:tr w14:paraId="3DD01F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0D9B38D0">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41</w:t>
            </w:r>
          </w:p>
        </w:tc>
        <w:tc>
          <w:tcPr>
            <w:tcW w:w="1227" w:type="dxa"/>
            <w:vAlign w:val="center"/>
          </w:tcPr>
          <w:p w14:paraId="16DF3F22">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试管架</w:t>
            </w:r>
          </w:p>
        </w:tc>
        <w:tc>
          <w:tcPr>
            <w:tcW w:w="6167" w:type="dxa"/>
            <w:vAlign w:val="center"/>
          </w:tcPr>
          <w:p w14:paraId="0D85BE57">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木制或塑料制， 8 孔，孔径≥35 mm</w:t>
            </w:r>
          </w:p>
        </w:tc>
        <w:tc>
          <w:tcPr>
            <w:tcW w:w="863" w:type="dxa"/>
            <w:gridSpan w:val="4"/>
            <w:vAlign w:val="center"/>
          </w:tcPr>
          <w:p w14:paraId="5EE3D1EA">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25" w:type="dxa"/>
            <w:gridSpan w:val="3"/>
            <w:vAlign w:val="center"/>
          </w:tcPr>
          <w:p w14:paraId="64F8F4B1">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4</w:t>
            </w:r>
          </w:p>
        </w:tc>
      </w:tr>
      <w:tr w14:paraId="005538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745D7B28">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42</w:t>
            </w:r>
          </w:p>
        </w:tc>
        <w:tc>
          <w:tcPr>
            <w:tcW w:w="1227" w:type="dxa"/>
            <w:vAlign w:val="center"/>
          </w:tcPr>
          <w:p w14:paraId="414A98E7">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漏斗架</w:t>
            </w:r>
          </w:p>
        </w:tc>
        <w:tc>
          <w:tcPr>
            <w:tcW w:w="6167" w:type="dxa"/>
            <w:vAlign w:val="center"/>
          </w:tcPr>
          <w:p w14:paraId="65D8BAFF">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木制或塑料制</w:t>
            </w:r>
          </w:p>
        </w:tc>
        <w:tc>
          <w:tcPr>
            <w:tcW w:w="863" w:type="dxa"/>
            <w:gridSpan w:val="4"/>
            <w:vAlign w:val="center"/>
          </w:tcPr>
          <w:p w14:paraId="468AA3C0">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25" w:type="dxa"/>
            <w:gridSpan w:val="3"/>
            <w:vAlign w:val="center"/>
          </w:tcPr>
          <w:p w14:paraId="4FB8D1CB">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0C69B6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60710B6E">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43</w:t>
            </w:r>
          </w:p>
        </w:tc>
        <w:tc>
          <w:tcPr>
            <w:tcW w:w="1227" w:type="dxa"/>
            <w:vAlign w:val="center"/>
          </w:tcPr>
          <w:p w14:paraId="6BD05792">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滴定台</w:t>
            </w:r>
          </w:p>
        </w:tc>
        <w:tc>
          <w:tcPr>
            <w:tcW w:w="6167" w:type="dxa"/>
            <w:vAlign w:val="center"/>
          </w:tcPr>
          <w:p w14:paraId="32BC77BF">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人造石或大理石白色台面， 重心稳定不晃动， 底 部有四个橡胶垫脚</w:t>
            </w:r>
          </w:p>
        </w:tc>
        <w:tc>
          <w:tcPr>
            <w:tcW w:w="863" w:type="dxa"/>
            <w:gridSpan w:val="4"/>
            <w:vAlign w:val="center"/>
          </w:tcPr>
          <w:p w14:paraId="034AB00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25" w:type="dxa"/>
            <w:gridSpan w:val="3"/>
            <w:vAlign w:val="center"/>
          </w:tcPr>
          <w:p w14:paraId="634FEDFC">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2E1A12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4E8C9C61">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44</w:t>
            </w:r>
          </w:p>
        </w:tc>
        <w:tc>
          <w:tcPr>
            <w:tcW w:w="1227" w:type="dxa"/>
            <w:vAlign w:val="center"/>
          </w:tcPr>
          <w:p w14:paraId="035823B0">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滴定夹</w:t>
            </w:r>
          </w:p>
        </w:tc>
        <w:tc>
          <w:tcPr>
            <w:tcW w:w="6167" w:type="dxa"/>
            <w:vAlign w:val="center"/>
          </w:tcPr>
          <w:p w14:paraId="675DC05F">
            <w:pPr>
              <w:widowControl/>
              <w:numPr>
                <w:ilvl w:val="0"/>
                <w:numId w:val="153"/>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滴定夹产品为组装式，由固定块、固定螺钉、可调滑块、活动夹、弹簧组成。</w:t>
            </w:r>
          </w:p>
          <w:p w14:paraId="12A9E783">
            <w:pPr>
              <w:widowControl/>
              <w:numPr>
                <w:ilvl w:val="0"/>
                <w:numId w:val="153"/>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滴定夹用铝合金材料制作，表面作磨砂处理。</w:t>
            </w:r>
          </w:p>
          <w:p w14:paraId="1B234EC1">
            <w:pPr>
              <w:widowControl/>
              <w:numPr>
                <w:ilvl w:val="0"/>
                <w:numId w:val="153"/>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固定块外形尺寸不小于90*30*38mm上面有直径≥13mm的凸出点，中间M6的螺纹孔，下面有V形固定凹槽。</w:t>
            </w:r>
          </w:p>
          <w:p w14:paraId="34910480">
            <w:pPr>
              <w:widowControl/>
              <w:numPr>
                <w:ilvl w:val="0"/>
                <w:numId w:val="153"/>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固定螺钉采用不锈钢材质，规格直径≥6*35mm，顶端手拧部位采用ABS工程塑料制作，手持部位尺寸不小于28*14*8mm，拧入固定块螺纹孔后，应结实坚固，无歪扭现象，上下拧动自如。</w:t>
            </w:r>
          </w:p>
          <w:p w14:paraId="3A6679CB">
            <w:pPr>
              <w:widowControl/>
              <w:numPr>
                <w:ilvl w:val="0"/>
                <w:numId w:val="153"/>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可调滑块采用铝合金材料制作，规格不小于55*115*8mm，左右夹点高度不小于15mm。</w:t>
            </w:r>
          </w:p>
          <w:p w14:paraId="085B2BAE">
            <w:pPr>
              <w:widowControl/>
              <w:numPr>
                <w:ilvl w:val="0"/>
                <w:numId w:val="153"/>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活动夹用铝合金制作，雌性和雄性各二个，雌性尺寸不小于95*22*12mm，夹点高度不小于15mm，雄性尺寸不小于95*20*8mm，夹点高度不小于15mm。</w:t>
            </w:r>
          </w:p>
          <w:p w14:paraId="2CA757E7">
            <w:pPr>
              <w:widowControl/>
              <w:numPr>
                <w:ilvl w:val="0"/>
                <w:numId w:val="153"/>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弹簧采用优质钢丝制作，规格不小于直径14*6mm，钢丝直径不小于1mm。</w:t>
            </w:r>
          </w:p>
        </w:tc>
        <w:tc>
          <w:tcPr>
            <w:tcW w:w="863" w:type="dxa"/>
            <w:gridSpan w:val="4"/>
            <w:vAlign w:val="center"/>
          </w:tcPr>
          <w:p w14:paraId="2AE3FA68">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25" w:type="dxa"/>
            <w:gridSpan w:val="3"/>
            <w:vAlign w:val="center"/>
          </w:tcPr>
          <w:p w14:paraId="070A382F">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6CD084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394D577E">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45</w:t>
            </w:r>
          </w:p>
        </w:tc>
        <w:tc>
          <w:tcPr>
            <w:tcW w:w="1227" w:type="dxa"/>
            <w:vAlign w:val="center"/>
          </w:tcPr>
          <w:p w14:paraId="67224228">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多用滴管架</w:t>
            </w:r>
          </w:p>
        </w:tc>
        <w:tc>
          <w:tcPr>
            <w:tcW w:w="6167" w:type="dxa"/>
            <w:vAlign w:val="center"/>
          </w:tcPr>
          <w:p w14:paraId="2850DA04">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塑料制，底部有圆形凹槽</w:t>
            </w:r>
          </w:p>
        </w:tc>
        <w:tc>
          <w:tcPr>
            <w:tcW w:w="863" w:type="dxa"/>
            <w:gridSpan w:val="4"/>
            <w:vAlign w:val="center"/>
          </w:tcPr>
          <w:p w14:paraId="40C88AFE">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25" w:type="dxa"/>
            <w:gridSpan w:val="3"/>
            <w:vAlign w:val="center"/>
          </w:tcPr>
          <w:p w14:paraId="68890D4F">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25</w:t>
            </w:r>
          </w:p>
        </w:tc>
      </w:tr>
      <w:tr w14:paraId="2306C4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166A16E6">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46</w:t>
            </w:r>
          </w:p>
        </w:tc>
        <w:tc>
          <w:tcPr>
            <w:tcW w:w="1227" w:type="dxa"/>
            <w:vAlign w:val="center"/>
          </w:tcPr>
          <w:p w14:paraId="7EFD237B">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量筒</w:t>
            </w:r>
          </w:p>
        </w:tc>
        <w:tc>
          <w:tcPr>
            <w:tcW w:w="6167" w:type="dxa"/>
            <w:vAlign w:val="center"/>
          </w:tcPr>
          <w:p w14:paraId="50473326">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≥10 mL 透明钠钙玻璃制，分度线、数字和 标志应完整、清晰和耐久，容积为 20℃时充满量筒刻度线所容纳体积</w:t>
            </w:r>
          </w:p>
        </w:tc>
        <w:tc>
          <w:tcPr>
            <w:tcW w:w="863" w:type="dxa"/>
            <w:gridSpan w:val="4"/>
            <w:vAlign w:val="center"/>
          </w:tcPr>
          <w:p w14:paraId="5682103F">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25" w:type="dxa"/>
            <w:gridSpan w:val="3"/>
            <w:vAlign w:val="center"/>
          </w:tcPr>
          <w:p w14:paraId="56B619C0">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25</w:t>
            </w:r>
          </w:p>
        </w:tc>
      </w:tr>
      <w:tr w14:paraId="0056DC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55BD7A55">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47</w:t>
            </w:r>
          </w:p>
        </w:tc>
        <w:tc>
          <w:tcPr>
            <w:tcW w:w="1227" w:type="dxa"/>
            <w:vAlign w:val="center"/>
          </w:tcPr>
          <w:p w14:paraId="610AFE98">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量筒</w:t>
            </w:r>
          </w:p>
        </w:tc>
        <w:tc>
          <w:tcPr>
            <w:tcW w:w="6167" w:type="dxa"/>
            <w:vAlign w:val="center"/>
          </w:tcPr>
          <w:p w14:paraId="7DD606C0">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≥25 mL 透明钠钙玻璃制，分度线、数字和 标志应完整、清晰和耐久，容积为 20℃时充满量筒刻度线所容纳体积</w:t>
            </w:r>
          </w:p>
        </w:tc>
        <w:tc>
          <w:tcPr>
            <w:tcW w:w="863" w:type="dxa"/>
            <w:gridSpan w:val="4"/>
            <w:vAlign w:val="center"/>
          </w:tcPr>
          <w:p w14:paraId="16CDE56B">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25" w:type="dxa"/>
            <w:gridSpan w:val="3"/>
            <w:vAlign w:val="center"/>
          </w:tcPr>
          <w:p w14:paraId="73E7027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25</w:t>
            </w:r>
          </w:p>
        </w:tc>
      </w:tr>
      <w:tr w14:paraId="236729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1F5741EC">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48</w:t>
            </w:r>
          </w:p>
        </w:tc>
        <w:tc>
          <w:tcPr>
            <w:tcW w:w="1227" w:type="dxa"/>
            <w:vAlign w:val="center"/>
          </w:tcPr>
          <w:p w14:paraId="7188BF84">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量筒</w:t>
            </w:r>
          </w:p>
        </w:tc>
        <w:tc>
          <w:tcPr>
            <w:tcW w:w="6167" w:type="dxa"/>
            <w:vAlign w:val="center"/>
          </w:tcPr>
          <w:p w14:paraId="26282FCE">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≥50 mL 透明钠钙玻璃制，分度线、数字和 标志应完整、清晰和耐久，容积为 20℃时充满量筒刻度线所容纳体积</w:t>
            </w:r>
          </w:p>
        </w:tc>
        <w:tc>
          <w:tcPr>
            <w:tcW w:w="863" w:type="dxa"/>
            <w:gridSpan w:val="4"/>
            <w:vAlign w:val="center"/>
          </w:tcPr>
          <w:p w14:paraId="6EBEA742">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25" w:type="dxa"/>
            <w:gridSpan w:val="3"/>
            <w:vAlign w:val="center"/>
          </w:tcPr>
          <w:p w14:paraId="23237C60">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25</w:t>
            </w:r>
          </w:p>
        </w:tc>
      </w:tr>
      <w:tr w14:paraId="11AE72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47BD1B6F">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49</w:t>
            </w:r>
          </w:p>
        </w:tc>
        <w:tc>
          <w:tcPr>
            <w:tcW w:w="1227" w:type="dxa"/>
            <w:vAlign w:val="center"/>
          </w:tcPr>
          <w:p w14:paraId="3CD2549B">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量筒</w:t>
            </w:r>
          </w:p>
        </w:tc>
        <w:tc>
          <w:tcPr>
            <w:tcW w:w="6167" w:type="dxa"/>
            <w:vAlign w:val="center"/>
          </w:tcPr>
          <w:p w14:paraId="6C048BA2">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≥100 mL 透明钠钙玻璃制，分度线、数字和 标志应完整、清晰和耐久，容积为 20℃时充满量筒刻度线所容纳体积</w:t>
            </w:r>
          </w:p>
        </w:tc>
        <w:tc>
          <w:tcPr>
            <w:tcW w:w="863" w:type="dxa"/>
            <w:gridSpan w:val="4"/>
            <w:vAlign w:val="center"/>
          </w:tcPr>
          <w:p w14:paraId="056DB114">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25" w:type="dxa"/>
            <w:gridSpan w:val="3"/>
            <w:vAlign w:val="center"/>
          </w:tcPr>
          <w:p w14:paraId="5C2EFD0B">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w:t>
            </w:r>
          </w:p>
        </w:tc>
      </w:tr>
      <w:tr w14:paraId="298278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6C65BAFD">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50</w:t>
            </w:r>
          </w:p>
        </w:tc>
        <w:tc>
          <w:tcPr>
            <w:tcW w:w="1227" w:type="dxa"/>
            <w:vAlign w:val="center"/>
          </w:tcPr>
          <w:p w14:paraId="15C36304">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量筒</w:t>
            </w:r>
          </w:p>
        </w:tc>
        <w:tc>
          <w:tcPr>
            <w:tcW w:w="6167" w:type="dxa"/>
            <w:vAlign w:val="center"/>
          </w:tcPr>
          <w:p w14:paraId="03BA4189">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≥500 mL 透明钠钙玻璃制，分度线、数字和 标志应完整、清晰和耐久，容积为 20℃时充满量筒刻度线所容纳体积</w:t>
            </w:r>
          </w:p>
        </w:tc>
        <w:tc>
          <w:tcPr>
            <w:tcW w:w="863" w:type="dxa"/>
            <w:gridSpan w:val="4"/>
            <w:vAlign w:val="center"/>
          </w:tcPr>
          <w:p w14:paraId="1B70D746">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25" w:type="dxa"/>
            <w:gridSpan w:val="3"/>
            <w:vAlign w:val="center"/>
          </w:tcPr>
          <w:p w14:paraId="52FF5C3D">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w:t>
            </w:r>
          </w:p>
        </w:tc>
      </w:tr>
      <w:tr w14:paraId="78A740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0D5F9A33">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51</w:t>
            </w:r>
          </w:p>
        </w:tc>
        <w:tc>
          <w:tcPr>
            <w:tcW w:w="1227" w:type="dxa"/>
            <w:vAlign w:val="center"/>
          </w:tcPr>
          <w:p w14:paraId="27AB4356">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容量瓶</w:t>
            </w:r>
          </w:p>
        </w:tc>
        <w:tc>
          <w:tcPr>
            <w:tcW w:w="6167" w:type="dxa"/>
            <w:vAlign w:val="center"/>
          </w:tcPr>
          <w:p w14:paraId="7043058B">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≥250 mL 透明硼硅酸盐玻璃制，刻度线应在 瓶颈下部三分之二处，清晰耐久， 粗细均匀</w:t>
            </w:r>
          </w:p>
        </w:tc>
        <w:tc>
          <w:tcPr>
            <w:tcW w:w="863" w:type="dxa"/>
            <w:gridSpan w:val="4"/>
            <w:vAlign w:val="center"/>
          </w:tcPr>
          <w:p w14:paraId="56389464">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25" w:type="dxa"/>
            <w:gridSpan w:val="3"/>
            <w:vAlign w:val="center"/>
          </w:tcPr>
          <w:p w14:paraId="53A19393">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46827E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4368F142">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52</w:t>
            </w:r>
          </w:p>
        </w:tc>
        <w:tc>
          <w:tcPr>
            <w:tcW w:w="1227" w:type="dxa"/>
            <w:vAlign w:val="center"/>
          </w:tcPr>
          <w:p w14:paraId="2BFC44AC">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容量瓶</w:t>
            </w:r>
          </w:p>
        </w:tc>
        <w:tc>
          <w:tcPr>
            <w:tcW w:w="6167" w:type="dxa"/>
            <w:vAlign w:val="center"/>
          </w:tcPr>
          <w:p w14:paraId="07E35035">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≥500 mL 透明硼硅酸盐玻璃制，刻度线应在 瓶颈下部三分之二处，清晰耐久， 粗细均匀</w:t>
            </w:r>
          </w:p>
        </w:tc>
        <w:tc>
          <w:tcPr>
            <w:tcW w:w="863" w:type="dxa"/>
            <w:gridSpan w:val="4"/>
            <w:vAlign w:val="center"/>
          </w:tcPr>
          <w:p w14:paraId="3688ACF0">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25" w:type="dxa"/>
            <w:gridSpan w:val="3"/>
            <w:vAlign w:val="center"/>
          </w:tcPr>
          <w:p w14:paraId="345F490E">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0354AE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172B462B">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53</w:t>
            </w:r>
          </w:p>
        </w:tc>
        <w:tc>
          <w:tcPr>
            <w:tcW w:w="1227" w:type="dxa"/>
            <w:vAlign w:val="center"/>
          </w:tcPr>
          <w:p w14:paraId="722F99FD">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滴定管</w:t>
            </w:r>
          </w:p>
        </w:tc>
        <w:tc>
          <w:tcPr>
            <w:tcW w:w="6167" w:type="dxa"/>
            <w:vAlign w:val="center"/>
          </w:tcPr>
          <w:p w14:paraId="27336BDC">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酸式，具 塞， ≥25 mL 透明钠钙玻璃制，良好外观， 不应 有积水条纹</w:t>
            </w:r>
          </w:p>
        </w:tc>
        <w:tc>
          <w:tcPr>
            <w:tcW w:w="863" w:type="dxa"/>
            <w:gridSpan w:val="4"/>
            <w:vAlign w:val="center"/>
          </w:tcPr>
          <w:p w14:paraId="7ABD8E97">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支</w:t>
            </w:r>
          </w:p>
        </w:tc>
        <w:tc>
          <w:tcPr>
            <w:tcW w:w="925" w:type="dxa"/>
            <w:gridSpan w:val="3"/>
            <w:vAlign w:val="center"/>
          </w:tcPr>
          <w:p w14:paraId="5514357C">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30C13B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62C9EAB0">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54</w:t>
            </w:r>
          </w:p>
        </w:tc>
        <w:tc>
          <w:tcPr>
            <w:tcW w:w="1227" w:type="dxa"/>
            <w:vAlign w:val="center"/>
          </w:tcPr>
          <w:p w14:paraId="773D466A">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滴定管</w:t>
            </w:r>
          </w:p>
        </w:tc>
        <w:tc>
          <w:tcPr>
            <w:tcW w:w="6167" w:type="dxa"/>
            <w:vAlign w:val="center"/>
          </w:tcPr>
          <w:p w14:paraId="04C3579C">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碱式，无 塞， ≥25 mL 透明钠钙玻璃制，良好外观， 不应 有积水条纹</w:t>
            </w:r>
          </w:p>
        </w:tc>
        <w:tc>
          <w:tcPr>
            <w:tcW w:w="863" w:type="dxa"/>
            <w:gridSpan w:val="4"/>
            <w:vAlign w:val="center"/>
          </w:tcPr>
          <w:p w14:paraId="55049BF7">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支</w:t>
            </w:r>
          </w:p>
        </w:tc>
        <w:tc>
          <w:tcPr>
            <w:tcW w:w="925" w:type="dxa"/>
            <w:gridSpan w:val="3"/>
            <w:vAlign w:val="center"/>
          </w:tcPr>
          <w:p w14:paraId="2CE03796">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2FE49A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001C2370">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55</w:t>
            </w:r>
          </w:p>
        </w:tc>
        <w:tc>
          <w:tcPr>
            <w:tcW w:w="1227" w:type="dxa"/>
            <w:vAlign w:val="center"/>
          </w:tcPr>
          <w:p w14:paraId="52883842">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试管</w:t>
            </w:r>
          </w:p>
        </w:tc>
        <w:tc>
          <w:tcPr>
            <w:tcW w:w="6167" w:type="dxa"/>
            <w:vAlign w:val="center"/>
          </w:tcPr>
          <w:p w14:paraId="4EE31B23">
            <w:pPr>
              <w:widowControl/>
              <w:jc w:val="left"/>
              <w:textAlignment w:val="center"/>
              <w:rPr>
                <w:rFonts w:hint="eastAsia" w:ascii="宋体" w:hAnsi="宋体"/>
                <w:i/>
                <w:iCs/>
                <w:color w:val="auto"/>
                <w:szCs w:val="21"/>
                <w:highlight w:val="none"/>
              </w:rPr>
            </w:pPr>
            <w:r>
              <w:rPr>
                <w:rFonts w:hint="eastAsia" w:ascii="宋体" w:hAnsi="宋体"/>
                <w:color w:val="auto"/>
                <w:kern w:val="0"/>
                <w:szCs w:val="21"/>
                <w:highlight w:val="none"/>
                <w:lang w:bidi="ar"/>
              </w:rPr>
              <w:t>≥</w:t>
            </w:r>
            <w:r>
              <w:rPr>
                <w:rFonts w:hint="eastAsia" w:ascii="宋体" w:hAnsi="宋体"/>
                <w:i/>
                <w:iCs/>
                <w:color w:val="auto"/>
                <w:kern w:val="0"/>
                <w:szCs w:val="21"/>
                <w:highlight w:val="none"/>
                <w:lang w:bidi="ar"/>
              </w:rPr>
              <w:t xml:space="preserve">Φ </w:t>
            </w:r>
            <w:r>
              <w:rPr>
                <w:rFonts w:hint="eastAsia" w:ascii="宋体" w:hAnsi="宋体"/>
                <w:color w:val="auto"/>
                <w:kern w:val="0"/>
                <w:szCs w:val="21"/>
                <w:highlight w:val="none"/>
                <w:lang w:bidi="ar"/>
              </w:rPr>
              <w:t>12 mm × 70 mm 透明硼硅酸盐玻璃制</w:t>
            </w:r>
          </w:p>
        </w:tc>
        <w:tc>
          <w:tcPr>
            <w:tcW w:w="863" w:type="dxa"/>
            <w:gridSpan w:val="4"/>
            <w:vAlign w:val="center"/>
          </w:tcPr>
          <w:p w14:paraId="7994E9CC">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支</w:t>
            </w:r>
          </w:p>
        </w:tc>
        <w:tc>
          <w:tcPr>
            <w:tcW w:w="925" w:type="dxa"/>
            <w:gridSpan w:val="3"/>
            <w:vAlign w:val="center"/>
          </w:tcPr>
          <w:p w14:paraId="60DA4060">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125</w:t>
            </w:r>
          </w:p>
        </w:tc>
      </w:tr>
      <w:tr w14:paraId="189D72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6FF81774">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56</w:t>
            </w:r>
          </w:p>
        </w:tc>
        <w:tc>
          <w:tcPr>
            <w:tcW w:w="1227" w:type="dxa"/>
            <w:vAlign w:val="center"/>
          </w:tcPr>
          <w:p w14:paraId="1BA8B8B3">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试管</w:t>
            </w:r>
          </w:p>
        </w:tc>
        <w:tc>
          <w:tcPr>
            <w:tcW w:w="6167" w:type="dxa"/>
            <w:vAlign w:val="center"/>
          </w:tcPr>
          <w:p w14:paraId="32C272BC">
            <w:pPr>
              <w:widowControl/>
              <w:jc w:val="left"/>
              <w:textAlignment w:val="center"/>
              <w:rPr>
                <w:rFonts w:hint="eastAsia" w:ascii="宋体" w:hAnsi="宋体"/>
                <w:i/>
                <w:iCs/>
                <w:color w:val="auto"/>
                <w:szCs w:val="21"/>
                <w:highlight w:val="none"/>
              </w:rPr>
            </w:pPr>
            <w:r>
              <w:rPr>
                <w:rFonts w:hint="eastAsia" w:ascii="宋体" w:hAnsi="宋体"/>
                <w:color w:val="auto"/>
                <w:kern w:val="0"/>
                <w:szCs w:val="21"/>
                <w:highlight w:val="none"/>
                <w:lang w:bidi="ar"/>
              </w:rPr>
              <w:t>≥</w:t>
            </w:r>
            <w:r>
              <w:rPr>
                <w:rFonts w:hint="eastAsia" w:ascii="宋体" w:hAnsi="宋体"/>
                <w:i/>
                <w:iCs/>
                <w:color w:val="auto"/>
                <w:kern w:val="0"/>
                <w:szCs w:val="21"/>
                <w:highlight w:val="none"/>
                <w:lang w:bidi="ar"/>
              </w:rPr>
              <w:t xml:space="preserve">Φ </w:t>
            </w:r>
            <w:r>
              <w:rPr>
                <w:rFonts w:hint="eastAsia" w:ascii="宋体" w:hAnsi="宋体"/>
                <w:color w:val="auto"/>
                <w:kern w:val="0"/>
                <w:szCs w:val="21"/>
                <w:highlight w:val="none"/>
                <w:lang w:bidi="ar"/>
              </w:rPr>
              <w:t>15 mm × 150 mm 透明硼硅酸盐玻璃制</w:t>
            </w:r>
          </w:p>
        </w:tc>
        <w:tc>
          <w:tcPr>
            <w:tcW w:w="863" w:type="dxa"/>
            <w:gridSpan w:val="4"/>
            <w:vAlign w:val="center"/>
          </w:tcPr>
          <w:p w14:paraId="68B8699D">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支</w:t>
            </w:r>
          </w:p>
        </w:tc>
        <w:tc>
          <w:tcPr>
            <w:tcW w:w="925" w:type="dxa"/>
            <w:gridSpan w:val="3"/>
            <w:vAlign w:val="center"/>
          </w:tcPr>
          <w:p w14:paraId="05B8ABA4">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250</w:t>
            </w:r>
          </w:p>
        </w:tc>
      </w:tr>
      <w:tr w14:paraId="488623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6B4C82A4">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57</w:t>
            </w:r>
          </w:p>
        </w:tc>
        <w:tc>
          <w:tcPr>
            <w:tcW w:w="1227" w:type="dxa"/>
            <w:vAlign w:val="center"/>
          </w:tcPr>
          <w:p w14:paraId="713CBF2B">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试管</w:t>
            </w:r>
          </w:p>
        </w:tc>
        <w:tc>
          <w:tcPr>
            <w:tcW w:w="6167" w:type="dxa"/>
            <w:vAlign w:val="center"/>
          </w:tcPr>
          <w:p w14:paraId="427EBC8C">
            <w:pPr>
              <w:widowControl/>
              <w:jc w:val="left"/>
              <w:textAlignment w:val="center"/>
              <w:rPr>
                <w:rFonts w:hint="eastAsia" w:ascii="宋体" w:hAnsi="宋体"/>
                <w:i/>
                <w:iCs/>
                <w:color w:val="auto"/>
                <w:szCs w:val="21"/>
                <w:highlight w:val="none"/>
              </w:rPr>
            </w:pPr>
            <w:r>
              <w:rPr>
                <w:rFonts w:hint="eastAsia" w:ascii="宋体" w:hAnsi="宋体"/>
                <w:color w:val="auto"/>
                <w:kern w:val="0"/>
                <w:szCs w:val="21"/>
                <w:highlight w:val="none"/>
                <w:lang w:bidi="ar"/>
              </w:rPr>
              <w:t>≥</w:t>
            </w:r>
            <w:r>
              <w:rPr>
                <w:rFonts w:hint="eastAsia" w:ascii="宋体" w:hAnsi="宋体"/>
                <w:i/>
                <w:iCs/>
                <w:color w:val="auto"/>
                <w:kern w:val="0"/>
                <w:szCs w:val="21"/>
                <w:highlight w:val="none"/>
                <w:lang w:bidi="ar"/>
              </w:rPr>
              <w:t xml:space="preserve">Φ </w:t>
            </w:r>
            <w:r>
              <w:rPr>
                <w:rFonts w:hint="eastAsia" w:ascii="宋体" w:hAnsi="宋体"/>
                <w:color w:val="auto"/>
                <w:kern w:val="0"/>
                <w:szCs w:val="21"/>
                <w:highlight w:val="none"/>
                <w:lang w:bidi="ar"/>
              </w:rPr>
              <w:t>18 mm × 180 mm 透明硼硅酸盐玻璃制</w:t>
            </w:r>
          </w:p>
        </w:tc>
        <w:tc>
          <w:tcPr>
            <w:tcW w:w="863" w:type="dxa"/>
            <w:gridSpan w:val="4"/>
            <w:vAlign w:val="center"/>
          </w:tcPr>
          <w:p w14:paraId="13141E4E">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支</w:t>
            </w:r>
          </w:p>
        </w:tc>
        <w:tc>
          <w:tcPr>
            <w:tcW w:w="925" w:type="dxa"/>
            <w:gridSpan w:val="3"/>
            <w:vAlign w:val="center"/>
          </w:tcPr>
          <w:p w14:paraId="05DB48D7">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75</w:t>
            </w:r>
          </w:p>
        </w:tc>
      </w:tr>
      <w:tr w14:paraId="68EB83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5D1CB09B">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58</w:t>
            </w:r>
          </w:p>
        </w:tc>
        <w:tc>
          <w:tcPr>
            <w:tcW w:w="1227" w:type="dxa"/>
            <w:vAlign w:val="center"/>
          </w:tcPr>
          <w:p w14:paraId="30B01A07">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试管</w:t>
            </w:r>
          </w:p>
        </w:tc>
        <w:tc>
          <w:tcPr>
            <w:tcW w:w="6167" w:type="dxa"/>
            <w:vAlign w:val="center"/>
          </w:tcPr>
          <w:p w14:paraId="6EE351B6">
            <w:pPr>
              <w:widowControl/>
              <w:jc w:val="left"/>
              <w:textAlignment w:val="center"/>
              <w:rPr>
                <w:rFonts w:hint="eastAsia" w:ascii="宋体" w:hAnsi="宋体"/>
                <w:i/>
                <w:iCs/>
                <w:color w:val="auto"/>
                <w:szCs w:val="21"/>
                <w:highlight w:val="none"/>
              </w:rPr>
            </w:pPr>
            <w:r>
              <w:rPr>
                <w:rFonts w:hint="eastAsia" w:ascii="宋体" w:hAnsi="宋体"/>
                <w:color w:val="auto"/>
                <w:kern w:val="0"/>
                <w:szCs w:val="21"/>
                <w:highlight w:val="none"/>
                <w:lang w:bidi="ar"/>
              </w:rPr>
              <w:t>≥</w:t>
            </w:r>
            <w:r>
              <w:rPr>
                <w:rFonts w:hint="eastAsia" w:ascii="宋体" w:hAnsi="宋体"/>
                <w:i/>
                <w:iCs/>
                <w:color w:val="auto"/>
                <w:kern w:val="0"/>
                <w:szCs w:val="21"/>
                <w:highlight w:val="none"/>
                <w:lang w:bidi="ar"/>
              </w:rPr>
              <w:t xml:space="preserve">Φ </w:t>
            </w:r>
            <w:r>
              <w:rPr>
                <w:rFonts w:hint="eastAsia" w:ascii="宋体" w:hAnsi="宋体"/>
                <w:color w:val="auto"/>
                <w:kern w:val="0"/>
                <w:szCs w:val="21"/>
                <w:highlight w:val="none"/>
                <w:lang w:bidi="ar"/>
              </w:rPr>
              <w:t>20 mm × 200 mm 透明硼硅酸盐玻璃制</w:t>
            </w:r>
          </w:p>
        </w:tc>
        <w:tc>
          <w:tcPr>
            <w:tcW w:w="863" w:type="dxa"/>
            <w:gridSpan w:val="4"/>
            <w:vAlign w:val="center"/>
          </w:tcPr>
          <w:p w14:paraId="21C2A4C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支</w:t>
            </w:r>
          </w:p>
        </w:tc>
        <w:tc>
          <w:tcPr>
            <w:tcW w:w="925" w:type="dxa"/>
            <w:gridSpan w:val="3"/>
            <w:vAlign w:val="center"/>
          </w:tcPr>
          <w:p w14:paraId="43387BA0">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75</w:t>
            </w:r>
          </w:p>
        </w:tc>
      </w:tr>
      <w:tr w14:paraId="0AF643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2E1A6EC2">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59</w:t>
            </w:r>
          </w:p>
        </w:tc>
        <w:tc>
          <w:tcPr>
            <w:tcW w:w="1227" w:type="dxa"/>
            <w:vAlign w:val="center"/>
          </w:tcPr>
          <w:p w14:paraId="4717CD43">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试管</w:t>
            </w:r>
          </w:p>
        </w:tc>
        <w:tc>
          <w:tcPr>
            <w:tcW w:w="6167" w:type="dxa"/>
            <w:vAlign w:val="center"/>
          </w:tcPr>
          <w:p w14:paraId="772A536F">
            <w:pPr>
              <w:widowControl/>
              <w:jc w:val="left"/>
              <w:textAlignment w:val="center"/>
              <w:rPr>
                <w:rFonts w:hint="eastAsia" w:ascii="宋体" w:hAnsi="宋体"/>
                <w:i/>
                <w:iCs/>
                <w:color w:val="auto"/>
                <w:szCs w:val="21"/>
                <w:highlight w:val="none"/>
              </w:rPr>
            </w:pPr>
            <w:r>
              <w:rPr>
                <w:rFonts w:hint="eastAsia" w:ascii="宋体" w:hAnsi="宋体"/>
                <w:color w:val="auto"/>
                <w:kern w:val="0"/>
                <w:szCs w:val="21"/>
                <w:highlight w:val="none"/>
                <w:lang w:bidi="ar"/>
              </w:rPr>
              <w:t>≥</w:t>
            </w:r>
            <w:r>
              <w:rPr>
                <w:rFonts w:hint="eastAsia" w:ascii="宋体" w:hAnsi="宋体"/>
                <w:i/>
                <w:iCs/>
                <w:color w:val="auto"/>
                <w:kern w:val="0"/>
                <w:szCs w:val="21"/>
                <w:highlight w:val="none"/>
                <w:lang w:bidi="ar"/>
              </w:rPr>
              <w:t xml:space="preserve">Φ </w:t>
            </w:r>
            <w:r>
              <w:rPr>
                <w:rFonts w:hint="eastAsia" w:ascii="宋体" w:hAnsi="宋体"/>
                <w:color w:val="auto"/>
                <w:kern w:val="0"/>
                <w:szCs w:val="21"/>
                <w:highlight w:val="none"/>
                <w:lang w:bidi="ar"/>
              </w:rPr>
              <w:t>32 mm × 200 mm 透明硼硅酸盐玻璃制</w:t>
            </w:r>
          </w:p>
        </w:tc>
        <w:tc>
          <w:tcPr>
            <w:tcW w:w="863" w:type="dxa"/>
            <w:gridSpan w:val="4"/>
            <w:vAlign w:val="center"/>
          </w:tcPr>
          <w:p w14:paraId="2DCFD032">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支</w:t>
            </w:r>
          </w:p>
        </w:tc>
        <w:tc>
          <w:tcPr>
            <w:tcW w:w="925" w:type="dxa"/>
            <w:gridSpan w:val="3"/>
            <w:vAlign w:val="center"/>
          </w:tcPr>
          <w:p w14:paraId="1872E635">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10</w:t>
            </w:r>
          </w:p>
        </w:tc>
      </w:tr>
      <w:tr w14:paraId="70FD4E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247A854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60</w:t>
            </w:r>
          </w:p>
        </w:tc>
        <w:tc>
          <w:tcPr>
            <w:tcW w:w="1227" w:type="dxa"/>
            <w:vAlign w:val="center"/>
          </w:tcPr>
          <w:p w14:paraId="0B5806C2">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口部具支试管</w:t>
            </w:r>
          </w:p>
        </w:tc>
        <w:tc>
          <w:tcPr>
            <w:tcW w:w="6167" w:type="dxa"/>
            <w:vAlign w:val="center"/>
          </w:tcPr>
          <w:p w14:paraId="4B07EDA8">
            <w:pPr>
              <w:widowControl/>
              <w:jc w:val="left"/>
              <w:textAlignment w:val="center"/>
              <w:rPr>
                <w:rFonts w:hint="eastAsia" w:ascii="宋体" w:hAnsi="宋体"/>
                <w:i/>
                <w:iCs/>
                <w:color w:val="auto"/>
                <w:szCs w:val="21"/>
                <w:highlight w:val="none"/>
              </w:rPr>
            </w:pPr>
            <w:r>
              <w:rPr>
                <w:rFonts w:hint="eastAsia" w:ascii="宋体" w:hAnsi="宋体"/>
                <w:color w:val="auto"/>
                <w:kern w:val="0"/>
                <w:szCs w:val="21"/>
                <w:highlight w:val="none"/>
                <w:lang w:bidi="ar"/>
              </w:rPr>
              <w:t>≥</w:t>
            </w:r>
            <w:r>
              <w:rPr>
                <w:rFonts w:hint="eastAsia" w:ascii="宋体" w:hAnsi="宋体"/>
                <w:i/>
                <w:iCs/>
                <w:color w:val="auto"/>
                <w:kern w:val="0"/>
                <w:szCs w:val="21"/>
                <w:highlight w:val="none"/>
                <w:lang w:bidi="ar"/>
              </w:rPr>
              <w:t xml:space="preserve">Φ </w:t>
            </w:r>
            <w:r>
              <w:rPr>
                <w:rFonts w:hint="eastAsia" w:ascii="宋体" w:hAnsi="宋体"/>
                <w:color w:val="auto"/>
                <w:kern w:val="0"/>
                <w:szCs w:val="21"/>
                <w:highlight w:val="none"/>
                <w:lang w:bidi="ar"/>
              </w:rPr>
              <w:t>20 mm × 200 mm 透明硼硅酸盐玻璃制，管底厚薄应 均匀，支管连接应平滑牢固， 不应 有偏歪</w:t>
            </w:r>
          </w:p>
        </w:tc>
        <w:tc>
          <w:tcPr>
            <w:tcW w:w="863" w:type="dxa"/>
            <w:gridSpan w:val="4"/>
            <w:vAlign w:val="center"/>
          </w:tcPr>
          <w:p w14:paraId="0A35342E">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支</w:t>
            </w:r>
          </w:p>
        </w:tc>
        <w:tc>
          <w:tcPr>
            <w:tcW w:w="925" w:type="dxa"/>
            <w:gridSpan w:val="3"/>
            <w:vAlign w:val="center"/>
          </w:tcPr>
          <w:p w14:paraId="361F7CA3">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10</w:t>
            </w:r>
          </w:p>
        </w:tc>
      </w:tr>
      <w:tr w14:paraId="12D712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40B2F9E8">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61</w:t>
            </w:r>
          </w:p>
        </w:tc>
        <w:tc>
          <w:tcPr>
            <w:tcW w:w="1227" w:type="dxa"/>
            <w:vAlign w:val="center"/>
          </w:tcPr>
          <w:p w14:paraId="2D2A09D5">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硬质玻璃管</w:t>
            </w:r>
          </w:p>
        </w:tc>
        <w:tc>
          <w:tcPr>
            <w:tcW w:w="6167" w:type="dxa"/>
            <w:vAlign w:val="center"/>
          </w:tcPr>
          <w:p w14:paraId="40C7EDF8">
            <w:pPr>
              <w:widowControl/>
              <w:jc w:val="left"/>
              <w:textAlignment w:val="center"/>
              <w:rPr>
                <w:rFonts w:hint="eastAsia" w:ascii="宋体" w:hAnsi="宋体"/>
                <w:i/>
                <w:iCs/>
                <w:color w:val="auto"/>
                <w:szCs w:val="21"/>
                <w:highlight w:val="none"/>
              </w:rPr>
            </w:pPr>
            <w:r>
              <w:rPr>
                <w:rFonts w:hint="eastAsia" w:ascii="宋体" w:hAnsi="宋体"/>
                <w:color w:val="auto"/>
                <w:kern w:val="0"/>
                <w:szCs w:val="21"/>
                <w:highlight w:val="none"/>
                <w:lang w:bidi="ar"/>
              </w:rPr>
              <w:t>≥</w:t>
            </w:r>
            <w:r>
              <w:rPr>
                <w:rFonts w:hint="eastAsia" w:ascii="宋体" w:hAnsi="宋体"/>
                <w:i/>
                <w:iCs/>
                <w:color w:val="auto"/>
                <w:kern w:val="0"/>
                <w:szCs w:val="21"/>
                <w:highlight w:val="none"/>
                <w:lang w:bidi="ar"/>
              </w:rPr>
              <w:t xml:space="preserve">Φ </w:t>
            </w:r>
            <w:r>
              <w:rPr>
                <w:rFonts w:hint="eastAsia" w:ascii="宋体" w:hAnsi="宋体"/>
                <w:color w:val="auto"/>
                <w:kern w:val="0"/>
                <w:szCs w:val="21"/>
                <w:highlight w:val="none"/>
                <w:lang w:bidi="ar"/>
              </w:rPr>
              <w:t>15 mm × 150 mm 透明硼硅酸盐玻璃制，耐热温度≥ 800℃,试管两端口部应卷口</w:t>
            </w:r>
          </w:p>
        </w:tc>
        <w:tc>
          <w:tcPr>
            <w:tcW w:w="863" w:type="dxa"/>
            <w:gridSpan w:val="4"/>
            <w:vAlign w:val="center"/>
          </w:tcPr>
          <w:p w14:paraId="510128C5">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支</w:t>
            </w:r>
          </w:p>
        </w:tc>
        <w:tc>
          <w:tcPr>
            <w:tcW w:w="925" w:type="dxa"/>
            <w:gridSpan w:val="3"/>
            <w:vAlign w:val="center"/>
          </w:tcPr>
          <w:p w14:paraId="3485FA10">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10</w:t>
            </w:r>
          </w:p>
        </w:tc>
      </w:tr>
      <w:tr w14:paraId="599472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5FE4044E">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62</w:t>
            </w:r>
          </w:p>
        </w:tc>
        <w:tc>
          <w:tcPr>
            <w:tcW w:w="1227" w:type="dxa"/>
            <w:vAlign w:val="center"/>
          </w:tcPr>
          <w:p w14:paraId="4986031F">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硬质玻璃管</w:t>
            </w:r>
          </w:p>
        </w:tc>
        <w:tc>
          <w:tcPr>
            <w:tcW w:w="6167" w:type="dxa"/>
            <w:vAlign w:val="center"/>
          </w:tcPr>
          <w:p w14:paraId="35328D7C">
            <w:pPr>
              <w:widowControl/>
              <w:jc w:val="left"/>
              <w:textAlignment w:val="center"/>
              <w:rPr>
                <w:rFonts w:hint="eastAsia" w:ascii="宋体" w:hAnsi="宋体"/>
                <w:i/>
                <w:iCs/>
                <w:color w:val="auto"/>
                <w:szCs w:val="21"/>
                <w:highlight w:val="none"/>
              </w:rPr>
            </w:pPr>
            <w:r>
              <w:rPr>
                <w:rFonts w:hint="eastAsia" w:ascii="宋体" w:hAnsi="宋体"/>
                <w:color w:val="auto"/>
                <w:kern w:val="0"/>
                <w:szCs w:val="21"/>
                <w:highlight w:val="none"/>
                <w:lang w:bidi="ar"/>
              </w:rPr>
              <w:t>≥</w:t>
            </w:r>
            <w:r>
              <w:rPr>
                <w:rFonts w:hint="eastAsia" w:ascii="宋体" w:hAnsi="宋体"/>
                <w:i/>
                <w:iCs/>
                <w:color w:val="auto"/>
                <w:kern w:val="0"/>
                <w:szCs w:val="21"/>
                <w:highlight w:val="none"/>
                <w:lang w:bidi="ar"/>
              </w:rPr>
              <w:t xml:space="preserve">Φ </w:t>
            </w:r>
            <w:r>
              <w:rPr>
                <w:rFonts w:hint="eastAsia" w:ascii="宋体" w:hAnsi="宋体"/>
                <w:color w:val="auto"/>
                <w:kern w:val="0"/>
                <w:szCs w:val="21"/>
                <w:highlight w:val="none"/>
                <w:lang w:bidi="ar"/>
              </w:rPr>
              <w:t>20 mm × 250 mm 透明硼硅酸盐玻璃制，耐热温度≥ 800℃,试管两端口部应卷口</w:t>
            </w:r>
          </w:p>
        </w:tc>
        <w:tc>
          <w:tcPr>
            <w:tcW w:w="863" w:type="dxa"/>
            <w:gridSpan w:val="4"/>
            <w:vAlign w:val="center"/>
          </w:tcPr>
          <w:p w14:paraId="6F6AA3FD">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支</w:t>
            </w:r>
          </w:p>
        </w:tc>
        <w:tc>
          <w:tcPr>
            <w:tcW w:w="925" w:type="dxa"/>
            <w:gridSpan w:val="3"/>
            <w:vAlign w:val="center"/>
          </w:tcPr>
          <w:p w14:paraId="692207DC">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10</w:t>
            </w:r>
          </w:p>
        </w:tc>
      </w:tr>
      <w:tr w14:paraId="5BFBB5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2F0A503C">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63</w:t>
            </w:r>
          </w:p>
        </w:tc>
        <w:tc>
          <w:tcPr>
            <w:tcW w:w="1227" w:type="dxa"/>
            <w:vAlign w:val="center"/>
          </w:tcPr>
          <w:p w14:paraId="39B4C89E">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烧杯</w:t>
            </w:r>
          </w:p>
        </w:tc>
        <w:tc>
          <w:tcPr>
            <w:tcW w:w="6167" w:type="dxa"/>
            <w:vAlign w:val="center"/>
          </w:tcPr>
          <w:p w14:paraId="67811F6D">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≥10 mL 透明硼硅酸盐玻璃制，烧杯的满口容量应超过标称容量的 10%或烧杯 的满口容量和标称容量的两液面间 距不应少于 10mm，并应采用容量差 值较大的一种</w:t>
            </w:r>
          </w:p>
        </w:tc>
        <w:tc>
          <w:tcPr>
            <w:tcW w:w="863" w:type="dxa"/>
            <w:gridSpan w:val="4"/>
            <w:vAlign w:val="center"/>
          </w:tcPr>
          <w:p w14:paraId="5F9F841E">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25" w:type="dxa"/>
            <w:gridSpan w:val="3"/>
            <w:vAlign w:val="center"/>
          </w:tcPr>
          <w:p w14:paraId="059C65D8">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50</w:t>
            </w:r>
          </w:p>
        </w:tc>
      </w:tr>
      <w:tr w14:paraId="4503C8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625BE7A4">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64</w:t>
            </w:r>
          </w:p>
        </w:tc>
        <w:tc>
          <w:tcPr>
            <w:tcW w:w="1227" w:type="dxa"/>
            <w:vAlign w:val="center"/>
          </w:tcPr>
          <w:p w14:paraId="7AD25737">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烧杯</w:t>
            </w:r>
          </w:p>
        </w:tc>
        <w:tc>
          <w:tcPr>
            <w:tcW w:w="6167" w:type="dxa"/>
            <w:vAlign w:val="center"/>
          </w:tcPr>
          <w:p w14:paraId="7268D49C">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≥25 mL 透明硼硅酸盐玻璃制，烧杯的满口容量应超过标称容量的 10%或烧杯 的满口容量和标称容量的两液面间距不应少于 10mm，并应采用容量差 值较大的一种</w:t>
            </w:r>
          </w:p>
        </w:tc>
        <w:tc>
          <w:tcPr>
            <w:tcW w:w="863" w:type="dxa"/>
            <w:gridSpan w:val="4"/>
            <w:vAlign w:val="center"/>
          </w:tcPr>
          <w:p w14:paraId="3AB159C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25" w:type="dxa"/>
            <w:gridSpan w:val="3"/>
            <w:vAlign w:val="center"/>
          </w:tcPr>
          <w:p w14:paraId="40CE4A43">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75</w:t>
            </w:r>
          </w:p>
        </w:tc>
      </w:tr>
      <w:tr w14:paraId="6BF308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3D3B3FDB">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65</w:t>
            </w:r>
          </w:p>
        </w:tc>
        <w:tc>
          <w:tcPr>
            <w:tcW w:w="1227" w:type="dxa"/>
            <w:vAlign w:val="center"/>
          </w:tcPr>
          <w:p w14:paraId="250D972B">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烧杯</w:t>
            </w:r>
          </w:p>
        </w:tc>
        <w:tc>
          <w:tcPr>
            <w:tcW w:w="6167" w:type="dxa"/>
            <w:vAlign w:val="center"/>
          </w:tcPr>
          <w:p w14:paraId="156D0199">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≥50 mL 透明硼硅酸盐玻璃制，烧杯的满口容量应超过标称容量的 10%或烧杯 的满口容量和标称容量的两液面间距不应少于 10mm，并应采用容量差 值较大的一种</w:t>
            </w:r>
          </w:p>
        </w:tc>
        <w:tc>
          <w:tcPr>
            <w:tcW w:w="863" w:type="dxa"/>
            <w:gridSpan w:val="4"/>
            <w:vAlign w:val="center"/>
          </w:tcPr>
          <w:p w14:paraId="11E30E2C">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25" w:type="dxa"/>
            <w:gridSpan w:val="3"/>
            <w:vAlign w:val="center"/>
          </w:tcPr>
          <w:p w14:paraId="4EA35B51">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75</w:t>
            </w:r>
          </w:p>
        </w:tc>
      </w:tr>
      <w:tr w14:paraId="550609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658C457C">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66</w:t>
            </w:r>
          </w:p>
        </w:tc>
        <w:tc>
          <w:tcPr>
            <w:tcW w:w="1227" w:type="dxa"/>
            <w:vAlign w:val="center"/>
          </w:tcPr>
          <w:p w14:paraId="5152A25A">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烧杯</w:t>
            </w:r>
          </w:p>
        </w:tc>
        <w:tc>
          <w:tcPr>
            <w:tcW w:w="6167" w:type="dxa"/>
            <w:vAlign w:val="center"/>
          </w:tcPr>
          <w:p w14:paraId="6A2B3DA5">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≥100 mL 透明硼硅酸盐玻璃制，烧杯的满口容量应超过标称容量的 10%或烧杯 的满口容量和标称容量的两液面间距不应少于 10mm，并应采用容量差 值较大的一种</w:t>
            </w:r>
          </w:p>
        </w:tc>
        <w:tc>
          <w:tcPr>
            <w:tcW w:w="863" w:type="dxa"/>
            <w:gridSpan w:val="4"/>
            <w:vAlign w:val="center"/>
          </w:tcPr>
          <w:p w14:paraId="17E8D2D0">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25" w:type="dxa"/>
            <w:gridSpan w:val="3"/>
            <w:vAlign w:val="center"/>
          </w:tcPr>
          <w:p w14:paraId="59EC304E">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75</w:t>
            </w:r>
          </w:p>
        </w:tc>
      </w:tr>
      <w:tr w14:paraId="2AEA26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63B1471E">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67</w:t>
            </w:r>
          </w:p>
        </w:tc>
        <w:tc>
          <w:tcPr>
            <w:tcW w:w="1227" w:type="dxa"/>
            <w:vAlign w:val="center"/>
          </w:tcPr>
          <w:p w14:paraId="23023C77">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烧杯</w:t>
            </w:r>
          </w:p>
        </w:tc>
        <w:tc>
          <w:tcPr>
            <w:tcW w:w="6167" w:type="dxa"/>
            <w:vAlign w:val="center"/>
          </w:tcPr>
          <w:p w14:paraId="27D670A8">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≥250 mL 透明硼硅酸盐玻璃制，烧杯的满口容量应超过标称容量的 10%或烧杯 的满口容量和标称容量的两液面间距不应少于 10mm，并应采用容量差 值较大的一种</w:t>
            </w:r>
          </w:p>
        </w:tc>
        <w:tc>
          <w:tcPr>
            <w:tcW w:w="863" w:type="dxa"/>
            <w:gridSpan w:val="4"/>
            <w:vAlign w:val="center"/>
          </w:tcPr>
          <w:p w14:paraId="68ACA52F">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25" w:type="dxa"/>
            <w:gridSpan w:val="3"/>
            <w:vAlign w:val="center"/>
          </w:tcPr>
          <w:p w14:paraId="4249F934">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50</w:t>
            </w:r>
          </w:p>
        </w:tc>
      </w:tr>
      <w:tr w14:paraId="1F2566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73DE161A">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68</w:t>
            </w:r>
          </w:p>
        </w:tc>
        <w:tc>
          <w:tcPr>
            <w:tcW w:w="1227" w:type="dxa"/>
            <w:vAlign w:val="center"/>
          </w:tcPr>
          <w:p w14:paraId="2A02C8AD">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烧杯</w:t>
            </w:r>
          </w:p>
        </w:tc>
        <w:tc>
          <w:tcPr>
            <w:tcW w:w="6167" w:type="dxa"/>
            <w:vAlign w:val="center"/>
          </w:tcPr>
          <w:p w14:paraId="47D9579C">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≥500 mL 透明硼硅酸盐玻璃制，烧杯的满口容量应超过标称容量的 10%或烧杯 的满口容量和标称容量的两液面间距不应少于 10mm，并应采用容量差 值较大的一种</w:t>
            </w:r>
          </w:p>
        </w:tc>
        <w:tc>
          <w:tcPr>
            <w:tcW w:w="863" w:type="dxa"/>
            <w:gridSpan w:val="4"/>
            <w:vAlign w:val="center"/>
          </w:tcPr>
          <w:p w14:paraId="7802CF70">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25" w:type="dxa"/>
            <w:gridSpan w:val="3"/>
            <w:vAlign w:val="center"/>
          </w:tcPr>
          <w:p w14:paraId="1EDCFEBD">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3</w:t>
            </w:r>
          </w:p>
        </w:tc>
      </w:tr>
      <w:tr w14:paraId="2C80EE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78E03E9A">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69</w:t>
            </w:r>
          </w:p>
        </w:tc>
        <w:tc>
          <w:tcPr>
            <w:tcW w:w="1227" w:type="dxa"/>
            <w:vAlign w:val="center"/>
          </w:tcPr>
          <w:p w14:paraId="4DCE98A6">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烧杯</w:t>
            </w:r>
          </w:p>
        </w:tc>
        <w:tc>
          <w:tcPr>
            <w:tcW w:w="6167" w:type="dxa"/>
            <w:vAlign w:val="center"/>
          </w:tcPr>
          <w:p w14:paraId="09C2F824">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≥1000 mL 透明硼硅酸盐玻璃制，烧杯的满口容量应超过标称容量的 10%或烧杯 的满口容量和标称容量的两液面间距不应少于 10mm，并应采用容量差 值较大的一种</w:t>
            </w:r>
          </w:p>
        </w:tc>
        <w:tc>
          <w:tcPr>
            <w:tcW w:w="863" w:type="dxa"/>
            <w:gridSpan w:val="4"/>
            <w:vAlign w:val="center"/>
          </w:tcPr>
          <w:p w14:paraId="17B63CC5">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25" w:type="dxa"/>
            <w:gridSpan w:val="3"/>
            <w:vAlign w:val="center"/>
          </w:tcPr>
          <w:p w14:paraId="4546142D">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3</w:t>
            </w:r>
          </w:p>
        </w:tc>
      </w:tr>
      <w:tr w14:paraId="271B6E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694C2F6C">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70</w:t>
            </w:r>
          </w:p>
        </w:tc>
        <w:tc>
          <w:tcPr>
            <w:tcW w:w="1227" w:type="dxa"/>
            <w:vAlign w:val="center"/>
          </w:tcPr>
          <w:p w14:paraId="2AC435C7">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烧瓶</w:t>
            </w:r>
          </w:p>
        </w:tc>
        <w:tc>
          <w:tcPr>
            <w:tcW w:w="6167" w:type="dxa"/>
            <w:vAlign w:val="center"/>
          </w:tcPr>
          <w:p w14:paraId="444FCA37">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≥250 mL，圆底 透明硼硅酸盐玻璃制，玻璃薄厚均匀，底部应规整</w:t>
            </w:r>
          </w:p>
        </w:tc>
        <w:tc>
          <w:tcPr>
            <w:tcW w:w="863" w:type="dxa"/>
            <w:gridSpan w:val="4"/>
            <w:vAlign w:val="center"/>
          </w:tcPr>
          <w:p w14:paraId="440D7F4A">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25" w:type="dxa"/>
            <w:gridSpan w:val="3"/>
            <w:vAlign w:val="center"/>
          </w:tcPr>
          <w:p w14:paraId="54D91585">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13</w:t>
            </w:r>
          </w:p>
        </w:tc>
      </w:tr>
      <w:tr w14:paraId="53CD18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62758B80">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71</w:t>
            </w:r>
          </w:p>
        </w:tc>
        <w:tc>
          <w:tcPr>
            <w:tcW w:w="1227" w:type="dxa"/>
            <w:vAlign w:val="center"/>
          </w:tcPr>
          <w:p w14:paraId="5275AB14">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烧瓶</w:t>
            </w:r>
          </w:p>
        </w:tc>
        <w:tc>
          <w:tcPr>
            <w:tcW w:w="6167" w:type="dxa"/>
            <w:vAlign w:val="center"/>
          </w:tcPr>
          <w:p w14:paraId="07310898">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≥250 mL，平底 透明硼硅酸盐玻璃制，平底烧瓶放 在平台上时，应直立不摇晃、不转动</w:t>
            </w:r>
          </w:p>
        </w:tc>
        <w:tc>
          <w:tcPr>
            <w:tcW w:w="863" w:type="dxa"/>
            <w:gridSpan w:val="4"/>
            <w:vAlign w:val="center"/>
          </w:tcPr>
          <w:p w14:paraId="7F235906">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25" w:type="dxa"/>
            <w:gridSpan w:val="3"/>
            <w:vAlign w:val="center"/>
          </w:tcPr>
          <w:p w14:paraId="0A1B4906">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3</w:t>
            </w:r>
          </w:p>
        </w:tc>
      </w:tr>
      <w:tr w14:paraId="54054A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7E3DAEC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72</w:t>
            </w:r>
          </w:p>
        </w:tc>
        <w:tc>
          <w:tcPr>
            <w:tcW w:w="1227" w:type="dxa"/>
            <w:vAlign w:val="center"/>
          </w:tcPr>
          <w:p w14:paraId="1F676350">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锥形瓶</w:t>
            </w:r>
          </w:p>
        </w:tc>
        <w:tc>
          <w:tcPr>
            <w:tcW w:w="6167" w:type="dxa"/>
            <w:vAlign w:val="center"/>
          </w:tcPr>
          <w:p w14:paraId="5C59A524">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≥100 mL 透明硼硅酸盐玻璃制，放在平台上 应直立不摇晃、不转动</w:t>
            </w:r>
          </w:p>
        </w:tc>
        <w:tc>
          <w:tcPr>
            <w:tcW w:w="863" w:type="dxa"/>
            <w:gridSpan w:val="4"/>
            <w:vAlign w:val="center"/>
          </w:tcPr>
          <w:p w14:paraId="76212EF1">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25" w:type="dxa"/>
            <w:gridSpan w:val="3"/>
            <w:vAlign w:val="center"/>
          </w:tcPr>
          <w:p w14:paraId="7212BDB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25</w:t>
            </w:r>
          </w:p>
        </w:tc>
      </w:tr>
      <w:tr w14:paraId="4C14F0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6A16907F">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73</w:t>
            </w:r>
          </w:p>
        </w:tc>
        <w:tc>
          <w:tcPr>
            <w:tcW w:w="1227" w:type="dxa"/>
            <w:vAlign w:val="center"/>
          </w:tcPr>
          <w:p w14:paraId="7EB25484">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锥形瓶</w:t>
            </w:r>
          </w:p>
        </w:tc>
        <w:tc>
          <w:tcPr>
            <w:tcW w:w="6167" w:type="dxa"/>
            <w:vAlign w:val="center"/>
          </w:tcPr>
          <w:p w14:paraId="1A6139E0">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≥250 mL 透明硼硅酸盐玻璃制，放在平台上 应直立不摇晃、不转动</w:t>
            </w:r>
          </w:p>
        </w:tc>
        <w:tc>
          <w:tcPr>
            <w:tcW w:w="863" w:type="dxa"/>
            <w:gridSpan w:val="4"/>
            <w:vAlign w:val="center"/>
          </w:tcPr>
          <w:p w14:paraId="1EF60BD6">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25" w:type="dxa"/>
            <w:gridSpan w:val="3"/>
            <w:vAlign w:val="center"/>
          </w:tcPr>
          <w:p w14:paraId="6030D2D4">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10</w:t>
            </w:r>
          </w:p>
        </w:tc>
      </w:tr>
      <w:tr w14:paraId="0B6E46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5A669D85">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74</w:t>
            </w:r>
          </w:p>
        </w:tc>
        <w:tc>
          <w:tcPr>
            <w:tcW w:w="1227" w:type="dxa"/>
            <w:vAlign w:val="center"/>
          </w:tcPr>
          <w:p w14:paraId="2DB5E83C">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蒸馏烧瓶</w:t>
            </w:r>
          </w:p>
        </w:tc>
        <w:tc>
          <w:tcPr>
            <w:tcW w:w="6167" w:type="dxa"/>
            <w:vAlign w:val="center"/>
          </w:tcPr>
          <w:p w14:paraId="369B155F">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≥250 mL 透明硼硅酸盐玻璃制，烧瓶的颈部 同一截面应该呈圆形，颈的口部不 应呈锥形，并适当提高强度</w:t>
            </w:r>
          </w:p>
        </w:tc>
        <w:tc>
          <w:tcPr>
            <w:tcW w:w="863" w:type="dxa"/>
            <w:gridSpan w:val="4"/>
            <w:vAlign w:val="center"/>
          </w:tcPr>
          <w:p w14:paraId="768FB39A">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25" w:type="dxa"/>
            <w:gridSpan w:val="3"/>
            <w:vAlign w:val="center"/>
          </w:tcPr>
          <w:p w14:paraId="01EA0FD6">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w:t>
            </w:r>
          </w:p>
        </w:tc>
      </w:tr>
      <w:tr w14:paraId="3CE10C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2080763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75</w:t>
            </w:r>
          </w:p>
        </w:tc>
        <w:tc>
          <w:tcPr>
            <w:tcW w:w="1227" w:type="dxa"/>
            <w:vAlign w:val="center"/>
          </w:tcPr>
          <w:p w14:paraId="7B443BB7">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集气瓶</w:t>
            </w:r>
          </w:p>
        </w:tc>
        <w:tc>
          <w:tcPr>
            <w:tcW w:w="6167" w:type="dxa"/>
            <w:vAlign w:val="center"/>
          </w:tcPr>
          <w:p w14:paraId="03B3D654">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≥125 mL 透明钠钙玻璃制，磨砂面应均匀地 覆盖瓶口端面与盖板，磨砂面不应 有光斑；盖板四角应倒角，四边应 磨光盖板与瓶口密合性应符合：盖板与 瓶口充分湿润盖合后，倒提瓶体盖 板在瓶口上保持 30 s 不脱落</w:t>
            </w:r>
          </w:p>
        </w:tc>
        <w:tc>
          <w:tcPr>
            <w:tcW w:w="863" w:type="dxa"/>
            <w:gridSpan w:val="4"/>
            <w:vAlign w:val="center"/>
          </w:tcPr>
          <w:p w14:paraId="25321388">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25" w:type="dxa"/>
            <w:gridSpan w:val="3"/>
            <w:vAlign w:val="center"/>
          </w:tcPr>
          <w:p w14:paraId="0D241908">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100</w:t>
            </w:r>
          </w:p>
        </w:tc>
      </w:tr>
      <w:tr w14:paraId="3A7058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20A812CA">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76</w:t>
            </w:r>
          </w:p>
        </w:tc>
        <w:tc>
          <w:tcPr>
            <w:tcW w:w="1227" w:type="dxa"/>
            <w:vAlign w:val="center"/>
          </w:tcPr>
          <w:p w14:paraId="6AE595E3">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集气瓶</w:t>
            </w:r>
          </w:p>
        </w:tc>
        <w:tc>
          <w:tcPr>
            <w:tcW w:w="6167" w:type="dxa"/>
            <w:vAlign w:val="center"/>
          </w:tcPr>
          <w:p w14:paraId="04B422C0">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≥250 mL 透明钠钙玻璃制，磨砂面应均匀地 覆盖瓶口端面与盖板，磨砂面不应 有光斑；盖板四角应倒角，四边应 磨光盖板与瓶口密合性应符合：盖板与 瓶口充分湿润盖合后，倒提瓶体盖 板在瓶口上保持 30 s 不脱落</w:t>
            </w:r>
          </w:p>
        </w:tc>
        <w:tc>
          <w:tcPr>
            <w:tcW w:w="863" w:type="dxa"/>
            <w:gridSpan w:val="4"/>
            <w:vAlign w:val="center"/>
          </w:tcPr>
          <w:p w14:paraId="0DA5C7D7">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25" w:type="dxa"/>
            <w:gridSpan w:val="3"/>
            <w:vAlign w:val="center"/>
          </w:tcPr>
          <w:p w14:paraId="2BF03D67">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20</w:t>
            </w:r>
          </w:p>
        </w:tc>
      </w:tr>
      <w:tr w14:paraId="2162A2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02EE0CEB">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77</w:t>
            </w:r>
          </w:p>
        </w:tc>
        <w:tc>
          <w:tcPr>
            <w:tcW w:w="1227" w:type="dxa"/>
            <w:vAlign w:val="center"/>
          </w:tcPr>
          <w:p w14:paraId="017236F7">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液封除毒气集气瓶</w:t>
            </w:r>
          </w:p>
        </w:tc>
        <w:tc>
          <w:tcPr>
            <w:tcW w:w="6167" w:type="dxa"/>
            <w:vAlign w:val="center"/>
          </w:tcPr>
          <w:p w14:paraId="15B35FED">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≥250 mL瓶口光滑，液封口深度≥1 cm</w:t>
            </w:r>
          </w:p>
        </w:tc>
        <w:tc>
          <w:tcPr>
            <w:tcW w:w="863" w:type="dxa"/>
            <w:gridSpan w:val="4"/>
            <w:vAlign w:val="center"/>
          </w:tcPr>
          <w:p w14:paraId="1D73C86F">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25" w:type="dxa"/>
            <w:gridSpan w:val="3"/>
            <w:vAlign w:val="center"/>
          </w:tcPr>
          <w:p w14:paraId="7DDCF9A8">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5</w:t>
            </w:r>
          </w:p>
        </w:tc>
      </w:tr>
      <w:tr w14:paraId="29F8D8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5FF98956">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78</w:t>
            </w:r>
          </w:p>
        </w:tc>
        <w:tc>
          <w:tcPr>
            <w:tcW w:w="1227" w:type="dxa"/>
            <w:vAlign w:val="center"/>
          </w:tcPr>
          <w:p w14:paraId="0316A3E1">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广口瓶</w:t>
            </w:r>
          </w:p>
        </w:tc>
        <w:tc>
          <w:tcPr>
            <w:tcW w:w="6167" w:type="dxa"/>
            <w:vAlign w:val="center"/>
          </w:tcPr>
          <w:p w14:paraId="169996FA">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≥60 mL 透明钠钙玻璃制，瓶塞与瓶口紧实， 不晃动； 口部应圆整光滑，底部应 平整，放置平台上不应摇晃或转动</w:t>
            </w:r>
          </w:p>
        </w:tc>
        <w:tc>
          <w:tcPr>
            <w:tcW w:w="863" w:type="dxa"/>
            <w:gridSpan w:val="4"/>
            <w:vAlign w:val="center"/>
          </w:tcPr>
          <w:p w14:paraId="1D41BD0E">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25" w:type="dxa"/>
            <w:gridSpan w:val="3"/>
            <w:vAlign w:val="center"/>
          </w:tcPr>
          <w:p w14:paraId="7DFE9075">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170</w:t>
            </w:r>
          </w:p>
        </w:tc>
      </w:tr>
      <w:tr w14:paraId="197904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4A98A9C2">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79</w:t>
            </w:r>
          </w:p>
        </w:tc>
        <w:tc>
          <w:tcPr>
            <w:tcW w:w="1227" w:type="dxa"/>
            <w:vAlign w:val="center"/>
          </w:tcPr>
          <w:p w14:paraId="5DB56013">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广口瓶</w:t>
            </w:r>
          </w:p>
        </w:tc>
        <w:tc>
          <w:tcPr>
            <w:tcW w:w="6167" w:type="dxa"/>
            <w:vAlign w:val="center"/>
          </w:tcPr>
          <w:p w14:paraId="1233A8A0">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≥125 mL 透明钠钙玻璃制，瓶塞与瓶口紧实， 不晃动； 口部应圆整光滑，底部应 平整，放置平台上不应摇晃或转动</w:t>
            </w:r>
          </w:p>
        </w:tc>
        <w:tc>
          <w:tcPr>
            <w:tcW w:w="863" w:type="dxa"/>
            <w:gridSpan w:val="4"/>
            <w:vAlign w:val="center"/>
          </w:tcPr>
          <w:p w14:paraId="62D8AEEE">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25" w:type="dxa"/>
            <w:gridSpan w:val="3"/>
            <w:vAlign w:val="center"/>
          </w:tcPr>
          <w:p w14:paraId="2DBBD221">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25</w:t>
            </w:r>
          </w:p>
        </w:tc>
      </w:tr>
      <w:tr w14:paraId="41CD06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52AF3590">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80</w:t>
            </w:r>
          </w:p>
        </w:tc>
        <w:tc>
          <w:tcPr>
            <w:tcW w:w="1227" w:type="dxa"/>
            <w:vAlign w:val="center"/>
          </w:tcPr>
          <w:p w14:paraId="26A6A796">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广口瓶</w:t>
            </w:r>
          </w:p>
        </w:tc>
        <w:tc>
          <w:tcPr>
            <w:tcW w:w="6167" w:type="dxa"/>
            <w:vAlign w:val="center"/>
          </w:tcPr>
          <w:p w14:paraId="6277E9E6">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≥250 mL 透明钠钙玻璃制，瓶塞与瓶口紧实， 不晃动； 口部应圆整光滑，底部应 平整，放置平台上不应摇晃或转动</w:t>
            </w:r>
          </w:p>
        </w:tc>
        <w:tc>
          <w:tcPr>
            <w:tcW w:w="863" w:type="dxa"/>
            <w:gridSpan w:val="4"/>
            <w:vAlign w:val="center"/>
          </w:tcPr>
          <w:p w14:paraId="2D55168A">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25" w:type="dxa"/>
            <w:gridSpan w:val="3"/>
            <w:vAlign w:val="center"/>
          </w:tcPr>
          <w:p w14:paraId="344E7AE2">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25</w:t>
            </w:r>
          </w:p>
        </w:tc>
      </w:tr>
      <w:tr w14:paraId="582909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71765A8F">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81</w:t>
            </w:r>
          </w:p>
        </w:tc>
        <w:tc>
          <w:tcPr>
            <w:tcW w:w="1227" w:type="dxa"/>
            <w:vAlign w:val="center"/>
          </w:tcPr>
          <w:p w14:paraId="647D0374">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广口瓶</w:t>
            </w:r>
          </w:p>
        </w:tc>
        <w:tc>
          <w:tcPr>
            <w:tcW w:w="6167" w:type="dxa"/>
            <w:vAlign w:val="center"/>
          </w:tcPr>
          <w:p w14:paraId="2AFA5B60">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≥500 mL 透明钠钙玻璃制，瓶塞与瓶口紧实， 不晃动； 口部应圆整光滑，底部应 平整，放置平台上不应摇晃或转动</w:t>
            </w:r>
          </w:p>
        </w:tc>
        <w:tc>
          <w:tcPr>
            <w:tcW w:w="863" w:type="dxa"/>
            <w:gridSpan w:val="4"/>
            <w:vAlign w:val="center"/>
          </w:tcPr>
          <w:p w14:paraId="61902A5F">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25" w:type="dxa"/>
            <w:gridSpan w:val="3"/>
            <w:vAlign w:val="center"/>
          </w:tcPr>
          <w:p w14:paraId="72B656B3">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w:t>
            </w:r>
          </w:p>
        </w:tc>
      </w:tr>
      <w:tr w14:paraId="2BD056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395343F2">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82</w:t>
            </w:r>
          </w:p>
        </w:tc>
        <w:tc>
          <w:tcPr>
            <w:tcW w:w="1227" w:type="dxa"/>
            <w:vAlign w:val="center"/>
          </w:tcPr>
          <w:p w14:paraId="4A6260E6">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茶色广口瓶</w:t>
            </w:r>
          </w:p>
        </w:tc>
        <w:tc>
          <w:tcPr>
            <w:tcW w:w="6167" w:type="dxa"/>
            <w:vAlign w:val="center"/>
          </w:tcPr>
          <w:p w14:paraId="3B2C240F">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≥60 mL 黄棕色钠钙玻璃制，瓶塞与瓶口紧 实，不晃动；口部应圆整光滑，底 部应平整，放置平台上不应摇晃或 转动</w:t>
            </w:r>
          </w:p>
        </w:tc>
        <w:tc>
          <w:tcPr>
            <w:tcW w:w="863" w:type="dxa"/>
            <w:gridSpan w:val="4"/>
            <w:vAlign w:val="center"/>
          </w:tcPr>
          <w:p w14:paraId="27701863">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25" w:type="dxa"/>
            <w:gridSpan w:val="3"/>
            <w:vAlign w:val="center"/>
          </w:tcPr>
          <w:p w14:paraId="126445A4">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30</w:t>
            </w:r>
          </w:p>
        </w:tc>
      </w:tr>
      <w:tr w14:paraId="779288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7292857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83</w:t>
            </w:r>
          </w:p>
        </w:tc>
        <w:tc>
          <w:tcPr>
            <w:tcW w:w="1227" w:type="dxa"/>
            <w:vAlign w:val="center"/>
          </w:tcPr>
          <w:p w14:paraId="7A17562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茶色广口瓶</w:t>
            </w:r>
          </w:p>
        </w:tc>
        <w:tc>
          <w:tcPr>
            <w:tcW w:w="6167" w:type="dxa"/>
            <w:vAlign w:val="center"/>
          </w:tcPr>
          <w:p w14:paraId="6C514F9D">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≥125 mL 黄棕色钠钙玻璃制，瓶塞与瓶口紧 实，不晃动；口部应圆整光滑，底 部应平整，放置平台上不应摇晃或 转动</w:t>
            </w:r>
          </w:p>
        </w:tc>
        <w:tc>
          <w:tcPr>
            <w:tcW w:w="863" w:type="dxa"/>
            <w:gridSpan w:val="4"/>
            <w:vAlign w:val="center"/>
          </w:tcPr>
          <w:p w14:paraId="06682975">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25" w:type="dxa"/>
            <w:gridSpan w:val="3"/>
            <w:vAlign w:val="center"/>
          </w:tcPr>
          <w:p w14:paraId="650B24E0">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5</w:t>
            </w:r>
          </w:p>
        </w:tc>
      </w:tr>
      <w:tr w14:paraId="09574E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4B7D4343">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84</w:t>
            </w:r>
          </w:p>
        </w:tc>
        <w:tc>
          <w:tcPr>
            <w:tcW w:w="1227" w:type="dxa"/>
            <w:vAlign w:val="center"/>
          </w:tcPr>
          <w:p w14:paraId="1F8A4320">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茶色广口瓶</w:t>
            </w:r>
          </w:p>
        </w:tc>
        <w:tc>
          <w:tcPr>
            <w:tcW w:w="6167" w:type="dxa"/>
            <w:vAlign w:val="center"/>
          </w:tcPr>
          <w:p w14:paraId="163DD7AD">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≥250 mL 黄棕色钠钙玻璃制，瓶塞与瓶口紧 实，不晃动；口部应圆整光滑，底 部应平整，放置平台上不应摇晃或 转动</w:t>
            </w:r>
          </w:p>
        </w:tc>
        <w:tc>
          <w:tcPr>
            <w:tcW w:w="863" w:type="dxa"/>
            <w:gridSpan w:val="4"/>
            <w:vAlign w:val="center"/>
          </w:tcPr>
          <w:p w14:paraId="5D87D266">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25" w:type="dxa"/>
            <w:gridSpan w:val="3"/>
            <w:vAlign w:val="center"/>
          </w:tcPr>
          <w:p w14:paraId="3E9F88FE">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5</w:t>
            </w:r>
          </w:p>
        </w:tc>
      </w:tr>
      <w:tr w14:paraId="34A7CF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75663AAC">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85</w:t>
            </w:r>
          </w:p>
        </w:tc>
        <w:tc>
          <w:tcPr>
            <w:tcW w:w="1227" w:type="dxa"/>
            <w:vAlign w:val="center"/>
          </w:tcPr>
          <w:p w14:paraId="6DE5C01C">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细口瓶</w:t>
            </w:r>
          </w:p>
        </w:tc>
        <w:tc>
          <w:tcPr>
            <w:tcW w:w="6167" w:type="dxa"/>
            <w:vAlign w:val="center"/>
          </w:tcPr>
          <w:p w14:paraId="2207D41B">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≥60 mL 透明钠钙玻璃制，瓶塞与瓶口紧实， 不晃动；口部应圆整光滑，底部应 平整，放置平台上不应摇晃或转动</w:t>
            </w:r>
          </w:p>
        </w:tc>
        <w:tc>
          <w:tcPr>
            <w:tcW w:w="863" w:type="dxa"/>
            <w:gridSpan w:val="4"/>
            <w:vAlign w:val="center"/>
          </w:tcPr>
          <w:p w14:paraId="2160D2DF">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25" w:type="dxa"/>
            <w:gridSpan w:val="3"/>
            <w:vAlign w:val="center"/>
          </w:tcPr>
          <w:p w14:paraId="1A867E4B">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50</w:t>
            </w:r>
          </w:p>
        </w:tc>
      </w:tr>
      <w:tr w14:paraId="1789C3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24CE3E34">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86</w:t>
            </w:r>
          </w:p>
        </w:tc>
        <w:tc>
          <w:tcPr>
            <w:tcW w:w="1227" w:type="dxa"/>
            <w:vAlign w:val="center"/>
          </w:tcPr>
          <w:p w14:paraId="1735190D">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细口瓶</w:t>
            </w:r>
          </w:p>
        </w:tc>
        <w:tc>
          <w:tcPr>
            <w:tcW w:w="6167" w:type="dxa"/>
            <w:vAlign w:val="center"/>
          </w:tcPr>
          <w:p w14:paraId="6B0EB820">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≥125 mL 透明钠钙玻璃制，瓶塞与瓶口紧实， 不晃动；口部应圆整光滑，底部应 平整，放置平台上不应摇晃或转动</w:t>
            </w:r>
          </w:p>
        </w:tc>
        <w:tc>
          <w:tcPr>
            <w:tcW w:w="863" w:type="dxa"/>
            <w:gridSpan w:val="4"/>
            <w:vAlign w:val="center"/>
          </w:tcPr>
          <w:p w14:paraId="2EBA8A81">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25" w:type="dxa"/>
            <w:gridSpan w:val="3"/>
            <w:vAlign w:val="center"/>
          </w:tcPr>
          <w:p w14:paraId="4560397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200</w:t>
            </w:r>
          </w:p>
        </w:tc>
      </w:tr>
      <w:tr w14:paraId="0CC2F2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1B10941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87</w:t>
            </w:r>
          </w:p>
        </w:tc>
        <w:tc>
          <w:tcPr>
            <w:tcW w:w="1227" w:type="dxa"/>
            <w:vAlign w:val="center"/>
          </w:tcPr>
          <w:p w14:paraId="660E5042">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细口瓶</w:t>
            </w:r>
          </w:p>
        </w:tc>
        <w:tc>
          <w:tcPr>
            <w:tcW w:w="6167" w:type="dxa"/>
            <w:vAlign w:val="center"/>
          </w:tcPr>
          <w:p w14:paraId="4E29D143">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≥250 mL 透明钠钙玻璃制，瓶塞与瓶口紧实， 不晃动；口部应圆整光滑，底部应 平整，放置平台上不应摇晃或转动</w:t>
            </w:r>
          </w:p>
        </w:tc>
        <w:tc>
          <w:tcPr>
            <w:tcW w:w="863" w:type="dxa"/>
            <w:gridSpan w:val="4"/>
            <w:vAlign w:val="center"/>
          </w:tcPr>
          <w:p w14:paraId="354DD6A6">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25" w:type="dxa"/>
            <w:gridSpan w:val="3"/>
            <w:vAlign w:val="center"/>
          </w:tcPr>
          <w:p w14:paraId="063079F2">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10</w:t>
            </w:r>
          </w:p>
        </w:tc>
      </w:tr>
      <w:tr w14:paraId="59F5A9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2DCB204D">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88</w:t>
            </w:r>
          </w:p>
        </w:tc>
        <w:tc>
          <w:tcPr>
            <w:tcW w:w="1227" w:type="dxa"/>
            <w:vAlign w:val="center"/>
          </w:tcPr>
          <w:p w14:paraId="64A30130">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细口瓶</w:t>
            </w:r>
          </w:p>
        </w:tc>
        <w:tc>
          <w:tcPr>
            <w:tcW w:w="6167" w:type="dxa"/>
            <w:vAlign w:val="center"/>
          </w:tcPr>
          <w:p w14:paraId="5C7178C2">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≥500 mL 透明钠钙玻璃制，瓶塞与瓶口紧实， 不晃动；口部应圆整光滑，底部应 平整，放置平台上不应摇晃或转动</w:t>
            </w:r>
          </w:p>
        </w:tc>
        <w:tc>
          <w:tcPr>
            <w:tcW w:w="863" w:type="dxa"/>
            <w:gridSpan w:val="4"/>
            <w:vAlign w:val="center"/>
          </w:tcPr>
          <w:p w14:paraId="0832A104">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25" w:type="dxa"/>
            <w:gridSpan w:val="3"/>
            <w:vAlign w:val="center"/>
          </w:tcPr>
          <w:p w14:paraId="1957D792">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5</w:t>
            </w:r>
          </w:p>
        </w:tc>
      </w:tr>
      <w:tr w14:paraId="779920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407816D8">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89</w:t>
            </w:r>
          </w:p>
        </w:tc>
        <w:tc>
          <w:tcPr>
            <w:tcW w:w="1227" w:type="dxa"/>
            <w:vAlign w:val="center"/>
          </w:tcPr>
          <w:p w14:paraId="5A112227">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细口瓶</w:t>
            </w:r>
          </w:p>
        </w:tc>
        <w:tc>
          <w:tcPr>
            <w:tcW w:w="6167" w:type="dxa"/>
            <w:vAlign w:val="center"/>
          </w:tcPr>
          <w:p w14:paraId="5E580928">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≥1000 mL 透明钠钙玻璃制，瓶塞与瓶口紧实， 不晃动；口部应圆整光滑，底部应 平整，放置平台上不应摇晃或转动</w:t>
            </w:r>
          </w:p>
        </w:tc>
        <w:tc>
          <w:tcPr>
            <w:tcW w:w="863" w:type="dxa"/>
            <w:gridSpan w:val="4"/>
            <w:vAlign w:val="center"/>
          </w:tcPr>
          <w:p w14:paraId="72643F4F">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25" w:type="dxa"/>
            <w:gridSpan w:val="3"/>
            <w:vAlign w:val="center"/>
          </w:tcPr>
          <w:p w14:paraId="0ADDBC9A">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w:t>
            </w:r>
          </w:p>
        </w:tc>
      </w:tr>
      <w:tr w14:paraId="338C56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486DD22E">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90</w:t>
            </w:r>
          </w:p>
        </w:tc>
        <w:tc>
          <w:tcPr>
            <w:tcW w:w="1227" w:type="dxa"/>
            <w:vAlign w:val="center"/>
          </w:tcPr>
          <w:p w14:paraId="38250674">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细口瓶</w:t>
            </w:r>
          </w:p>
        </w:tc>
        <w:tc>
          <w:tcPr>
            <w:tcW w:w="6167" w:type="dxa"/>
            <w:vAlign w:val="center"/>
          </w:tcPr>
          <w:p w14:paraId="7F755E83">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≥3000 mL 透明钠钙玻璃制，瓶塞与瓶口紧实， 不晃动；口部应圆整光滑，底部应 平整，放置平台上不应摇晃或转动</w:t>
            </w:r>
          </w:p>
        </w:tc>
        <w:tc>
          <w:tcPr>
            <w:tcW w:w="863" w:type="dxa"/>
            <w:gridSpan w:val="4"/>
            <w:vAlign w:val="center"/>
          </w:tcPr>
          <w:p w14:paraId="54B7C7A4">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25" w:type="dxa"/>
            <w:gridSpan w:val="3"/>
            <w:vAlign w:val="center"/>
          </w:tcPr>
          <w:p w14:paraId="2972C8C1">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w:t>
            </w:r>
          </w:p>
        </w:tc>
      </w:tr>
      <w:tr w14:paraId="6B1B94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29D9840D">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91</w:t>
            </w:r>
          </w:p>
        </w:tc>
        <w:tc>
          <w:tcPr>
            <w:tcW w:w="1227" w:type="dxa"/>
            <w:vAlign w:val="center"/>
          </w:tcPr>
          <w:p w14:paraId="18ABB9E5">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茶色细口瓶</w:t>
            </w:r>
          </w:p>
        </w:tc>
        <w:tc>
          <w:tcPr>
            <w:tcW w:w="6167" w:type="dxa"/>
            <w:vAlign w:val="center"/>
          </w:tcPr>
          <w:p w14:paraId="0F07517F">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≥60 mL 黄棕色钠钙玻璃制，瓶塞与瓶口紧实，不晃动；口部应圆整光滑，底 部应平整，放置平台上不应摇晃或转动</w:t>
            </w:r>
          </w:p>
        </w:tc>
        <w:tc>
          <w:tcPr>
            <w:tcW w:w="863" w:type="dxa"/>
            <w:gridSpan w:val="4"/>
            <w:vAlign w:val="center"/>
          </w:tcPr>
          <w:p w14:paraId="26CE3DAB">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25" w:type="dxa"/>
            <w:gridSpan w:val="3"/>
            <w:vAlign w:val="center"/>
          </w:tcPr>
          <w:p w14:paraId="51209C5E">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5</w:t>
            </w:r>
          </w:p>
        </w:tc>
      </w:tr>
      <w:tr w14:paraId="2E24DB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1C19B7A5">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92</w:t>
            </w:r>
          </w:p>
        </w:tc>
        <w:tc>
          <w:tcPr>
            <w:tcW w:w="1227" w:type="dxa"/>
            <w:vAlign w:val="center"/>
          </w:tcPr>
          <w:p w14:paraId="21A708A3">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茶色细口瓶</w:t>
            </w:r>
          </w:p>
        </w:tc>
        <w:tc>
          <w:tcPr>
            <w:tcW w:w="6167" w:type="dxa"/>
            <w:vAlign w:val="center"/>
          </w:tcPr>
          <w:p w14:paraId="20032AEF">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≥125 mL 黄棕色钠钙玻璃制，瓶塞与瓶口紧实，不晃动；口部应圆整光滑，底 部应平整，放置平台上不应摇晃或转动</w:t>
            </w:r>
          </w:p>
        </w:tc>
        <w:tc>
          <w:tcPr>
            <w:tcW w:w="863" w:type="dxa"/>
            <w:gridSpan w:val="4"/>
            <w:vAlign w:val="center"/>
          </w:tcPr>
          <w:p w14:paraId="3492E4DF">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25" w:type="dxa"/>
            <w:gridSpan w:val="3"/>
            <w:vAlign w:val="center"/>
          </w:tcPr>
          <w:p w14:paraId="026314E2">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25</w:t>
            </w:r>
          </w:p>
        </w:tc>
      </w:tr>
      <w:tr w14:paraId="605FF6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570E15D6">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93</w:t>
            </w:r>
          </w:p>
        </w:tc>
        <w:tc>
          <w:tcPr>
            <w:tcW w:w="1227" w:type="dxa"/>
            <w:vAlign w:val="center"/>
          </w:tcPr>
          <w:p w14:paraId="5268841D">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茶色细口瓶</w:t>
            </w:r>
          </w:p>
        </w:tc>
        <w:tc>
          <w:tcPr>
            <w:tcW w:w="6167" w:type="dxa"/>
            <w:vAlign w:val="center"/>
          </w:tcPr>
          <w:p w14:paraId="0EA1306B">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≥250 mL 黄棕色钠钙玻璃制，瓶塞与瓶口紧实，不晃动；口部应圆整光滑，底 部应平整，放置平台上不应摇晃或转动</w:t>
            </w:r>
          </w:p>
        </w:tc>
        <w:tc>
          <w:tcPr>
            <w:tcW w:w="863" w:type="dxa"/>
            <w:gridSpan w:val="4"/>
            <w:vAlign w:val="center"/>
          </w:tcPr>
          <w:p w14:paraId="58CB3137">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25" w:type="dxa"/>
            <w:gridSpan w:val="3"/>
            <w:vAlign w:val="center"/>
          </w:tcPr>
          <w:p w14:paraId="062BFB9A">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5</w:t>
            </w:r>
          </w:p>
        </w:tc>
      </w:tr>
      <w:tr w14:paraId="14C419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5C85FE84">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94</w:t>
            </w:r>
          </w:p>
        </w:tc>
        <w:tc>
          <w:tcPr>
            <w:tcW w:w="1227" w:type="dxa"/>
            <w:vAlign w:val="center"/>
          </w:tcPr>
          <w:p w14:paraId="1B820158">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茶色细口瓶</w:t>
            </w:r>
          </w:p>
        </w:tc>
        <w:tc>
          <w:tcPr>
            <w:tcW w:w="6167" w:type="dxa"/>
            <w:vAlign w:val="center"/>
          </w:tcPr>
          <w:p w14:paraId="657A5C51">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≥500 mL 黄棕色钠钙玻璃制，瓶塞与瓶口紧实，不晃动；口部应圆整光滑，底 部应平整，放置平台上不应摇晃或转动</w:t>
            </w:r>
          </w:p>
        </w:tc>
        <w:tc>
          <w:tcPr>
            <w:tcW w:w="863" w:type="dxa"/>
            <w:gridSpan w:val="4"/>
            <w:vAlign w:val="center"/>
          </w:tcPr>
          <w:p w14:paraId="223476FB">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25" w:type="dxa"/>
            <w:gridSpan w:val="3"/>
            <w:vAlign w:val="center"/>
          </w:tcPr>
          <w:p w14:paraId="51C52FB5">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w:t>
            </w:r>
          </w:p>
        </w:tc>
      </w:tr>
      <w:tr w14:paraId="68DE9D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4209BF0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95</w:t>
            </w:r>
          </w:p>
        </w:tc>
        <w:tc>
          <w:tcPr>
            <w:tcW w:w="1227" w:type="dxa"/>
            <w:vAlign w:val="center"/>
          </w:tcPr>
          <w:p w14:paraId="0AF28FBE">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茶色细口瓶</w:t>
            </w:r>
          </w:p>
        </w:tc>
        <w:tc>
          <w:tcPr>
            <w:tcW w:w="6167" w:type="dxa"/>
            <w:vAlign w:val="center"/>
          </w:tcPr>
          <w:p w14:paraId="16812CD7">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≥1000 mL 黄棕色钠钙玻璃制，瓶塞与瓶口紧实，不晃动；口部应圆整光滑，底 部应平整，放置平台上不应摇晃或转动</w:t>
            </w:r>
          </w:p>
        </w:tc>
        <w:tc>
          <w:tcPr>
            <w:tcW w:w="863" w:type="dxa"/>
            <w:gridSpan w:val="4"/>
            <w:vAlign w:val="center"/>
          </w:tcPr>
          <w:p w14:paraId="74A1EC26">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25" w:type="dxa"/>
            <w:gridSpan w:val="3"/>
            <w:vAlign w:val="center"/>
          </w:tcPr>
          <w:p w14:paraId="02ED68EA">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2D29E9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3F4425C1">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96</w:t>
            </w:r>
          </w:p>
        </w:tc>
        <w:tc>
          <w:tcPr>
            <w:tcW w:w="1227" w:type="dxa"/>
            <w:vAlign w:val="center"/>
          </w:tcPr>
          <w:p w14:paraId="346924BF">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滴瓶</w:t>
            </w:r>
          </w:p>
        </w:tc>
        <w:tc>
          <w:tcPr>
            <w:tcW w:w="6167" w:type="dxa"/>
            <w:vAlign w:val="center"/>
          </w:tcPr>
          <w:p w14:paraId="40B37FBD">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≥30 mL 透明钠钙玻璃制，瓶口细磨， 磨砂面应均匀细腻，滴管应附橡胶帽， 吸放弹性好，开口直径 ≥6 mm，与滴 管口套合牢固稳定</w:t>
            </w:r>
          </w:p>
        </w:tc>
        <w:tc>
          <w:tcPr>
            <w:tcW w:w="863" w:type="dxa"/>
            <w:gridSpan w:val="4"/>
            <w:vAlign w:val="center"/>
          </w:tcPr>
          <w:p w14:paraId="41385305">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25" w:type="dxa"/>
            <w:gridSpan w:val="3"/>
            <w:vAlign w:val="center"/>
          </w:tcPr>
          <w:p w14:paraId="28D5CD18">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50</w:t>
            </w:r>
          </w:p>
        </w:tc>
      </w:tr>
      <w:tr w14:paraId="00603E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3BE582A1">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97</w:t>
            </w:r>
          </w:p>
        </w:tc>
        <w:tc>
          <w:tcPr>
            <w:tcW w:w="1227" w:type="dxa"/>
            <w:vAlign w:val="center"/>
          </w:tcPr>
          <w:p w14:paraId="6ED1408A">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滴瓶</w:t>
            </w:r>
          </w:p>
        </w:tc>
        <w:tc>
          <w:tcPr>
            <w:tcW w:w="6167" w:type="dxa"/>
            <w:vAlign w:val="center"/>
          </w:tcPr>
          <w:p w14:paraId="6CA5D71B">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≥60 mL 透明钠钙玻璃制，瓶口细磨， 磨砂面应均匀细腻，滴管应附橡胶帽， 吸放弹性好，开口直径≥6 mm，与滴 管口套合牢固稳定</w:t>
            </w:r>
          </w:p>
        </w:tc>
        <w:tc>
          <w:tcPr>
            <w:tcW w:w="863" w:type="dxa"/>
            <w:gridSpan w:val="4"/>
            <w:vAlign w:val="center"/>
          </w:tcPr>
          <w:p w14:paraId="313A1315">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25" w:type="dxa"/>
            <w:gridSpan w:val="3"/>
            <w:vAlign w:val="center"/>
          </w:tcPr>
          <w:p w14:paraId="1BFAD23D">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75</w:t>
            </w:r>
          </w:p>
        </w:tc>
      </w:tr>
      <w:tr w14:paraId="06A681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073E6A9E">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98</w:t>
            </w:r>
          </w:p>
        </w:tc>
        <w:tc>
          <w:tcPr>
            <w:tcW w:w="1227" w:type="dxa"/>
            <w:vAlign w:val="center"/>
          </w:tcPr>
          <w:p w14:paraId="008CE534">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茶色滴瓶</w:t>
            </w:r>
          </w:p>
        </w:tc>
        <w:tc>
          <w:tcPr>
            <w:tcW w:w="6167" w:type="dxa"/>
            <w:vAlign w:val="center"/>
          </w:tcPr>
          <w:p w14:paraId="3841A76A">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≥30 mL 黄棕色钠钙玻璃制， 瓶口细磨，磨砂面应均匀细腻， 滴管应附橡胶帽， 吸放弹性好，开口直径≥6 mm，与滴 管口套合牢固稳定</w:t>
            </w:r>
          </w:p>
        </w:tc>
        <w:tc>
          <w:tcPr>
            <w:tcW w:w="863" w:type="dxa"/>
            <w:gridSpan w:val="4"/>
            <w:vAlign w:val="center"/>
          </w:tcPr>
          <w:p w14:paraId="49C06C8C">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25" w:type="dxa"/>
            <w:gridSpan w:val="3"/>
            <w:vAlign w:val="center"/>
          </w:tcPr>
          <w:p w14:paraId="76110981">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25</w:t>
            </w:r>
          </w:p>
        </w:tc>
      </w:tr>
      <w:tr w14:paraId="3CE976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3CB41B10">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99</w:t>
            </w:r>
          </w:p>
        </w:tc>
        <w:tc>
          <w:tcPr>
            <w:tcW w:w="1227" w:type="dxa"/>
            <w:vAlign w:val="center"/>
          </w:tcPr>
          <w:p w14:paraId="647F135F">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茶色滴瓶</w:t>
            </w:r>
          </w:p>
        </w:tc>
        <w:tc>
          <w:tcPr>
            <w:tcW w:w="6167" w:type="dxa"/>
            <w:vAlign w:val="center"/>
          </w:tcPr>
          <w:p w14:paraId="7A170630">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≥60 mL 黄棕色钠钙玻璃制， 瓶口细磨，磨砂面应均匀细腻， 滴管应附橡胶帽， 吸放弹性好，开口直径≥6 mm，与滴 管口套合牢固稳定</w:t>
            </w:r>
          </w:p>
        </w:tc>
        <w:tc>
          <w:tcPr>
            <w:tcW w:w="863" w:type="dxa"/>
            <w:gridSpan w:val="4"/>
            <w:vAlign w:val="center"/>
          </w:tcPr>
          <w:p w14:paraId="6055681B">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25" w:type="dxa"/>
            <w:gridSpan w:val="3"/>
            <w:vAlign w:val="center"/>
          </w:tcPr>
          <w:p w14:paraId="4787B9A3">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5</w:t>
            </w:r>
          </w:p>
        </w:tc>
      </w:tr>
      <w:tr w14:paraId="6973B9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636BA0B7">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100</w:t>
            </w:r>
          </w:p>
        </w:tc>
        <w:tc>
          <w:tcPr>
            <w:tcW w:w="1227" w:type="dxa"/>
            <w:vAlign w:val="center"/>
          </w:tcPr>
          <w:p w14:paraId="3301704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酒精灯</w:t>
            </w:r>
          </w:p>
        </w:tc>
        <w:tc>
          <w:tcPr>
            <w:tcW w:w="6167" w:type="dxa"/>
            <w:vAlign w:val="center"/>
          </w:tcPr>
          <w:p w14:paraId="593D7842">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≥150 mL 透明钠钙玻璃制，无明显黄绿色。灯口应平整，瓷灯头与灯口平面间 隙不应超过1.5 mm。玻璃灯罩应磨 口。瓷灯头应为白色，完全覆盖灯口，表面无缺陷。配置与灯口孔径相适应的整齐完整的棉线灯芯</w:t>
            </w:r>
          </w:p>
        </w:tc>
        <w:tc>
          <w:tcPr>
            <w:tcW w:w="863" w:type="dxa"/>
            <w:gridSpan w:val="4"/>
            <w:vAlign w:val="center"/>
          </w:tcPr>
          <w:p w14:paraId="263B70B7">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25" w:type="dxa"/>
            <w:gridSpan w:val="3"/>
            <w:vAlign w:val="center"/>
          </w:tcPr>
          <w:p w14:paraId="515FF62B">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25</w:t>
            </w:r>
          </w:p>
        </w:tc>
      </w:tr>
      <w:tr w14:paraId="58B356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17A8A97A">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101</w:t>
            </w:r>
          </w:p>
        </w:tc>
        <w:tc>
          <w:tcPr>
            <w:tcW w:w="1227" w:type="dxa"/>
            <w:vAlign w:val="center"/>
          </w:tcPr>
          <w:p w14:paraId="3C7A7ACC">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干燥器</w:t>
            </w:r>
          </w:p>
        </w:tc>
        <w:tc>
          <w:tcPr>
            <w:tcW w:w="6167" w:type="dxa"/>
            <w:vAlign w:val="center"/>
          </w:tcPr>
          <w:p w14:paraId="41C5B6E8">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≥150mm 磨口平整，密封严实，隔板大小合适，不少于5个圆孔</w:t>
            </w:r>
          </w:p>
        </w:tc>
        <w:tc>
          <w:tcPr>
            <w:tcW w:w="863" w:type="dxa"/>
            <w:gridSpan w:val="4"/>
            <w:vAlign w:val="center"/>
          </w:tcPr>
          <w:p w14:paraId="5906B11B">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25" w:type="dxa"/>
            <w:gridSpan w:val="3"/>
            <w:vAlign w:val="center"/>
          </w:tcPr>
          <w:p w14:paraId="70C535F1">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5BD56D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7302128C">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102</w:t>
            </w:r>
          </w:p>
        </w:tc>
        <w:tc>
          <w:tcPr>
            <w:tcW w:w="1227" w:type="dxa"/>
            <w:vAlign w:val="center"/>
          </w:tcPr>
          <w:p w14:paraId="318E7182">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气体发生器</w:t>
            </w:r>
          </w:p>
        </w:tc>
        <w:tc>
          <w:tcPr>
            <w:tcW w:w="6167" w:type="dxa"/>
            <w:vAlign w:val="center"/>
          </w:tcPr>
          <w:p w14:paraId="40A54A63">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≥250mL 漏斗柄与瓶身连接口内壁间隔≤2 mm（单边）</w:t>
            </w:r>
          </w:p>
        </w:tc>
        <w:tc>
          <w:tcPr>
            <w:tcW w:w="863" w:type="dxa"/>
            <w:gridSpan w:val="4"/>
            <w:vAlign w:val="center"/>
          </w:tcPr>
          <w:p w14:paraId="2023A0B8">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25" w:type="dxa"/>
            <w:gridSpan w:val="3"/>
            <w:vAlign w:val="center"/>
          </w:tcPr>
          <w:p w14:paraId="11D963C6">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3A43E8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25E45CFA">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103</w:t>
            </w:r>
          </w:p>
        </w:tc>
        <w:tc>
          <w:tcPr>
            <w:tcW w:w="1227" w:type="dxa"/>
            <w:vAlign w:val="center"/>
          </w:tcPr>
          <w:p w14:paraId="44CFA44F">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冷凝器</w:t>
            </w:r>
          </w:p>
        </w:tc>
        <w:tc>
          <w:tcPr>
            <w:tcW w:w="6167" w:type="dxa"/>
            <w:vAlign w:val="center"/>
          </w:tcPr>
          <w:p w14:paraId="6CDF3B18">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≥300 mm ±10 mm 直形，管径均匀，应有防滑脱沟槽</w:t>
            </w:r>
          </w:p>
        </w:tc>
        <w:tc>
          <w:tcPr>
            <w:tcW w:w="863" w:type="dxa"/>
            <w:gridSpan w:val="4"/>
            <w:vAlign w:val="center"/>
          </w:tcPr>
          <w:p w14:paraId="4AEB041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支</w:t>
            </w:r>
          </w:p>
        </w:tc>
        <w:tc>
          <w:tcPr>
            <w:tcW w:w="925" w:type="dxa"/>
            <w:gridSpan w:val="3"/>
            <w:vAlign w:val="center"/>
          </w:tcPr>
          <w:p w14:paraId="35092101">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w:t>
            </w:r>
          </w:p>
        </w:tc>
      </w:tr>
      <w:tr w14:paraId="551418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5A44C8DE">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104</w:t>
            </w:r>
          </w:p>
        </w:tc>
        <w:tc>
          <w:tcPr>
            <w:tcW w:w="1227" w:type="dxa"/>
            <w:vAlign w:val="center"/>
          </w:tcPr>
          <w:p w14:paraId="1BDAD28E">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牛角管</w:t>
            </w:r>
          </w:p>
        </w:tc>
        <w:tc>
          <w:tcPr>
            <w:tcW w:w="6167" w:type="dxa"/>
            <w:vAlign w:val="center"/>
          </w:tcPr>
          <w:p w14:paraId="34CC4643">
            <w:pPr>
              <w:widowControl/>
              <w:jc w:val="left"/>
              <w:textAlignment w:val="center"/>
              <w:rPr>
                <w:rFonts w:hint="eastAsia" w:ascii="宋体" w:hAnsi="宋体"/>
                <w:i/>
                <w:iCs/>
                <w:color w:val="auto"/>
                <w:szCs w:val="21"/>
                <w:highlight w:val="none"/>
              </w:rPr>
            </w:pPr>
            <w:r>
              <w:rPr>
                <w:rFonts w:hint="eastAsia" w:ascii="宋体" w:hAnsi="宋体"/>
                <w:color w:val="auto"/>
                <w:kern w:val="0"/>
                <w:szCs w:val="21"/>
                <w:highlight w:val="none"/>
                <w:lang w:bidi="ar"/>
              </w:rPr>
              <w:t>≥</w:t>
            </w:r>
            <w:r>
              <w:rPr>
                <w:rFonts w:hint="eastAsia" w:ascii="宋体" w:hAnsi="宋体"/>
                <w:i/>
                <w:iCs/>
                <w:color w:val="auto"/>
                <w:kern w:val="0"/>
                <w:szCs w:val="21"/>
                <w:highlight w:val="none"/>
                <w:lang w:bidi="ar"/>
              </w:rPr>
              <w:t xml:space="preserve">Φ </w:t>
            </w:r>
            <w:r>
              <w:rPr>
                <w:rFonts w:hint="eastAsia" w:ascii="宋体" w:hAnsi="宋体"/>
                <w:color w:val="auto"/>
                <w:kern w:val="0"/>
                <w:szCs w:val="21"/>
                <w:highlight w:val="none"/>
                <w:lang w:bidi="ar"/>
              </w:rPr>
              <w:t>18 mm × 150 mm 弯形，尖嘴处厚度＞1 mm</w:t>
            </w:r>
          </w:p>
        </w:tc>
        <w:tc>
          <w:tcPr>
            <w:tcW w:w="863" w:type="dxa"/>
            <w:gridSpan w:val="4"/>
            <w:vAlign w:val="center"/>
          </w:tcPr>
          <w:p w14:paraId="1BB0466B">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支</w:t>
            </w:r>
          </w:p>
        </w:tc>
        <w:tc>
          <w:tcPr>
            <w:tcW w:w="925" w:type="dxa"/>
            <w:gridSpan w:val="3"/>
            <w:vAlign w:val="center"/>
          </w:tcPr>
          <w:p w14:paraId="548A34B0">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w:t>
            </w:r>
          </w:p>
        </w:tc>
      </w:tr>
      <w:tr w14:paraId="56E2F5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7EEF96A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105</w:t>
            </w:r>
          </w:p>
        </w:tc>
        <w:tc>
          <w:tcPr>
            <w:tcW w:w="1227" w:type="dxa"/>
            <w:vAlign w:val="center"/>
          </w:tcPr>
          <w:p w14:paraId="4873D352">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漏斗</w:t>
            </w:r>
          </w:p>
        </w:tc>
        <w:tc>
          <w:tcPr>
            <w:tcW w:w="6167" w:type="dxa"/>
            <w:vAlign w:val="center"/>
          </w:tcPr>
          <w:p w14:paraId="1E7EC96E">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≥60 mm 直径准确，锥度适中</w:t>
            </w:r>
          </w:p>
        </w:tc>
        <w:tc>
          <w:tcPr>
            <w:tcW w:w="863" w:type="dxa"/>
            <w:gridSpan w:val="4"/>
            <w:vAlign w:val="center"/>
          </w:tcPr>
          <w:p w14:paraId="0102563C">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25" w:type="dxa"/>
            <w:gridSpan w:val="3"/>
            <w:vAlign w:val="center"/>
          </w:tcPr>
          <w:p w14:paraId="51B2E408">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25</w:t>
            </w:r>
          </w:p>
        </w:tc>
      </w:tr>
      <w:tr w14:paraId="6865F2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5BF118B3">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106</w:t>
            </w:r>
          </w:p>
        </w:tc>
        <w:tc>
          <w:tcPr>
            <w:tcW w:w="1227" w:type="dxa"/>
            <w:vAlign w:val="center"/>
          </w:tcPr>
          <w:p w14:paraId="4B4D65C4">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漏斗</w:t>
            </w:r>
          </w:p>
        </w:tc>
        <w:tc>
          <w:tcPr>
            <w:tcW w:w="6167" w:type="dxa"/>
            <w:vAlign w:val="center"/>
          </w:tcPr>
          <w:p w14:paraId="7345E8C4">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≥90 mm 直径准确，锥度适中</w:t>
            </w:r>
          </w:p>
        </w:tc>
        <w:tc>
          <w:tcPr>
            <w:tcW w:w="863" w:type="dxa"/>
            <w:gridSpan w:val="4"/>
            <w:vAlign w:val="center"/>
          </w:tcPr>
          <w:p w14:paraId="5BFF9BDD">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25" w:type="dxa"/>
            <w:gridSpan w:val="3"/>
            <w:vAlign w:val="center"/>
          </w:tcPr>
          <w:p w14:paraId="780B6671">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3</w:t>
            </w:r>
          </w:p>
        </w:tc>
      </w:tr>
      <w:tr w14:paraId="5BB186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2A0AEB4C">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107</w:t>
            </w:r>
          </w:p>
        </w:tc>
        <w:tc>
          <w:tcPr>
            <w:tcW w:w="1227" w:type="dxa"/>
            <w:vAlign w:val="center"/>
          </w:tcPr>
          <w:p w14:paraId="7FF193FA">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安全漏斗</w:t>
            </w:r>
          </w:p>
        </w:tc>
        <w:tc>
          <w:tcPr>
            <w:tcW w:w="6167" w:type="dxa"/>
            <w:vAlign w:val="center"/>
          </w:tcPr>
          <w:p w14:paraId="71C6E80F">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直形，径长≥300mm上口直径≥40mm±3 mm，玻璃壁厚度适中</w:t>
            </w:r>
          </w:p>
        </w:tc>
        <w:tc>
          <w:tcPr>
            <w:tcW w:w="863" w:type="dxa"/>
            <w:gridSpan w:val="4"/>
            <w:vAlign w:val="center"/>
          </w:tcPr>
          <w:p w14:paraId="76C18C98">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25" w:type="dxa"/>
            <w:gridSpan w:val="3"/>
            <w:vAlign w:val="center"/>
          </w:tcPr>
          <w:p w14:paraId="7A3B9AE0">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25</w:t>
            </w:r>
          </w:p>
        </w:tc>
      </w:tr>
      <w:tr w14:paraId="20C2EB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448A5115">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108</w:t>
            </w:r>
          </w:p>
        </w:tc>
        <w:tc>
          <w:tcPr>
            <w:tcW w:w="1227" w:type="dxa"/>
            <w:vAlign w:val="center"/>
          </w:tcPr>
          <w:p w14:paraId="09555F5C">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安全漏斗</w:t>
            </w:r>
          </w:p>
        </w:tc>
        <w:tc>
          <w:tcPr>
            <w:tcW w:w="6167" w:type="dxa"/>
            <w:vAlign w:val="center"/>
          </w:tcPr>
          <w:p w14:paraId="2B37FFE6">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双球 球径高度、直径一致，双球应位于 环管中部，应无明显偏斜</w:t>
            </w:r>
          </w:p>
        </w:tc>
        <w:tc>
          <w:tcPr>
            <w:tcW w:w="863" w:type="dxa"/>
            <w:gridSpan w:val="4"/>
            <w:vAlign w:val="center"/>
          </w:tcPr>
          <w:p w14:paraId="1E60EC3B">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25" w:type="dxa"/>
            <w:gridSpan w:val="3"/>
            <w:vAlign w:val="center"/>
          </w:tcPr>
          <w:p w14:paraId="07534677">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w:t>
            </w:r>
          </w:p>
        </w:tc>
      </w:tr>
      <w:tr w14:paraId="306178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70C1C378">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109</w:t>
            </w:r>
          </w:p>
        </w:tc>
        <w:tc>
          <w:tcPr>
            <w:tcW w:w="1227" w:type="dxa"/>
            <w:vAlign w:val="center"/>
          </w:tcPr>
          <w:p w14:paraId="5474C4EF">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分液漏斗</w:t>
            </w:r>
          </w:p>
        </w:tc>
        <w:tc>
          <w:tcPr>
            <w:tcW w:w="6167" w:type="dxa"/>
            <w:vAlign w:val="center"/>
          </w:tcPr>
          <w:p w14:paraId="1EB3E5DC">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≥50 mL，锥型 瓶塞应有凹槽，瓶口有气孔</w:t>
            </w:r>
          </w:p>
        </w:tc>
        <w:tc>
          <w:tcPr>
            <w:tcW w:w="863" w:type="dxa"/>
            <w:gridSpan w:val="4"/>
            <w:vAlign w:val="center"/>
          </w:tcPr>
          <w:p w14:paraId="7685E503">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25" w:type="dxa"/>
            <w:gridSpan w:val="3"/>
            <w:vAlign w:val="center"/>
          </w:tcPr>
          <w:p w14:paraId="09AF97DC">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5</w:t>
            </w:r>
          </w:p>
        </w:tc>
      </w:tr>
      <w:tr w14:paraId="2D033F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265720C8">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110</w:t>
            </w:r>
          </w:p>
        </w:tc>
        <w:tc>
          <w:tcPr>
            <w:tcW w:w="1227" w:type="dxa"/>
            <w:vAlign w:val="center"/>
          </w:tcPr>
          <w:p w14:paraId="7791714B">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分液漏斗</w:t>
            </w:r>
          </w:p>
        </w:tc>
        <w:tc>
          <w:tcPr>
            <w:tcW w:w="6167" w:type="dxa"/>
            <w:vAlign w:val="center"/>
          </w:tcPr>
          <w:p w14:paraId="21B445E1">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≥50 mL，球型 瓶塞应有凹槽，瓶口有气孔</w:t>
            </w:r>
          </w:p>
        </w:tc>
        <w:tc>
          <w:tcPr>
            <w:tcW w:w="863" w:type="dxa"/>
            <w:gridSpan w:val="4"/>
            <w:vAlign w:val="center"/>
          </w:tcPr>
          <w:p w14:paraId="1BE9977E">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25" w:type="dxa"/>
            <w:gridSpan w:val="3"/>
            <w:vAlign w:val="center"/>
          </w:tcPr>
          <w:p w14:paraId="6B656C93">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5</w:t>
            </w:r>
          </w:p>
        </w:tc>
      </w:tr>
      <w:tr w14:paraId="41520C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709EAA8E">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111</w:t>
            </w:r>
          </w:p>
        </w:tc>
        <w:tc>
          <w:tcPr>
            <w:tcW w:w="1227" w:type="dxa"/>
            <w:vAlign w:val="center"/>
          </w:tcPr>
          <w:p w14:paraId="1201F2CA">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三通连接管</w:t>
            </w:r>
          </w:p>
        </w:tc>
        <w:tc>
          <w:tcPr>
            <w:tcW w:w="6167" w:type="dxa"/>
            <w:vAlign w:val="center"/>
          </w:tcPr>
          <w:p w14:paraId="6FCBE3C1">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T 形 7 mm～8 mm，连接完好，管口应 作打磨或烧结处理</w:t>
            </w:r>
          </w:p>
        </w:tc>
        <w:tc>
          <w:tcPr>
            <w:tcW w:w="863" w:type="dxa"/>
            <w:gridSpan w:val="4"/>
            <w:vAlign w:val="center"/>
          </w:tcPr>
          <w:p w14:paraId="7BED620A">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25" w:type="dxa"/>
            <w:gridSpan w:val="3"/>
            <w:vAlign w:val="center"/>
          </w:tcPr>
          <w:p w14:paraId="5CD70E72">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w:t>
            </w:r>
          </w:p>
        </w:tc>
      </w:tr>
      <w:tr w14:paraId="735469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03A8D464">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112</w:t>
            </w:r>
          </w:p>
        </w:tc>
        <w:tc>
          <w:tcPr>
            <w:tcW w:w="1227" w:type="dxa"/>
            <w:vAlign w:val="center"/>
          </w:tcPr>
          <w:p w14:paraId="7EE8B7D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三通连接管</w:t>
            </w:r>
          </w:p>
        </w:tc>
        <w:tc>
          <w:tcPr>
            <w:tcW w:w="6167" w:type="dxa"/>
            <w:vAlign w:val="center"/>
          </w:tcPr>
          <w:p w14:paraId="40E1F086">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Y 形</w:t>
            </w:r>
          </w:p>
        </w:tc>
        <w:tc>
          <w:tcPr>
            <w:tcW w:w="863" w:type="dxa"/>
            <w:gridSpan w:val="4"/>
            <w:vAlign w:val="center"/>
          </w:tcPr>
          <w:p w14:paraId="36D525B6">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25" w:type="dxa"/>
            <w:gridSpan w:val="3"/>
            <w:vAlign w:val="center"/>
          </w:tcPr>
          <w:p w14:paraId="2A149993">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w:t>
            </w:r>
          </w:p>
        </w:tc>
      </w:tr>
      <w:tr w14:paraId="15E65A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086BCFAB">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113</w:t>
            </w:r>
          </w:p>
        </w:tc>
        <w:tc>
          <w:tcPr>
            <w:tcW w:w="1227" w:type="dxa"/>
            <w:vAlign w:val="center"/>
          </w:tcPr>
          <w:p w14:paraId="2B0A7FB4">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滴管</w:t>
            </w:r>
          </w:p>
        </w:tc>
        <w:tc>
          <w:tcPr>
            <w:tcW w:w="6167" w:type="dxa"/>
            <w:vAlign w:val="center"/>
          </w:tcPr>
          <w:p w14:paraId="4CD1F927">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≥100mm 直形，滴管尖嘴口径≥1mm，上端有防滑脱翻口，翻口处直径比滴管直径略多1mm～2mm</w:t>
            </w:r>
          </w:p>
        </w:tc>
        <w:tc>
          <w:tcPr>
            <w:tcW w:w="863" w:type="dxa"/>
            <w:gridSpan w:val="4"/>
            <w:vAlign w:val="center"/>
          </w:tcPr>
          <w:p w14:paraId="2E502210">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支</w:t>
            </w:r>
          </w:p>
        </w:tc>
        <w:tc>
          <w:tcPr>
            <w:tcW w:w="925" w:type="dxa"/>
            <w:gridSpan w:val="3"/>
            <w:vAlign w:val="center"/>
          </w:tcPr>
          <w:p w14:paraId="533791EF">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50</w:t>
            </w:r>
          </w:p>
        </w:tc>
      </w:tr>
      <w:tr w14:paraId="351E9D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4130E142">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114</w:t>
            </w:r>
          </w:p>
        </w:tc>
        <w:tc>
          <w:tcPr>
            <w:tcW w:w="1227" w:type="dxa"/>
            <w:vAlign w:val="center"/>
          </w:tcPr>
          <w:p w14:paraId="0B3E6EFB">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滴管</w:t>
            </w:r>
          </w:p>
        </w:tc>
        <w:tc>
          <w:tcPr>
            <w:tcW w:w="6167" w:type="dxa"/>
            <w:vAlign w:val="center"/>
          </w:tcPr>
          <w:p w14:paraId="75344A07">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≥150mm 直形，滴管尖嘴口径≥1mm，上端有防滑脱翻口，翻口处直径比滴管直径略多 1mm～2mm</w:t>
            </w:r>
          </w:p>
        </w:tc>
        <w:tc>
          <w:tcPr>
            <w:tcW w:w="863" w:type="dxa"/>
            <w:gridSpan w:val="4"/>
            <w:vAlign w:val="center"/>
          </w:tcPr>
          <w:p w14:paraId="7208ED3E">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支</w:t>
            </w:r>
          </w:p>
        </w:tc>
        <w:tc>
          <w:tcPr>
            <w:tcW w:w="925" w:type="dxa"/>
            <w:gridSpan w:val="3"/>
            <w:vAlign w:val="center"/>
          </w:tcPr>
          <w:p w14:paraId="5B8269B8">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50</w:t>
            </w:r>
          </w:p>
        </w:tc>
      </w:tr>
      <w:tr w14:paraId="32AFDB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729F230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115</w:t>
            </w:r>
          </w:p>
        </w:tc>
        <w:tc>
          <w:tcPr>
            <w:tcW w:w="1227" w:type="dxa"/>
            <w:vAlign w:val="center"/>
          </w:tcPr>
          <w:p w14:paraId="5E0FF858">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干燥管</w:t>
            </w:r>
          </w:p>
        </w:tc>
        <w:tc>
          <w:tcPr>
            <w:tcW w:w="6167" w:type="dxa"/>
            <w:vAlign w:val="center"/>
          </w:tcPr>
          <w:p w14:paraId="25B72D59">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≥145mm，单球硼硅酸盐玻璃制，玻璃壁厚度适中，球体圆润，导气管长度≥2cm，最好有防滑脱沟槽</w:t>
            </w:r>
          </w:p>
        </w:tc>
        <w:tc>
          <w:tcPr>
            <w:tcW w:w="863" w:type="dxa"/>
            <w:gridSpan w:val="4"/>
            <w:vAlign w:val="center"/>
          </w:tcPr>
          <w:p w14:paraId="7F537FF4">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支</w:t>
            </w:r>
          </w:p>
        </w:tc>
        <w:tc>
          <w:tcPr>
            <w:tcW w:w="925" w:type="dxa"/>
            <w:gridSpan w:val="3"/>
            <w:vAlign w:val="center"/>
          </w:tcPr>
          <w:p w14:paraId="41609E90">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4</w:t>
            </w:r>
          </w:p>
        </w:tc>
      </w:tr>
      <w:tr w14:paraId="480F80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1F95A064">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116</w:t>
            </w:r>
          </w:p>
        </w:tc>
        <w:tc>
          <w:tcPr>
            <w:tcW w:w="1227" w:type="dxa"/>
            <w:vAlign w:val="center"/>
          </w:tcPr>
          <w:p w14:paraId="4A36EF20">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干燥管</w:t>
            </w:r>
          </w:p>
        </w:tc>
        <w:tc>
          <w:tcPr>
            <w:tcW w:w="6167" w:type="dxa"/>
            <w:vAlign w:val="center"/>
          </w:tcPr>
          <w:p w14:paraId="38806D73">
            <w:pPr>
              <w:widowControl/>
              <w:jc w:val="left"/>
              <w:textAlignment w:val="center"/>
              <w:rPr>
                <w:rFonts w:hint="eastAsia" w:ascii="宋体" w:hAnsi="宋体"/>
                <w:i/>
                <w:iCs/>
                <w:color w:val="auto"/>
                <w:szCs w:val="21"/>
                <w:highlight w:val="none"/>
              </w:rPr>
            </w:pPr>
            <w:r>
              <w:rPr>
                <w:rFonts w:hint="eastAsia" w:ascii="宋体" w:hAnsi="宋体"/>
                <w:color w:val="auto"/>
                <w:kern w:val="0"/>
                <w:szCs w:val="21"/>
                <w:highlight w:val="none"/>
                <w:lang w:bidi="ar"/>
              </w:rPr>
              <w:t>≥</w:t>
            </w:r>
            <w:r>
              <w:rPr>
                <w:rFonts w:hint="eastAsia" w:ascii="宋体" w:hAnsi="宋体"/>
                <w:i/>
                <w:iCs/>
                <w:color w:val="auto"/>
                <w:kern w:val="0"/>
                <w:szCs w:val="21"/>
                <w:highlight w:val="none"/>
                <w:lang w:bidi="ar"/>
              </w:rPr>
              <w:t>Φ</w:t>
            </w:r>
            <w:r>
              <w:rPr>
                <w:rFonts w:hint="eastAsia" w:ascii="宋体" w:hAnsi="宋体"/>
                <w:color w:val="auto"/>
                <w:kern w:val="0"/>
                <w:szCs w:val="21"/>
                <w:highlight w:val="none"/>
                <w:lang w:bidi="ar"/>
              </w:rPr>
              <w:t>15mm×150mm，U型硼硅酸盐玻璃制，玻璃壁厚度适中，球体圆润，导气管长度≥2 cm，最好有防滑脱沟槽</w:t>
            </w:r>
          </w:p>
        </w:tc>
        <w:tc>
          <w:tcPr>
            <w:tcW w:w="863" w:type="dxa"/>
            <w:gridSpan w:val="4"/>
            <w:vAlign w:val="center"/>
          </w:tcPr>
          <w:p w14:paraId="31F3B1EA">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支</w:t>
            </w:r>
          </w:p>
        </w:tc>
        <w:tc>
          <w:tcPr>
            <w:tcW w:w="925" w:type="dxa"/>
            <w:gridSpan w:val="3"/>
            <w:vAlign w:val="center"/>
          </w:tcPr>
          <w:p w14:paraId="6CFD2F61">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w:t>
            </w:r>
          </w:p>
        </w:tc>
      </w:tr>
      <w:tr w14:paraId="42ECA7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15B2DDB0">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117</w:t>
            </w:r>
          </w:p>
        </w:tc>
        <w:tc>
          <w:tcPr>
            <w:tcW w:w="1227" w:type="dxa"/>
            <w:vAlign w:val="center"/>
          </w:tcPr>
          <w:p w14:paraId="09EF53CD">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玻璃活塞</w:t>
            </w:r>
          </w:p>
        </w:tc>
        <w:tc>
          <w:tcPr>
            <w:tcW w:w="6167" w:type="dxa"/>
            <w:vAlign w:val="center"/>
          </w:tcPr>
          <w:p w14:paraId="3D6E8F0D">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直形吻合良好，不漏气，不漏液</w:t>
            </w:r>
          </w:p>
        </w:tc>
        <w:tc>
          <w:tcPr>
            <w:tcW w:w="863" w:type="dxa"/>
            <w:gridSpan w:val="4"/>
            <w:vAlign w:val="center"/>
          </w:tcPr>
          <w:p w14:paraId="5572CCAC">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支</w:t>
            </w:r>
          </w:p>
        </w:tc>
        <w:tc>
          <w:tcPr>
            <w:tcW w:w="925" w:type="dxa"/>
            <w:gridSpan w:val="3"/>
            <w:vAlign w:val="center"/>
          </w:tcPr>
          <w:p w14:paraId="3022D25B">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w:t>
            </w:r>
          </w:p>
        </w:tc>
      </w:tr>
      <w:tr w14:paraId="2D67D4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0BEE4CE6">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118</w:t>
            </w:r>
          </w:p>
        </w:tc>
        <w:tc>
          <w:tcPr>
            <w:tcW w:w="1227" w:type="dxa"/>
            <w:vAlign w:val="center"/>
          </w:tcPr>
          <w:p w14:paraId="5008DCD5">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圆水槽</w:t>
            </w:r>
          </w:p>
        </w:tc>
        <w:tc>
          <w:tcPr>
            <w:tcW w:w="6167" w:type="dxa"/>
            <w:vAlign w:val="center"/>
          </w:tcPr>
          <w:p w14:paraId="7F0CC9F1">
            <w:pPr>
              <w:widowControl/>
              <w:jc w:val="left"/>
              <w:textAlignment w:val="center"/>
              <w:rPr>
                <w:rFonts w:hint="eastAsia" w:ascii="宋体" w:hAnsi="宋体"/>
                <w:i/>
                <w:iCs/>
                <w:color w:val="auto"/>
                <w:szCs w:val="21"/>
                <w:highlight w:val="none"/>
              </w:rPr>
            </w:pPr>
            <w:r>
              <w:rPr>
                <w:rFonts w:hint="eastAsia" w:ascii="宋体" w:hAnsi="宋体"/>
                <w:color w:val="auto"/>
                <w:kern w:val="0"/>
                <w:szCs w:val="21"/>
                <w:highlight w:val="none"/>
                <w:lang w:bidi="ar"/>
              </w:rPr>
              <w:t>≥</w:t>
            </w:r>
            <w:r>
              <w:rPr>
                <w:rFonts w:hint="eastAsia" w:ascii="宋体" w:hAnsi="宋体"/>
                <w:i/>
                <w:iCs/>
                <w:color w:val="auto"/>
                <w:kern w:val="0"/>
                <w:szCs w:val="21"/>
                <w:highlight w:val="none"/>
                <w:lang w:bidi="ar"/>
              </w:rPr>
              <w:t>Φ</w:t>
            </w:r>
            <w:r>
              <w:rPr>
                <w:rFonts w:hint="eastAsia" w:ascii="宋体" w:hAnsi="宋体"/>
                <w:color w:val="auto"/>
                <w:kern w:val="0"/>
                <w:szCs w:val="21"/>
                <w:highlight w:val="none"/>
                <w:lang w:bidi="ar"/>
              </w:rPr>
              <w:t>210mm×110mm水槽底部应平整，不应凸底，壁厚和底厚应均匀，口部端面应平整，边和口应圆滑</w:t>
            </w:r>
          </w:p>
        </w:tc>
        <w:tc>
          <w:tcPr>
            <w:tcW w:w="863" w:type="dxa"/>
            <w:gridSpan w:val="4"/>
            <w:vAlign w:val="center"/>
          </w:tcPr>
          <w:p w14:paraId="28AC1857">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25" w:type="dxa"/>
            <w:gridSpan w:val="3"/>
            <w:vAlign w:val="center"/>
          </w:tcPr>
          <w:p w14:paraId="6D2E89C2">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w:t>
            </w:r>
          </w:p>
        </w:tc>
      </w:tr>
      <w:tr w14:paraId="488534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03542557">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119</w:t>
            </w:r>
          </w:p>
        </w:tc>
        <w:tc>
          <w:tcPr>
            <w:tcW w:w="1227" w:type="dxa"/>
            <w:vAlign w:val="center"/>
          </w:tcPr>
          <w:p w14:paraId="4E2924B7">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圆水槽</w:t>
            </w:r>
          </w:p>
        </w:tc>
        <w:tc>
          <w:tcPr>
            <w:tcW w:w="6167" w:type="dxa"/>
            <w:vAlign w:val="center"/>
          </w:tcPr>
          <w:p w14:paraId="1B725D79">
            <w:pPr>
              <w:widowControl/>
              <w:jc w:val="left"/>
              <w:textAlignment w:val="center"/>
              <w:rPr>
                <w:rFonts w:hint="eastAsia" w:ascii="宋体" w:hAnsi="宋体"/>
                <w:i/>
                <w:iCs/>
                <w:color w:val="auto"/>
                <w:szCs w:val="21"/>
                <w:highlight w:val="none"/>
              </w:rPr>
            </w:pPr>
            <w:r>
              <w:rPr>
                <w:rFonts w:hint="eastAsia" w:ascii="宋体" w:hAnsi="宋体"/>
                <w:color w:val="auto"/>
                <w:kern w:val="0"/>
                <w:szCs w:val="21"/>
                <w:highlight w:val="none"/>
                <w:lang w:bidi="ar"/>
              </w:rPr>
              <w:t>≥</w:t>
            </w:r>
            <w:r>
              <w:rPr>
                <w:rFonts w:hint="eastAsia" w:ascii="宋体" w:hAnsi="宋体"/>
                <w:i/>
                <w:iCs/>
                <w:color w:val="auto"/>
                <w:kern w:val="0"/>
                <w:szCs w:val="21"/>
                <w:highlight w:val="none"/>
                <w:lang w:bidi="ar"/>
              </w:rPr>
              <w:t>Φ</w:t>
            </w:r>
            <w:r>
              <w:rPr>
                <w:rFonts w:hint="eastAsia" w:ascii="宋体" w:hAnsi="宋体"/>
                <w:color w:val="auto"/>
                <w:kern w:val="0"/>
                <w:szCs w:val="21"/>
                <w:highlight w:val="none"/>
                <w:lang w:bidi="ar"/>
              </w:rPr>
              <w:t>270mm×140mm水槽底部应平整，不应凸底，壁厚和底厚应均匀，口部端面应平整，边和口应圆滑</w:t>
            </w:r>
          </w:p>
        </w:tc>
        <w:tc>
          <w:tcPr>
            <w:tcW w:w="863" w:type="dxa"/>
            <w:gridSpan w:val="4"/>
            <w:vAlign w:val="center"/>
          </w:tcPr>
          <w:p w14:paraId="0D789F0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25" w:type="dxa"/>
            <w:gridSpan w:val="3"/>
            <w:vAlign w:val="center"/>
          </w:tcPr>
          <w:p w14:paraId="6779D8F6">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w:t>
            </w:r>
          </w:p>
        </w:tc>
      </w:tr>
      <w:tr w14:paraId="75123E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392E8D64">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120</w:t>
            </w:r>
          </w:p>
        </w:tc>
        <w:tc>
          <w:tcPr>
            <w:tcW w:w="1227" w:type="dxa"/>
            <w:vAlign w:val="center"/>
          </w:tcPr>
          <w:p w14:paraId="49F30B45">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坩埚钳</w:t>
            </w:r>
          </w:p>
        </w:tc>
        <w:tc>
          <w:tcPr>
            <w:tcW w:w="6167" w:type="dxa"/>
            <w:vAlign w:val="center"/>
          </w:tcPr>
          <w:p w14:paraId="0C043D05">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≥200mm，钢制，中间弯曲部分内径应在2cm～3cm</w:t>
            </w:r>
          </w:p>
        </w:tc>
        <w:tc>
          <w:tcPr>
            <w:tcW w:w="863" w:type="dxa"/>
            <w:gridSpan w:val="4"/>
            <w:vAlign w:val="center"/>
          </w:tcPr>
          <w:p w14:paraId="19A5B253">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25" w:type="dxa"/>
            <w:gridSpan w:val="3"/>
            <w:vAlign w:val="center"/>
          </w:tcPr>
          <w:p w14:paraId="04B6D4E6">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25</w:t>
            </w:r>
          </w:p>
        </w:tc>
      </w:tr>
      <w:tr w14:paraId="3E15EE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57F8FCAD">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121</w:t>
            </w:r>
          </w:p>
        </w:tc>
        <w:tc>
          <w:tcPr>
            <w:tcW w:w="1227" w:type="dxa"/>
            <w:vAlign w:val="center"/>
          </w:tcPr>
          <w:p w14:paraId="06026B91">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烧杯夹</w:t>
            </w:r>
          </w:p>
        </w:tc>
        <w:tc>
          <w:tcPr>
            <w:tcW w:w="6167" w:type="dxa"/>
            <w:vAlign w:val="center"/>
          </w:tcPr>
          <w:p w14:paraId="25E550AD">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钢制或不锈钢制，夹持部位应有橡胶保护套，避免与玻璃烧杯直接接触</w:t>
            </w:r>
          </w:p>
        </w:tc>
        <w:tc>
          <w:tcPr>
            <w:tcW w:w="863" w:type="dxa"/>
            <w:gridSpan w:val="4"/>
            <w:vAlign w:val="center"/>
          </w:tcPr>
          <w:p w14:paraId="6954BCC2">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25" w:type="dxa"/>
            <w:gridSpan w:val="3"/>
            <w:vAlign w:val="center"/>
          </w:tcPr>
          <w:p w14:paraId="72DA5C5A">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w:t>
            </w:r>
          </w:p>
        </w:tc>
      </w:tr>
      <w:tr w14:paraId="7DD85F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6A7A86F4">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122</w:t>
            </w:r>
          </w:p>
        </w:tc>
        <w:tc>
          <w:tcPr>
            <w:tcW w:w="1227" w:type="dxa"/>
            <w:vAlign w:val="center"/>
          </w:tcPr>
          <w:p w14:paraId="79982E95">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镊子</w:t>
            </w:r>
          </w:p>
        </w:tc>
        <w:tc>
          <w:tcPr>
            <w:tcW w:w="6167" w:type="dxa"/>
            <w:vAlign w:val="center"/>
          </w:tcPr>
          <w:p w14:paraId="5E3FF234">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不锈钢制，平头，长≥125mm，钢板厚≥1.2mm，前部应有防滑脱锯齿</w:t>
            </w:r>
          </w:p>
        </w:tc>
        <w:tc>
          <w:tcPr>
            <w:tcW w:w="863" w:type="dxa"/>
            <w:gridSpan w:val="4"/>
            <w:vAlign w:val="center"/>
          </w:tcPr>
          <w:p w14:paraId="563B9A44">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25" w:type="dxa"/>
            <w:gridSpan w:val="3"/>
            <w:vAlign w:val="center"/>
          </w:tcPr>
          <w:p w14:paraId="479A19B0">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25</w:t>
            </w:r>
          </w:p>
        </w:tc>
      </w:tr>
      <w:tr w14:paraId="66664B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70E25C7A">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123</w:t>
            </w:r>
          </w:p>
        </w:tc>
        <w:tc>
          <w:tcPr>
            <w:tcW w:w="1227" w:type="dxa"/>
            <w:vAlign w:val="center"/>
          </w:tcPr>
          <w:p w14:paraId="3702A158">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试管夹</w:t>
            </w:r>
          </w:p>
        </w:tc>
        <w:tc>
          <w:tcPr>
            <w:tcW w:w="6167" w:type="dxa"/>
            <w:vAlign w:val="center"/>
          </w:tcPr>
          <w:p w14:paraId="7AF46B88">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木制或者竹制，长度≥200mm，宽度约20 mm，厚度约20mm。试管夹闭口缝≤1mm，开口距离≥25mm。毡块粘接牢固，试管夹弹簧作防锈处理。试管夹持部位圆弧内径≤15 mm</w:t>
            </w:r>
          </w:p>
        </w:tc>
        <w:tc>
          <w:tcPr>
            <w:tcW w:w="863" w:type="dxa"/>
            <w:gridSpan w:val="4"/>
            <w:vAlign w:val="center"/>
          </w:tcPr>
          <w:p w14:paraId="0DCE33F3">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25" w:type="dxa"/>
            <w:gridSpan w:val="3"/>
            <w:vAlign w:val="center"/>
          </w:tcPr>
          <w:p w14:paraId="3AABA85A">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25</w:t>
            </w:r>
          </w:p>
        </w:tc>
      </w:tr>
      <w:tr w14:paraId="7E4CAC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7D6E4028">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124</w:t>
            </w:r>
          </w:p>
        </w:tc>
        <w:tc>
          <w:tcPr>
            <w:tcW w:w="1227" w:type="dxa"/>
            <w:vAlign w:val="center"/>
          </w:tcPr>
          <w:p w14:paraId="09A0451B">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止水皮管夹</w:t>
            </w:r>
          </w:p>
        </w:tc>
        <w:tc>
          <w:tcPr>
            <w:tcW w:w="6167" w:type="dxa"/>
            <w:vAlign w:val="center"/>
          </w:tcPr>
          <w:p w14:paraId="6487D8F9">
            <w:pPr>
              <w:widowControl/>
              <w:jc w:val="left"/>
              <w:textAlignment w:val="center"/>
              <w:rPr>
                <w:rFonts w:hint="eastAsia" w:ascii="宋体" w:hAnsi="宋体"/>
                <w:i/>
                <w:iCs/>
                <w:color w:val="auto"/>
                <w:szCs w:val="21"/>
                <w:highlight w:val="none"/>
              </w:rPr>
            </w:pPr>
            <w:r>
              <w:rPr>
                <w:rFonts w:hint="eastAsia" w:ascii="宋体" w:hAnsi="宋体"/>
                <w:color w:val="auto"/>
                <w:kern w:val="0"/>
                <w:szCs w:val="21"/>
                <w:highlight w:val="none"/>
                <w:lang w:bidi="ar"/>
              </w:rPr>
              <w:t>≥</w:t>
            </w:r>
            <w:r>
              <w:rPr>
                <w:rFonts w:hint="eastAsia" w:ascii="宋体" w:hAnsi="宋体"/>
                <w:i/>
                <w:iCs/>
                <w:color w:val="auto"/>
                <w:kern w:val="0"/>
                <w:szCs w:val="21"/>
                <w:highlight w:val="none"/>
                <w:lang w:bidi="ar"/>
              </w:rPr>
              <w:t>Φ</w:t>
            </w:r>
            <w:r>
              <w:rPr>
                <w:rFonts w:hint="eastAsia" w:ascii="宋体" w:hAnsi="宋体"/>
                <w:color w:val="auto"/>
                <w:kern w:val="0"/>
                <w:szCs w:val="21"/>
                <w:highlight w:val="none"/>
                <w:lang w:bidi="ar"/>
              </w:rPr>
              <w:t>3mm 钢丝制成，作防锈处理，夹持角度≥60º,弹性好，不漏液</w:t>
            </w:r>
          </w:p>
        </w:tc>
        <w:tc>
          <w:tcPr>
            <w:tcW w:w="863" w:type="dxa"/>
            <w:gridSpan w:val="4"/>
            <w:vAlign w:val="center"/>
          </w:tcPr>
          <w:p w14:paraId="4A9BC330">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25" w:type="dxa"/>
            <w:gridSpan w:val="3"/>
            <w:vAlign w:val="center"/>
          </w:tcPr>
          <w:p w14:paraId="549BF682">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25</w:t>
            </w:r>
          </w:p>
        </w:tc>
      </w:tr>
      <w:tr w14:paraId="1939BE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5E84501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125</w:t>
            </w:r>
          </w:p>
        </w:tc>
        <w:tc>
          <w:tcPr>
            <w:tcW w:w="1227" w:type="dxa"/>
            <w:vAlign w:val="center"/>
          </w:tcPr>
          <w:p w14:paraId="1501B5D0">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螺旋皮管夹</w:t>
            </w:r>
          </w:p>
        </w:tc>
        <w:tc>
          <w:tcPr>
            <w:tcW w:w="6167" w:type="dxa"/>
            <w:vAlign w:val="center"/>
          </w:tcPr>
          <w:p w14:paraId="7DA8A129">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由支架管和带压板的螺杆等组成。外形尺寸约为33 mm×20mm×8mm，旋转方便，不易变形，压板厚度≥1 mm</w:t>
            </w:r>
          </w:p>
        </w:tc>
        <w:tc>
          <w:tcPr>
            <w:tcW w:w="863" w:type="dxa"/>
            <w:gridSpan w:val="4"/>
            <w:vAlign w:val="center"/>
          </w:tcPr>
          <w:p w14:paraId="493B8F5D">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25" w:type="dxa"/>
            <w:gridSpan w:val="3"/>
            <w:vAlign w:val="center"/>
          </w:tcPr>
          <w:p w14:paraId="0CF7CB2A">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5</w:t>
            </w:r>
          </w:p>
        </w:tc>
      </w:tr>
      <w:tr w14:paraId="2F5911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5756054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126</w:t>
            </w:r>
          </w:p>
        </w:tc>
        <w:tc>
          <w:tcPr>
            <w:tcW w:w="1227" w:type="dxa"/>
            <w:vAlign w:val="center"/>
          </w:tcPr>
          <w:p w14:paraId="1A15B211">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石棉网</w:t>
            </w:r>
          </w:p>
        </w:tc>
        <w:tc>
          <w:tcPr>
            <w:tcW w:w="6167" w:type="dxa"/>
            <w:vAlign w:val="center"/>
          </w:tcPr>
          <w:p w14:paraId="4D5CE2E8">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金属网尺寸≥125mm×125mm，≥0.8mm钢丝制成，石棉材料不易脱落，石棉网边缘钢丝应作简单处理</w:t>
            </w:r>
          </w:p>
        </w:tc>
        <w:tc>
          <w:tcPr>
            <w:tcW w:w="863" w:type="dxa"/>
            <w:gridSpan w:val="4"/>
            <w:vAlign w:val="center"/>
          </w:tcPr>
          <w:p w14:paraId="7F79C8FA">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25" w:type="dxa"/>
            <w:gridSpan w:val="3"/>
            <w:vAlign w:val="center"/>
          </w:tcPr>
          <w:p w14:paraId="7E2011D5">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25</w:t>
            </w:r>
          </w:p>
        </w:tc>
      </w:tr>
      <w:tr w14:paraId="3DD9B3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070869C7">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127</w:t>
            </w:r>
          </w:p>
        </w:tc>
        <w:tc>
          <w:tcPr>
            <w:tcW w:w="1227" w:type="dxa"/>
            <w:vAlign w:val="center"/>
          </w:tcPr>
          <w:p w14:paraId="68CEACCA">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燃烧匙</w:t>
            </w:r>
          </w:p>
        </w:tc>
        <w:tc>
          <w:tcPr>
            <w:tcW w:w="6167" w:type="dxa"/>
            <w:vAlign w:val="center"/>
          </w:tcPr>
          <w:p w14:paraId="5BC7B5BF">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铜勺，勺直径≥18 mm，深≥10mm，铁柄，柄长约300mm，长柄和铜勺连接稳定结实</w:t>
            </w:r>
          </w:p>
        </w:tc>
        <w:tc>
          <w:tcPr>
            <w:tcW w:w="863" w:type="dxa"/>
            <w:gridSpan w:val="4"/>
            <w:vAlign w:val="center"/>
          </w:tcPr>
          <w:p w14:paraId="17943D9A">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25" w:type="dxa"/>
            <w:gridSpan w:val="3"/>
            <w:vAlign w:val="center"/>
          </w:tcPr>
          <w:p w14:paraId="2D0BEEED">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25</w:t>
            </w:r>
          </w:p>
        </w:tc>
      </w:tr>
      <w:tr w14:paraId="635530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63C7C7DB">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128</w:t>
            </w:r>
          </w:p>
        </w:tc>
        <w:tc>
          <w:tcPr>
            <w:tcW w:w="1227" w:type="dxa"/>
            <w:vAlign w:val="center"/>
          </w:tcPr>
          <w:p w14:paraId="024B09A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药匙</w:t>
            </w:r>
          </w:p>
        </w:tc>
        <w:tc>
          <w:tcPr>
            <w:tcW w:w="6167" w:type="dxa"/>
            <w:vAlign w:val="center"/>
          </w:tcPr>
          <w:p w14:paraId="13BE377E">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长度≥13 cm，带小勺，材质可选金属、牛角、塑料</w:t>
            </w:r>
          </w:p>
        </w:tc>
        <w:tc>
          <w:tcPr>
            <w:tcW w:w="863" w:type="dxa"/>
            <w:gridSpan w:val="4"/>
            <w:vAlign w:val="center"/>
          </w:tcPr>
          <w:p w14:paraId="03639EDE">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25" w:type="dxa"/>
            <w:gridSpan w:val="3"/>
            <w:vAlign w:val="center"/>
          </w:tcPr>
          <w:p w14:paraId="1FD256B5">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25</w:t>
            </w:r>
          </w:p>
        </w:tc>
      </w:tr>
      <w:tr w14:paraId="0A2DFD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562320D2">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129</w:t>
            </w:r>
          </w:p>
        </w:tc>
        <w:tc>
          <w:tcPr>
            <w:tcW w:w="1227" w:type="dxa"/>
            <w:vAlign w:val="center"/>
          </w:tcPr>
          <w:p w14:paraId="1CAF0E27">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玻璃管</w:t>
            </w:r>
          </w:p>
        </w:tc>
        <w:tc>
          <w:tcPr>
            <w:tcW w:w="6167" w:type="dxa"/>
            <w:vAlign w:val="center"/>
          </w:tcPr>
          <w:p w14:paraId="02BEBD4C">
            <w:pPr>
              <w:widowControl/>
              <w:jc w:val="left"/>
              <w:textAlignment w:val="center"/>
              <w:rPr>
                <w:rFonts w:hint="eastAsia" w:ascii="宋体" w:hAnsi="宋体"/>
                <w:i/>
                <w:iCs/>
                <w:color w:val="auto"/>
                <w:szCs w:val="21"/>
                <w:highlight w:val="none"/>
              </w:rPr>
            </w:pPr>
            <w:r>
              <w:rPr>
                <w:rFonts w:hint="eastAsia" w:ascii="宋体" w:hAnsi="宋体"/>
                <w:color w:val="auto"/>
                <w:kern w:val="0"/>
                <w:szCs w:val="21"/>
                <w:highlight w:val="none"/>
                <w:lang w:bidi="ar"/>
              </w:rPr>
              <w:t>≥</w:t>
            </w:r>
            <w:r>
              <w:rPr>
                <w:rFonts w:hint="eastAsia" w:ascii="宋体" w:hAnsi="宋体"/>
                <w:i/>
                <w:iCs/>
                <w:color w:val="auto"/>
                <w:kern w:val="0"/>
                <w:szCs w:val="21"/>
                <w:highlight w:val="none"/>
                <w:lang w:bidi="ar"/>
              </w:rPr>
              <w:t xml:space="preserve">Φ </w:t>
            </w:r>
            <w:r>
              <w:rPr>
                <w:rFonts w:hint="eastAsia" w:ascii="宋体" w:hAnsi="宋体"/>
                <w:color w:val="auto"/>
                <w:kern w:val="0"/>
                <w:szCs w:val="21"/>
                <w:highlight w:val="none"/>
                <w:lang w:bidi="ar"/>
              </w:rPr>
              <w:t>5mm～6mm 中性料，管口应打磨或烧结，避免划伤事故</w:t>
            </w:r>
          </w:p>
        </w:tc>
        <w:tc>
          <w:tcPr>
            <w:tcW w:w="863" w:type="dxa"/>
            <w:gridSpan w:val="4"/>
            <w:vAlign w:val="center"/>
          </w:tcPr>
          <w:p w14:paraId="6A70B8E4">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kg</w:t>
            </w:r>
          </w:p>
        </w:tc>
        <w:tc>
          <w:tcPr>
            <w:tcW w:w="925" w:type="dxa"/>
            <w:gridSpan w:val="3"/>
            <w:vAlign w:val="center"/>
          </w:tcPr>
          <w:p w14:paraId="0171EA16">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5</w:t>
            </w:r>
          </w:p>
        </w:tc>
      </w:tr>
      <w:tr w14:paraId="1A4CBD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216890DD">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130</w:t>
            </w:r>
          </w:p>
        </w:tc>
        <w:tc>
          <w:tcPr>
            <w:tcW w:w="1227" w:type="dxa"/>
            <w:vAlign w:val="center"/>
          </w:tcPr>
          <w:p w14:paraId="438A3F2C">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玻璃管</w:t>
            </w:r>
          </w:p>
        </w:tc>
        <w:tc>
          <w:tcPr>
            <w:tcW w:w="6167" w:type="dxa"/>
            <w:vAlign w:val="center"/>
          </w:tcPr>
          <w:p w14:paraId="29A644C1">
            <w:pPr>
              <w:widowControl/>
              <w:jc w:val="left"/>
              <w:textAlignment w:val="center"/>
              <w:rPr>
                <w:rFonts w:hint="eastAsia" w:ascii="宋体" w:hAnsi="宋体"/>
                <w:i/>
                <w:iCs/>
                <w:color w:val="auto"/>
                <w:szCs w:val="21"/>
                <w:highlight w:val="none"/>
              </w:rPr>
            </w:pPr>
            <w:r>
              <w:rPr>
                <w:rFonts w:hint="eastAsia" w:ascii="宋体" w:hAnsi="宋体"/>
                <w:color w:val="auto"/>
                <w:kern w:val="0"/>
                <w:szCs w:val="21"/>
                <w:highlight w:val="none"/>
                <w:lang w:bidi="ar"/>
              </w:rPr>
              <w:t>≥</w:t>
            </w:r>
            <w:r>
              <w:rPr>
                <w:rFonts w:hint="eastAsia" w:ascii="宋体" w:hAnsi="宋体"/>
                <w:i/>
                <w:iCs/>
                <w:color w:val="auto"/>
                <w:kern w:val="0"/>
                <w:szCs w:val="21"/>
                <w:highlight w:val="none"/>
                <w:lang w:bidi="ar"/>
              </w:rPr>
              <w:t xml:space="preserve">Φ </w:t>
            </w:r>
            <w:r>
              <w:rPr>
                <w:rFonts w:hint="eastAsia" w:ascii="宋体" w:hAnsi="宋体"/>
                <w:color w:val="auto"/>
                <w:kern w:val="0"/>
                <w:szCs w:val="21"/>
                <w:highlight w:val="none"/>
                <w:lang w:bidi="ar"/>
              </w:rPr>
              <w:t>7mm～8mm中性料，管口应打磨或烧结，避免划伤事故</w:t>
            </w:r>
          </w:p>
        </w:tc>
        <w:tc>
          <w:tcPr>
            <w:tcW w:w="863" w:type="dxa"/>
            <w:gridSpan w:val="4"/>
            <w:vAlign w:val="center"/>
          </w:tcPr>
          <w:p w14:paraId="6AA8601A">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kg</w:t>
            </w:r>
          </w:p>
        </w:tc>
        <w:tc>
          <w:tcPr>
            <w:tcW w:w="925" w:type="dxa"/>
            <w:gridSpan w:val="3"/>
            <w:vAlign w:val="center"/>
          </w:tcPr>
          <w:p w14:paraId="587BA3EE">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4</w:t>
            </w:r>
          </w:p>
        </w:tc>
      </w:tr>
      <w:tr w14:paraId="4587A6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0D02276A">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131</w:t>
            </w:r>
          </w:p>
        </w:tc>
        <w:tc>
          <w:tcPr>
            <w:tcW w:w="1227" w:type="dxa"/>
            <w:vAlign w:val="center"/>
          </w:tcPr>
          <w:p w14:paraId="26AECC9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玻璃弯管</w:t>
            </w:r>
          </w:p>
        </w:tc>
        <w:tc>
          <w:tcPr>
            <w:tcW w:w="6167" w:type="dxa"/>
            <w:vAlign w:val="center"/>
          </w:tcPr>
          <w:p w14:paraId="1AEBE12D">
            <w:pPr>
              <w:widowControl/>
              <w:jc w:val="left"/>
              <w:textAlignment w:val="center"/>
              <w:rPr>
                <w:rFonts w:hint="eastAsia" w:ascii="宋体" w:hAnsi="宋体"/>
                <w:i/>
                <w:iCs/>
                <w:color w:val="auto"/>
                <w:szCs w:val="21"/>
                <w:highlight w:val="none"/>
              </w:rPr>
            </w:pPr>
            <w:r>
              <w:rPr>
                <w:rFonts w:hint="eastAsia" w:ascii="宋体" w:hAnsi="宋体"/>
                <w:color w:val="auto"/>
                <w:kern w:val="0"/>
                <w:szCs w:val="21"/>
                <w:highlight w:val="none"/>
                <w:lang w:bidi="ar"/>
              </w:rPr>
              <w:t>≥</w:t>
            </w:r>
            <w:r>
              <w:rPr>
                <w:rFonts w:hint="eastAsia" w:ascii="宋体" w:hAnsi="宋体"/>
                <w:i/>
                <w:iCs/>
                <w:color w:val="auto"/>
                <w:kern w:val="0"/>
                <w:szCs w:val="21"/>
                <w:highlight w:val="none"/>
                <w:lang w:bidi="ar"/>
              </w:rPr>
              <w:t xml:space="preserve">Φ </w:t>
            </w:r>
            <w:r>
              <w:rPr>
                <w:rFonts w:hint="eastAsia" w:ascii="宋体" w:hAnsi="宋体"/>
                <w:color w:val="auto"/>
                <w:kern w:val="0"/>
                <w:szCs w:val="21"/>
                <w:highlight w:val="none"/>
                <w:lang w:bidi="ar"/>
              </w:rPr>
              <w:t>7mm～8 mm一端长度为6cm～7cm，另一端长度约20cm，形状为锐角、直角和 钝角，管口应打磨或烧结，避免划 伤事故</w:t>
            </w:r>
          </w:p>
        </w:tc>
        <w:tc>
          <w:tcPr>
            <w:tcW w:w="863" w:type="dxa"/>
            <w:gridSpan w:val="4"/>
            <w:vAlign w:val="center"/>
          </w:tcPr>
          <w:p w14:paraId="662A3BC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kg</w:t>
            </w:r>
          </w:p>
        </w:tc>
        <w:tc>
          <w:tcPr>
            <w:tcW w:w="925" w:type="dxa"/>
            <w:gridSpan w:val="3"/>
            <w:vAlign w:val="center"/>
          </w:tcPr>
          <w:p w14:paraId="7D446FF3">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23A33A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001030F4">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132</w:t>
            </w:r>
          </w:p>
        </w:tc>
        <w:tc>
          <w:tcPr>
            <w:tcW w:w="1227" w:type="dxa"/>
            <w:vAlign w:val="center"/>
          </w:tcPr>
          <w:p w14:paraId="0832B88A">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玻璃棒</w:t>
            </w:r>
          </w:p>
        </w:tc>
        <w:tc>
          <w:tcPr>
            <w:tcW w:w="6167" w:type="dxa"/>
            <w:vAlign w:val="center"/>
          </w:tcPr>
          <w:p w14:paraId="1CDE4CF2">
            <w:pPr>
              <w:widowControl/>
              <w:jc w:val="left"/>
              <w:textAlignment w:val="center"/>
              <w:rPr>
                <w:rFonts w:hint="eastAsia" w:ascii="宋体" w:hAnsi="宋体"/>
                <w:i/>
                <w:iCs/>
                <w:color w:val="auto"/>
                <w:szCs w:val="21"/>
                <w:highlight w:val="none"/>
              </w:rPr>
            </w:pPr>
            <w:r>
              <w:rPr>
                <w:rFonts w:hint="eastAsia" w:ascii="宋体" w:hAnsi="宋体"/>
                <w:color w:val="auto"/>
                <w:kern w:val="0"/>
                <w:szCs w:val="21"/>
                <w:highlight w:val="none"/>
                <w:lang w:bidi="ar"/>
              </w:rPr>
              <w:t>≥</w:t>
            </w:r>
            <w:r>
              <w:rPr>
                <w:rFonts w:hint="eastAsia" w:ascii="宋体" w:hAnsi="宋体"/>
                <w:i/>
                <w:iCs/>
                <w:color w:val="auto"/>
                <w:kern w:val="0"/>
                <w:szCs w:val="21"/>
                <w:highlight w:val="none"/>
                <w:lang w:bidi="ar"/>
              </w:rPr>
              <w:t>Φ</w:t>
            </w:r>
            <w:r>
              <w:rPr>
                <w:rFonts w:hint="eastAsia" w:ascii="宋体" w:hAnsi="宋体"/>
                <w:color w:val="auto"/>
                <w:kern w:val="0"/>
                <w:szCs w:val="21"/>
                <w:highlight w:val="none"/>
                <w:lang w:bidi="ar"/>
              </w:rPr>
              <w:t>5 mm～6mm 粗细均匀，两端烧结使其光滑</w:t>
            </w:r>
          </w:p>
        </w:tc>
        <w:tc>
          <w:tcPr>
            <w:tcW w:w="863" w:type="dxa"/>
            <w:gridSpan w:val="4"/>
            <w:vAlign w:val="center"/>
          </w:tcPr>
          <w:p w14:paraId="173A93A3">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kg</w:t>
            </w:r>
          </w:p>
        </w:tc>
        <w:tc>
          <w:tcPr>
            <w:tcW w:w="925" w:type="dxa"/>
            <w:gridSpan w:val="3"/>
            <w:vAlign w:val="center"/>
          </w:tcPr>
          <w:p w14:paraId="3D3E8C90">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3</w:t>
            </w:r>
          </w:p>
        </w:tc>
      </w:tr>
      <w:tr w14:paraId="6C6BD5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480AA6BD">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133</w:t>
            </w:r>
          </w:p>
        </w:tc>
        <w:tc>
          <w:tcPr>
            <w:tcW w:w="1227" w:type="dxa"/>
            <w:vAlign w:val="center"/>
          </w:tcPr>
          <w:p w14:paraId="5BAB873C">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玻璃棒</w:t>
            </w:r>
          </w:p>
        </w:tc>
        <w:tc>
          <w:tcPr>
            <w:tcW w:w="6167" w:type="dxa"/>
            <w:vAlign w:val="center"/>
          </w:tcPr>
          <w:p w14:paraId="5E6FFC2F">
            <w:pPr>
              <w:widowControl/>
              <w:jc w:val="left"/>
              <w:textAlignment w:val="center"/>
              <w:rPr>
                <w:rFonts w:hint="eastAsia" w:ascii="宋体" w:hAnsi="宋体"/>
                <w:i/>
                <w:iCs/>
                <w:color w:val="auto"/>
                <w:szCs w:val="21"/>
                <w:highlight w:val="none"/>
              </w:rPr>
            </w:pPr>
            <w:r>
              <w:rPr>
                <w:rFonts w:hint="eastAsia" w:ascii="宋体" w:hAnsi="宋体"/>
                <w:color w:val="auto"/>
                <w:kern w:val="0"/>
                <w:szCs w:val="21"/>
                <w:highlight w:val="none"/>
                <w:lang w:bidi="ar"/>
              </w:rPr>
              <w:t>≥</w:t>
            </w:r>
            <w:r>
              <w:rPr>
                <w:rFonts w:hint="eastAsia" w:ascii="宋体" w:hAnsi="宋体"/>
                <w:i/>
                <w:iCs/>
                <w:color w:val="auto"/>
                <w:kern w:val="0"/>
                <w:szCs w:val="21"/>
                <w:highlight w:val="none"/>
                <w:lang w:bidi="ar"/>
              </w:rPr>
              <w:t>Φ</w:t>
            </w:r>
            <w:r>
              <w:rPr>
                <w:rFonts w:hint="eastAsia" w:ascii="宋体" w:hAnsi="宋体"/>
                <w:color w:val="auto"/>
                <w:kern w:val="0"/>
                <w:szCs w:val="21"/>
                <w:highlight w:val="none"/>
                <w:lang w:bidi="ar"/>
              </w:rPr>
              <w:t>7 mm～8mm 粗细均匀，两端烧结使其光滑</w:t>
            </w:r>
          </w:p>
        </w:tc>
        <w:tc>
          <w:tcPr>
            <w:tcW w:w="863" w:type="dxa"/>
            <w:gridSpan w:val="4"/>
            <w:vAlign w:val="center"/>
          </w:tcPr>
          <w:p w14:paraId="092A8CCA">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kg</w:t>
            </w:r>
          </w:p>
        </w:tc>
        <w:tc>
          <w:tcPr>
            <w:tcW w:w="925" w:type="dxa"/>
            <w:gridSpan w:val="3"/>
            <w:vAlign w:val="center"/>
          </w:tcPr>
          <w:p w14:paraId="4067E292">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3</w:t>
            </w:r>
          </w:p>
        </w:tc>
      </w:tr>
      <w:tr w14:paraId="02A574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7FFACB9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134</w:t>
            </w:r>
          </w:p>
        </w:tc>
        <w:tc>
          <w:tcPr>
            <w:tcW w:w="1227" w:type="dxa"/>
            <w:vAlign w:val="center"/>
          </w:tcPr>
          <w:p w14:paraId="53619901">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橡胶塞</w:t>
            </w:r>
          </w:p>
        </w:tc>
        <w:tc>
          <w:tcPr>
            <w:tcW w:w="6167" w:type="dxa"/>
            <w:vAlign w:val="center"/>
          </w:tcPr>
          <w:p w14:paraId="62378EE8">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000、00、0～10 号白色，质地均匀</w:t>
            </w:r>
          </w:p>
        </w:tc>
        <w:tc>
          <w:tcPr>
            <w:tcW w:w="863" w:type="dxa"/>
            <w:gridSpan w:val="4"/>
            <w:vAlign w:val="center"/>
          </w:tcPr>
          <w:p w14:paraId="0872486E">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kg</w:t>
            </w:r>
          </w:p>
        </w:tc>
        <w:tc>
          <w:tcPr>
            <w:tcW w:w="925" w:type="dxa"/>
            <w:gridSpan w:val="3"/>
            <w:vAlign w:val="center"/>
          </w:tcPr>
          <w:p w14:paraId="235157E3">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8</w:t>
            </w:r>
          </w:p>
        </w:tc>
      </w:tr>
      <w:tr w14:paraId="387D05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20765F28">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135</w:t>
            </w:r>
          </w:p>
        </w:tc>
        <w:tc>
          <w:tcPr>
            <w:tcW w:w="1227" w:type="dxa"/>
            <w:vAlign w:val="center"/>
          </w:tcPr>
          <w:p w14:paraId="782D5201">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橡胶管</w:t>
            </w:r>
          </w:p>
        </w:tc>
        <w:tc>
          <w:tcPr>
            <w:tcW w:w="6167" w:type="dxa"/>
            <w:vAlign w:val="center"/>
          </w:tcPr>
          <w:p w14:paraId="7DAFE459">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外径≥9mm，内径≥6mm乳白色，具有耐油、耐酸碱、耐压等特性</w:t>
            </w:r>
          </w:p>
        </w:tc>
        <w:tc>
          <w:tcPr>
            <w:tcW w:w="863" w:type="dxa"/>
            <w:gridSpan w:val="4"/>
            <w:vAlign w:val="center"/>
          </w:tcPr>
          <w:p w14:paraId="5FD8316D">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kg</w:t>
            </w:r>
          </w:p>
        </w:tc>
        <w:tc>
          <w:tcPr>
            <w:tcW w:w="925" w:type="dxa"/>
            <w:gridSpan w:val="3"/>
            <w:vAlign w:val="center"/>
          </w:tcPr>
          <w:p w14:paraId="03ED0F9F">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3</w:t>
            </w:r>
          </w:p>
        </w:tc>
      </w:tr>
      <w:tr w14:paraId="05F45E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2F3F54D3">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136</w:t>
            </w:r>
          </w:p>
        </w:tc>
        <w:tc>
          <w:tcPr>
            <w:tcW w:w="1227" w:type="dxa"/>
            <w:vAlign w:val="center"/>
          </w:tcPr>
          <w:p w14:paraId="2BA5DDB3">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乳胶管</w:t>
            </w:r>
          </w:p>
        </w:tc>
        <w:tc>
          <w:tcPr>
            <w:tcW w:w="6167" w:type="dxa"/>
            <w:vAlign w:val="center"/>
          </w:tcPr>
          <w:p w14:paraId="1536D49A">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外径≥6 mm，内径≥4 mm 弹力好，拉力范围可在自身的6倍， 回弹力≥100%</w:t>
            </w:r>
          </w:p>
        </w:tc>
        <w:tc>
          <w:tcPr>
            <w:tcW w:w="863" w:type="dxa"/>
            <w:gridSpan w:val="4"/>
            <w:vAlign w:val="center"/>
          </w:tcPr>
          <w:p w14:paraId="7386D0BD">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m</w:t>
            </w:r>
          </w:p>
        </w:tc>
        <w:tc>
          <w:tcPr>
            <w:tcW w:w="925" w:type="dxa"/>
            <w:gridSpan w:val="3"/>
            <w:vAlign w:val="center"/>
          </w:tcPr>
          <w:p w14:paraId="1602D6BA">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20</w:t>
            </w:r>
          </w:p>
        </w:tc>
      </w:tr>
      <w:tr w14:paraId="5AD84F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0AECB2FB">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137</w:t>
            </w:r>
          </w:p>
        </w:tc>
        <w:tc>
          <w:tcPr>
            <w:tcW w:w="1227" w:type="dxa"/>
            <w:vAlign w:val="center"/>
          </w:tcPr>
          <w:p w14:paraId="359AFAF6">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乳胶管</w:t>
            </w:r>
          </w:p>
        </w:tc>
        <w:tc>
          <w:tcPr>
            <w:tcW w:w="6167" w:type="dxa"/>
            <w:vAlign w:val="center"/>
          </w:tcPr>
          <w:p w14:paraId="159A768D">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外径≥7 mm，内径≥5 mm弹力好，拉力范围可在自身的6倍， 回弹力100%</w:t>
            </w:r>
          </w:p>
        </w:tc>
        <w:tc>
          <w:tcPr>
            <w:tcW w:w="863" w:type="dxa"/>
            <w:gridSpan w:val="4"/>
            <w:vAlign w:val="center"/>
          </w:tcPr>
          <w:p w14:paraId="61C2C820">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m</w:t>
            </w:r>
          </w:p>
        </w:tc>
        <w:tc>
          <w:tcPr>
            <w:tcW w:w="925" w:type="dxa"/>
            <w:gridSpan w:val="3"/>
            <w:vAlign w:val="center"/>
          </w:tcPr>
          <w:p w14:paraId="088469B7">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20</w:t>
            </w:r>
          </w:p>
        </w:tc>
      </w:tr>
      <w:tr w14:paraId="3547E9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37612B17">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138</w:t>
            </w:r>
          </w:p>
        </w:tc>
        <w:tc>
          <w:tcPr>
            <w:tcW w:w="1227" w:type="dxa"/>
            <w:vAlign w:val="center"/>
          </w:tcPr>
          <w:p w14:paraId="25BED35F">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乳胶管</w:t>
            </w:r>
          </w:p>
        </w:tc>
        <w:tc>
          <w:tcPr>
            <w:tcW w:w="6167" w:type="dxa"/>
            <w:vAlign w:val="center"/>
          </w:tcPr>
          <w:p w14:paraId="24BF97F7">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外径≥9 mm，内径≥6mm弹力好，拉力范围可在自身的6倍， 回弹力 100%</w:t>
            </w:r>
          </w:p>
        </w:tc>
        <w:tc>
          <w:tcPr>
            <w:tcW w:w="863" w:type="dxa"/>
            <w:gridSpan w:val="4"/>
            <w:vAlign w:val="center"/>
          </w:tcPr>
          <w:p w14:paraId="653597E6">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m</w:t>
            </w:r>
          </w:p>
        </w:tc>
        <w:tc>
          <w:tcPr>
            <w:tcW w:w="925" w:type="dxa"/>
            <w:gridSpan w:val="3"/>
            <w:vAlign w:val="center"/>
          </w:tcPr>
          <w:p w14:paraId="5411431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20</w:t>
            </w:r>
          </w:p>
        </w:tc>
      </w:tr>
      <w:tr w14:paraId="4319A8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22C94E0C">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139</w:t>
            </w:r>
          </w:p>
        </w:tc>
        <w:tc>
          <w:tcPr>
            <w:tcW w:w="1227" w:type="dxa"/>
            <w:vAlign w:val="center"/>
          </w:tcPr>
          <w:p w14:paraId="1FC3EF03">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试管刷</w:t>
            </w:r>
          </w:p>
        </w:tc>
        <w:tc>
          <w:tcPr>
            <w:tcW w:w="6167" w:type="dxa"/>
            <w:vAlign w:val="center"/>
          </w:tcPr>
          <w:p w14:paraId="3AB518F6">
            <w:pPr>
              <w:widowControl/>
              <w:jc w:val="left"/>
              <w:textAlignment w:val="center"/>
              <w:rPr>
                <w:rFonts w:hint="eastAsia" w:ascii="宋体" w:hAnsi="宋体"/>
                <w:i/>
                <w:iCs/>
                <w:color w:val="auto"/>
                <w:szCs w:val="21"/>
                <w:highlight w:val="none"/>
              </w:rPr>
            </w:pPr>
            <w:r>
              <w:rPr>
                <w:rFonts w:hint="eastAsia" w:ascii="宋体" w:hAnsi="宋体"/>
                <w:color w:val="auto"/>
                <w:kern w:val="0"/>
                <w:szCs w:val="21"/>
                <w:highlight w:val="none"/>
                <w:lang w:bidi="ar"/>
              </w:rPr>
              <w:t>≥</w:t>
            </w:r>
            <w:r>
              <w:rPr>
                <w:rFonts w:hint="eastAsia" w:ascii="宋体" w:hAnsi="宋体"/>
                <w:i/>
                <w:iCs/>
                <w:color w:val="auto"/>
                <w:kern w:val="0"/>
                <w:szCs w:val="21"/>
                <w:highlight w:val="none"/>
                <w:lang w:bidi="ar"/>
              </w:rPr>
              <w:t>Φ</w:t>
            </w:r>
            <w:r>
              <w:rPr>
                <w:rFonts w:hint="eastAsia" w:ascii="宋体" w:hAnsi="宋体"/>
                <w:color w:val="auto"/>
                <w:kern w:val="0"/>
                <w:szCs w:val="21"/>
                <w:highlight w:val="none"/>
                <w:lang w:bidi="ar"/>
              </w:rPr>
              <w:t>12mm手持部分顶端应为环状，顶部要有刷丝，铁丝不可外露</w:t>
            </w:r>
          </w:p>
        </w:tc>
        <w:tc>
          <w:tcPr>
            <w:tcW w:w="863" w:type="dxa"/>
            <w:gridSpan w:val="4"/>
            <w:vAlign w:val="center"/>
          </w:tcPr>
          <w:p w14:paraId="508B6B2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25" w:type="dxa"/>
            <w:gridSpan w:val="3"/>
            <w:vAlign w:val="center"/>
          </w:tcPr>
          <w:p w14:paraId="0F9ADCEA">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25</w:t>
            </w:r>
          </w:p>
        </w:tc>
      </w:tr>
      <w:tr w14:paraId="2C64F3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4A5DE4B0">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140</w:t>
            </w:r>
          </w:p>
        </w:tc>
        <w:tc>
          <w:tcPr>
            <w:tcW w:w="1227" w:type="dxa"/>
            <w:vAlign w:val="center"/>
          </w:tcPr>
          <w:p w14:paraId="0F1AFE0B">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试管刷</w:t>
            </w:r>
          </w:p>
        </w:tc>
        <w:tc>
          <w:tcPr>
            <w:tcW w:w="6167" w:type="dxa"/>
            <w:vAlign w:val="center"/>
          </w:tcPr>
          <w:p w14:paraId="1990B820">
            <w:pPr>
              <w:widowControl/>
              <w:jc w:val="left"/>
              <w:textAlignment w:val="center"/>
              <w:rPr>
                <w:rFonts w:hint="eastAsia" w:ascii="宋体" w:hAnsi="宋体"/>
                <w:i/>
                <w:iCs/>
                <w:color w:val="auto"/>
                <w:szCs w:val="21"/>
                <w:highlight w:val="none"/>
              </w:rPr>
            </w:pPr>
            <w:r>
              <w:rPr>
                <w:rFonts w:hint="eastAsia" w:ascii="宋体" w:hAnsi="宋体"/>
                <w:color w:val="auto"/>
                <w:kern w:val="0"/>
                <w:szCs w:val="21"/>
                <w:highlight w:val="none"/>
                <w:lang w:bidi="ar"/>
              </w:rPr>
              <w:t>≥</w:t>
            </w:r>
            <w:r>
              <w:rPr>
                <w:rFonts w:hint="eastAsia" w:ascii="宋体" w:hAnsi="宋体"/>
                <w:i/>
                <w:iCs/>
                <w:color w:val="auto"/>
                <w:kern w:val="0"/>
                <w:szCs w:val="21"/>
                <w:highlight w:val="none"/>
                <w:lang w:bidi="ar"/>
              </w:rPr>
              <w:t>Φ</w:t>
            </w:r>
            <w:r>
              <w:rPr>
                <w:rFonts w:hint="eastAsia" w:ascii="宋体" w:hAnsi="宋体"/>
                <w:color w:val="auto"/>
                <w:kern w:val="0"/>
                <w:szCs w:val="21"/>
                <w:highlight w:val="none"/>
                <w:lang w:bidi="ar"/>
              </w:rPr>
              <w:t>18 mm手持部分顶端应为环状，顶部要有刷丝，铁丝不可外露</w:t>
            </w:r>
          </w:p>
        </w:tc>
        <w:tc>
          <w:tcPr>
            <w:tcW w:w="863" w:type="dxa"/>
            <w:gridSpan w:val="4"/>
            <w:vAlign w:val="center"/>
          </w:tcPr>
          <w:p w14:paraId="5FF46C14">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25" w:type="dxa"/>
            <w:gridSpan w:val="3"/>
            <w:vAlign w:val="center"/>
          </w:tcPr>
          <w:p w14:paraId="3EE32DE8">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25</w:t>
            </w:r>
          </w:p>
        </w:tc>
      </w:tr>
      <w:tr w14:paraId="03D8D3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37E4F7E2">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141</w:t>
            </w:r>
          </w:p>
        </w:tc>
        <w:tc>
          <w:tcPr>
            <w:tcW w:w="1227" w:type="dxa"/>
            <w:vAlign w:val="center"/>
          </w:tcPr>
          <w:p w14:paraId="6606703E">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试管刷</w:t>
            </w:r>
          </w:p>
        </w:tc>
        <w:tc>
          <w:tcPr>
            <w:tcW w:w="6167" w:type="dxa"/>
            <w:vAlign w:val="center"/>
          </w:tcPr>
          <w:p w14:paraId="200CDDE1">
            <w:pPr>
              <w:widowControl/>
              <w:jc w:val="left"/>
              <w:textAlignment w:val="center"/>
              <w:rPr>
                <w:rFonts w:hint="eastAsia" w:ascii="宋体" w:hAnsi="宋体"/>
                <w:i/>
                <w:iCs/>
                <w:color w:val="auto"/>
                <w:szCs w:val="21"/>
                <w:highlight w:val="none"/>
              </w:rPr>
            </w:pPr>
            <w:r>
              <w:rPr>
                <w:rFonts w:hint="eastAsia" w:ascii="宋体" w:hAnsi="宋体"/>
                <w:color w:val="auto"/>
                <w:kern w:val="0"/>
                <w:szCs w:val="21"/>
                <w:highlight w:val="none"/>
                <w:lang w:bidi="ar"/>
              </w:rPr>
              <w:t>≥</w:t>
            </w:r>
            <w:r>
              <w:rPr>
                <w:rFonts w:hint="eastAsia" w:ascii="宋体" w:hAnsi="宋体"/>
                <w:i/>
                <w:iCs/>
                <w:color w:val="auto"/>
                <w:kern w:val="0"/>
                <w:szCs w:val="21"/>
                <w:highlight w:val="none"/>
                <w:lang w:bidi="ar"/>
              </w:rPr>
              <w:t>Φ</w:t>
            </w:r>
            <w:r>
              <w:rPr>
                <w:rFonts w:hint="eastAsia" w:ascii="宋体" w:hAnsi="宋体"/>
                <w:color w:val="auto"/>
                <w:kern w:val="0"/>
                <w:szCs w:val="21"/>
                <w:highlight w:val="none"/>
                <w:lang w:bidi="ar"/>
              </w:rPr>
              <w:t>32mm 手持部分顶端应为环状，顶部要有刷丝，铁丝不可外露</w:t>
            </w:r>
          </w:p>
        </w:tc>
        <w:tc>
          <w:tcPr>
            <w:tcW w:w="863" w:type="dxa"/>
            <w:gridSpan w:val="4"/>
            <w:vAlign w:val="center"/>
          </w:tcPr>
          <w:p w14:paraId="28A8D50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25" w:type="dxa"/>
            <w:gridSpan w:val="3"/>
            <w:vAlign w:val="center"/>
          </w:tcPr>
          <w:p w14:paraId="70017B01">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5</w:t>
            </w:r>
          </w:p>
        </w:tc>
      </w:tr>
      <w:tr w14:paraId="1FA8F1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3029F190">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142</w:t>
            </w:r>
          </w:p>
        </w:tc>
        <w:tc>
          <w:tcPr>
            <w:tcW w:w="1227" w:type="dxa"/>
            <w:vAlign w:val="center"/>
          </w:tcPr>
          <w:p w14:paraId="5424EC17">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烧瓶刷</w:t>
            </w:r>
          </w:p>
        </w:tc>
        <w:tc>
          <w:tcPr>
            <w:tcW w:w="6167" w:type="dxa"/>
            <w:vAlign w:val="center"/>
          </w:tcPr>
          <w:p w14:paraId="278212D6">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≥250mL烧瓶用手持部分顶端应为环状，顶部要有刷丝，铁丝不可外露</w:t>
            </w:r>
          </w:p>
        </w:tc>
        <w:tc>
          <w:tcPr>
            <w:tcW w:w="863" w:type="dxa"/>
            <w:gridSpan w:val="4"/>
            <w:vAlign w:val="center"/>
          </w:tcPr>
          <w:p w14:paraId="4419657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25" w:type="dxa"/>
            <w:gridSpan w:val="3"/>
            <w:vAlign w:val="center"/>
          </w:tcPr>
          <w:p w14:paraId="1D56A29C">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5</w:t>
            </w:r>
          </w:p>
        </w:tc>
      </w:tr>
      <w:tr w14:paraId="330B70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2F4093EB">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143</w:t>
            </w:r>
          </w:p>
        </w:tc>
        <w:tc>
          <w:tcPr>
            <w:tcW w:w="1227" w:type="dxa"/>
            <w:vAlign w:val="center"/>
          </w:tcPr>
          <w:p w14:paraId="5B776002">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烧瓶刷</w:t>
            </w:r>
          </w:p>
        </w:tc>
        <w:tc>
          <w:tcPr>
            <w:tcW w:w="6167" w:type="dxa"/>
            <w:vAlign w:val="center"/>
          </w:tcPr>
          <w:p w14:paraId="0DAB0B11">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≥500mL烧瓶用手持部分顶端应为环状，顶部要有刷丝，铁丝不可外露</w:t>
            </w:r>
          </w:p>
        </w:tc>
        <w:tc>
          <w:tcPr>
            <w:tcW w:w="863" w:type="dxa"/>
            <w:gridSpan w:val="4"/>
            <w:vAlign w:val="center"/>
          </w:tcPr>
          <w:p w14:paraId="75D43296">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25" w:type="dxa"/>
            <w:gridSpan w:val="3"/>
            <w:vAlign w:val="center"/>
          </w:tcPr>
          <w:p w14:paraId="68A5932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5</w:t>
            </w:r>
          </w:p>
        </w:tc>
      </w:tr>
      <w:tr w14:paraId="471A4E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58EE5C16">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144</w:t>
            </w:r>
          </w:p>
        </w:tc>
        <w:tc>
          <w:tcPr>
            <w:tcW w:w="1227" w:type="dxa"/>
            <w:vAlign w:val="center"/>
          </w:tcPr>
          <w:p w14:paraId="4B4F9D85">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结晶皿</w:t>
            </w:r>
          </w:p>
        </w:tc>
        <w:tc>
          <w:tcPr>
            <w:tcW w:w="6167" w:type="dxa"/>
            <w:vAlign w:val="center"/>
          </w:tcPr>
          <w:p w14:paraId="485AD5E0">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≥80mm，平底无色硼硅酸盐玻璃制</w:t>
            </w:r>
          </w:p>
        </w:tc>
        <w:tc>
          <w:tcPr>
            <w:tcW w:w="863" w:type="dxa"/>
            <w:gridSpan w:val="4"/>
            <w:vAlign w:val="center"/>
          </w:tcPr>
          <w:p w14:paraId="5FCBD50E">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25" w:type="dxa"/>
            <w:gridSpan w:val="3"/>
            <w:vAlign w:val="center"/>
          </w:tcPr>
          <w:p w14:paraId="29B95C65">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w:t>
            </w:r>
          </w:p>
        </w:tc>
      </w:tr>
      <w:tr w14:paraId="047587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5735289A">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145</w:t>
            </w:r>
          </w:p>
        </w:tc>
        <w:tc>
          <w:tcPr>
            <w:tcW w:w="1227" w:type="dxa"/>
            <w:vAlign w:val="center"/>
          </w:tcPr>
          <w:p w14:paraId="2D636E25">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表面皿</w:t>
            </w:r>
          </w:p>
        </w:tc>
        <w:tc>
          <w:tcPr>
            <w:tcW w:w="6167" w:type="dxa"/>
            <w:vAlign w:val="center"/>
          </w:tcPr>
          <w:p w14:paraId="5A853EE2">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≥60mm 无色硼硅酸盐玻璃制</w:t>
            </w:r>
          </w:p>
        </w:tc>
        <w:tc>
          <w:tcPr>
            <w:tcW w:w="863" w:type="dxa"/>
            <w:gridSpan w:val="4"/>
            <w:vAlign w:val="center"/>
          </w:tcPr>
          <w:p w14:paraId="44CA3BD8">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25" w:type="dxa"/>
            <w:gridSpan w:val="3"/>
            <w:vAlign w:val="center"/>
          </w:tcPr>
          <w:p w14:paraId="1D669BD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25</w:t>
            </w:r>
          </w:p>
        </w:tc>
      </w:tr>
      <w:tr w14:paraId="6321CE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2BCEF3A2">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146</w:t>
            </w:r>
          </w:p>
        </w:tc>
        <w:tc>
          <w:tcPr>
            <w:tcW w:w="1227" w:type="dxa"/>
            <w:vAlign w:val="center"/>
          </w:tcPr>
          <w:p w14:paraId="3D65491F">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表面皿</w:t>
            </w:r>
          </w:p>
        </w:tc>
        <w:tc>
          <w:tcPr>
            <w:tcW w:w="6167" w:type="dxa"/>
            <w:vAlign w:val="center"/>
          </w:tcPr>
          <w:p w14:paraId="71B2F7BC">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≥100mm 无色硼硅酸盐玻璃制</w:t>
            </w:r>
          </w:p>
        </w:tc>
        <w:tc>
          <w:tcPr>
            <w:tcW w:w="863" w:type="dxa"/>
            <w:gridSpan w:val="4"/>
            <w:vAlign w:val="center"/>
          </w:tcPr>
          <w:p w14:paraId="79D6E074">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25" w:type="dxa"/>
            <w:gridSpan w:val="3"/>
            <w:vAlign w:val="center"/>
          </w:tcPr>
          <w:p w14:paraId="436DB767">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w:t>
            </w:r>
          </w:p>
        </w:tc>
      </w:tr>
      <w:tr w14:paraId="310E68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22FF97CE">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147</w:t>
            </w:r>
          </w:p>
        </w:tc>
        <w:tc>
          <w:tcPr>
            <w:tcW w:w="1227" w:type="dxa"/>
            <w:vAlign w:val="center"/>
          </w:tcPr>
          <w:p w14:paraId="426F739B">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研钵</w:t>
            </w:r>
          </w:p>
        </w:tc>
        <w:tc>
          <w:tcPr>
            <w:tcW w:w="6167" w:type="dxa"/>
            <w:vAlign w:val="center"/>
          </w:tcPr>
          <w:p w14:paraId="48B2DCDF">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≥60 mm 瓷或玻璃制，配有研杵，内部粗糙 便于研磨，外部光滑</w:t>
            </w:r>
          </w:p>
        </w:tc>
        <w:tc>
          <w:tcPr>
            <w:tcW w:w="863" w:type="dxa"/>
            <w:gridSpan w:val="4"/>
            <w:vAlign w:val="center"/>
          </w:tcPr>
          <w:p w14:paraId="10D02F81">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25" w:type="dxa"/>
            <w:gridSpan w:val="3"/>
            <w:vAlign w:val="center"/>
          </w:tcPr>
          <w:p w14:paraId="1DBB2F33">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25</w:t>
            </w:r>
          </w:p>
        </w:tc>
      </w:tr>
      <w:tr w14:paraId="557345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10B8DC36">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148</w:t>
            </w:r>
          </w:p>
        </w:tc>
        <w:tc>
          <w:tcPr>
            <w:tcW w:w="1227" w:type="dxa"/>
            <w:vAlign w:val="center"/>
          </w:tcPr>
          <w:p w14:paraId="1EE4C20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研钵</w:t>
            </w:r>
          </w:p>
        </w:tc>
        <w:tc>
          <w:tcPr>
            <w:tcW w:w="6167" w:type="dxa"/>
            <w:vAlign w:val="center"/>
          </w:tcPr>
          <w:p w14:paraId="48F49282">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≥100 mm 瓷或玻璃制，配有研杵，内部粗糙 便于研磨，外部光滑</w:t>
            </w:r>
          </w:p>
        </w:tc>
        <w:tc>
          <w:tcPr>
            <w:tcW w:w="863" w:type="dxa"/>
            <w:gridSpan w:val="4"/>
            <w:vAlign w:val="center"/>
          </w:tcPr>
          <w:p w14:paraId="69A56AC1">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25" w:type="dxa"/>
            <w:gridSpan w:val="3"/>
            <w:vAlign w:val="center"/>
          </w:tcPr>
          <w:p w14:paraId="09FD4CAD">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3853C2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42313E90">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149</w:t>
            </w:r>
          </w:p>
        </w:tc>
        <w:tc>
          <w:tcPr>
            <w:tcW w:w="1227" w:type="dxa"/>
            <w:vAlign w:val="center"/>
          </w:tcPr>
          <w:p w14:paraId="763A0023">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蒸发皿</w:t>
            </w:r>
          </w:p>
        </w:tc>
        <w:tc>
          <w:tcPr>
            <w:tcW w:w="6167" w:type="dxa"/>
            <w:vAlign w:val="center"/>
          </w:tcPr>
          <w:p w14:paraId="2A243926">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≥100 mm 瓷制，耐受温度≥800℃</w:t>
            </w:r>
          </w:p>
        </w:tc>
        <w:tc>
          <w:tcPr>
            <w:tcW w:w="863" w:type="dxa"/>
            <w:gridSpan w:val="4"/>
            <w:vAlign w:val="center"/>
          </w:tcPr>
          <w:p w14:paraId="4AB13927">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25" w:type="dxa"/>
            <w:gridSpan w:val="3"/>
            <w:vAlign w:val="center"/>
          </w:tcPr>
          <w:p w14:paraId="0BEA588D">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25</w:t>
            </w:r>
          </w:p>
        </w:tc>
      </w:tr>
      <w:tr w14:paraId="1AF24B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0054128D">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150</w:t>
            </w:r>
          </w:p>
        </w:tc>
        <w:tc>
          <w:tcPr>
            <w:tcW w:w="1227" w:type="dxa"/>
            <w:vAlign w:val="center"/>
          </w:tcPr>
          <w:p w14:paraId="34585782">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蒸发皿</w:t>
            </w:r>
          </w:p>
        </w:tc>
        <w:tc>
          <w:tcPr>
            <w:tcW w:w="6167" w:type="dxa"/>
            <w:vAlign w:val="center"/>
          </w:tcPr>
          <w:p w14:paraId="3C21D71E">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≥120 mm 瓷制，耐受温度≥800℃</w:t>
            </w:r>
          </w:p>
        </w:tc>
        <w:tc>
          <w:tcPr>
            <w:tcW w:w="863" w:type="dxa"/>
            <w:gridSpan w:val="4"/>
            <w:vAlign w:val="center"/>
          </w:tcPr>
          <w:p w14:paraId="7946674C">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25" w:type="dxa"/>
            <w:gridSpan w:val="3"/>
            <w:vAlign w:val="center"/>
          </w:tcPr>
          <w:p w14:paraId="1CF5C0CD">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3</w:t>
            </w:r>
          </w:p>
        </w:tc>
      </w:tr>
      <w:tr w14:paraId="787903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5C4424A2">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151</w:t>
            </w:r>
          </w:p>
        </w:tc>
        <w:tc>
          <w:tcPr>
            <w:tcW w:w="1227" w:type="dxa"/>
            <w:vAlign w:val="center"/>
          </w:tcPr>
          <w:p w14:paraId="3D3E2FBF">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反应板</w:t>
            </w:r>
          </w:p>
        </w:tc>
        <w:tc>
          <w:tcPr>
            <w:tcW w:w="6167" w:type="dxa"/>
            <w:vAlign w:val="center"/>
          </w:tcPr>
          <w:p w14:paraId="15BA8483">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白色陶瓷，≥6孔，表面有釉层，不会发生溶液 渗透</w:t>
            </w:r>
          </w:p>
        </w:tc>
        <w:tc>
          <w:tcPr>
            <w:tcW w:w="863" w:type="dxa"/>
            <w:gridSpan w:val="4"/>
            <w:vAlign w:val="center"/>
          </w:tcPr>
          <w:p w14:paraId="2F7A4C10">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25" w:type="dxa"/>
            <w:gridSpan w:val="3"/>
            <w:vAlign w:val="center"/>
          </w:tcPr>
          <w:p w14:paraId="01C4DDAE">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25</w:t>
            </w:r>
          </w:p>
        </w:tc>
      </w:tr>
      <w:tr w14:paraId="358BF5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5595790B">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152</w:t>
            </w:r>
          </w:p>
        </w:tc>
        <w:tc>
          <w:tcPr>
            <w:tcW w:w="1227" w:type="dxa"/>
            <w:vMerge w:val="restart"/>
            <w:vAlign w:val="center"/>
          </w:tcPr>
          <w:p w14:paraId="62518A6A">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井穴板</w:t>
            </w:r>
          </w:p>
        </w:tc>
        <w:tc>
          <w:tcPr>
            <w:tcW w:w="6167" w:type="dxa"/>
            <w:vAlign w:val="center"/>
          </w:tcPr>
          <w:p w14:paraId="6D37E22A">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透明塑料，≥9孔，每孔≥0.7mL，可以重复使用</w:t>
            </w:r>
          </w:p>
        </w:tc>
        <w:tc>
          <w:tcPr>
            <w:tcW w:w="863" w:type="dxa"/>
            <w:gridSpan w:val="4"/>
            <w:vAlign w:val="center"/>
          </w:tcPr>
          <w:p w14:paraId="13EC676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25" w:type="dxa"/>
            <w:gridSpan w:val="3"/>
            <w:vAlign w:val="center"/>
          </w:tcPr>
          <w:p w14:paraId="6F47EE40">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25</w:t>
            </w:r>
          </w:p>
        </w:tc>
      </w:tr>
      <w:tr w14:paraId="3FD727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5557F611">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153</w:t>
            </w:r>
          </w:p>
        </w:tc>
        <w:tc>
          <w:tcPr>
            <w:tcW w:w="1227" w:type="dxa"/>
            <w:vMerge w:val="continue"/>
          </w:tcPr>
          <w:p w14:paraId="2A87CDD5">
            <w:pPr>
              <w:widowControl/>
              <w:jc w:val="center"/>
              <w:textAlignment w:val="center"/>
              <w:rPr>
                <w:rFonts w:hint="eastAsia" w:ascii="宋体" w:hAnsi="宋体"/>
                <w:b/>
                <w:bCs/>
                <w:color w:val="auto"/>
                <w:kern w:val="0"/>
                <w:szCs w:val="21"/>
                <w:highlight w:val="none"/>
                <w:lang w:bidi="ar"/>
              </w:rPr>
            </w:pPr>
          </w:p>
        </w:tc>
        <w:tc>
          <w:tcPr>
            <w:tcW w:w="6167" w:type="dxa"/>
            <w:vAlign w:val="center"/>
          </w:tcPr>
          <w:p w14:paraId="36F02E2F">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透明塑料，≥6孔，每孔≥5 mL，配6个双导气管的 井穴塞，可以重复使用</w:t>
            </w:r>
          </w:p>
        </w:tc>
        <w:tc>
          <w:tcPr>
            <w:tcW w:w="863" w:type="dxa"/>
            <w:gridSpan w:val="4"/>
            <w:vAlign w:val="center"/>
          </w:tcPr>
          <w:p w14:paraId="372897B1">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25" w:type="dxa"/>
            <w:gridSpan w:val="3"/>
            <w:vAlign w:val="center"/>
          </w:tcPr>
          <w:p w14:paraId="2B503A3E">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25</w:t>
            </w:r>
          </w:p>
        </w:tc>
      </w:tr>
      <w:tr w14:paraId="7B0908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3C0B9974">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154</w:t>
            </w:r>
          </w:p>
        </w:tc>
        <w:tc>
          <w:tcPr>
            <w:tcW w:w="1227" w:type="dxa"/>
            <w:vAlign w:val="center"/>
          </w:tcPr>
          <w:p w14:paraId="240AC0DF">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塑料多用滴管</w:t>
            </w:r>
          </w:p>
        </w:tc>
        <w:tc>
          <w:tcPr>
            <w:tcW w:w="6167" w:type="dxa"/>
            <w:vAlign w:val="center"/>
          </w:tcPr>
          <w:p w14:paraId="4B95FAA9">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弹性圆筒形吸泡和一根≥</w:t>
            </w:r>
            <w:r>
              <w:rPr>
                <w:rFonts w:hint="eastAsia" w:ascii="宋体" w:hAnsi="宋体"/>
                <w:i/>
                <w:iCs/>
                <w:color w:val="auto"/>
                <w:kern w:val="0"/>
                <w:szCs w:val="21"/>
                <w:highlight w:val="none"/>
                <w:lang w:bidi="ar"/>
              </w:rPr>
              <w:t>Φ</w:t>
            </w:r>
            <w:r>
              <w:rPr>
                <w:rFonts w:hint="eastAsia" w:ascii="宋体" w:hAnsi="宋体"/>
                <w:color w:val="auto"/>
                <w:kern w:val="0"/>
                <w:szCs w:val="21"/>
                <w:highlight w:val="none"/>
                <w:lang w:bidi="ar"/>
              </w:rPr>
              <w:t>1mm×120mm 的径管连接而成，容积≥4mL，环保材料，弹性好</w:t>
            </w:r>
          </w:p>
        </w:tc>
        <w:tc>
          <w:tcPr>
            <w:tcW w:w="863" w:type="dxa"/>
            <w:gridSpan w:val="4"/>
            <w:vAlign w:val="center"/>
          </w:tcPr>
          <w:p w14:paraId="53BE0274">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支</w:t>
            </w:r>
          </w:p>
        </w:tc>
        <w:tc>
          <w:tcPr>
            <w:tcW w:w="925" w:type="dxa"/>
            <w:gridSpan w:val="3"/>
            <w:vAlign w:val="center"/>
          </w:tcPr>
          <w:p w14:paraId="3B710CE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250</w:t>
            </w:r>
          </w:p>
        </w:tc>
      </w:tr>
      <w:tr w14:paraId="05FA59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248F907E">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155</w:t>
            </w:r>
          </w:p>
        </w:tc>
        <w:tc>
          <w:tcPr>
            <w:tcW w:w="1227" w:type="dxa"/>
            <w:vAlign w:val="center"/>
          </w:tcPr>
          <w:p w14:paraId="32A6FFA0">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塑料洗瓶</w:t>
            </w:r>
          </w:p>
        </w:tc>
        <w:tc>
          <w:tcPr>
            <w:tcW w:w="6167" w:type="dxa"/>
            <w:vAlign w:val="center"/>
          </w:tcPr>
          <w:p w14:paraId="4BA96C66">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≥250mL或500mL，水嘴略向下倾斜，口径 1mm～2mm，瓶口紧实不漏气</w:t>
            </w:r>
          </w:p>
        </w:tc>
        <w:tc>
          <w:tcPr>
            <w:tcW w:w="863" w:type="dxa"/>
            <w:gridSpan w:val="4"/>
            <w:vAlign w:val="center"/>
          </w:tcPr>
          <w:p w14:paraId="3DB065A3">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25" w:type="dxa"/>
            <w:gridSpan w:val="3"/>
            <w:vAlign w:val="center"/>
          </w:tcPr>
          <w:p w14:paraId="3337FD3A">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25</w:t>
            </w:r>
          </w:p>
        </w:tc>
      </w:tr>
      <w:tr w14:paraId="5699C4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70553052">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156</w:t>
            </w:r>
          </w:p>
        </w:tc>
        <w:tc>
          <w:tcPr>
            <w:tcW w:w="1227" w:type="dxa"/>
            <w:vAlign w:val="center"/>
          </w:tcPr>
          <w:p w14:paraId="0F2BA1DE">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塑料水槽</w:t>
            </w:r>
          </w:p>
        </w:tc>
        <w:tc>
          <w:tcPr>
            <w:tcW w:w="6167" w:type="dxa"/>
            <w:vAlign w:val="center"/>
          </w:tcPr>
          <w:p w14:paraId="17ED80AA">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≥250mm×180mm×100mm</w:t>
            </w:r>
          </w:p>
        </w:tc>
        <w:tc>
          <w:tcPr>
            <w:tcW w:w="863" w:type="dxa"/>
            <w:gridSpan w:val="4"/>
            <w:vAlign w:val="center"/>
          </w:tcPr>
          <w:p w14:paraId="0D6DCA62">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25" w:type="dxa"/>
            <w:gridSpan w:val="3"/>
            <w:vAlign w:val="center"/>
          </w:tcPr>
          <w:p w14:paraId="47F9D62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25</w:t>
            </w:r>
          </w:p>
        </w:tc>
      </w:tr>
      <w:tr w14:paraId="6D3486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64125CA5">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157</w:t>
            </w:r>
          </w:p>
        </w:tc>
        <w:tc>
          <w:tcPr>
            <w:tcW w:w="1227" w:type="dxa"/>
            <w:vMerge w:val="restart"/>
            <w:vAlign w:val="center"/>
          </w:tcPr>
          <w:p w14:paraId="2F79233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集气瓶挂扣器</w:t>
            </w:r>
          </w:p>
        </w:tc>
        <w:tc>
          <w:tcPr>
            <w:tcW w:w="6167" w:type="dxa"/>
            <w:vAlign w:val="center"/>
          </w:tcPr>
          <w:p w14:paraId="55491028">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≥125 mL，塑料制</w:t>
            </w:r>
          </w:p>
        </w:tc>
        <w:tc>
          <w:tcPr>
            <w:tcW w:w="863" w:type="dxa"/>
            <w:gridSpan w:val="4"/>
            <w:vAlign w:val="center"/>
          </w:tcPr>
          <w:p w14:paraId="6EFDAF30">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25" w:type="dxa"/>
            <w:gridSpan w:val="3"/>
            <w:vAlign w:val="center"/>
          </w:tcPr>
          <w:p w14:paraId="1536AA6B">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25</w:t>
            </w:r>
          </w:p>
        </w:tc>
      </w:tr>
      <w:tr w14:paraId="6FC33F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131C1FC8">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158</w:t>
            </w:r>
          </w:p>
        </w:tc>
        <w:tc>
          <w:tcPr>
            <w:tcW w:w="1227" w:type="dxa"/>
            <w:vMerge w:val="continue"/>
          </w:tcPr>
          <w:p w14:paraId="38FBF5BA">
            <w:pPr>
              <w:widowControl/>
              <w:jc w:val="center"/>
              <w:textAlignment w:val="center"/>
              <w:rPr>
                <w:rFonts w:hint="eastAsia" w:ascii="宋体" w:hAnsi="宋体"/>
                <w:b/>
                <w:bCs/>
                <w:color w:val="auto"/>
                <w:kern w:val="0"/>
                <w:szCs w:val="21"/>
                <w:highlight w:val="none"/>
                <w:lang w:bidi="ar"/>
              </w:rPr>
            </w:pPr>
          </w:p>
        </w:tc>
        <w:tc>
          <w:tcPr>
            <w:tcW w:w="6167" w:type="dxa"/>
            <w:vAlign w:val="center"/>
          </w:tcPr>
          <w:p w14:paraId="350EB1A5">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≥250 mL，塑料制</w:t>
            </w:r>
          </w:p>
        </w:tc>
        <w:tc>
          <w:tcPr>
            <w:tcW w:w="863" w:type="dxa"/>
            <w:gridSpan w:val="4"/>
            <w:vAlign w:val="center"/>
          </w:tcPr>
          <w:p w14:paraId="0FC1CEF3">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25" w:type="dxa"/>
            <w:gridSpan w:val="3"/>
            <w:vAlign w:val="center"/>
          </w:tcPr>
          <w:p w14:paraId="192D091C">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5</w:t>
            </w:r>
          </w:p>
        </w:tc>
      </w:tr>
      <w:tr w14:paraId="310DED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30784F40">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159</w:t>
            </w:r>
          </w:p>
        </w:tc>
        <w:tc>
          <w:tcPr>
            <w:tcW w:w="1227" w:type="dxa"/>
            <w:vAlign w:val="center"/>
          </w:tcPr>
          <w:p w14:paraId="12851050">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注射器</w:t>
            </w:r>
          </w:p>
        </w:tc>
        <w:tc>
          <w:tcPr>
            <w:tcW w:w="6167" w:type="dxa"/>
            <w:vAlign w:val="center"/>
          </w:tcPr>
          <w:p w14:paraId="15CF7A2C">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≥10 mL，塑料制，符合医用器具卫生标准</w:t>
            </w:r>
          </w:p>
        </w:tc>
        <w:tc>
          <w:tcPr>
            <w:tcW w:w="863" w:type="dxa"/>
            <w:gridSpan w:val="4"/>
            <w:vAlign w:val="center"/>
          </w:tcPr>
          <w:p w14:paraId="538EAACC">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只</w:t>
            </w:r>
          </w:p>
        </w:tc>
        <w:tc>
          <w:tcPr>
            <w:tcW w:w="925" w:type="dxa"/>
            <w:gridSpan w:val="3"/>
            <w:vAlign w:val="center"/>
          </w:tcPr>
          <w:p w14:paraId="233B3285">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25</w:t>
            </w:r>
          </w:p>
        </w:tc>
      </w:tr>
      <w:tr w14:paraId="4B8173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7E4C42FE">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160</w:t>
            </w:r>
          </w:p>
        </w:tc>
        <w:tc>
          <w:tcPr>
            <w:tcW w:w="1227" w:type="dxa"/>
            <w:vAlign w:val="center"/>
          </w:tcPr>
          <w:p w14:paraId="4EB315B7">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酒精喷灯</w:t>
            </w:r>
          </w:p>
        </w:tc>
        <w:tc>
          <w:tcPr>
            <w:tcW w:w="6167" w:type="dxa"/>
            <w:vAlign w:val="center"/>
          </w:tcPr>
          <w:p w14:paraId="4754E8AB">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坐式，铜制，壶体容积≥300mL，火焰高度为150 mm～180 mm，火焰温度为960℃±60℃</w:t>
            </w:r>
          </w:p>
        </w:tc>
        <w:tc>
          <w:tcPr>
            <w:tcW w:w="863" w:type="dxa"/>
            <w:gridSpan w:val="4"/>
            <w:vAlign w:val="center"/>
          </w:tcPr>
          <w:p w14:paraId="1F6EC423">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25" w:type="dxa"/>
            <w:gridSpan w:val="3"/>
            <w:vAlign w:val="center"/>
          </w:tcPr>
          <w:p w14:paraId="7767284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w:t>
            </w:r>
          </w:p>
        </w:tc>
      </w:tr>
      <w:tr w14:paraId="3232DE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40464B6F">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161</w:t>
            </w:r>
          </w:p>
        </w:tc>
        <w:tc>
          <w:tcPr>
            <w:tcW w:w="1227" w:type="dxa"/>
            <w:vAlign w:val="center"/>
          </w:tcPr>
          <w:p w14:paraId="63C8C7F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储气装置</w:t>
            </w:r>
          </w:p>
        </w:tc>
        <w:tc>
          <w:tcPr>
            <w:tcW w:w="6167" w:type="dxa"/>
            <w:vAlign w:val="center"/>
          </w:tcPr>
          <w:p w14:paraId="28AC95D1">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容积≥2 L</w:t>
            </w:r>
          </w:p>
        </w:tc>
        <w:tc>
          <w:tcPr>
            <w:tcW w:w="863" w:type="dxa"/>
            <w:gridSpan w:val="4"/>
            <w:vAlign w:val="center"/>
          </w:tcPr>
          <w:p w14:paraId="7FFC3E26">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台</w:t>
            </w:r>
          </w:p>
        </w:tc>
        <w:tc>
          <w:tcPr>
            <w:tcW w:w="925" w:type="dxa"/>
            <w:gridSpan w:val="3"/>
            <w:vAlign w:val="center"/>
          </w:tcPr>
          <w:p w14:paraId="0AE9461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w:t>
            </w:r>
          </w:p>
        </w:tc>
      </w:tr>
      <w:tr w14:paraId="24F501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6481A3C2">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162</w:t>
            </w:r>
          </w:p>
        </w:tc>
        <w:tc>
          <w:tcPr>
            <w:tcW w:w="1227" w:type="dxa"/>
            <w:vAlign w:val="center"/>
          </w:tcPr>
          <w:p w14:paraId="5C7433A6">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初中化学实验 材料</w:t>
            </w:r>
          </w:p>
        </w:tc>
        <w:tc>
          <w:tcPr>
            <w:tcW w:w="6167" w:type="dxa"/>
            <w:vAlign w:val="center"/>
          </w:tcPr>
          <w:p w14:paraId="70EE4FE7">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黄铜片、硬铝片、火柴、蜡烛、木板、电池、电 珠、砂纸、 面粉、凡士林等</w:t>
            </w:r>
          </w:p>
        </w:tc>
        <w:tc>
          <w:tcPr>
            <w:tcW w:w="863" w:type="dxa"/>
            <w:gridSpan w:val="4"/>
            <w:vAlign w:val="center"/>
          </w:tcPr>
          <w:p w14:paraId="017C40A4">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份</w:t>
            </w:r>
          </w:p>
        </w:tc>
        <w:tc>
          <w:tcPr>
            <w:tcW w:w="925" w:type="dxa"/>
            <w:gridSpan w:val="3"/>
            <w:vAlign w:val="center"/>
          </w:tcPr>
          <w:p w14:paraId="16C88077">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25</w:t>
            </w:r>
          </w:p>
        </w:tc>
      </w:tr>
      <w:tr w14:paraId="395AF8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663991FD">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163</w:t>
            </w:r>
          </w:p>
        </w:tc>
        <w:tc>
          <w:tcPr>
            <w:tcW w:w="1227" w:type="dxa"/>
            <w:vAlign w:val="center"/>
          </w:tcPr>
          <w:p w14:paraId="49A2792E">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金属矿物、金属 及合金标本</w:t>
            </w:r>
          </w:p>
        </w:tc>
        <w:tc>
          <w:tcPr>
            <w:tcW w:w="6167" w:type="dxa"/>
            <w:vAlign w:val="center"/>
          </w:tcPr>
          <w:p w14:paraId="790FA8D5">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标本盒≥180 mm×150 mm×50 mm，每种类型不少于5 种，耐用，不易损坏，便于保存，适合观察</w:t>
            </w:r>
          </w:p>
        </w:tc>
        <w:tc>
          <w:tcPr>
            <w:tcW w:w="863" w:type="dxa"/>
            <w:gridSpan w:val="4"/>
            <w:vAlign w:val="center"/>
          </w:tcPr>
          <w:p w14:paraId="68CCEC63">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盒</w:t>
            </w:r>
          </w:p>
        </w:tc>
        <w:tc>
          <w:tcPr>
            <w:tcW w:w="925" w:type="dxa"/>
            <w:gridSpan w:val="3"/>
            <w:vAlign w:val="center"/>
          </w:tcPr>
          <w:p w14:paraId="1895794B">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30D45D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71F1BBEF">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164</w:t>
            </w:r>
          </w:p>
        </w:tc>
        <w:tc>
          <w:tcPr>
            <w:tcW w:w="1227" w:type="dxa"/>
            <w:vAlign w:val="center"/>
          </w:tcPr>
          <w:p w14:paraId="61C3AB1F">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溶液导电演示器</w:t>
            </w:r>
          </w:p>
        </w:tc>
        <w:tc>
          <w:tcPr>
            <w:tcW w:w="6167" w:type="dxa"/>
            <w:vAlign w:val="center"/>
          </w:tcPr>
          <w:p w14:paraId="2A88A24C">
            <w:pPr>
              <w:widowControl/>
              <w:numPr>
                <w:ilvl w:val="0"/>
                <w:numId w:val="154"/>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溶液导电演示器主要由以下配件组成：</w:t>
            </w:r>
          </w:p>
          <w:p w14:paraId="56C715E0">
            <w:pPr>
              <w:widowControl/>
              <w:numPr>
                <w:ilvl w:val="1"/>
                <w:numId w:val="154"/>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示教板1套</w:t>
            </w:r>
          </w:p>
          <w:p w14:paraId="2E9F0B2B">
            <w:pPr>
              <w:widowControl/>
              <w:numPr>
                <w:ilvl w:val="1"/>
                <w:numId w:val="154"/>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支撑脚2个</w:t>
            </w:r>
          </w:p>
          <w:p w14:paraId="267C2D77">
            <w:pPr>
              <w:widowControl/>
              <w:numPr>
                <w:ilvl w:val="1"/>
                <w:numId w:val="154"/>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溶液槽5个</w:t>
            </w:r>
          </w:p>
          <w:p w14:paraId="04E8F498">
            <w:pPr>
              <w:widowControl/>
              <w:numPr>
                <w:ilvl w:val="0"/>
                <w:numId w:val="154"/>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演示器为电表式，工作电压DC6V。</w:t>
            </w:r>
          </w:p>
          <w:p w14:paraId="77FC0DD5">
            <w:pPr>
              <w:widowControl/>
              <w:numPr>
                <w:ilvl w:val="0"/>
                <w:numId w:val="154"/>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示教板采用优质工程塑料ABS制作，规格尺寸不小于295*255*25mm。</w:t>
            </w:r>
          </w:p>
          <w:p w14:paraId="1BABA170">
            <w:pPr>
              <w:widowControl/>
              <w:numPr>
                <w:ilvl w:val="1"/>
                <w:numId w:val="154"/>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示教左上方应安装调校开关，中间安装电表显示屏，右上方安装档位开关。</w:t>
            </w:r>
          </w:p>
          <w:p w14:paraId="225CFF4F">
            <w:pPr>
              <w:widowControl/>
              <w:numPr>
                <w:ilvl w:val="1"/>
                <w:numId w:val="154"/>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调校开关应有高、低标注；电表应有电压和电流显示；档位开关应有1～7档标注。</w:t>
            </w:r>
          </w:p>
          <w:p w14:paraId="64BB4753">
            <w:pPr>
              <w:widowControl/>
              <w:numPr>
                <w:ilvl w:val="1"/>
                <w:numId w:val="154"/>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示教板中间装有5组插线装置和5组LED指示灯，右中间安装电流插孔，插线装置应1～5标注，电流插孔应有正、负极标注。</w:t>
            </w:r>
          </w:p>
          <w:p w14:paraId="7FAC1BE2">
            <w:pPr>
              <w:widowControl/>
              <w:numPr>
                <w:ilvl w:val="1"/>
                <w:numId w:val="154"/>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示教板两侧开有飞机孔、便于支撑脚安装。</w:t>
            </w:r>
          </w:p>
          <w:p w14:paraId="08B69A0D">
            <w:pPr>
              <w:widowControl/>
              <w:numPr>
                <w:ilvl w:val="0"/>
                <w:numId w:val="154"/>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支撑脚采用ABS工程塑料制作，有效尺寸不小于115*13*120mm。</w:t>
            </w:r>
          </w:p>
          <w:p w14:paraId="60409C65">
            <w:pPr>
              <w:widowControl/>
              <w:numPr>
                <w:ilvl w:val="1"/>
                <w:numId w:val="154"/>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抱住示教板往上推到位后，应摆放平稳，无摇摆现象。</w:t>
            </w:r>
          </w:p>
          <w:p w14:paraId="29BCA6F5">
            <w:pPr>
              <w:widowControl/>
              <w:numPr>
                <w:ilvl w:val="0"/>
                <w:numId w:val="154"/>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溶液槽采用透明塑料制作，规格不小于57*36*61mm，容量不小于60ml。采用石墨电极通电，通电线应有鱼叉接口，通电线长度不小于250mm。</w:t>
            </w:r>
          </w:p>
          <w:p w14:paraId="455DDDCB">
            <w:pPr>
              <w:widowControl/>
              <w:numPr>
                <w:ilvl w:val="0"/>
                <w:numId w:val="154"/>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电源连接线一端配有鱼叉，一端配有香蕉插，长度不小于400mm。</w:t>
            </w:r>
          </w:p>
          <w:p w14:paraId="3D1297F4">
            <w:pPr>
              <w:widowControl/>
              <w:numPr>
                <w:ilvl w:val="0"/>
                <w:numId w:val="154"/>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组装后的溶液导电演示器应摆放平稳，通电后按教学要求演示，性能稳定、效果好、正确。</w:t>
            </w:r>
          </w:p>
        </w:tc>
        <w:tc>
          <w:tcPr>
            <w:tcW w:w="863" w:type="dxa"/>
            <w:gridSpan w:val="4"/>
            <w:vAlign w:val="center"/>
          </w:tcPr>
          <w:p w14:paraId="0D5C3200">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台</w:t>
            </w:r>
          </w:p>
        </w:tc>
        <w:tc>
          <w:tcPr>
            <w:tcW w:w="925" w:type="dxa"/>
            <w:gridSpan w:val="3"/>
            <w:vAlign w:val="center"/>
          </w:tcPr>
          <w:p w14:paraId="24F6F2FB">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7E1EBB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5E223A48">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165</w:t>
            </w:r>
          </w:p>
        </w:tc>
        <w:tc>
          <w:tcPr>
            <w:tcW w:w="1227" w:type="dxa"/>
            <w:vAlign w:val="center"/>
          </w:tcPr>
          <w:p w14:paraId="6222C92D">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微型溶液导电实验器</w:t>
            </w:r>
          </w:p>
        </w:tc>
        <w:tc>
          <w:tcPr>
            <w:tcW w:w="6167" w:type="dxa"/>
            <w:vAlign w:val="center"/>
          </w:tcPr>
          <w:p w14:paraId="6B8CA833">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所需每种溶液≤3 mL</w:t>
            </w:r>
          </w:p>
        </w:tc>
        <w:tc>
          <w:tcPr>
            <w:tcW w:w="863" w:type="dxa"/>
            <w:gridSpan w:val="4"/>
            <w:vAlign w:val="center"/>
          </w:tcPr>
          <w:p w14:paraId="0E1D991A">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套</w:t>
            </w:r>
          </w:p>
        </w:tc>
        <w:tc>
          <w:tcPr>
            <w:tcW w:w="925" w:type="dxa"/>
            <w:gridSpan w:val="3"/>
            <w:vAlign w:val="center"/>
          </w:tcPr>
          <w:p w14:paraId="20873591">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25</w:t>
            </w:r>
          </w:p>
        </w:tc>
      </w:tr>
      <w:tr w14:paraId="705ED3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7C010804">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166</w:t>
            </w:r>
          </w:p>
        </w:tc>
        <w:tc>
          <w:tcPr>
            <w:tcW w:w="1227" w:type="dxa"/>
            <w:vAlign w:val="center"/>
          </w:tcPr>
          <w:p w14:paraId="4E9D75F7">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水电解演示器</w:t>
            </w:r>
          </w:p>
        </w:tc>
        <w:tc>
          <w:tcPr>
            <w:tcW w:w="6167" w:type="dxa"/>
            <w:vAlign w:val="center"/>
          </w:tcPr>
          <w:p w14:paraId="09C36FF5">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电解液为10％NaOH 或者5％H2SO4溶液，碱式或酸式。实验时间： 制取≥30mL 氢气，使用电压≥9 V， 时间约5 min。制取氢气一端的气体出口应采用 尖嘴导管。制取氧气一端的气体出口应采用贮气漏斗。贮气漏斗的容积应为10mL。加液漏斗容积≥80mL。电极材料应使电解水时产生的氢气与氧气的体积之比为 2:1，误差≤5%玻璃仪器无明显外观缺陷，便于操作、耐用，电极不易损坏； 刻度清晰耐磨，示数易于读取</w:t>
            </w:r>
          </w:p>
        </w:tc>
        <w:tc>
          <w:tcPr>
            <w:tcW w:w="863" w:type="dxa"/>
            <w:gridSpan w:val="4"/>
            <w:vAlign w:val="center"/>
          </w:tcPr>
          <w:p w14:paraId="29AABAB6">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台</w:t>
            </w:r>
          </w:p>
        </w:tc>
        <w:tc>
          <w:tcPr>
            <w:tcW w:w="925" w:type="dxa"/>
            <w:gridSpan w:val="3"/>
            <w:vAlign w:val="center"/>
          </w:tcPr>
          <w:p w14:paraId="15C98E25">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6057A0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00E46F81">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167</w:t>
            </w:r>
          </w:p>
        </w:tc>
        <w:tc>
          <w:tcPr>
            <w:tcW w:w="1227" w:type="dxa"/>
            <w:vAlign w:val="center"/>
          </w:tcPr>
          <w:p w14:paraId="56965C8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金刚石结构模型</w:t>
            </w:r>
          </w:p>
        </w:tc>
        <w:tc>
          <w:tcPr>
            <w:tcW w:w="6167" w:type="dxa"/>
            <w:vAlign w:val="center"/>
          </w:tcPr>
          <w:p w14:paraId="6168E835">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碳原子：≥</w:t>
            </w:r>
            <w:r>
              <w:rPr>
                <w:rFonts w:hint="eastAsia" w:ascii="宋体" w:hAnsi="宋体"/>
                <w:i/>
                <w:iCs/>
                <w:color w:val="auto"/>
                <w:kern w:val="0"/>
                <w:szCs w:val="21"/>
                <w:highlight w:val="none"/>
                <w:lang w:bidi="ar"/>
              </w:rPr>
              <w:t>Φ</w:t>
            </w:r>
            <w:r>
              <w:rPr>
                <w:rFonts w:hint="eastAsia" w:ascii="宋体" w:hAnsi="宋体"/>
                <w:color w:val="auto"/>
                <w:kern w:val="0"/>
                <w:szCs w:val="21"/>
                <w:highlight w:val="none"/>
                <w:lang w:bidi="ar"/>
              </w:rPr>
              <w:t>30 mm的4孔黑色塑料球30个；化学键：≥</w:t>
            </w:r>
            <w:r>
              <w:rPr>
                <w:rFonts w:hint="eastAsia" w:ascii="宋体" w:hAnsi="宋体"/>
                <w:i/>
                <w:iCs/>
                <w:color w:val="auto"/>
                <w:kern w:val="0"/>
                <w:szCs w:val="21"/>
                <w:highlight w:val="none"/>
                <w:lang w:bidi="ar"/>
              </w:rPr>
              <w:t>Φ</w:t>
            </w:r>
            <w:r>
              <w:rPr>
                <w:rFonts w:hint="eastAsia" w:ascii="宋体" w:hAnsi="宋体"/>
                <w:color w:val="auto"/>
                <w:kern w:val="0"/>
                <w:szCs w:val="21"/>
                <w:highlight w:val="none"/>
                <w:lang w:bidi="ar"/>
              </w:rPr>
              <w:t>3 mm×35 mm 镀镍金属杆 40 根</w:t>
            </w:r>
          </w:p>
        </w:tc>
        <w:tc>
          <w:tcPr>
            <w:tcW w:w="863" w:type="dxa"/>
            <w:gridSpan w:val="4"/>
            <w:vAlign w:val="center"/>
          </w:tcPr>
          <w:p w14:paraId="10A128E6">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套</w:t>
            </w:r>
          </w:p>
        </w:tc>
        <w:tc>
          <w:tcPr>
            <w:tcW w:w="925" w:type="dxa"/>
            <w:gridSpan w:val="3"/>
            <w:vAlign w:val="center"/>
          </w:tcPr>
          <w:p w14:paraId="11AACBC3">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08653D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1CC48614">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168</w:t>
            </w:r>
          </w:p>
        </w:tc>
        <w:tc>
          <w:tcPr>
            <w:tcW w:w="1227" w:type="dxa"/>
            <w:vAlign w:val="center"/>
          </w:tcPr>
          <w:p w14:paraId="3A585DAC">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石墨结构模型</w:t>
            </w:r>
          </w:p>
        </w:tc>
        <w:tc>
          <w:tcPr>
            <w:tcW w:w="6167" w:type="dxa"/>
            <w:vAlign w:val="center"/>
          </w:tcPr>
          <w:p w14:paraId="6B0E4FFF">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碳原子：≥</w:t>
            </w:r>
            <w:r>
              <w:rPr>
                <w:rFonts w:hint="eastAsia" w:ascii="宋体" w:hAnsi="宋体"/>
                <w:i/>
                <w:iCs/>
                <w:color w:val="auto"/>
                <w:kern w:val="0"/>
                <w:szCs w:val="21"/>
                <w:highlight w:val="none"/>
                <w:lang w:bidi="ar"/>
              </w:rPr>
              <w:t>Φ</w:t>
            </w:r>
            <w:r>
              <w:rPr>
                <w:rFonts w:hint="eastAsia" w:ascii="宋体" w:hAnsi="宋体"/>
                <w:color w:val="auto"/>
                <w:kern w:val="0"/>
                <w:szCs w:val="21"/>
                <w:highlight w:val="none"/>
                <w:lang w:bidi="ar"/>
              </w:rPr>
              <w:t>30 mm的5孔黑色塑料球39个；化学键：≥</w:t>
            </w:r>
            <w:r>
              <w:rPr>
                <w:rFonts w:hint="eastAsia" w:ascii="宋体" w:hAnsi="宋体"/>
                <w:i/>
                <w:iCs/>
                <w:color w:val="auto"/>
                <w:kern w:val="0"/>
                <w:szCs w:val="21"/>
                <w:highlight w:val="none"/>
                <w:lang w:bidi="ar"/>
              </w:rPr>
              <w:t>Φ</w:t>
            </w:r>
            <w:r>
              <w:rPr>
                <w:rFonts w:hint="eastAsia" w:ascii="宋体" w:hAnsi="宋体"/>
                <w:color w:val="auto"/>
                <w:kern w:val="0"/>
                <w:szCs w:val="21"/>
                <w:highlight w:val="none"/>
                <w:lang w:bidi="ar"/>
              </w:rPr>
              <w:t>3 mm×50 mm镀镍金属杆45根，</w:t>
            </w:r>
            <w:r>
              <w:rPr>
                <w:rFonts w:hint="eastAsia" w:ascii="宋体" w:hAnsi="宋体"/>
                <w:i/>
                <w:iCs/>
                <w:color w:val="auto"/>
                <w:kern w:val="0"/>
                <w:szCs w:val="21"/>
                <w:highlight w:val="none"/>
                <w:lang w:bidi="ar"/>
              </w:rPr>
              <w:t>Φ</w:t>
            </w:r>
            <w:r>
              <w:rPr>
                <w:rFonts w:hint="eastAsia" w:ascii="宋体" w:hAnsi="宋体"/>
                <w:color w:val="auto"/>
                <w:kern w:val="0"/>
                <w:szCs w:val="21"/>
                <w:highlight w:val="none"/>
                <w:lang w:bidi="ar"/>
              </w:rPr>
              <w:t>3mm×90mm镀镍金属杆14根</w:t>
            </w:r>
          </w:p>
        </w:tc>
        <w:tc>
          <w:tcPr>
            <w:tcW w:w="863" w:type="dxa"/>
            <w:gridSpan w:val="4"/>
            <w:vAlign w:val="center"/>
          </w:tcPr>
          <w:p w14:paraId="1F1FD28A">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套</w:t>
            </w:r>
          </w:p>
        </w:tc>
        <w:tc>
          <w:tcPr>
            <w:tcW w:w="925" w:type="dxa"/>
            <w:gridSpan w:val="3"/>
            <w:vAlign w:val="center"/>
          </w:tcPr>
          <w:p w14:paraId="22DCB700">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2A4E11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2EFC55BE">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169</w:t>
            </w:r>
          </w:p>
        </w:tc>
        <w:tc>
          <w:tcPr>
            <w:tcW w:w="1227" w:type="dxa"/>
            <w:vAlign w:val="center"/>
          </w:tcPr>
          <w:p w14:paraId="21721478">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碳-60 结构模型</w:t>
            </w:r>
          </w:p>
        </w:tc>
        <w:tc>
          <w:tcPr>
            <w:tcW w:w="6167" w:type="dxa"/>
            <w:vAlign w:val="center"/>
          </w:tcPr>
          <w:p w14:paraId="30880D25">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碳原子：≥</w:t>
            </w:r>
            <w:r>
              <w:rPr>
                <w:rFonts w:hint="eastAsia" w:ascii="宋体" w:hAnsi="宋体"/>
                <w:i/>
                <w:iCs/>
                <w:color w:val="auto"/>
                <w:kern w:val="0"/>
                <w:szCs w:val="21"/>
                <w:highlight w:val="none"/>
                <w:lang w:bidi="ar"/>
              </w:rPr>
              <w:t>Φ</w:t>
            </w:r>
            <w:r>
              <w:rPr>
                <w:rFonts w:hint="eastAsia" w:ascii="宋体" w:hAnsi="宋体"/>
                <w:color w:val="auto"/>
                <w:kern w:val="0"/>
                <w:szCs w:val="21"/>
                <w:highlight w:val="none"/>
                <w:lang w:bidi="ar"/>
              </w:rPr>
              <w:t>30mm的3孔黑色塑料球60个；化学键：≥</w:t>
            </w:r>
            <w:r>
              <w:rPr>
                <w:rFonts w:hint="eastAsia" w:ascii="宋体" w:hAnsi="宋体"/>
                <w:i/>
                <w:iCs/>
                <w:color w:val="auto"/>
                <w:kern w:val="0"/>
                <w:szCs w:val="21"/>
                <w:highlight w:val="none"/>
                <w:lang w:bidi="ar"/>
              </w:rPr>
              <w:t xml:space="preserve">Φ </w:t>
            </w:r>
            <w:r>
              <w:rPr>
                <w:rFonts w:hint="eastAsia" w:ascii="宋体" w:hAnsi="宋体"/>
                <w:color w:val="auto"/>
                <w:kern w:val="0"/>
                <w:szCs w:val="21"/>
                <w:highlight w:val="none"/>
                <w:lang w:bidi="ar"/>
              </w:rPr>
              <w:t>6mm×25mm 的镀镍金属杆 90 根</w:t>
            </w:r>
          </w:p>
        </w:tc>
        <w:tc>
          <w:tcPr>
            <w:tcW w:w="863" w:type="dxa"/>
            <w:gridSpan w:val="4"/>
            <w:vAlign w:val="center"/>
          </w:tcPr>
          <w:p w14:paraId="6E6D1E34">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套</w:t>
            </w:r>
          </w:p>
        </w:tc>
        <w:tc>
          <w:tcPr>
            <w:tcW w:w="925" w:type="dxa"/>
            <w:gridSpan w:val="3"/>
            <w:vAlign w:val="center"/>
          </w:tcPr>
          <w:p w14:paraId="6B2CA1F5">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5C5DAC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1005A2C1">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170</w:t>
            </w:r>
          </w:p>
        </w:tc>
        <w:tc>
          <w:tcPr>
            <w:tcW w:w="1227" w:type="dxa"/>
            <w:vAlign w:val="center"/>
          </w:tcPr>
          <w:p w14:paraId="434171DF">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碘升华凝华管</w:t>
            </w:r>
          </w:p>
        </w:tc>
        <w:tc>
          <w:tcPr>
            <w:tcW w:w="6167" w:type="dxa"/>
            <w:vAlign w:val="center"/>
          </w:tcPr>
          <w:p w14:paraId="40BA54D9">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w:t>
            </w:r>
            <w:r>
              <w:rPr>
                <w:rFonts w:hint="eastAsia" w:ascii="宋体" w:hAnsi="宋体"/>
                <w:i/>
                <w:iCs/>
                <w:color w:val="auto"/>
                <w:kern w:val="0"/>
                <w:szCs w:val="21"/>
                <w:highlight w:val="none"/>
                <w:lang w:bidi="ar"/>
              </w:rPr>
              <w:t xml:space="preserve">Φ </w:t>
            </w:r>
            <w:r>
              <w:rPr>
                <w:rFonts w:hint="eastAsia" w:ascii="宋体" w:hAnsi="宋体"/>
                <w:color w:val="auto"/>
                <w:kern w:val="0"/>
                <w:szCs w:val="21"/>
                <w:highlight w:val="none"/>
                <w:lang w:bidi="ar"/>
              </w:rPr>
              <w:t>34 mm×28 mm，应采用无色透明硼硅酸盐玻 璃制造， 手柄与主管应连接平滑牢固， 不应偏歪； 主管应加碘后密封，两端面呈球面凹形， 手柄靠 近主管处应密封； 玻璃仪器均匀透明无气泡， 耐 用，不易碎，采用酒精灯加热不易变形</w:t>
            </w:r>
          </w:p>
        </w:tc>
        <w:tc>
          <w:tcPr>
            <w:tcW w:w="863" w:type="dxa"/>
            <w:gridSpan w:val="4"/>
            <w:vAlign w:val="center"/>
          </w:tcPr>
          <w:p w14:paraId="4755E4B2">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25" w:type="dxa"/>
            <w:gridSpan w:val="3"/>
            <w:vAlign w:val="center"/>
          </w:tcPr>
          <w:p w14:paraId="45334EAA">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13</w:t>
            </w:r>
          </w:p>
        </w:tc>
      </w:tr>
      <w:tr w14:paraId="75E7AF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10C17E70">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171</w:t>
            </w:r>
          </w:p>
        </w:tc>
        <w:tc>
          <w:tcPr>
            <w:tcW w:w="1227" w:type="dxa"/>
            <w:vAlign w:val="center"/>
          </w:tcPr>
          <w:p w14:paraId="6A1C4815">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分子结构模型</w:t>
            </w:r>
          </w:p>
        </w:tc>
        <w:tc>
          <w:tcPr>
            <w:tcW w:w="6167" w:type="dxa"/>
            <w:vAlign w:val="center"/>
          </w:tcPr>
          <w:p w14:paraId="5A062CB6">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球棍式或比例式；≥</w:t>
            </w:r>
            <w:r>
              <w:rPr>
                <w:rFonts w:hint="eastAsia" w:ascii="宋体" w:hAnsi="宋体"/>
                <w:i/>
                <w:iCs/>
                <w:color w:val="auto"/>
                <w:kern w:val="0"/>
                <w:szCs w:val="21"/>
                <w:highlight w:val="none"/>
                <w:lang w:bidi="ar"/>
              </w:rPr>
              <w:t xml:space="preserve">Φ </w:t>
            </w:r>
            <w:r>
              <w:rPr>
                <w:rFonts w:hint="eastAsia" w:ascii="宋体" w:hAnsi="宋体"/>
                <w:color w:val="auto"/>
                <w:kern w:val="0"/>
                <w:szCs w:val="21"/>
                <w:highlight w:val="none"/>
                <w:lang w:bidi="ar"/>
              </w:rPr>
              <w:t>40 mm 塑料球：碳原子（黑 色） 4 个， 氧原子（红色） 13 个， 氮原子（深蓝 色）2 个， 硫原子（黄色） 2 个； ≥</w:t>
            </w:r>
            <w:r>
              <w:rPr>
                <w:rFonts w:hint="eastAsia" w:ascii="宋体" w:hAnsi="宋体"/>
                <w:i/>
                <w:iCs/>
                <w:color w:val="auto"/>
                <w:kern w:val="0"/>
                <w:szCs w:val="21"/>
                <w:highlight w:val="none"/>
                <w:lang w:bidi="ar"/>
              </w:rPr>
              <w:t xml:space="preserve">Φ </w:t>
            </w:r>
            <w:r>
              <w:rPr>
                <w:rFonts w:hint="eastAsia" w:ascii="宋体" w:hAnsi="宋体"/>
                <w:color w:val="auto"/>
                <w:kern w:val="0"/>
                <w:szCs w:val="21"/>
                <w:highlight w:val="none"/>
                <w:lang w:bidi="ar"/>
              </w:rPr>
              <w:t>30 mm 塑料球： 氢原子（白色） 12 个能够完成水、氢气、氧气、二氧化碳等分子模型 的搭建</w:t>
            </w:r>
          </w:p>
        </w:tc>
        <w:tc>
          <w:tcPr>
            <w:tcW w:w="863" w:type="dxa"/>
            <w:gridSpan w:val="4"/>
            <w:vAlign w:val="center"/>
          </w:tcPr>
          <w:p w14:paraId="39EE2F37">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套</w:t>
            </w:r>
          </w:p>
        </w:tc>
        <w:tc>
          <w:tcPr>
            <w:tcW w:w="925" w:type="dxa"/>
            <w:gridSpan w:val="3"/>
            <w:vAlign w:val="center"/>
          </w:tcPr>
          <w:p w14:paraId="01961671">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203329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5436B37F">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172</w:t>
            </w:r>
          </w:p>
        </w:tc>
        <w:tc>
          <w:tcPr>
            <w:tcW w:w="1227" w:type="dxa"/>
            <w:vAlign w:val="center"/>
          </w:tcPr>
          <w:p w14:paraId="5190F62A">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氯化钠晶体结 构模型</w:t>
            </w:r>
          </w:p>
        </w:tc>
        <w:tc>
          <w:tcPr>
            <w:tcW w:w="6167" w:type="dxa"/>
            <w:vAlign w:val="center"/>
          </w:tcPr>
          <w:p w14:paraId="414079BB">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球棍式，氯原子 ≥</w:t>
            </w:r>
            <w:r>
              <w:rPr>
                <w:rFonts w:hint="eastAsia" w:ascii="宋体" w:hAnsi="宋体"/>
                <w:i/>
                <w:iCs/>
                <w:color w:val="auto"/>
                <w:kern w:val="0"/>
                <w:szCs w:val="21"/>
                <w:highlight w:val="none"/>
                <w:lang w:bidi="ar"/>
              </w:rPr>
              <w:t xml:space="preserve">Φ </w:t>
            </w:r>
            <w:r>
              <w:rPr>
                <w:rFonts w:hint="eastAsia" w:ascii="宋体" w:hAnsi="宋体"/>
                <w:color w:val="auto"/>
                <w:kern w:val="0"/>
                <w:szCs w:val="21"/>
                <w:highlight w:val="none"/>
                <w:lang w:bidi="ar"/>
              </w:rPr>
              <w:t>30 mm 的 6 孔绿色塑料球 13 个；钠原子 ≥</w:t>
            </w:r>
            <w:r>
              <w:rPr>
                <w:rFonts w:hint="eastAsia" w:ascii="宋体" w:hAnsi="宋体"/>
                <w:i/>
                <w:iCs/>
                <w:color w:val="auto"/>
                <w:kern w:val="0"/>
                <w:szCs w:val="21"/>
                <w:highlight w:val="none"/>
                <w:lang w:bidi="ar"/>
              </w:rPr>
              <w:t xml:space="preserve">Φ </w:t>
            </w:r>
            <w:r>
              <w:rPr>
                <w:rFonts w:hint="eastAsia" w:ascii="宋体" w:hAnsi="宋体"/>
                <w:color w:val="auto"/>
                <w:kern w:val="0"/>
                <w:szCs w:val="21"/>
                <w:highlight w:val="none"/>
                <w:lang w:bidi="ar"/>
              </w:rPr>
              <w:t>30 mm 的6孔银灰色塑料球14个； 化学键：≥</w:t>
            </w:r>
            <w:r>
              <w:rPr>
                <w:rFonts w:hint="eastAsia" w:ascii="宋体" w:hAnsi="宋体"/>
                <w:i/>
                <w:iCs/>
                <w:color w:val="auto"/>
                <w:kern w:val="0"/>
                <w:szCs w:val="21"/>
                <w:highlight w:val="none"/>
                <w:lang w:bidi="ar"/>
              </w:rPr>
              <w:t xml:space="preserve">Φ </w:t>
            </w:r>
            <w:r>
              <w:rPr>
                <w:rFonts w:hint="eastAsia" w:ascii="宋体" w:hAnsi="宋体"/>
                <w:color w:val="auto"/>
                <w:kern w:val="0"/>
                <w:szCs w:val="21"/>
                <w:highlight w:val="none"/>
                <w:lang w:bidi="ar"/>
              </w:rPr>
              <w:t>3 mm×60 mm 的镀镍金属杆 54 根</w:t>
            </w:r>
          </w:p>
        </w:tc>
        <w:tc>
          <w:tcPr>
            <w:tcW w:w="863" w:type="dxa"/>
            <w:gridSpan w:val="4"/>
            <w:vAlign w:val="center"/>
          </w:tcPr>
          <w:p w14:paraId="618AD7EB">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套</w:t>
            </w:r>
          </w:p>
        </w:tc>
        <w:tc>
          <w:tcPr>
            <w:tcW w:w="925" w:type="dxa"/>
            <w:gridSpan w:val="3"/>
            <w:vAlign w:val="center"/>
          </w:tcPr>
          <w:p w14:paraId="268A3C2C">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5BF558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65D53BFB">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173</w:t>
            </w:r>
          </w:p>
        </w:tc>
        <w:tc>
          <w:tcPr>
            <w:tcW w:w="1227" w:type="dxa"/>
            <w:vAlign w:val="center"/>
          </w:tcPr>
          <w:p w14:paraId="406B03D8">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元素周期表</w:t>
            </w:r>
          </w:p>
        </w:tc>
        <w:tc>
          <w:tcPr>
            <w:tcW w:w="6167" w:type="dxa"/>
            <w:vAlign w:val="center"/>
          </w:tcPr>
          <w:p w14:paraId="647F5261">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带轴， ≥150cm×110cm，字迹信息清晰，易于观看</w:t>
            </w:r>
          </w:p>
        </w:tc>
        <w:tc>
          <w:tcPr>
            <w:tcW w:w="863" w:type="dxa"/>
            <w:gridSpan w:val="4"/>
            <w:vAlign w:val="center"/>
          </w:tcPr>
          <w:p w14:paraId="03883613">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件</w:t>
            </w:r>
          </w:p>
        </w:tc>
        <w:tc>
          <w:tcPr>
            <w:tcW w:w="925" w:type="dxa"/>
            <w:gridSpan w:val="3"/>
            <w:vAlign w:val="center"/>
          </w:tcPr>
          <w:p w14:paraId="1B8F1A6C">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01CA6F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6E4F5552">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174</w:t>
            </w:r>
          </w:p>
        </w:tc>
        <w:tc>
          <w:tcPr>
            <w:tcW w:w="1227" w:type="dxa"/>
            <w:vAlign w:val="center"/>
          </w:tcPr>
          <w:p w14:paraId="74891C4D">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原油常见馏分标本</w:t>
            </w:r>
          </w:p>
        </w:tc>
        <w:tc>
          <w:tcPr>
            <w:tcW w:w="6167" w:type="dxa"/>
            <w:vAlign w:val="center"/>
          </w:tcPr>
          <w:p w14:paraId="4B0FBD5E">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不少于8种， 耐用， 易于储存，便于观察， 密封完好，固定牢固</w:t>
            </w:r>
          </w:p>
        </w:tc>
        <w:tc>
          <w:tcPr>
            <w:tcW w:w="863" w:type="dxa"/>
            <w:gridSpan w:val="4"/>
            <w:vAlign w:val="center"/>
          </w:tcPr>
          <w:p w14:paraId="35E0A1AE">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盒</w:t>
            </w:r>
          </w:p>
        </w:tc>
        <w:tc>
          <w:tcPr>
            <w:tcW w:w="925" w:type="dxa"/>
            <w:gridSpan w:val="3"/>
            <w:vAlign w:val="center"/>
          </w:tcPr>
          <w:p w14:paraId="05A76496">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22F1C2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4E313810">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175</w:t>
            </w:r>
          </w:p>
        </w:tc>
        <w:tc>
          <w:tcPr>
            <w:tcW w:w="1227" w:type="dxa"/>
            <w:vAlign w:val="center"/>
          </w:tcPr>
          <w:p w14:paraId="5140970E">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炼铁高炉模型</w:t>
            </w:r>
          </w:p>
        </w:tc>
        <w:tc>
          <w:tcPr>
            <w:tcW w:w="6167" w:type="dxa"/>
            <w:vAlign w:val="center"/>
          </w:tcPr>
          <w:p w14:paraId="35EFCB61">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模型高度≥650 mm。主要结构应用标签注明，标注应准确、清晰、牢固。各部件位置正确、连接牢固，不得因正常震动、碰触而开裂、松脱</w:t>
            </w:r>
          </w:p>
        </w:tc>
        <w:tc>
          <w:tcPr>
            <w:tcW w:w="863" w:type="dxa"/>
            <w:gridSpan w:val="4"/>
            <w:vAlign w:val="center"/>
          </w:tcPr>
          <w:p w14:paraId="4B5A132B">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套</w:t>
            </w:r>
          </w:p>
        </w:tc>
        <w:tc>
          <w:tcPr>
            <w:tcW w:w="925" w:type="dxa"/>
            <w:gridSpan w:val="3"/>
            <w:vAlign w:val="center"/>
          </w:tcPr>
          <w:p w14:paraId="599E24AC">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217EDB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2FB92DA4">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176</w:t>
            </w:r>
          </w:p>
        </w:tc>
        <w:tc>
          <w:tcPr>
            <w:tcW w:w="1227" w:type="dxa"/>
            <w:vAlign w:val="center"/>
          </w:tcPr>
          <w:p w14:paraId="6E18C298">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合成有机高分子材料标本</w:t>
            </w:r>
          </w:p>
        </w:tc>
        <w:tc>
          <w:tcPr>
            <w:tcW w:w="6167" w:type="dxa"/>
            <w:vAlign w:val="center"/>
          </w:tcPr>
          <w:p w14:paraId="46EE2F23">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不少于10种， 材料新颖， 标识清楚， 固定结实， 不易脱落</w:t>
            </w:r>
          </w:p>
        </w:tc>
        <w:tc>
          <w:tcPr>
            <w:tcW w:w="863" w:type="dxa"/>
            <w:gridSpan w:val="4"/>
            <w:vAlign w:val="center"/>
          </w:tcPr>
          <w:p w14:paraId="3A933D8A">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盒</w:t>
            </w:r>
          </w:p>
        </w:tc>
        <w:tc>
          <w:tcPr>
            <w:tcW w:w="925" w:type="dxa"/>
            <w:gridSpan w:val="3"/>
            <w:vAlign w:val="center"/>
          </w:tcPr>
          <w:p w14:paraId="3DAC9938">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1ECE68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1AA9360A">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177</w:t>
            </w:r>
          </w:p>
        </w:tc>
        <w:tc>
          <w:tcPr>
            <w:tcW w:w="1227" w:type="dxa"/>
            <w:vAlign w:val="center"/>
          </w:tcPr>
          <w:p w14:paraId="688AE82F">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新型无机非金属材料标本</w:t>
            </w:r>
          </w:p>
        </w:tc>
        <w:tc>
          <w:tcPr>
            <w:tcW w:w="6167" w:type="dxa"/>
            <w:vAlign w:val="center"/>
          </w:tcPr>
          <w:p w14:paraId="33FA4903">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标本盒体积≥180mm×150mm×50mm，包括氧化铝陶瓷、氮化硅陶瓷、光导纤维等， 材料新颖，标识清楚，固定结实， 不易脱落。陶瓷和玻璃切 割整齐，美观</w:t>
            </w:r>
          </w:p>
        </w:tc>
        <w:tc>
          <w:tcPr>
            <w:tcW w:w="863" w:type="dxa"/>
            <w:gridSpan w:val="4"/>
            <w:vAlign w:val="center"/>
          </w:tcPr>
          <w:p w14:paraId="23CFCE2F">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盒</w:t>
            </w:r>
          </w:p>
        </w:tc>
        <w:tc>
          <w:tcPr>
            <w:tcW w:w="925" w:type="dxa"/>
            <w:gridSpan w:val="3"/>
            <w:vAlign w:val="center"/>
          </w:tcPr>
          <w:p w14:paraId="7625AF9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27769C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noWrap/>
            <w:vAlign w:val="center"/>
          </w:tcPr>
          <w:p w14:paraId="6F809B2F">
            <w:pPr>
              <w:widowControl/>
              <w:textAlignment w:val="center"/>
              <w:rPr>
                <w:rFonts w:hint="eastAsia" w:ascii="宋体" w:hAnsi="宋体"/>
                <w:b/>
                <w:bCs/>
                <w:color w:val="auto"/>
                <w:szCs w:val="21"/>
                <w:highlight w:val="none"/>
              </w:rPr>
            </w:pPr>
            <w:r>
              <w:rPr>
                <w:rFonts w:hint="eastAsia" w:ascii="Times New Roman" w:hAnsi="Times New Roman" w:cs="Times New Roman"/>
                <w:b/>
                <w:bCs/>
                <w:color w:val="auto"/>
                <w:highlight w:val="none"/>
              </w:rPr>
              <w:t>(四)</w:t>
            </w:r>
          </w:p>
        </w:tc>
        <w:tc>
          <w:tcPr>
            <w:tcW w:w="1227" w:type="dxa"/>
            <w:noWrap/>
            <w:vAlign w:val="center"/>
          </w:tcPr>
          <w:p w14:paraId="33CE436D">
            <w:pPr>
              <w:widowControl/>
              <w:jc w:val="center"/>
              <w:textAlignment w:val="center"/>
              <w:rPr>
                <w:rFonts w:hint="eastAsia" w:ascii="宋体" w:hAnsi="宋体"/>
                <w:b/>
                <w:bCs/>
                <w:color w:val="auto"/>
                <w:szCs w:val="21"/>
                <w:highlight w:val="none"/>
              </w:rPr>
            </w:pPr>
            <w:r>
              <w:rPr>
                <w:rFonts w:hint="eastAsia" w:ascii="宋体" w:hAnsi="宋体"/>
                <w:b/>
                <w:bCs/>
                <w:color w:val="auto"/>
                <w:kern w:val="0"/>
                <w:szCs w:val="21"/>
                <w:highlight w:val="none"/>
                <w:lang w:bidi="ar"/>
              </w:rPr>
              <w:t>连接设备</w:t>
            </w:r>
          </w:p>
        </w:tc>
        <w:tc>
          <w:tcPr>
            <w:tcW w:w="6167" w:type="dxa"/>
            <w:noWrap/>
            <w:vAlign w:val="center"/>
          </w:tcPr>
          <w:p w14:paraId="0AFD6F10">
            <w:pPr>
              <w:widowControl/>
              <w:jc w:val="center"/>
              <w:textAlignment w:val="center"/>
              <w:rPr>
                <w:rFonts w:hint="eastAsia" w:ascii="宋体" w:hAnsi="宋体"/>
                <w:b/>
                <w:bCs/>
                <w:color w:val="auto"/>
                <w:szCs w:val="21"/>
                <w:highlight w:val="none"/>
              </w:rPr>
            </w:pPr>
          </w:p>
        </w:tc>
        <w:tc>
          <w:tcPr>
            <w:tcW w:w="863" w:type="dxa"/>
            <w:gridSpan w:val="4"/>
            <w:vAlign w:val="center"/>
          </w:tcPr>
          <w:p w14:paraId="379A70B6">
            <w:pPr>
              <w:widowControl/>
              <w:jc w:val="center"/>
              <w:textAlignment w:val="center"/>
              <w:rPr>
                <w:rFonts w:hint="eastAsia" w:ascii="宋体" w:hAnsi="宋体"/>
                <w:b/>
                <w:bCs/>
                <w:color w:val="auto"/>
                <w:szCs w:val="21"/>
                <w:highlight w:val="none"/>
              </w:rPr>
            </w:pPr>
          </w:p>
        </w:tc>
        <w:tc>
          <w:tcPr>
            <w:tcW w:w="925" w:type="dxa"/>
            <w:gridSpan w:val="3"/>
            <w:vAlign w:val="center"/>
          </w:tcPr>
          <w:p w14:paraId="3AE2BCED">
            <w:pPr>
              <w:widowControl/>
              <w:jc w:val="center"/>
              <w:textAlignment w:val="center"/>
              <w:rPr>
                <w:rFonts w:hint="eastAsia" w:ascii="宋体" w:hAnsi="宋体"/>
                <w:b/>
                <w:bCs/>
                <w:color w:val="auto"/>
                <w:szCs w:val="21"/>
                <w:highlight w:val="none"/>
              </w:rPr>
            </w:pPr>
          </w:p>
        </w:tc>
      </w:tr>
      <w:tr w14:paraId="5036A9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noWrap/>
            <w:vAlign w:val="center"/>
          </w:tcPr>
          <w:p w14:paraId="0C5FA503">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c>
          <w:tcPr>
            <w:tcW w:w="1227" w:type="dxa"/>
            <w:shd w:val="clear" w:color="auto" w:fill="FFFFFF"/>
            <w:noWrap/>
            <w:vAlign w:val="center"/>
          </w:tcPr>
          <w:p w14:paraId="4C4A1FE2">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实验室连接设备</w:t>
            </w:r>
          </w:p>
        </w:tc>
        <w:tc>
          <w:tcPr>
            <w:tcW w:w="6167" w:type="dxa"/>
            <w:shd w:val="clear" w:color="auto" w:fill="FFFFFF"/>
            <w:noWrap/>
            <w:vAlign w:val="center"/>
          </w:tcPr>
          <w:p w14:paraId="52B5F8FE">
            <w:pPr>
              <w:widowControl/>
              <w:jc w:val="left"/>
              <w:textAlignment w:val="center"/>
              <w:rPr>
                <w:rFonts w:hint="eastAsia" w:ascii="宋体" w:hAnsi="宋体"/>
                <w:b/>
                <w:bCs/>
                <w:color w:val="auto"/>
                <w:szCs w:val="21"/>
                <w:highlight w:val="none"/>
              </w:rPr>
            </w:pPr>
            <w:r>
              <w:rPr>
                <w:rFonts w:hint="eastAsia" w:ascii="宋体" w:hAnsi="宋体"/>
                <w:b/>
                <w:bCs/>
                <w:color w:val="auto"/>
                <w:szCs w:val="21"/>
                <w:highlight w:val="none"/>
              </w:rPr>
              <w:t>一、显示部分要求</w:t>
            </w:r>
          </w:p>
          <w:p w14:paraId="2A1E0496">
            <w:pPr>
              <w:widowControl/>
              <w:numPr>
                <w:ilvl w:val="2"/>
                <w:numId w:val="155"/>
              </w:numPr>
              <w:jc w:val="left"/>
              <w:textAlignment w:val="center"/>
              <w:rPr>
                <w:rFonts w:hint="eastAsia" w:ascii="宋体" w:hAnsi="宋体"/>
                <w:color w:val="auto"/>
                <w:szCs w:val="21"/>
                <w:highlight w:val="none"/>
              </w:rPr>
            </w:pPr>
            <w:r>
              <w:rPr>
                <w:rFonts w:hint="eastAsia" w:ascii="宋体" w:hAnsi="宋体"/>
                <w:color w:val="auto"/>
                <w:szCs w:val="21"/>
                <w:highlight w:val="none"/>
              </w:rPr>
              <w:t>智慧黑板显示尺寸≥86英寸，分辨率：≥3840*2160。</w:t>
            </w:r>
          </w:p>
          <w:p w14:paraId="5CA2BFF0">
            <w:pPr>
              <w:widowControl/>
              <w:numPr>
                <w:ilvl w:val="2"/>
                <w:numId w:val="155"/>
              </w:numPr>
              <w:jc w:val="left"/>
              <w:textAlignment w:val="center"/>
              <w:rPr>
                <w:rFonts w:hint="eastAsia" w:ascii="宋体" w:hAnsi="宋体"/>
                <w:color w:val="auto"/>
                <w:szCs w:val="21"/>
                <w:highlight w:val="none"/>
              </w:rPr>
            </w:pPr>
            <w:r>
              <w:rPr>
                <w:rFonts w:hint="eastAsia" w:ascii="宋体" w:hAnsi="宋体"/>
                <w:color w:val="auto"/>
                <w:szCs w:val="21"/>
                <w:highlight w:val="none"/>
              </w:rPr>
              <w:t>智慧黑板表面玻璃须采用高强度钢化玻璃，防眩光，厚度不超过3.5mm，硬度≥莫氏7级，石墨硬度≥9H。</w:t>
            </w:r>
          </w:p>
          <w:p w14:paraId="6AAA4508">
            <w:pPr>
              <w:widowControl/>
              <w:numPr>
                <w:ilvl w:val="2"/>
                <w:numId w:val="155"/>
              </w:numPr>
              <w:jc w:val="left"/>
              <w:textAlignment w:val="center"/>
              <w:rPr>
                <w:rFonts w:hint="eastAsia" w:ascii="宋体" w:hAnsi="宋体"/>
                <w:color w:val="auto"/>
                <w:szCs w:val="21"/>
                <w:highlight w:val="none"/>
              </w:rPr>
            </w:pPr>
            <w:r>
              <w:rPr>
                <w:rFonts w:hint="eastAsia" w:ascii="宋体" w:hAnsi="宋体"/>
                <w:color w:val="auto"/>
                <w:szCs w:val="21"/>
                <w:highlight w:val="none"/>
              </w:rPr>
              <w:t>智慧黑板背光系统需支持多级亮度调节，拍摄时画面无条纹闪烁。光源稳定无频闪，防止眼睛疲劳，需具备开机默认防蓝光功能无需按键调节。</w:t>
            </w:r>
          </w:p>
          <w:p w14:paraId="212744DC">
            <w:pPr>
              <w:widowControl/>
              <w:jc w:val="left"/>
              <w:textAlignment w:val="center"/>
              <w:rPr>
                <w:rFonts w:hint="eastAsia" w:ascii="宋体" w:hAnsi="宋体"/>
                <w:b/>
                <w:bCs/>
                <w:color w:val="auto"/>
                <w:szCs w:val="21"/>
                <w:highlight w:val="none"/>
              </w:rPr>
            </w:pPr>
            <w:r>
              <w:rPr>
                <w:rFonts w:hint="eastAsia" w:ascii="宋体" w:hAnsi="宋体"/>
                <w:b/>
                <w:bCs/>
                <w:color w:val="auto"/>
                <w:szCs w:val="21"/>
                <w:highlight w:val="none"/>
              </w:rPr>
              <w:t>二、触控部分要求</w:t>
            </w:r>
          </w:p>
          <w:p w14:paraId="7A89768C">
            <w:pPr>
              <w:widowControl/>
              <w:numPr>
                <w:ilvl w:val="2"/>
                <w:numId w:val="156"/>
              </w:numPr>
              <w:jc w:val="left"/>
              <w:textAlignment w:val="center"/>
              <w:rPr>
                <w:rFonts w:hint="eastAsia" w:ascii="宋体" w:hAnsi="宋体"/>
                <w:color w:val="auto"/>
                <w:szCs w:val="21"/>
                <w:highlight w:val="none"/>
              </w:rPr>
            </w:pPr>
            <w:r>
              <w:rPr>
                <w:rFonts w:hint="eastAsia" w:ascii="宋体" w:hAnsi="宋体"/>
                <w:color w:val="auto"/>
                <w:szCs w:val="21"/>
                <w:highlight w:val="none"/>
              </w:rPr>
              <w:t>采用多点触控技术，在安卓和WINDOWS双系统下需支持≥40点触控和书写；</w:t>
            </w:r>
          </w:p>
          <w:p w14:paraId="0695D5C5">
            <w:pPr>
              <w:widowControl/>
              <w:jc w:val="left"/>
              <w:textAlignment w:val="center"/>
              <w:rPr>
                <w:rFonts w:hint="eastAsia" w:ascii="宋体" w:hAnsi="宋体"/>
                <w:b/>
                <w:bCs/>
                <w:color w:val="auto"/>
                <w:szCs w:val="21"/>
                <w:highlight w:val="none"/>
              </w:rPr>
            </w:pPr>
            <w:r>
              <w:rPr>
                <w:rFonts w:hint="eastAsia" w:ascii="宋体" w:hAnsi="宋体"/>
                <w:b/>
                <w:bCs/>
                <w:color w:val="auto"/>
                <w:szCs w:val="21"/>
                <w:highlight w:val="none"/>
              </w:rPr>
              <w:t>三、整机安全性要求</w:t>
            </w:r>
          </w:p>
          <w:p w14:paraId="3D369240">
            <w:pPr>
              <w:widowControl/>
              <w:numPr>
                <w:ilvl w:val="2"/>
                <w:numId w:val="157"/>
              </w:numPr>
              <w:jc w:val="left"/>
              <w:textAlignment w:val="center"/>
              <w:rPr>
                <w:rFonts w:hint="eastAsia" w:ascii="宋体" w:hAnsi="宋体"/>
                <w:color w:val="auto"/>
                <w:szCs w:val="21"/>
                <w:highlight w:val="none"/>
              </w:rPr>
            </w:pPr>
            <w:r>
              <w:rPr>
                <w:rFonts w:hint="eastAsia" w:ascii="宋体" w:hAnsi="宋体"/>
                <w:color w:val="auto"/>
                <w:szCs w:val="21"/>
                <w:highlight w:val="none"/>
              </w:rPr>
              <w:t>整机需支持硬件自检，包括对系统内存、存储、触控系统、光感系统、内置电脑、屏体信息、主板型号、CPU型号、CPU使用率、设备名称等进行状态提示及故障提示。</w:t>
            </w:r>
          </w:p>
          <w:p w14:paraId="7195771D">
            <w:pPr>
              <w:widowControl/>
              <w:numPr>
                <w:ilvl w:val="2"/>
                <w:numId w:val="157"/>
              </w:numPr>
              <w:jc w:val="left"/>
              <w:textAlignment w:val="center"/>
              <w:rPr>
                <w:rFonts w:hint="eastAsia" w:ascii="宋体" w:hAnsi="宋体"/>
                <w:color w:val="auto"/>
                <w:szCs w:val="21"/>
                <w:highlight w:val="none"/>
              </w:rPr>
            </w:pPr>
            <w:r>
              <w:rPr>
                <w:rFonts w:hint="eastAsia" w:ascii="宋体" w:hAnsi="宋体"/>
                <w:color w:val="auto"/>
                <w:szCs w:val="21"/>
                <w:highlight w:val="none"/>
              </w:rPr>
              <w:t>★需满足GB 40070-2021儿童青少年学习用品近视防控卫生要求。（需提供对应的证书）</w:t>
            </w:r>
          </w:p>
          <w:p w14:paraId="0E0799E3">
            <w:pPr>
              <w:widowControl/>
              <w:numPr>
                <w:ilvl w:val="2"/>
                <w:numId w:val="157"/>
              </w:numPr>
              <w:jc w:val="left"/>
              <w:textAlignment w:val="center"/>
              <w:rPr>
                <w:rFonts w:hint="eastAsia" w:ascii="宋体" w:hAnsi="宋体"/>
                <w:color w:val="auto"/>
                <w:szCs w:val="21"/>
                <w:highlight w:val="none"/>
              </w:rPr>
            </w:pPr>
            <w:r>
              <w:rPr>
                <w:rFonts w:hint="eastAsia" w:ascii="宋体" w:hAnsi="宋体"/>
                <w:color w:val="auto"/>
                <w:szCs w:val="21"/>
                <w:highlight w:val="none"/>
              </w:rPr>
              <w:t>智慧黑板需支持纸质护眼模式，可实现画面纹理的实时调整；支持透明度调节与色温调节。</w:t>
            </w:r>
          </w:p>
          <w:p w14:paraId="54A740CD">
            <w:pPr>
              <w:widowControl/>
              <w:numPr>
                <w:ilvl w:val="2"/>
                <w:numId w:val="157"/>
              </w:numPr>
              <w:jc w:val="left"/>
              <w:textAlignment w:val="center"/>
              <w:rPr>
                <w:rFonts w:hint="eastAsia" w:ascii="宋体" w:hAnsi="宋体"/>
                <w:color w:val="auto"/>
                <w:szCs w:val="21"/>
                <w:highlight w:val="none"/>
              </w:rPr>
            </w:pPr>
            <w:r>
              <w:rPr>
                <w:rFonts w:hint="eastAsia" w:ascii="宋体" w:hAnsi="宋体"/>
                <w:color w:val="auto"/>
                <w:szCs w:val="21"/>
                <w:highlight w:val="none"/>
              </w:rPr>
              <w:t>智慧黑板需具备屏体温度实时监控、高温预警及断电保护等功能。</w:t>
            </w:r>
          </w:p>
          <w:p w14:paraId="2F6DE02D">
            <w:pPr>
              <w:widowControl/>
              <w:jc w:val="left"/>
              <w:textAlignment w:val="center"/>
              <w:rPr>
                <w:rFonts w:hint="eastAsia" w:ascii="宋体" w:hAnsi="宋体"/>
                <w:b/>
                <w:bCs/>
                <w:color w:val="auto"/>
                <w:szCs w:val="21"/>
                <w:highlight w:val="none"/>
              </w:rPr>
            </w:pPr>
            <w:r>
              <w:rPr>
                <w:rFonts w:hint="eastAsia" w:ascii="宋体" w:hAnsi="宋体"/>
                <w:b/>
                <w:bCs/>
                <w:color w:val="auto"/>
                <w:szCs w:val="21"/>
                <w:highlight w:val="none"/>
              </w:rPr>
              <w:t>四、整机接口按键要求</w:t>
            </w:r>
          </w:p>
          <w:p w14:paraId="253DE0D0">
            <w:pPr>
              <w:widowControl/>
              <w:numPr>
                <w:ilvl w:val="2"/>
                <w:numId w:val="158"/>
              </w:numPr>
              <w:jc w:val="left"/>
              <w:textAlignment w:val="center"/>
              <w:rPr>
                <w:rFonts w:hint="eastAsia" w:ascii="宋体" w:hAnsi="宋体"/>
                <w:color w:val="auto"/>
                <w:szCs w:val="21"/>
                <w:highlight w:val="none"/>
              </w:rPr>
            </w:pPr>
            <w:r>
              <w:rPr>
                <w:rFonts w:hint="eastAsia" w:ascii="宋体" w:hAnsi="宋体"/>
                <w:color w:val="auto"/>
                <w:szCs w:val="21"/>
                <w:highlight w:val="none"/>
              </w:rPr>
              <w:t>★为方便外接拓展设备，智慧黑板前面板需具备带中文标识的接口，≥1路标准HDMI接口、≥2路USB3.0接口、≥1路Type-C接口。后置标配非扩展接口不少于≥2路HDMI输入，≥1路HDMI输出。（需提供检测报告）</w:t>
            </w:r>
          </w:p>
          <w:p w14:paraId="51E64375">
            <w:pPr>
              <w:widowControl/>
              <w:numPr>
                <w:ilvl w:val="2"/>
                <w:numId w:val="158"/>
              </w:numPr>
              <w:jc w:val="left"/>
              <w:textAlignment w:val="center"/>
              <w:rPr>
                <w:rFonts w:hint="eastAsia" w:ascii="宋体" w:hAnsi="宋体"/>
                <w:color w:val="auto"/>
                <w:szCs w:val="21"/>
                <w:highlight w:val="none"/>
              </w:rPr>
            </w:pPr>
            <w:r>
              <w:rPr>
                <w:rFonts w:hint="eastAsia" w:ascii="宋体" w:hAnsi="宋体"/>
                <w:color w:val="auto"/>
                <w:szCs w:val="21"/>
                <w:highlight w:val="none"/>
              </w:rPr>
              <w:t>★智慧黑板前置按键需实现音量加减、窗口关闭、触控开关、电脑还原按键等六个以上具有中文标识的常用按键。（需提供检测报告）</w:t>
            </w:r>
          </w:p>
          <w:p w14:paraId="09B6CCAE">
            <w:pPr>
              <w:widowControl/>
              <w:jc w:val="left"/>
              <w:textAlignment w:val="center"/>
              <w:rPr>
                <w:rFonts w:hint="eastAsia" w:ascii="宋体" w:hAnsi="宋体"/>
                <w:b/>
                <w:bCs/>
                <w:color w:val="auto"/>
                <w:szCs w:val="21"/>
                <w:highlight w:val="none"/>
              </w:rPr>
            </w:pPr>
            <w:r>
              <w:rPr>
                <w:rFonts w:hint="eastAsia" w:ascii="宋体" w:hAnsi="宋体"/>
                <w:b/>
                <w:bCs/>
                <w:color w:val="auto"/>
                <w:szCs w:val="21"/>
                <w:highlight w:val="none"/>
              </w:rPr>
              <w:t>五、安卓系统要求</w:t>
            </w:r>
          </w:p>
          <w:p w14:paraId="44D6D546">
            <w:pPr>
              <w:widowControl/>
              <w:numPr>
                <w:ilvl w:val="2"/>
                <w:numId w:val="159"/>
              </w:numPr>
              <w:jc w:val="left"/>
              <w:textAlignment w:val="center"/>
              <w:rPr>
                <w:rFonts w:hint="eastAsia" w:ascii="宋体" w:hAnsi="宋体"/>
                <w:color w:val="auto"/>
                <w:szCs w:val="21"/>
                <w:highlight w:val="none"/>
              </w:rPr>
            </w:pPr>
            <w:r>
              <w:rPr>
                <w:rFonts w:hint="eastAsia" w:ascii="宋体" w:hAnsi="宋体"/>
                <w:color w:val="auto"/>
                <w:szCs w:val="21"/>
                <w:highlight w:val="none"/>
              </w:rPr>
              <w:t>智慧黑板需具备国产化芯片驱动，≥8核CPU、≥4核GPU。安卓系统版本≥14.0，内存≥4G，存储≥32G。</w:t>
            </w:r>
          </w:p>
          <w:p w14:paraId="00C0C2C3">
            <w:pPr>
              <w:widowControl/>
              <w:jc w:val="left"/>
              <w:textAlignment w:val="center"/>
              <w:rPr>
                <w:rFonts w:hint="eastAsia" w:ascii="宋体" w:hAnsi="宋体"/>
                <w:b/>
                <w:bCs/>
                <w:color w:val="auto"/>
                <w:szCs w:val="21"/>
                <w:highlight w:val="none"/>
              </w:rPr>
            </w:pPr>
            <w:r>
              <w:rPr>
                <w:rFonts w:hint="eastAsia" w:ascii="宋体" w:hAnsi="宋体"/>
                <w:b/>
                <w:bCs/>
                <w:color w:val="auto"/>
                <w:szCs w:val="21"/>
                <w:highlight w:val="none"/>
              </w:rPr>
              <w:t>六、整机音视频要求</w:t>
            </w:r>
          </w:p>
          <w:p w14:paraId="7DFC6EA1">
            <w:pPr>
              <w:widowControl/>
              <w:numPr>
                <w:ilvl w:val="2"/>
                <w:numId w:val="160"/>
              </w:numPr>
              <w:jc w:val="left"/>
              <w:textAlignment w:val="center"/>
              <w:rPr>
                <w:rFonts w:hint="eastAsia" w:ascii="宋体" w:hAnsi="宋体"/>
                <w:color w:val="auto"/>
                <w:szCs w:val="21"/>
                <w:highlight w:val="none"/>
              </w:rPr>
            </w:pPr>
            <w:r>
              <w:rPr>
                <w:rFonts w:hint="eastAsia" w:ascii="宋体" w:hAnsi="宋体"/>
                <w:color w:val="auto"/>
                <w:szCs w:val="21"/>
                <w:highlight w:val="none"/>
              </w:rPr>
              <w:t>需采用2.2声道，≥6个发声单元，功率≥60W。</w:t>
            </w:r>
          </w:p>
          <w:p w14:paraId="582D14BE">
            <w:pPr>
              <w:widowControl/>
              <w:numPr>
                <w:ilvl w:val="2"/>
                <w:numId w:val="160"/>
              </w:numPr>
              <w:jc w:val="left"/>
              <w:textAlignment w:val="center"/>
              <w:rPr>
                <w:rFonts w:hint="eastAsia" w:ascii="宋体" w:hAnsi="宋体"/>
                <w:color w:val="auto"/>
                <w:szCs w:val="21"/>
                <w:highlight w:val="none"/>
              </w:rPr>
            </w:pPr>
            <w:r>
              <w:rPr>
                <w:rFonts w:hint="eastAsia" w:ascii="宋体" w:hAnsi="宋体"/>
                <w:color w:val="auto"/>
                <w:szCs w:val="21"/>
                <w:highlight w:val="none"/>
              </w:rPr>
              <w:t>需内置一体化超高清摄像头，摄像头≥1800W像素,镜头能向下倾斜。</w:t>
            </w:r>
          </w:p>
          <w:p w14:paraId="5481A4F3">
            <w:pPr>
              <w:widowControl/>
              <w:numPr>
                <w:ilvl w:val="2"/>
                <w:numId w:val="160"/>
              </w:numPr>
              <w:jc w:val="left"/>
              <w:textAlignment w:val="center"/>
              <w:rPr>
                <w:rFonts w:hint="eastAsia" w:ascii="宋体" w:hAnsi="宋体"/>
                <w:color w:val="auto"/>
                <w:szCs w:val="21"/>
                <w:highlight w:val="none"/>
              </w:rPr>
            </w:pPr>
            <w:r>
              <w:rPr>
                <w:rFonts w:hint="eastAsia" w:ascii="宋体" w:hAnsi="宋体"/>
                <w:color w:val="auto"/>
                <w:szCs w:val="21"/>
                <w:highlight w:val="none"/>
              </w:rPr>
              <w:t>内置摄像头需支持AI软件实现自动点名点数功能，支持远程巡课功能，具备指示灯工作状态提示。</w:t>
            </w:r>
          </w:p>
          <w:p w14:paraId="0CA1D5A6">
            <w:pPr>
              <w:widowControl/>
              <w:jc w:val="left"/>
              <w:textAlignment w:val="center"/>
              <w:rPr>
                <w:rFonts w:hint="eastAsia" w:ascii="宋体" w:hAnsi="宋体"/>
                <w:b/>
                <w:bCs/>
                <w:color w:val="auto"/>
                <w:szCs w:val="21"/>
                <w:highlight w:val="none"/>
              </w:rPr>
            </w:pPr>
            <w:r>
              <w:rPr>
                <w:rFonts w:hint="eastAsia" w:ascii="宋体" w:hAnsi="宋体"/>
                <w:b/>
                <w:bCs/>
                <w:color w:val="auto"/>
                <w:szCs w:val="21"/>
                <w:highlight w:val="none"/>
              </w:rPr>
              <w:t>七、其他与教学相关的常用功能</w:t>
            </w:r>
          </w:p>
          <w:p w14:paraId="378DECD7">
            <w:pPr>
              <w:widowControl/>
              <w:numPr>
                <w:ilvl w:val="2"/>
                <w:numId w:val="161"/>
              </w:numPr>
              <w:jc w:val="left"/>
              <w:textAlignment w:val="center"/>
              <w:rPr>
                <w:rFonts w:hint="eastAsia" w:ascii="宋体" w:hAnsi="宋体"/>
                <w:color w:val="auto"/>
                <w:szCs w:val="21"/>
                <w:highlight w:val="none"/>
              </w:rPr>
            </w:pPr>
            <w:r>
              <w:rPr>
                <w:rFonts w:hint="eastAsia" w:ascii="宋体" w:hAnsi="宋体"/>
                <w:color w:val="auto"/>
                <w:szCs w:val="21"/>
                <w:highlight w:val="none"/>
              </w:rPr>
              <w:t>智慧黑板需具有可放置书写笔、粉笔、水性笔的笔槽，笔槽具有漏灰孔设计。</w:t>
            </w:r>
          </w:p>
          <w:p w14:paraId="5AC3BC09">
            <w:pPr>
              <w:widowControl/>
              <w:numPr>
                <w:ilvl w:val="2"/>
                <w:numId w:val="161"/>
              </w:numPr>
              <w:jc w:val="left"/>
              <w:textAlignment w:val="center"/>
              <w:rPr>
                <w:rFonts w:hint="eastAsia" w:ascii="宋体" w:hAnsi="宋体"/>
                <w:color w:val="auto"/>
                <w:szCs w:val="21"/>
                <w:highlight w:val="none"/>
              </w:rPr>
            </w:pPr>
            <w:r>
              <w:rPr>
                <w:rFonts w:hint="eastAsia" w:ascii="宋体" w:hAnsi="宋体"/>
                <w:color w:val="auto"/>
                <w:szCs w:val="21"/>
                <w:highlight w:val="none"/>
              </w:rPr>
              <w:t>在任意信号源下向上滑动，可调用快捷设置菜单；无需切换系统可快速调节Windows和安卓的设置，如声音、亮度、网络等常用功能。</w:t>
            </w:r>
          </w:p>
          <w:p w14:paraId="22118D7F">
            <w:pPr>
              <w:widowControl/>
              <w:numPr>
                <w:ilvl w:val="2"/>
                <w:numId w:val="161"/>
              </w:numPr>
              <w:jc w:val="left"/>
              <w:textAlignment w:val="center"/>
              <w:rPr>
                <w:rFonts w:hint="eastAsia" w:ascii="宋体" w:hAnsi="宋体"/>
                <w:color w:val="auto"/>
                <w:szCs w:val="21"/>
                <w:highlight w:val="none"/>
              </w:rPr>
            </w:pPr>
            <w:r>
              <w:rPr>
                <w:rFonts w:hint="eastAsia" w:ascii="宋体" w:hAnsi="宋体"/>
                <w:color w:val="auto"/>
                <w:szCs w:val="21"/>
                <w:highlight w:val="none"/>
              </w:rPr>
              <w:t>智慧黑板左右两侧需各具备≥10个与教学应用密切相关的快捷键，支持自定义设置时间、显示模式，单侧显示、双侧同时显示，快捷键至少需具备关闭窗口、展台、桌面、多屏互动等教学常用功能。</w:t>
            </w:r>
          </w:p>
          <w:p w14:paraId="166E0E04">
            <w:pPr>
              <w:widowControl/>
              <w:numPr>
                <w:ilvl w:val="2"/>
                <w:numId w:val="161"/>
              </w:numPr>
              <w:jc w:val="left"/>
              <w:textAlignment w:val="center"/>
              <w:rPr>
                <w:rFonts w:hint="eastAsia" w:ascii="宋体" w:hAnsi="宋体"/>
                <w:color w:val="auto"/>
                <w:szCs w:val="21"/>
                <w:highlight w:val="none"/>
              </w:rPr>
            </w:pPr>
            <w:r>
              <w:rPr>
                <w:rFonts w:hint="eastAsia" w:ascii="宋体" w:hAnsi="宋体"/>
                <w:color w:val="auto"/>
                <w:szCs w:val="21"/>
                <w:highlight w:val="none"/>
              </w:rPr>
              <w:t>智慧黑板具有快捷悬浮菜单，通过两指长按能快速移动悬浮菜单至按压位置，悬浮菜单能进行自定义分组，能够添加不少于三十个应用。</w:t>
            </w:r>
          </w:p>
          <w:p w14:paraId="171C70DE">
            <w:pPr>
              <w:widowControl/>
              <w:numPr>
                <w:ilvl w:val="2"/>
                <w:numId w:val="161"/>
              </w:numPr>
              <w:jc w:val="left"/>
              <w:textAlignment w:val="center"/>
              <w:rPr>
                <w:rFonts w:hint="eastAsia" w:ascii="宋体" w:hAnsi="宋体"/>
                <w:color w:val="auto"/>
                <w:szCs w:val="21"/>
                <w:highlight w:val="none"/>
              </w:rPr>
            </w:pPr>
            <w:r>
              <w:rPr>
                <w:rFonts w:hint="eastAsia" w:ascii="宋体" w:hAnsi="宋体"/>
                <w:color w:val="auto"/>
                <w:szCs w:val="21"/>
                <w:highlight w:val="none"/>
              </w:rPr>
              <w:t>需支持手势实现悬浮窗快速调用、屏幕息屏或亮屏、屏幕下移、多任务等功能，方便课堂操作。</w:t>
            </w:r>
          </w:p>
          <w:p w14:paraId="3922BE14">
            <w:pPr>
              <w:widowControl/>
              <w:numPr>
                <w:ilvl w:val="2"/>
                <w:numId w:val="161"/>
              </w:numPr>
              <w:jc w:val="left"/>
              <w:textAlignment w:val="center"/>
              <w:rPr>
                <w:rFonts w:hint="eastAsia" w:ascii="宋体" w:hAnsi="宋体"/>
                <w:color w:val="auto"/>
                <w:szCs w:val="21"/>
                <w:highlight w:val="none"/>
              </w:rPr>
            </w:pPr>
            <w:r>
              <w:rPr>
                <w:rFonts w:hint="eastAsia" w:ascii="宋体" w:hAnsi="宋体"/>
                <w:color w:val="auto"/>
                <w:szCs w:val="21"/>
                <w:highlight w:val="none"/>
              </w:rPr>
              <w:t>智慧黑板支持远程升级，及时给用户推送新版应用。</w:t>
            </w:r>
          </w:p>
          <w:p w14:paraId="04E2DF69">
            <w:pPr>
              <w:widowControl/>
              <w:jc w:val="left"/>
              <w:textAlignment w:val="center"/>
              <w:rPr>
                <w:rFonts w:hint="eastAsia" w:ascii="宋体" w:hAnsi="宋体"/>
                <w:b/>
                <w:bCs/>
                <w:color w:val="auto"/>
                <w:szCs w:val="21"/>
                <w:highlight w:val="none"/>
              </w:rPr>
            </w:pPr>
            <w:r>
              <w:rPr>
                <w:rFonts w:hint="eastAsia" w:ascii="宋体" w:hAnsi="宋体"/>
                <w:b/>
                <w:bCs/>
                <w:color w:val="auto"/>
                <w:szCs w:val="21"/>
                <w:highlight w:val="none"/>
              </w:rPr>
              <w:t>八、书写侧板要求</w:t>
            </w:r>
          </w:p>
          <w:p w14:paraId="0EA15FF7">
            <w:pPr>
              <w:widowControl/>
              <w:numPr>
                <w:ilvl w:val="2"/>
                <w:numId w:val="162"/>
              </w:numPr>
              <w:jc w:val="left"/>
              <w:textAlignment w:val="center"/>
              <w:rPr>
                <w:rFonts w:hint="eastAsia" w:ascii="宋体" w:hAnsi="宋体"/>
                <w:color w:val="auto"/>
                <w:szCs w:val="21"/>
                <w:highlight w:val="none"/>
              </w:rPr>
            </w:pPr>
            <w:r>
              <w:rPr>
                <w:rFonts w:hint="eastAsia" w:ascii="宋体" w:hAnsi="宋体"/>
                <w:color w:val="auto"/>
                <w:szCs w:val="21"/>
                <w:highlight w:val="none"/>
              </w:rPr>
              <w:t>书写侧板板面支持磁性材质教具吸附。</w:t>
            </w:r>
          </w:p>
          <w:p w14:paraId="5FEB4FA2">
            <w:pPr>
              <w:widowControl/>
              <w:numPr>
                <w:ilvl w:val="2"/>
                <w:numId w:val="162"/>
              </w:numPr>
              <w:jc w:val="left"/>
              <w:textAlignment w:val="center"/>
              <w:rPr>
                <w:rFonts w:hint="eastAsia" w:ascii="宋体" w:hAnsi="宋体"/>
                <w:color w:val="auto"/>
                <w:szCs w:val="21"/>
                <w:highlight w:val="none"/>
              </w:rPr>
            </w:pPr>
            <w:r>
              <w:rPr>
                <w:rFonts w:hint="eastAsia" w:ascii="宋体" w:hAnsi="宋体"/>
                <w:color w:val="auto"/>
                <w:szCs w:val="21"/>
                <w:highlight w:val="none"/>
              </w:rPr>
              <w:t>书写侧板板面光泽度需符合 GB28231-2011 标准，不高于8光泽度以免产生眩光。</w:t>
            </w:r>
          </w:p>
          <w:p w14:paraId="615AEFF0">
            <w:pPr>
              <w:widowControl/>
              <w:numPr>
                <w:ilvl w:val="2"/>
                <w:numId w:val="162"/>
              </w:numPr>
              <w:jc w:val="left"/>
              <w:textAlignment w:val="center"/>
              <w:rPr>
                <w:rFonts w:hint="eastAsia" w:ascii="宋体" w:hAnsi="宋体"/>
                <w:color w:val="auto"/>
                <w:szCs w:val="21"/>
                <w:highlight w:val="none"/>
              </w:rPr>
            </w:pPr>
            <w:r>
              <w:rPr>
                <w:rFonts w:hint="eastAsia" w:ascii="宋体" w:hAnsi="宋体"/>
                <w:color w:val="auto"/>
                <w:szCs w:val="21"/>
                <w:highlight w:val="none"/>
              </w:rPr>
              <w:t>书写侧板板面符合 GB/T9286-2021标准，支持色漆和清漆漆膜的划格试验，脱漆面积不明显大于 5%达到0级标准。</w:t>
            </w:r>
          </w:p>
          <w:p w14:paraId="78B3AE37">
            <w:pPr>
              <w:widowControl/>
              <w:numPr>
                <w:ilvl w:val="2"/>
                <w:numId w:val="162"/>
              </w:numPr>
              <w:jc w:val="left"/>
              <w:textAlignment w:val="center"/>
              <w:rPr>
                <w:rFonts w:hint="eastAsia" w:ascii="宋体" w:hAnsi="宋体"/>
                <w:color w:val="auto"/>
                <w:szCs w:val="21"/>
                <w:highlight w:val="none"/>
              </w:rPr>
            </w:pPr>
            <w:r>
              <w:rPr>
                <w:rFonts w:hint="eastAsia" w:ascii="宋体" w:hAnsi="宋体"/>
                <w:color w:val="auto"/>
                <w:szCs w:val="21"/>
                <w:highlight w:val="none"/>
              </w:rPr>
              <w:t>书写侧板板面抗冲击性需符合GB/T 1732-2020标准，漆膜耐冲击无裂纹现象。</w:t>
            </w:r>
          </w:p>
          <w:p w14:paraId="202F60A1">
            <w:pPr>
              <w:widowControl/>
              <w:numPr>
                <w:ilvl w:val="2"/>
                <w:numId w:val="162"/>
              </w:numPr>
              <w:jc w:val="left"/>
              <w:textAlignment w:val="center"/>
              <w:rPr>
                <w:rFonts w:hint="eastAsia" w:ascii="宋体" w:hAnsi="宋体"/>
                <w:color w:val="auto"/>
                <w:szCs w:val="21"/>
                <w:highlight w:val="none"/>
              </w:rPr>
            </w:pPr>
            <w:r>
              <w:rPr>
                <w:rFonts w:hint="eastAsia" w:ascii="宋体" w:hAnsi="宋体"/>
                <w:color w:val="auto"/>
                <w:szCs w:val="21"/>
                <w:highlight w:val="none"/>
              </w:rPr>
              <w:t>书写侧板与显示触摸屏为同品牌一体化设计，整体长度≥4200mm。</w:t>
            </w:r>
          </w:p>
          <w:p w14:paraId="549AC2A6">
            <w:pPr>
              <w:widowControl/>
              <w:jc w:val="left"/>
              <w:textAlignment w:val="center"/>
              <w:rPr>
                <w:rFonts w:hint="eastAsia" w:ascii="宋体" w:hAnsi="宋体"/>
                <w:b/>
                <w:bCs/>
                <w:color w:val="auto"/>
                <w:szCs w:val="21"/>
                <w:highlight w:val="none"/>
              </w:rPr>
            </w:pPr>
            <w:r>
              <w:rPr>
                <w:rFonts w:hint="eastAsia" w:ascii="宋体" w:hAnsi="宋体"/>
                <w:b/>
                <w:bCs/>
                <w:color w:val="auto"/>
                <w:szCs w:val="21"/>
                <w:highlight w:val="none"/>
              </w:rPr>
              <w:t>九、内置电脑配置要求</w:t>
            </w:r>
          </w:p>
          <w:p w14:paraId="502A430E">
            <w:pPr>
              <w:widowControl/>
              <w:numPr>
                <w:ilvl w:val="2"/>
                <w:numId w:val="163"/>
              </w:numPr>
              <w:jc w:val="left"/>
              <w:textAlignment w:val="center"/>
              <w:rPr>
                <w:rFonts w:hint="eastAsia" w:ascii="宋体" w:hAnsi="宋体"/>
                <w:color w:val="auto"/>
                <w:szCs w:val="21"/>
                <w:highlight w:val="none"/>
              </w:rPr>
            </w:pPr>
            <w:r>
              <w:rPr>
                <w:rFonts w:hint="eastAsia" w:ascii="宋体" w:hAnsi="宋体"/>
                <w:color w:val="auto"/>
                <w:szCs w:val="21"/>
                <w:highlight w:val="none"/>
              </w:rPr>
              <w:t>整机需易于维护，满足80pin通用标准接口，卡扣设计。</w:t>
            </w:r>
          </w:p>
          <w:p w14:paraId="005B4762">
            <w:pPr>
              <w:widowControl/>
              <w:numPr>
                <w:ilvl w:val="2"/>
                <w:numId w:val="163"/>
              </w:numPr>
              <w:jc w:val="left"/>
              <w:textAlignment w:val="center"/>
              <w:rPr>
                <w:rFonts w:hint="eastAsia" w:ascii="宋体" w:hAnsi="宋体"/>
                <w:color w:val="auto"/>
                <w:szCs w:val="21"/>
                <w:highlight w:val="none"/>
              </w:rPr>
            </w:pPr>
            <w:r>
              <w:rPr>
                <w:rFonts w:hint="eastAsia" w:ascii="宋体" w:hAnsi="宋体"/>
                <w:color w:val="auto"/>
                <w:szCs w:val="21"/>
                <w:highlight w:val="none"/>
              </w:rPr>
              <w:t>采用≥12代I5芯片，内存≥8G，硬盘≥256G SSD。</w:t>
            </w:r>
          </w:p>
          <w:p w14:paraId="48CE1F2B">
            <w:pPr>
              <w:widowControl/>
              <w:jc w:val="left"/>
              <w:textAlignment w:val="center"/>
              <w:rPr>
                <w:rFonts w:hint="eastAsia" w:ascii="宋体" w:hAnsi="宋体"/>
                <w:b/>
                <w:bCs/>
                <w:color w:val="auto"/>
                <w:szCs w:val="21"/>
                <w:highlight w:val="none"/>
              </w:rPr>
            </w:pPr>
            <w:r>
              <w:rPr>
                <w:rFonts w:hint="eastAsia" w:ascii="宋体" w:hAnsi="宋体"/>
                <w:b/>
                <w:bCs/>
                <w:color w:val="auto"/>
                <w:szCs w:val="21"/>
                <w:highlight w:val="none"/>
              </w:rPr>
              <w:t>十、教学软件功能要求</w:t>
            </w:r>
          </w:p>
          <w:p w14:paraId="268E80AD">
            <w:pPr>
              <w:widowControl/>
              <w:numPr>
                <w:ilvl w:val="1"/>
                <w:numId w:val="164"/>
              </w:numPr>
              <w:jc w:val="left"/>
              <w:textAlignment w:val="center"/>
              <w:rPr>
                <w:rFonts w:hint="eastAsia" w:ascii="宋体" w:hAnsi="宋体"/>
                <w:color w:val="auto"/>
                <w:szCs w:val="21"/>
                <w:highlight w:val="none"/>
              </w:rPr>
            </w:pPr>
            <w:r>
              <w:rPr>
                <w:rFonts w:hint="eastAsia" w:ascii="宋体" w:hAnsi="宋体"/>
                <w:color w:val="auto"/>
                <w:szCs w:val="21"/>
                <w:highlight w:val="none"/>
              </w:rPr>
              <w:t>备课模式</w:t>
            </w:r>
          </w:p>
          <w:p w14:paraId="43EB3CB9">
            <w:pPr>
              <w:widowControl/>
              <w:numPr>
                <w:ilvl w:val="1"/>
                <w:numId w:val="164"/>
              </w:numPr>
              <w:jc w:val="left"/>
              <w:textAlignment w:val="center"/>
              <w:rPr>
                <w:rFonts w:hint="eastAsia" w:ascii="宋体" w:hAnsi="宋体"/>
                <w:color w:val="auto"/>
                <w:szCs w:val="21"/>
                <w:highlight w:val="none"/>
              </w:rPr>
            </w:pPr>
            <w:r>
              <w:rPr>
                <w:rFonts w:hint="eastAsia" w:ascii="宋体" w:hAnsi="宋体"/>
                <w:color w:val="auto"/>
                <w:szCs w:val="21"/>
                <w:highlight w:val="none"/>
              </w:rPr>
              <w:t>教师个人账号无需完成特定任务，即可获取≥200GB云端存储空间，可扩展至≥3TB或以上云存储空间。</w:t>
            </w:r>
          </w:p>
          <w:p w14:paraId="328550D0">
            <w:pPr>
              <w:widowControl/>
              <w:numPr>
                <w:ilvl w:val="1"/>
                <w:numId w:val="164"/>
              </w:numPr>
              <w:jc w:val="left"/>
              <w:textAlignment w:val="center"/>
              <w:rPr>
                <w:rFonts w:hint="eastAsia" w:ascii="宋体" w:hAnsi="宋体"/>
                <w:color w:val="auto"/>
                <w:szCs w:val="21"/>
                <w:highlight w:val="none"/>
              </w:rPr>
            </w:pPr>
            <w:r>
              <w:rPr>
                <w:rFonts w:hint="eastAsia" w:ascii="宋体" w:hAnsi="宋体"/>
                <w:color w:val="auto"/>
                <w:szCs w:val="21"/>
                <w:highlight w:val="none"/>
              </w:rPr>
              <w:t>需提供预置的课件素材，允许教师在网页端、移动端、电脑端进行内容的选择与组合，快速生成课件并浏览，所有制作的课件均实时保存至云端，登录即可查看。</w:t>
            </w:r>
          </w:p>
          <w:p w14:paraId="3F79F99A">
            <w:pPr>
              <w:widowControl/>
              <w:numPr>
                <w:ilvl w:val="1"/>
                <w:numId w:val="164"/>
              </w:numPr>
              <w:jc w:val="left"/>
              <w:textAlignment w:val="center"/>
              <w:rPr>
                <w:rFonts w:hint="eastAsia" w:ascii="宋体" w:hAnsi="宋体"/>
                <w:color w:val="auto"/>
                <w:szCs w:val="21"/>
                <w:highlight w:val="none"/>
              </w:rPr>
            </w:pPr>
            <w:r>
              <w:rPr>
                <w:rFonts w:hint="eastAsia" w:ascii="宋体" w:hAnsi="宋体"/>
                <w:color w:val="auto"/>
                <w:szCs w:val="21"/>
                <w:highlight w:val="none"/>
              </w:rPr>
              <w:t>需支持教师根据教材章节目录、知识点选择对应的教学内容。教师仅需要按每个教学环节选择所需的教学模块即可快速生成一份课件。每个课时均提供过量的教学内容模块，满足教师的个性化需求。</w:t>
            </w:r>
          </w:p>
          <w:p w14:paraId="45697212">
            <w:pPr>
              <w:widowControl/>
              <w:numPr>
                <w:ilvl w:val="1"/>
                <w:numId w:val="164"/>
              </w:numPr>
              <w:jc w:val="left"/>
              <w:textAlignment w:val="center"/>
              <w:rPr>
                <w:rFonts w:hint="eastAsia" w:ascii="宋体" w:hAnsi="宋体"/>
                <w:color w:val="auto"/>
                <w:szCs w:val="21"/>
                <w:highlight w:val="none"/>
              </w:rPr>
            </w:pPr>
            <w:r>
              <w:rPr>
                <w:rFonts w:hint="eastAsia" w:ascii="宋体" w:hAnsi="宋体"/>
                <w:color w:val="auto"/>
                <w:szCs w:val="21"/>
                <w:highlight w:val="none"/>
              </w:rPr>
              <w:t>需提供模块化的课件素材和教案，课件支持组选：课堂导入，知识讲解，例题与变式，拓展延伸，课外活动等。</w:t>
            </w:r>
          </w:p>
          <w:p w14:paraId="7949F04E">
            <w:pPr>
              <w:widowControl/>
              <w:numPr>
                <w:ilvl w:val="1"/>
                <w:numId w:val="164"/>
              </w:numPr>
              <w:jc w:val="left"/>
              <w:textAlignment w:val="center"/>
              <w:rPr>
                <w:rFonts w:hint="eastAsia" w:ascii="宋体" w:hAnsi="宋体"/>
                <w:color w:val="auto"/>
                <w:szCs w:val="21"/>
                <w:highlight w:val="none"/>
              </w:rPr>
            </w:pPr>
            <w:r>
              <w:rPr>
                <w:rFonts w:hint="eastAsia" w:ascii="宋体" w:hAnsi="宋体"/>
                <w:color w:val="auto"/>
                <w:szCs w:val="21"/>
                <w:highlight w:val="none"/>
              </w:rPr>
              <w:t>需支持插入音频，对音频的剪辑，可拖动或输入音频的开始和结束位置。插入表格，表格支持设置行列数，在表格上可以进行行列的添加、删除、合并和拆分，可编辑文字格式和表格格式。插入思维导图，包括逻辑图、鱼骨图和组织结构图，思维导图可添加同级节点、下级节点、上级节点，可编辑文字格式和思维导图格式。</w:t>
            </w:r>
          </w:p>
          <w:p w14:paraId="2494E363">
            <w:pPr>
              <w:widowControl/>
              <w:numPr>
                <w:ilvl w:val="1"/>
                <w:numId w:val="164"/>
              </w:numPr>
              <w:jc w:val="left"/>
              <w:textAlignment w:val="center"/>
              <w:rPr>
                <w:rFonts w:hint="eastAsia" w:ascii="宋体" w:hAnsi="宋体"/>
                <w:color w:val="auto"/>
                <w:szCs w:val="21"/>
                <w:highlight w:val="none"/>
              </w:rPr>
            </w:pPr>
            <w:r>
              <w:rPr>
                <w:rFonts w:hint="eastAsia" w:ascii="宋体" w:hAnsi="宋体"/>
                <w:color w:val="auto"/>
                <w:szCs w:val="21"/>
                <w:highlight w:val="none"/>
              </w:rPr>
              <w:t>授课模式</w:t>
            </w:r>
          </w:p>
          <w:p w14:paraId="7EE41AF6">
            <w:pPr>
              <w:widowControl/>
              <w:numPr>
                <w:ilvl w:val="1"/>
                <w:numId w:val="164"/>
              </w:numPr>
              <w:jc w:val="left"/>
              <w:textAlignment w:val="center"/>
              <w:rPr>
                <w:rFonts w:hint="eastAsia" w:ascii="宋体" w:hAnsi="宋体"/>
                <w:color w:val="auto"/>
                <w:szCs w:val="21"/>
                <w:highlight w:val="none"/>
              </w:rPr>
            </w:pPr>
            <w:r>
              <w:rPr>
                <w:rFonts w:hint="eastAsia" w:ascii="宋体" w:hAnsi="宋体"/>
                <w:color w:val="auto"/>
                <w:szCs w:val="21"/>
                <w:highlight w:val="none"/>
              </w:rPr>
              <w:t>需支持显示文件、工具和应用的便捷入口，当开始批注且有笔迹时，自动隐藏便捷入口，清除笔迹时，自动恢复显示便捷入口。</w:t>
            </w:r>
          </w:p>
          <w:p w14:paraId="0FEB52F2">
            <w:pPr>
              <w:widowControl/>
              <w:numPr>
                <w:ilvl w:val="1"/>
                <w:numId w:val="164"/>
              </w:numPr>
              <w:jc w:val="left"/>
              <w:textAlignment w:val="center"/>
              <w:rPr>
                <w:rFonts w:hint="eastAsia" w:ascii="宋体" w:hAnsi="宋体"/>
                <w:color w:val="auto"/>
                <w:szCs w:val="21"/>
                <w:highlight w:val="none"/>
              </w:rPr>
            </w:pPr>
            <w:r>
              <w:rPr>
                <w:rFonts w:hint="eastAsia" w:ascii="宋体" w:hAnsi="宋体"/>
                <w:color w:val="auto"/>
                <w:szCs w:val="21"/>
                <w:highlight w:val="none"/>
              </w:rPr>
              <w:t>需支持多种教辅工具，包含截图、时钟、放大镜、聚光灯、黑屏、随机数、骰子和大转盘等。</w:t>
            </w:r>
          </w:p>
          <w:p w14:paraId="51D9BFE4">
            <w:pPr>
              <w:widowControl/>
              <w:numPr>
                <w:ilvl w:val="1"/>
                <w:numId w:val="164"/>
              </w:numPr>
              <w:jc w:val="left"/>
              <w:textAlignment w:val="center"/>
              <w:rPr>
                <w:rFonts w:hint="eastAsia" w:ascii="宋体" w:hAnsi="宋体"/>
                <w:color w:val="auto"/>
                <w:szCs w:val="21"/>
                <w:highlight w:val="none"/>
              </w:rPr>
            </w:pPr>
            <w:r>
              <w:rPr>
                <w:rFonts w:hint="eastAsia" w:ascii="宋体" w:hAnsi="宋体"/>
                <w:color w:val="auto"/>
                <w:szCs w:val="21"/>
                <w:highlight w:val="none"/>
              </w:rPr>
              <w:t>需支持打开本机文件、U盘文件等本地文件；不需导入，可直接打开本地视频、音频、图片、离线教学课件、PPT、PPTX、PDF文件、DOC、DOCX文件及swf文件等；需支持多个文件窗口同屏播放显示，满足多素材授课需求。支持批注的文件类型包含PPT、PPTX、图片、PDF、DOC、DOCX。</w:t>
            </w:r>
          </w:p>
          <w:p w14:paraId="29A36D97">
            <w:pPr>
              <w:widowControl/>
              <w:numPr>
                <w:ilvl w:val="1"/>
                <w:numId w:val="164"/>
              </w:numPr>
              <w:jc w:val="left"/>
              <w:textAlignment w:val="center"/>
              <w:rPr>
                <w:rFonts w:hint="eastAsia" w:ascii="宋体" w:hAnsi="宋体"/>
                <w:color w:val="auto"/>
                <w:szCs w:val="21"/>
                <w:highlight w:val="none"/>
              </w:rPr>
            </w:pPr>
            <w:r>
              <w:rPr>
                <w:rFonts w:hint="eastAsia" w:ascii="宋体" w:hAnsi="宋体"/>
                <w:color w:val="auto"/>
                <w:szCs w:val="21"/>
                <w:highlight w:val="none"/>
              </w:rPr>
              <w:t>录课助手</w:t>
            </w:r>
          </w:p>
          <w:p w14:paraId="7DAFF293">
            <w:pPr>
              <w:widowControl/>
              <w:numPr>
                <w:ilvl w:val="1"/>
                <w:numId w:val="164"/>
              </w:numPr>
              <w:jc w:val="left"/>
              <w:textAlignment w:val="center"/>
              <w:rPr>
                <w:rFonts w:hint="eastAsia" w:ascii="宋体" w:hAnsi="宋体"/>
                <w:color w:val="auto"/>
                <w:szCs w:val="21"/>
                <w:highlight w:val="none"/>
              </w:rPr>
            </w:pPr>
            <w:r>
              <w:rPr>
                <w:rFonts w:hint="eastAsia" w:ascii="宋体" w:hAnsi="宋体"/>
                <w:color w:val="auto"/>
                <w:szCs w:val="21"/>
                <w:highlight w:val="none"/>
              </w:rPr>
              <w:t>需支持屏幕、屏幕+摄像头等多种形式的录制，也可结合录播系统进行全景录制。需支持对视频清晰度的调整，提供高清、超清、超高清的切换，方便在手机、电脑或者大屏上观看。</w:t>
            </w:r>
          </w:p>
          <w:p w14:paraId="61F9DE7F">
            <w:pPr>
              <w:widowControl/>
              <w:numPr>
                <w:ilvl w:val="1"/>
                <w:numId w:val="164"/>
              </w:numPr>
              <w:jc w:val="left"/>
              <w:textAlignment w:val="center"/>
              <w:rPr>
                <w:rFonts w:hint="eastAsia" w:ascii="宋体" w:hAnsi="宋体"/>
                <w:color w:val="auto"/>
                <w:szCs w:val="21"/>
                <w:highlight w:val="none"/>
              </w:rPr>
            </w:pPr>
            <w:r>
              <w:rPr>
                <w:rFonts w:hint="eastAsia" w:ascii="宋体" w:hAnsi="宋体"/>
                <w:color w:val="auto"/>
                <w:szCs w:val="21"/>
                <w:highlight w:val="none"/>
              </w:rPr>
              <w:t>需支持快速录制，可移动，三秒无操作即变为半透明；可实时查看录制进度，进行暂停、 开始、结束操作。</w:t>
            </w:r>
          </w:p>
          <w:p w14:paraId="49D999F5">
            <w:pPr>
              <w:widowControl/>
              <w:numPr>
                <w:ilvl w:val="1"/>
                <w:numId w:val="164"/>
              </w:numPr>
              <w:jc w:val="left"/>
              <w:textAlignment w:val="center"/>
              <w:rPr>
                <w:rFonts w:hint="eastAsia" w:ascii="宋体" w:hAnsi="宋体"/>
                <w:color w:val="auto"/>
                <w:szCs w:val="21"/>
                <w:highlight w:val="none"/>
              </w:rPr>
            </w:pPr>
            <w:r>
              <w:rPr>
                <w:rFonts w:hint="eastAsia" w:ascii="宋体" w:hAnsi="宋体"/>
                <w:color w:val="auto"/>
                <w:szCs w:val="21"/>
                <w:highlight w:val="none"/>
              </w:rPr>
              <w:t>需支持随时开启分享功能，实现即时直播，听课端无需下载软件，扫描二维码即可进入直播课堂并进行互动。开通直播后生成直播海报、直播码，易于分享，多人观看无压力，且支持手机端、PC端观看直播，可实现课堂实时评论。</w:t>
            </w:r>
          </w:p>
          <w:p w14:paraId="3BF43474">
            <w:pPr>
              <w:widowControl/>
              <w:numPr>
                <w:ilvl w:val="1"/>
                <w:numId w:val="164"/>
              </w:numPr>
              <w:jc w:val="left"/>
              <w:textAlignment w:val="center"/>
              <w:rPr>
                <w:rFonts w:hint="eastAsia" w:ascii="宋体" w:hAnsi="宋体"/>
                <w:color w:val="auto"/>
                <w:szCs w:val="21"/>
                <w:highlight w:val="none"/>
              </w:rPr>
            </w:pPr>
            <w:r>
              <w:rPr>
                <w:rFonts w:hint="eastAsia" w:ascii="宋体" w:hAnsi="宋体"/>
                <w:color w:val="auto"/>
                <w:szCs w:val="21"/>
                <w:highlight w:val="none"/>
              </w:rPr>
              <w:t>在桌面及摄像头录制场景下，能自动侦测摄像头，可识别出展台摄像头，同时支持摄像头 画面的切换、移动及大小的调整。录制视频可自动保存在本地，也可上传至云端教师空间，结束录制即生成回看视频，可快速浏览录制情况。</w:t>
            </w:r>
          </w:p>
          <w:p w14:paraId="228D27ED">
            <w:pPr>
              <w:widowControl/>
              <w:numPr>
                <w:ilvl w:val="1"/>
                <w:numId w:val="164"/>
              </w:numPr>
              <w:jc w:val="left"/>
              <w:textAlignment w:val="center"/>
              <w:rPr>
                <w:rFonts w:hint="eastAsia" w:ascii="宋体" w:hAnsi="宋体"/>
                <w:color w:val="auto"/>
                <w:szCs w:val="21"/>
                <w:highlight w:val="none"/>
              </w:rPr>
            </w:pPr>
            <w:r>
              <w:rPr>
                <w:rFonts w:hint="eastAsia" w:ascii="宋体" w:hAnsi="宋体"/>
                <w:color w:val="auto"/>
                <w:szCs w:val="21"/>
                <w:highlight w:val="none"/>
              </w:rPr>
              <w:t>录制列表支持按时间查找所有已录制视频并可查看录制详情，包括录制日期、文件大小、 上传状态，同时可扫码回看所有已上传视频。录制视频支持点播、分享、编辑等功能，也可将视频共享到学校空间，方便校本资源的建设和管理。</w:t>
            </w:r>
          </w:p>
          <w:p w14:paraId="1C416426">
            <w:pPr>
              <w:widowControl/>
              <w:jc w:val="left"/>
              <w:textAlignment w:val="center"/>
              <w:rPr>
                <w:rFonts w:hint="eastAsia" w:ascii="宋体" w:hAnsi="宋体"/>
                <w:b/>
                <w:bCs/>
                <w:color w:val="auto"/>
                <w:szCs w:val="21"/>
                <w:highlight w:val="none"/>
              </w:rPr>
            </w:pPr>
            <w:r>
              <w:rPr>
                <w:rFonts w:hint="eastAsia" w:ascii="宋体" w:hAnsi="宋体"/>
                <w:b/>
                <w:bCs/>
                <w:color w:val="auto"/>
                <w:szCs w:val="21"/>
                <w:highlight w:val="none"/>
              </w:rPr>
              <w:t>十一、AI教学功能</w:t>
            </w:r>
          </w:p>
          <w:p w14:paraId="13ABD05D">
            <w:pPr>
              <w:widowControl/>
              <w:numPr>
                <w:ilvl w:val="0"/>
                <w:numId w:val="165"/>
              </w:numPr>
              <w:jc w:val="left"/>
              <w:textAlignment w:val="center"/>
              <w:rPr>
                <w:rFonts w:hint="eastAsia" w:ascii="宋体" w:hAnsi="宋体"/>
                <w:color w:val="auto"/>
                <w:szCs w:val="21"/>
                <w:highlight w:val="none"/>
              </w:rPr>
            </w:pPr>
            <w:r>
              <w:rPr>
                <w:rFonts w:hint="eastAsia" w:ascii="宋体" w:hAnsi="宋体"/>
                <w:color w:val="auto"/>
                <w:szCs w:val="21"/>
                <w:highlight w:val="none"/>
              </w:rPr>
              <w:t>提供符合教师授课场景的教学桌面系统。</w:t>
            </w:r>
          </w:p>
          <w:p w14:paraId="416528FF">
            <w:pPr>
              <w:widowControl/>
              <w:numPr>
                <w:ilvl w:val="0"/>
                <w:numId w:val="165"/>
              </w:numPr>
              <w:jc w:val="left"/>
              <w:textAlignment w:val="center"/>
              <w:rPr>
                <w:rFonts w:hint="eastAsia" w:ascii="宋体" w:hAnsi="宋体"/>
                <w:color w:val="auto"/>
                <w:szCs w:val="21"/>
                <w:highlight w:val="none"/>
              </w:rPr>
            </w:pPr>
            <w:r>
              <w:rPr>
                <w:rFonts w:hint="eastAsia" w:ascii="宋体" w:hAnsi="宋体"/>
                <w:color w:val="auto"/>
                <w:szCs w:val="21"/>
                <w:highlight w:val="none"/>
              </w:rPr>
              <w:t>教师授课常用应用放至主页，单击即可打开应用，方便教师快捷调用软件，支持根据个人使用习惯，自定义主页应用。</w:t>
            </w:r>
          </w:p>
          <w:p w14:paraId="60E294BA">
            <w:pPr>
              <w:widowControl/>
              <w:numPr>
                <w:ilvl w:val="0"/>
                <w:numId w:val="165"/>
              </w:numPr>
              <w:jc w:val="left"/>
              <w:textAlignment w:val="center"/>
              <w:rPr>
                <w:rFonts w:hint="eastAsia" w:ascii="宋体" w:hAnsi="宋体"/>
                <w:color w:val="auto"/>
                <w:szCs w:val="21"/>
                <w:highlight w:val="none"/>
              </w:rPr>
            </w:pPr>
            <w:r>
              <w:rPr>
                <w:rFonts w:hint="eastAsia" w:ascii="宋体" w:hAnsi="宋体"/>
                <w:color w:val="auto"/>
                <w:szCs w:val="21"/>
                <w:highlight w:val="none"/>
              </w:rPr>
              <w:t>开机进入教学桌面，教师可按照自己使用习惯，更换常用软件、背景，形成教师的定制化桌面。可通过登录账户，在其他设备上同步展示教师定制化教学桌面，可添加常用教学互动AI小组件，包括班里挑一、击鼓传花、自动点名、时钟、计算器、文件管理器等。</w:t>
            </w:r>
          </w:p>
          <w:p w14:paraId="6F709875">
            <w:pPr>
              <w:widowControl/>
              <w:numPr>
                <w:ilvl w:val="0"/>
                <w:numId w:val="165"/>
              </w:numPr>
              <w:jc w:val="left"/>
              <w:textAlignment w:val="center"/>
              <w:rPr>
                <w:rFonts w:hint="eastAsia" w:ascii="宋体" w:hAnsi="宋体"/>
                <w:color w:val="auto"/>
                <w:szCs w:val="21"/>
                <w:highlight w:val="none"/>
              </w:rPr>
            </w:pPr>
            <w:r>
              <w:rPr>
                <w:rFonts w:hint="eastAsia" w:ascii="宋体" w:hAnsi="宋体"/>
                <w:color w:val="auto"/>
                <w:szCs w:val="21"/>
                <w:highlight w:val="none"/>
              </w:rPr>
              <w:t>不少于4种登录方式，包括账号密码登录、验证码登录、人脸登录、声纹登录等，教师登录系统后打开其他应用及空间，可进行快捷登录，无需再次输入账户密码。</w:t>
            </w:r>
          </w:p>
          <w:p w14:paraId="4D95A821">
            <w:pPr>
              <w:widowControl/>
              <w:numPr>
                <w:ilvl w:val="0"/>
                <w:numId w:val="165"/>
              </w:numPr>
              <w:jc w:val="left"/>
              <w:textAlignment w:val="center"/>
              <w:rPr>
                <w:rFonts w:hint="eastAsia" w:ascii="宋体" w:hAnsi="宋体"/>
                <w:color w:val="auto"/>
                <w:szCs w:val="21"/>
                <w:highlight w:val="none"/>
              </w:rPr>
            </w:pPr>
            <w:r>
              <w:rPr>
                <w:rFonts w:hint="eastAsia" w:ascii="宋体" w:hAnsi="宋体"/>
                <w:color w:val="auto"/>
                <w:szCs w:val="21"/>
                <w:highlight w:val="none"/>
              </w:rPr>
              <w:t>具备AI教学管理功能模块，包括AI一键备课、教学资源、课程设计、我的资源等常用教学功能模块。</w:t>
            </w:r>
          </w:p>
          <w:p w14:paraId="015FDBEC">
            <w:pPr>
              <w:widowControl/>
              <w:numPr>
                <w:ilvl w:val="0"/>
                <w:numId w:val="165"/>
              </w:numPr>
              <w:jc w:val="left"/>
              <w:textAlignment w:val="center"/>
              <w:rPr>
                <w:rFonts w:hint="eastAsia" w:ascii="宋体" w:hAnsi="宋体"/>
                <w:color w:val="auto"/>
                <w:szCs w:val="21"/>
                <w:highlight w:val="none"/>
              </w:rPr>
            </w:pPr>
            <w:r>
              <w:rPr>
                <w:rFonts w:hint="eastAsia" w:ascii="宋体" w:hAnsi="宋体"/>
                <w:color w:val="auto"/>
                <w:szCs w:val="21"/>
                <w:highlight w:val="none"/>
              </w:rPr>
              <w:t>用户可以通过学段、年级、学科/专业、页数的筛选设置，实现AI一键备课；具备AI一键生成教学大纲的功能，教学大纲具备简洁、标准、丰富等不少于三种样式可选；课件内容支持内容AI重写，可实现对文字内容进行文案重写、丰富内容、精简内容、改写语气、文本翻译等，图片AI优化功能，支持图片AI优化，可实现AI重新生成图片、AI智能抠图、提取图片内文字内容等。</w:t>
            </w:r>
          </w:p>
          <w:p w14:paraId="5584AFB8">
            <w:pPr>
              <w:widowControl/>
              <w:numPr>
                <w:ilvl w:val="0"/>
                <w:numId w:val="165"/>
              </w:numPr>
              <w:jc w:val="left"/>
              <w:textAlignment w:val="center"/>
              <w:rPr>
                <w:rFonts w:hint="eastAsia" w:ascii="宋体" w:hAnsi="宋体"/>
                <w:color w:val="auto"/>
                <w:szCs w:val="21"/>
                <w:highlight w:val="none"/>
              </w:rPr>
            </w:pPr>
            <w:r>
              <w:rPr>
                <w:rFonts w:hint="eastAsia" w:ascii="宋体" w:hAnsi="宋体"/>
                <w:color w:val="auto"/>
                <w:szCs w:val="21"/>
                <w:highlight w:val="none"/>
              </w:rPr>
              <w:t>用户可以通过输入关键词筛选学科资源，也可以通过设置教育类型、学段、年级、学科、教材版本等信息条件筛选学科资源，可通过窗口化预览学科资源（图片、文档、视频）。</w:t>
            </w:r>
          </w:p>
          <w:p w14:paraId="5E560E85">
            <w:pPr>
              <w:widowControl/>
              <w:numPr>
                <w:ilvl w:val="0"/>
                <w:numId w:val="165"/>
              </w:numPr>
              <w:jc w:val="left"/>
              <w:textAlignment w:val="center"/>
              <w:rPr>
                <w:rFonts w:hint="eastAsia" w:ascii="宋体" w:hAnsi="宋体"/>
                <w:color w:val="auto"/>
                <w:szCs w:val="21"/>
                <w:highlight w:val="none"/>
              </w:rPr>
            </w:pPr>
            <w:r>
              <w:rPr>
                <w:rFonts w:hint="eastAsia" w:ascii="宋体" w:hAnsi="宋体"/>
                <w:color w:val="auto"/>
                <w:szCs w:val="21"/>
                <w:highlight w:val="none"/>
              </w:rPr>
              <w:t>具备课程管理管理功能，可创建、修改课程信息，可设置课程日期、地点、开始时间、结束时间、重复周期，支持上传多种格式文档，文档格式包括txt、pdf、doc、docx、xls、xlsx、cvs、xml、ppt、pptx等，可通过日、周、月等不同时间维度查看课表信息。</w:t>
            </w:r>
          </w:p>
          <w:p w14:paraId="2677E01B">
            <w:pPr>
              <w:widowControl/>
              <w:numPr>
                <w:ilvl w:val="0"/>
                <w:numId w:val="165"/>
              </w:numPr>
              <w:jc w:val="left"/>
              <w:textAlignment w:val="center"/>
              <w:rPr>
                <w:rFonts w:hint="eastAsia" w:ascii="宋体" w:hAnsi="宋体"/>
                <w:color w:val="auto"/>
                <w:szCs w:val="21"/>
                <w:highlight w:val="none"/>
              </w:rPr>
            </w:pPr>
            <w:r>
              <w:rPr>
                <w:rFonts w:hint="eastAsia" w:ascii="宋体" w:hAnsi="宋体"/>
                <w:color w:val="auto"/>
                <w:szCs w:val="21"/>
                <w:highlight w:val="none"/>
              </w:rPr>
              <w:t>具备个人教学管理功能，可对个人资源进行预览、下载、删除、编辑、修改、重命名等操作，可查看历史生成课件记录、历史浏览课件记录。</w:t>
            </w:r>
          </w:p>
          <w:p w14:paraId="5FDD32D7">
            <w:pPr>
              <w:widowControl/>
              <w:numPr>
                <w:ilvl w:val="0"/>
                <w:numId w:val="165"/>
              </w:numPr>
              <w:jc w:val="left"/>
              <w:textAlignment w:val="center"/>
              <w:rPr>
                <w:rFonts w:hint="eastAsia" w:ascii="宋体" w:hAnsi="宋体"/>
                <w:color w:val="auto"/>
                <w:szCs w:val="21"/>
                <w:highlight w:val="none"/>
              </w:rPr>
            </w:pPr>
            <w:r>
              <w:rPr>
                <w:rFonts w:hint="eastAsia" w:ascii="宋体" w:hAnsi="宋体"/>
                <w:color w:val="auto"/>
                <w:szCs w:val="21"/>
                <w:highlight w:val="none"/>
              </w:rPr>
              <w:t>具备AI口语对练功能模块，支持跟读训练、场景对话、自由对话等≥3种口语对练方式。</w:t>
            </w:r>
          </w:p>
          <w:p w14:paraId="43F44370">
            <w:pPr>
              <w:widowControl/>
              <w:numPr>
                <w:ilvl w:val="0"/>
                <w:numId w:val="165"/>
              </w:numPr>
              <w:jc w:val="left"/>
              <w:textAlignment w:val="center"/>
              <w:rPr>
                <w:rFonts w:hint="eastAsia" w:ascii="宋体" w:hAnsi="宋体"/>
                <w:color w:val="auto"/>
                <w:szCs w:val="21"/>
                <w:highlight w:val="none"/>
              </w:rPr>
            </w:pPr>
            <w:r>
              <w:rPr>
                <w:rFonts w:hint="eastAsia" w:ascii="宋体" w:hAnsi="宋体"/>
                <w:color w:val="auto"/>
                <w:szCs w:val="21"/>
                <w:highlight w:val="none"/>
              </w:rPr>
              <w:t>支持AI语音对话，支持语音资源检索，并可一键将获取的文本内容、图片、视频等资源插入白板，提高教学效率。</w:t>
            </w:r>
          </w:p>
          <w:p w14:paraId="0CCBF7A8">
            <w:pPr>
              <w:widowControl/>
              <w:numPr>
                <w:ilvl w:val="0"/>
                <w:numId w:val="165"/>
              </w:numPr>
              <w:jc w:val="left"/>
              <w:textAlignment w:val="center"/>
              <w:rPr>
                <w:rFonts w:hint="eastAsia" w:ascii="宋体" w:hAnsi="宋体"/>
                <w:color w:val="auto"/>
                <w:szCs w:val="21"/>
                <w:highlight w:val="none"/>
              </w:rPr>
            </w:pPr>
            <w:r>
              <w:rPr>
                <w:rFonts w:hint="eastAsia" w:ascii="宋体" w:hAnsi="宋体"/>
                <w:color w:val="auto"/>
                <w:szCs w:val="21"/>
                <w:highlight w:val="none"/>
              </w:rPr>
              <w:t>AI语音对话具备大模型对话功能，最大支持50轮对话；具备查看历史对话的功能。</w:t>
            </w:r>
          </w:p>
          <w:p w14:paraId="07E8A4F4">
            <w:pPr>
              <w:widowControl/>
              <w:numPr>
                <w:ilvl w:val="0"/>
                <w:numId w:val="165"/>
              </w:numPr>
              <w:jc w:val="left"/>
              <w:textAlignment w:val="center"/>
              <w:rPr>
                <w:rFonts w:hint="eastAsia" w:ascii="宋体" w:hAnsi="宋体"/>
                <w:color w:val="auto"/>
                <w:szCs w:val="21"/>
                <w:highlight w:val="none"/>
              </w:rPr>
            </w:pPr>
            <w:r>
              <w:rPr>
                <w:rFonts w:hint="eastAsia" w:ascii="宋体" w:hAnsi="宋体"/>
                <w:color w:val="auto"/>
                <w:szCs w:val="21"/>
                <w:highlight w:val="none"/>
              </w:rPr>
              <w:t>可通过手动唤醒和语音唤醒两种方式唤醒悬浮窗AI助教的功能，支持通过语音控制设备的控制，例如音量、亮度、信号源设置等，可通过语音一键进入备课界面、资源界面、课程设计界面、我的资源界面。</w:t>
            </w:r>
          </w:p>
          <w:p w14:paraId="030CCB9B">
            <w:pPr>
              <w:widowControl/>
              <w:numPr>
                <w:ilvl w:val="0"/>
                <w:numId w:val="165"/>
              </w:numPr>
              <w:jc w:val="left"/>
              <w:textAlignment w:val="center"/>
              <w:rPr>
                <w:rFonts w:hint="eastAsia" w:ascii="宋体" w:hAnsi="宋体"/>
                <w:color w:val="auto"/>
                <w:szCs w:val="21"/>
                <w:highlight w:val="none"/>
              </w:rPr>
            </w:pPr>
            <w:r>
              <w:rPr>
                <w:rFonts w:hint="eastAsia" w:ascii="宋体" w:hAnsi="宋体"/>
                <w:color w:val="auto"/>
                <w:szCs w:val="21"/>
                <w:highlight w:val="none"/>
              </w:rPr>
              <w:t>可在大屏端和电脑端实现教师空间功能，个人电脑端也支持账号密码登录、验证码登录、人脸登录、声纹登录等不少于四种登录方式，可通过教师空间一键启动AI教学管理、课堂评价、班里挑一、击鼓传花、自动点名、时钟、计算器、文件管理器等功能。</w:t>
            </w:r>
          </w:p>
        </w:tc>
        <w:tc>
          <w:tcPr>
            <w:tcW w:w="863" w:type="dxa"/>
            <w:gridSpan w:val="4"/>
            <w:vAlign w:val="center"/>
          </w:tcPr>
          <w:p w14:paraId="1CEBBE2C">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套</w:t>
            </w:r>
          </w:p>
        </w:tc>
        <w:tc>
          <w:tcPr>
            <w:tcW w:w="925" w:type="dxa"/>
            <w:gridSpan w:val="3"/>
            <w:vAlign w:val="center"/>
          </w:tcPr>
          <w:p w14:paraId="1AEB4EB1">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10</w:t>
            </w:r>
          </w:p>
        </w:tc>
      </w:tr>
      <w:tr w14:paraId="7E173E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5C0ACADD">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w:t>
            </w:r>
          </w:p>
        </w:tc>
        <w:tc>
          <w:tcPr>
            <w:tcW w:w="1227" w:type="dxa"/>
            <w:shd w:val="clear" w:color="auto" w:fill="FFFFFF"/>
            <w:vAlign w:val="center"/>
          </w:tcPr>
          <w:p w14:paraId="251567D7">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展台</w:t>
            </w:r>
          </w:p>
        </w:tc>
        <w:tc>
          <w:tcPr>
            <w:tcW w:w="6167" w:type="dxa"/>
            <w:vAlign w:val="center"/>
          </w:tcPr>
          <w:p w14:paraId="413D57A1">
            <w:pPr>
              <w:widowControl/>
              <w:numPr>
                <w:ilvl w:val="0"/>
                <w:numId w:val="166"/>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整机采用高清摄像头设计，</w:t>
            </w:r>
            <w:r>
              <w:rPr>
                <w:rFonts w:hint="eastAsia" w:ascii="宋体" w:hAnsi="宋体"/>
                <w:color w:val="auto"/>
                <w:szCs w:val="21"/>
                <w:highlight w:val="none"/>
              </w:rPr>
              <w:t>≥</w:t>
            </w:r>
            <w:r>
              <w:rPr>
                <w:rFonts w:hint="eastAsia" w:ascii="宋体" w:hAnsi="宋体"/>
                <w:color w:val="auto"/>
                <w:kern w:val="0"/>
                <w:szCs w:val="21"/>
                <w:highlight w:val="none"/>
                <w:lang w:bidi="ar"/>
              </w:rPr>
              <w:t>1600万像素定焦镜头，解析度</w:t>
            </w:r>
            <w:r>
              <w:rPr>
                <w:rFonts w:hint="eastAsia" w:ascii="宋体" w:hAnsi="宋体"/>
                <w:color w:val="auto"/>
                <w:szCs w:val="21"/>
                <w:highlight w:val="none"/>
              </w:rPr>
              <w:t>≥</w:t>
            </w:r>
            <w:r>
              <w:rPr>
                <w:rFonts w:hint="eastAsia" w:ascii="宋体" w:hAnsi="宋体"/>
                <w:color w:val="auto"/>
                <w:kern w:val="0"/>
                <w:szCs w:val="21"/>
                <w:highlight w:val="none"/>
                <w:lang w:bidi="ar"/>
              </w:rPr>
              <w:t>1400TV线，使画面展示更加清晰。</w:t>
            </w:r>
          </w:p>
          <w:p w14:paraId="6957A1FD">
            <w:pPr>
              <w:widowControl/>
              <w:numPr>
                <w:ilvl w:val="0"/>
                <w:numId w:val="166"/>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光源补偿：LED五级光源补偿。</w:t>
            </w:r>
          </w:p>
          <w:p w14:paraId="61EE5354">
            <w:pPr>
              <w:widowControl/>
              <w:numPr>
                <w:ilvl w:val="0"/>
                <w:numId w:val="166"/>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支持六张图片及以上同屏对比，每张图片独立批注，不可跨区域批注，并可对单张图片进行旋转、全屏、缩放、删除等操作。</w:t>
            </w:r>
          </w:p>
          <w:p w14:paraId="0EFFB75A">
            <w:pPr>
              <w:widowControl/>
              <w:numPr>
                <w:ilvl w:val="0"/>
                <w:numId w:val="166"/>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为增强文字显示对比度，具备AI拍照的功能，并可根据的实际使用需求开启或关闭。</w:t>
            </w:r>
          </w:p>
          <w:p w14:paraId="0329B883">
            <w:pPr>
              <w:widowControl/>
              <w:numPr>
                <w:ilvl w:val="0"/>
                <w:numId w:val="166"/>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可通过屏幕左下画面缩略图，在展示画面放大的情况下，快速移动到达画面任意位置，实现鸟瞰功能。</w:t>
            </w:r>
          </w:p>
          <w:p w14:paraId="729831A2">
            <w:pPr>
              <w:widowControl/>
              <w:numPr>
                <w:ilvl w:val="0"/>
                <w:numId w:val="166"/>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支持多指长按屏幕实现漫游，手背擦除，两指捏合放大缩小等多种手势操作，方便使用。</w:t>
            </w:r>
          </w:p>
          <w:p w14:paraId="53B50EF6">
            <w:pPr>
              <w:widowControl/>
              <w:numPr>
                <w:ilvl w:val="0"/>
                <w:numId w:val="166"/>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需支持对展台性能进行检测，包含但不限于硬件连线连接情况与摄像头占用情况。</w:t>
            </w:r>
          </w:p>
        </w:tc>
        <w:tc>
          <w:tcPr>
            <w:tcW w:w="863" w:type="dxa"/>
            <w:gridSpan w:val="4"/>
            <w:vAlign w:val="center"/>
          </w:tcPr>
          <w:p w14:paraId="640BCE8E">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套</w:t>
            </w:r>
          </w:p>
        </w:tc>
        <w:tc>
          <w:tcPr>
            <w:tcW w:w="925" w:type="dxa"/>
            <w:gridSpan w:val="3"/>
            <w:vAlign w:val="center"/>
          </w:tcPr>
          <w:p w14:paraId="33FFF99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10</w:t>
            </w:r>
          </w:p>
        </w:tc>
      </w:tr>
      <w:tr w14:paraId="03D2DA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5CC6494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3</w:t>
            </w:r>
          </w:p>
        </w:tc>
        <w:tc>
          <w:tcPr>
            <w:tcW w:w="1227" w:type="dxa"/>
            <w:shd w:val="clear" w:color="auto" w:fill="FFFFFF"/>
            <w:vAlign w:val="center"/>
          </w:tcPr>
          <w:p w14:paraId="3DF64EC2">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连接软件</w:t>
            </w:r>
          </w:p>
        </w:tc>
        <w:tc>
          <w:tcPr>
            <w:tcW w:w="6167" w:type="dxa"/>
            <w:vAlign w:val="center"/>
          </w:tcPr>
          <w:p w14:paraId="2D384F21">
            <w:pPr>
              <w:widowControl/>
              <w:jc w:val="left"/>
              <w:textAlignment w:val="center"/>
              <w:rPr>
                <w:rFonts w:hint="eastAsia" w:ascii="宋体" w:hAnsi="宋体"/>
                <w:color w:val="auto"/>
                <w:szCs w:val="21"/>
                <w:highlight w:val="none"/>
              </w:rPr>
            </w:pPr>
            <w:r>
              <w:rPr>
                <w:rFonts w:hint="eastAsia" w:ascii="宋体" w:hAnsi="宋体"/>
                <w:color w:val="auto"/>
                <w:szCs w:val="21"/>
                <w:highlight w:val="none"/>
              </w:rPr>
              <w:t>一、基础平台</w:t>
            </w:r>
          </w:p>
          <w:p w14:paraId="644078FB">
            <w:pPr>
              <w:widowControl/>
              <w:numPr>
                <w:ilvl w:val="2"/>
                <w:numId w:val="167"/>
              </w:numPr>
              <w:jc w:val="left"/>
              <w:textAlignment w:val="center"/>
              <w:rPr>
                <w:rFonts w:hint="eastAsia" w:ascii="宋体" w:hAnsi="宋体"/>
                <w:color w:val="auto"/>
                <w:szCs w:val="21"/>
                <w:highlight w:val="none"/>
              </w:rPr>
            </w:pPr>
            <w:r>
              <w:rPr>
                <w:rFonts w:hint="eastAsia" w:ascii="宋体" w:hAnsi="宋体"/>
                <w:color w:val="auto"/>
                <w:szCs w:val="21"/>
                <w:highlight w:val="none"/>
              </w:rPr>
              <w:t>基础平台支持账号密码、扫码登录用户基础平台。</w:t>
            </w:r>
          </w:p>
          <w:p w14:paraId="186E26C7">
            <w:pPr>
              <w:widowControl/>
              <w:numPr>
                <w:ilvl w:val="2"/>
                <w:numId w:val="167"/>
              </w:numPr>
              <w:jc w:val="left"/>
              <w:textAlignment w:val="center"/>
              <w:rPr>
                <w:rFonts w:hint="eastAsia" w:ascii="宋体" w:hAnsi="宋体"/>
                <w:color w:val="auto"/>
                <w:szCs w:val="21"/>
                <w:highlight w:val="none"/>
              </w:rPr>
            </w:pPr>
            <w:r>
              <w:rPr>
                <w:rFonts w:hint="eastAsia" w:ascii="宋体" w:hAnsi="宋体"/>
                <w:color w:val="auto"/>
                <w:szCs w:val="21"/>
                <w:highlight w:val="none"/>
              </w:rPr>
              <w:t>权限应用，基础平台设置模块管理员，模块管理员设置使用人员，并为使用人员设置权限，使用人员只能使用授权部分的功能。</w:t>
            </w:r>
          </w:p>
          <w:p w14:paraId="54D261DB">
            <w:pPr>
              <w:widowControl/>
              <w:numPr>
                <w:ilvl w:val="2"/>
                <w:numId w:val="167"/>
              </w:numPr>
              <w:jc w:val="left"/>
              <w:textAlignment w:val="center"/>
              <w:rPr>
                <w:rFonts w:hint="eastAsia" w:ascii="宋体" w:hAnsi="宋体"/>
                <w:color w:val="auto"/>
                <w:szCs w:val="21"/>
                <w:highlight w:val="none"/>
              </w:rPr>
            </w:pPr>
            <w:r>
              <w:rPr>
                <w:rFonts w:hint="eastAsia" w:ascii="宋体" w:hAnsi="宋体"/>
                <w:color w:val="auto"/>
                <w:szCs w:val="21"/>
                <w:highlight w:val="none"/>
              </w:rPr>
              <w:t>支持移动端、PC网页同时操作，包含用户管理、单位管理、基础设置、应用管理、日志管理等。</w:t>
            </w:r>
          </w:p>
          <w:p w14:paraId="2600E5ED">
            <w:pPr>
              <w:widowControl/>
              <w:jc w:val="left"/>
              <w:textAlignment w:val="center"/>
              <w:rPr>
                <w:rFonts w:hint="eastAsia" w:ascii="宋体" w:hAnsi="宋体"/>
                <w:color w:val="auto"/>
                <w:szCs w:val="21"/>
                <w:highlight w:val="none"/>
              </w:rPr>
            </w:pPr>
            <w:r>
              <w:rPr>
                <w:rFonts w:hint="eastAsia" w:ascii="宋体" w:hAnsi="宋体"/>
                <w:color w:val="auto"/>
                <w:szCs w:val="21"/>
                <w:highlight w:val="none"/>
              </w:rPr>
              <w:t>二、教师工作台</w:t>
            </w:r>
          </w:p>
          <w:p w14:paraId="0B8186FF">
            <w:pPr>
              <w:widowControl/>
              <w:numPr>
                <w:ilvl w:val="0"/>
                <w:numId w:val="168"/>
              </w:numPr>
              <w:jc w:val="left"/>
              <w:textAlignment w:val="center"/>
              <w:rPr>
                <w:rFonts w:hint="eastAsia" w:ascii="宋体" w:hAnsi="宋体"/>
                <w:color w:val="auto"/>
                <w:szCs w:val="21"/>
                <w:highlight w:val="none"/>
              </w:rPr>
            </w:pPr>
            <w:r>
              <w:rPr>
                <w:rFonts w:hint="eastAsia" w:ascii="宋体" w:hAnsi="宋体"/>
                <w:color w:val="auto"/>
                <w:szCs w:val="21"/>
                <w:highlight w:val="none"/>
              </w:rPr>
              <w:t>通过教师工作台客户端使用。</w:t>
            </w:r>
          </w:p>
          <w:p w14:paraId="0324AC92">
            <w:pPr>
              <w:widowControl/>
              <w:numPr>
                <w:ilvl w:val="0"/>
                <w:numId w:val="168"/>
              </w:numPr>
              <w:jc w:val="left"/>
              <w:textAlignment w:val="center"/>
              <w:rPr>
                <w:rFonts w:hint="eastAsia" w:ascii="宋体" w:hAnsi="宋体"/>
                <w:color w:val="auto"/>
                <w:szCs w:val="21"/>
                <w:highlight w:val="none"/>
              </w:rPr>
            </w:pPr>
            <w:r>
              <w:rPr>
                <w:rFonts w:hint="eastAsia" w:ascii="宋体" w:hAnsi="宋体"/>
                <w:color w:val="auto"/>
                <w:szCs w:val="21"/>
                <w:highlight w:val="none"/>
              </w:rPr>
              <w:t xml:space="preserve">教师工作台客户端包含备课、授课、听评课、教研、阅卷、培训。 </w:t>
            </w:r>
          </w:p>
          <w:p w14:paraId="30FD1EE7">
            <w:pPr>
              <w:widowControl/>
              <w:numPr>
                <w:ilvl w:val="0"/>
                <w:numId w:val="168"/>
              </w:numPr>
              <w:jc w:val="left"/>
              <w:textAlignment w:val="center"/>
              <w:rPr>
                <w:rFonts w:hint="eastAsia" w:ascii="宋体" w:hAnsi="宋体"/>
                <w:color w:val="auto"/>
                <w:szCs w:val="21"/>
                <w:highlight w:val="none"/>
              </w:rPr>
            </w:pPr>
            <w:r>
              <w:rPr>
                <w:rFonts w:hint="eastAsia" w:ascii="宋体" w:hAnsi="宋体"/>
                <w:color w:val="auto"/>
                <w:szCs w:val="21"/>
                <w:highlight w:val="none"/>
              </w:rPr>
              <w:t>备课：包含备课、备课记录。依据教师工作台－教务教导－教务的分班和教师分工，自动生成备课目录。①备课支持点击未备课去备课；支持模拟授课；支持查看备课预览；支持编辑已备课内容；支持云端保存备课内容；支持教案预览；支持授课模拟；支持备课设置；支持编辑教学环节；支持删除教学环节；支持备课列表、资源列表、题库等线上资源的引用；支持本地资源上传PPT、文档、图片、视频、音频资源。②备课记录支持展示已备课列表；支持选择学期查看备课记录；支持引用备课；支持授课。 （需提供功能照片证明材料）</w:t>
            </w:r>
          </w:p>
          <w:p w14:paraId="799750CB">
            <w:pPr>
              <w:widowControl/>
              <w:numPr>
                <w:ilvl w:val="0"/>
                <w:numId w:val="168"/>
              </w:numPr>
              <w:jc w:val="left"/>
              <w:textAlignment w:val="center"/>
              <w:rPr>
                <w:rFonts w:hint="eastAsia" w:ascii="宋体" w:hAnsi="宋体"/>
                <w:color w:val="auto"/>
                <w:szCs w:val="21"/>
                <w:highlight w:val="none"/>
              </w:rPr>
            </w:pPr>
            <w:r>
              <w:rPr>
                <w:rFonts w:hint="eastAsia" w:ascii="宋体" w:hAnsi="宋体"/>
                <w:color w:val="auto"/>
                <w:szCs w:val="21"/>
                <w:highlight w:val="none"/>
              </w:rPr>
              <w:t>授课：包含授课、授课记录。①授课支持点击授课、选择班级进入授课页面。授课页面包含资源、鼠标、画笔、板擦、撤销、应用、退出。授课资源支持大屏展示PPT、文档、图片、视频、音频等资源。鼠标支持点击鼠标播放功能。画笔支持选择颜色在大屏进行标记操作。板擦支持点击擦线对标记内容擦拭；支持点击清屏清空标记内容；支持点击撤销标记操作；支持点击恢复标记操作。撤销支持撤销之前操作。应用包含通用（包含设置、手机、展台、文本、计时、截图、框选、网络、听评码）、工具（包含考勤、点名）、学科（包含作图、计算器）。通用－设置支持查看/选择默认展台设置、绿板颜色设置；设置－手机支持教师在APP端输入码用手机控制大屏操作；设置－文本支持编辑文字内容；设置－计时支持开始计时/倒计时；支持重置计时；设置－截图支持对屏幕进行截图；设置－框选支持框选内容；设置－网络支持输入内容直接在网页版查询；设置－听评码支持在APP端扫码或输入听评码进行听评课。工具－考勤支持导入班级学生名单；支持显示班级人数。工具－点名支持抽取随机点名；支持评价。学科－作图支持线条、颜色等进行作图；学科－计算器支持使用计算器功能。②授课记录支持展示已授课列表；支持选择学期查看授课记录；支持教师直接授课。（需提供功能照片证明材料）</w:t>
            </w:r>
          </w:p>
          <w:p w14:paraId="3D037A86">
            <w:pPr>
              <w:widowControl/>
              <w:numPr>
                <w:ilvl w:val="0"/>
                <w:numId w:val="168"/>
              </w:numPr>
              <w:jc w:val="left"/>
              <w:textAlignment w:val="center"/>
              <w:rPr>
                <w:rFonts w:hint="eastAsia" w:ascii="宋体" w:hAnsi="宋体"/>
                <w:color w:val="auto"/>
                <w:szCs w:val="21"/>
                <w:highlight w:val="none"/>
              </w:rPr>
            </w:pPr>
            <w:r>
              <w:rPr>
                <w:rFonts w:hint="eastAsia" w:ascii="宋体" w:hAnsi="宋体"/>
                <w:color w:val="auto"/>
                <w:szCs w:val="21"/>
                <w:highlight w:val="none"/>
              </w:rPr>
              <w:t>听评课：包含听课、听课记录。①听课支持教师进入课堂听课；支持签到；支持查看教师备课素材和备课教案；支持添加课堂笔记；支持教师互动；支持教师对听课内容进行评价。②听课记录支持查看听课记录列表，包含序号、授课学校、授课班级、授课教师、授课标题、操作。 （需提供功能照片证明材料）</w:t>
            </w:r>
          </w:p>
          <w:p w14:paraId="49804D68">
            <w:pPr>
              <w:widowControl/>
              <w:numPr>
                <w:ilvl w:val="0"/>
                <w:numId w:val="168"/>
              </w:numPr>
              <w:jc w:val="left"/>
              <w:textAlignment w:val="center"/>
              <w:rPr>
                <w:rFonts w:hint="eastAsia" w:ascii="宋体" w:hAnsi="宋体"/>
                <w:color w:val="auto"/>
                <w:szCs w:val="21"/>
                <w:highlight w:val="none"/>
              </w:rPr>
            </w:pPr>
            <w:r>
              <w:rPr>
                <w:rFonts w:hint="eastAsia" w:ascii="宋体" w:hAnsi="宋体"/>
                <w:color w:val="auto"/>
                <w:szCs w:val="21"/>
                <w:highlight w:val="none"/>
              </w:rPr>
              <w:t>教研：包含教研动态、优秀资源、优秀授课、优秀课例。教研动态支持学校工作台－教务教导－教研管理－教研文章发布的文章在教研动态展示。优秀资源支持查看推优的资源列表，列表包含序号、资源名称、学校、教师、日期。优秀授课支持查看优秀授课列表，列表包含序号、课题、学校、授课教师、日期。优秀课例支持查看优秀课例列表，列表包含序号、课题、学校、备课教师、日期。 （需提供功能照片证明材料）</w:t>
            </w:r>
          </w:p>
          <w:p w14:paraId="5A2669BE">
            <w:pPr>
              <w:widowControl/>
              <w:numPr>
                <w:ilvl w:val="0"/>
                <w:numId w:val="168"/>
              </w:numPr>
              <w:jc w:val="left"/>
              <w:textAlignment w:val="center"/>
              <w:rPr>
                <w:rFonts w:hint="eastAsia" w:ascii="宋体" w:hAnsi="宋体"/>
                <w:color w:val="auto"/>
                <w:szCs w:val="21"/>
                <w:highlight w:val="none"/>
              </w:rPr>
            </w:pPr>
            <w:r>
              <w:rPr>
                <w:rFonts w:hint="eastAsia" w:ascii="宋体" w:hAnsi="宋体"/>
                <w:color w:val="auto"/>
                <w:szCs w:val="21"/>
                <w:highlight w:val="none"/>
              </w:rPr>
              <w:t xml:space="preserve">阅卷：支持展示教师工作台创建的考试项目列表；支持对考试项目进行评卷进度查询、评卷质量监控；支持教师阅卷；支持查看教师阅卷进度。 </w:t>
            </w:r>
          </w:p>
          <w:p w14:paraId="0EB38B7F">
            <w:pPr>
              <w:widowControl/>
              <w:numPr>
                <w:ilvl w:val="0"/>
                <w:numId w:val="168"/>
              </w:numPr>
              <w:jc w:val="left"/>
              <w:textAlignment w:val="center"/>
              <w:rPr>
                <w:rFonts w:hint="eastAsia" w:ascii="宋体" w:hAnsi="宋体"/>
                <w:color w:val="auto"/>
                <w:szCs w:val="21"/>
                <w:highlight w:val="none"/>
              </w:rPr>
            </w:pPr>
            <w:r>
              <w:rPr>
                <w:rFonts w:hint="eastAsia" w:ascii="宋体" w:hAnsi="宋体"/>
                <w:color w:val="auto"/>
                <w:szCs w:val="21"/>
                <w:highlight w:val="none"/>
              </w:rPr>
              <w:t>培训：包含学习、继续教育。①学习包含未学习、已学习。未学习支持查看教师工作台－行政－学习管理发布的文章/视频列表。已学习支持查看已经完成学习的文章/视频列表；支持查看文章/视频详情。②继续教育自动获取教师工作台－个人－继续教育的数据，包含选课中心、学习记录。选课中心支持选择年度、科目查看课程。学习记录支持选择时间查询学习情况，包含序号、名称、开始学习时间、是否完成、累计学习时间、学时、操作。</w:t>
            </w:r>
          </w:p>
          <w:p w14:paraId="18FB4914">
            <w:pPr>
              <w:widowControl/>
              <w:jc w:val="left"/>
              <w:textAlignment w:val="center"/>
              <w:rPr>
                <w:rFonts w:hint="eastAsia" w:ascii="宋体" w:hAnsi="宋体"/>
                <w:color w:val="auto"/>
                <w:szCs w:val="21"/>
                <w:highlight w:val="none"/>
              </w:rPr>
            </w:pPr>
            <w:r>
              <w:rPr>
                <w:rFonts w:hint="eastAsia" w:ascii="宋体" w:hAnsi="宋体"/>
                <w:color w:val="auto"/>
                <w:szCs w:val="21"/>
                <w:highlight w:val="none"/>
              </w:rPr>
              <w:t>三、教育活动管理平台</w:t>
            </w:r>
          </w:p>
          <w:p w14:paraId="7B2F31BE">
            <w:pPr>
              <w:widowControl/>
              <w:numPr>
                <w:ilvl w:val="0"/>
                <w:numId w:val="169"/>
              </w:numPr>
              <w:jc w:val="left"/>
              <w:textAlignment w:val="center"/>
              <w:rPr>
                <w:rFonts w:hint="eastAsia" w:ascii="宋体" w:hAnsi="宋体"/>
                <w:color w:val="auto"/>
                <w:szCs w:val="21"/>
                <w:highlight w:val="none"/>
              </w:rPr>
            </w:pPr>
            <w:r>
              <w:rPr>
                <w:rFonts w:hint="eastAsia" w:ascii="宋体" w:hAnsi="宋体"/>
                <w:color w:val="auto"/>
                <w:szCs w:val="21"/>
                <w:highlight w:val="none"/>
              </w:rPr>
              <w:t>通过学校工作台使用该模块，支持移动端、PC网页同时操作，包含赛事管理、证书管理等。</w:t>
            </w:r>
          </w:p>
          <w:p w14:paraId="5C94500A">
            <w:pPr>
              <w:widowControl/>
              <w:numPr>
                <w:ilvl w:val="0"/>
                <w:numId w:val="169"/>
              </w:numPr>
              <w:jc w:val="left"/>
              <w:textAlignment w:val="center"/>
              <w:rPr>
                <w:rFonts w:hint="eastAsia" w:ascii="宋体" w:hAnsi="宋体"/>
                <w:color w:val="auto"/>
                <w:szCs w:val="21"/>
                <w:highlight w:val="none"/>
              </w:rPr>
            </w:pPr>
            <w:r>
              <w:rPr>
                <w:rFonts w:hint="eastAsia" w:ascii="宋体" w:hAnsi="宋体"/>
                <w:color w:val="auto"/>
                <w:szCs w:val="21"/>
                <w:highlight w:val="none"/>
              </w:rPr>
              <w:t xml:space="preserve">赛事管理包含赛事列表、设置。①赛事列表：支持输入项目标题搜索相应赛事项目；支持查看赛事项目列表，列表包含序号、项目标题、发布单位、报名时间；支持点击作品列表查看上传信息，包含序号、用户名称、学校名称、参赛学段、学科、课题名称、上传作品、上传时间；支持推优和回退；支持查看作品详情；支持选择学段、学科、推优、输入关键字进行搜索；支持导出报名列表； ②设置：权限管理支持添加/删除权限用户；支持输入姓名搜索权限用户；支持勾选授权权限用户全部/部分功能。 </w:t>
            </w:r>
          </w:p>
          <w:p w14:paraId="40CF7FF3">
            <w:pPr>
              <w:widowControl/>
              <w:numPr>
                <w:ilvl w:val="0"/>
                <w:numId w:val="169"/>
              </w:numPr>
              <w:jc w:val="left"/>
              <w:textAlignment w:val="center"/>
              <w:rPr>
                <w:rFonts w:hint="eastAsia" w:ascii="宋体" w:hAnsi="宋体"/>
                <w:color w:val="auto"/>
                <w:szCs w:val="21"/>
                <w:highlight w:val="none"/>
              </w:rPr>
            </w:pPr>
            <w:r>
              <w:rPr>
                <w:rFonts w:hint="eastAsia" w:ascii="宋体" w:hAnsi="宋体"/>
                <w:color w:val="auto"/>
                <w:szCs w:val="21"/>
                <w:highlight w:val="none"/>
              </w:rPr>
              <w:t>证书管理包含证书管理、证书发布、证书审核、模板制作和设置。 ①证书管理：包含办理中、审核中、已办结。办理中支持新建证书事项，支持查看证书列表，支持查看证书、编辑、排版生成、提交审核、删除等操作；审核中支持输入标题进行搜索，支持查看证书审核列表，包含标题、印证材料&amp;证书名单、制作情况等；已办结支持输入标题进行搜索，支持查看证书办结记录；支持查看证书；支持查看审核信息。 ②证书发布：包含未发布、已发布。未发布支持输入标题进行搜索，支持查看证书列表，支持查看证书、申请盖章、发布和退回等操作；已发布支持输入标题进行搜索，支持已发布的证书列表，支持查看证书、提交作废证书、查看审核信息等操作。 ③证书审核：包含待审核、已审核。待审核支持输入标题进行搜索，支持查看待审核的证书列表；已审核支持查看已审核的证书列表，支持查看证书和审核信息等操作。 ④模板制作：支持新建证书模板，支持证书背景设置，支持选择模板版式、模板类型、模板名称等维度进行搜索。⑤设置：权限管理支持添加/删除权限用户；支持输入姓名搜索权限用户；支持勾选授权权限用户全部/部分功能。（需提供功能照片证明材料）</w:t>
            </w:r>
          </w:p>
          <w:p w14:paraId="736C71D4">
            <w:pPr>
              <w:widowControl/>
              <w:jc w:val="left"/>
              <w:textAlignment w:val="center"/>
              <w:rPr>
                <w:rFonts w:hint="eastAsia" w:ascii="宋体" w:hAnsi="宋体"/>
                <w:color w:val="auto"/>
                <w:szCs w:val="21"/>
                <w:highlight w:val="none"/>
              </w:rPr>
            </w:pPr>
            <w:r>
              <w:rPr>
                <w:rFonts w:hint="eastAsia" w:ascii="宋体" w:hAnsi="宋体"/>
                <w:color w:val="auto"/>
                <w:szCs w:val="21"/>
                <w:highlight w:val="none"/>
              </w:rPr>
              <w:t>四、资产管理与报修</w:t>
            </w:r>
          </w:p>
          <w:p w14:paraId="2257C914">
            <w:pPr>
              <w:widowControl/>
              <w:numPr>
                <w:ilvl w:val="0"/>
                <w:numId w:val="170"/>
              </w:numPr>
              <w:jc w:val="left"/>
              <w:textAlignment w:val="center"/>
              <w:rPr>
                <w:rFonts w:hint="eastAsia" w:ascii="宋体" w:hAnsi="宋体"/>
                <w:color w:val="auto"/>
                <w:szCs w:val="21"/>
                <w:highlight w:val="none"/>
              </w:rPr>
            </w:pPr>
            <w:r>
              <w:rPr>
                <w:rFonts w:hint="eastAsia" w:ascii="宋体" w:hAnsi="宋体"/>
                <w:color w:val="auto"/>
                <w:szCs w:val="21"/>
                <w:highlight w:val="none"/>
              </w:rPr>
              <w:t>通过学校工作台使用该模块，支持移动端、PC网页同时操作，包含电教项目、电教经费、电教资产、电教维修等。</w:t>
            </w:r>
          </w:p>
          <w:p w14:paraId="1CC9CFDF">
            <w:pPr>
              <w:widowControl/>
              <w:numPr>
                <w:ilvl w:val="0"/>
                <w:numId w:val="170"/>
              </w:numPr>
              <w:jc w:val="left"/>
              <w:textAlignment w:val="center"/>
              <w:rPr>
                <w:rFonts w:hint="eastAsia" w:ascii="宋体" w:hAnsi="宋体"/>
                <w:color w:val="auto"/>
                <w:szCs w:val="21"/>
                <w:highlight w:val="none"/>
              </w:rPr>
            </w:pPr>
            <w:r>
              <w:rPr>
                <w:rFonts w:hint="eastAsia" w:ascii="宋体" w:hAnsi="宋体"/>
                <w:color w:val="auto"/>
                <w:szCs w:val="21"/>
                <w:highlight w:val="none"/>
              </w:rPr>
              <w:t>电教项目包含项目审核、项目管理、设置等。①项目审核：支持采购单位、采购类型、审核状态、项目名称筛选搜索；支持查看电教项目详情。②项目管理：支持审核状态、项目名称筛选搜索；支持新增项目，包含立项日期、项目名称、项目编号、项目预算、资金来源、自己文件；支持项目列表查看、包含项目名称、立项日期、项目编号、项目预算和审核状态；支持详情查看，包含合同上传、项目信息查询。③设置：审核人员、权限管理。审核设置支持审核级数设置，指定审核人；权限管理：支持添加/删除权限用户；支持输入姓名搜索权限用户；支持勾选授权权限用户全部/部分功能。</w:t>
            </w:r>
          </w:p>
          <w:p w14:paraId="05385C0E">
            <w:pPr>
              <w:widowControl/>
              <w:numPr>
                <w:ilvl w:val="0"/>
                <w:numId w:val="170"/>
              </w:numPr>
              <w:jc w:val="left"/>
              <w:textAlignment w:val="center"/>
              <w:rPr>
                <w:rFonts w:hint="eastAsia" w:ascii="宋体" w:hAnsi="宋体"/>
                <w:color w:val="auto"/>
                <w:szCs w:val="21"/>
                <w:highlight w:val="none"/>
              </w:rPr>
            </w:pPr>
            <w:r>
              <w:rPr>
                <w:rFonts w:hint="eastAsia" w:ascii="宋体" w:hAnsi="宋体"/>
                <w:color w:val="auto"/>
                <w:szCs w:val="21"/>
                <w:highlight w:val="none"/>
              </w:rPr>
              <w:t>电教经费包含审核管理、经费上报、报表、设置。 ①审核管理：支持查看审核管理列表，包含序号、标题、上报时间、经费类别、上报金额、剩余金额、上报人、审核状态。 ②经费上报：支持上报电教经费；支持输入标题/选择项目类别/选择上报时间搜索；支持查看经费上报列表，包含序号、标题、上报时间、经费类别、上报金额、剩余金额、审核状态、操作列；支持修改上报内容。 ③报表：支持选择年度搜索；支持查看经费合计、已上报合计、经费剩余数；支持查看经费报表列表，包含序号、经费类别、上报合计。④设置：包含审核人员、权限管理。审核人员支持设置每级审核人员；支持添加/删除审核层级；支持保存；权限管理支持添加/删除权限用户；支持输入姓名搜索权限用户；支持勾选授权权限用户全部/部分功能。</w:t>
            </w:r>
          </w:p>
          <w:p w14:paraId="5E3047D8">
            <w:pPr>
              <w:widowControl/>
              <w:numPr>
                <w:ilvl w:val="0"/>
                <w:numId w:val="170"/>
              </w:numPr>
              <w:jc w:val="left"/>
              <w:textAlignment w:val="center"/>
              <w:rPr>
                <w:rFonts w:hint="eastAsia" w:ascii="宋体" w:hAnsi="宋体"/>
                <w:color w:val="auto"/>
                <w:szCs w:val="21"/>
                <w:highlight w:val="none"/>
              </w:rPr>
            </w:pPr>
            <w:r>
              <w:rPr>
                <w:rFonts w:hint="eastAsia" w:ascii="宋体" w:hAnsi="宋体"/>
                <w:color w:val="auto"/>
                <w:szCs w:val="21"/>
                <w:highlight w:val="none"/>
              </w:rPr>
              <w:t>电教资产包含资产管理、资产登记、资产报废、审核管理、设置。①资产管理：支持查看资产总数、脱保总计数、在保总计数、资产总计数；支持查看资产管理列表，包含序号、资产类别、数量、在保数量、脱保数量、资产合计；支持点击数量查看资产详情。②资产登记：支持添加资产；支持删除资产。 ③资产报废：支持申请资产报废；支持选择申请日期/输入资产名称/选择审核状态搜索；支持查看资产报废列表，包含序号、资产名称、品牌型号、资产类别、申请日期、报废数量、供货商、备注、经手人、审核状态。④审核管理：支持查看资产审核列表；支持选择审核状态搜索。 ⑤设置：包含审核人员、权限管理。审核人员支持设置每级审核人员；支持添加/删除审核层级；支持保存；权限管理支持添加/删除权限用户；支持输入姓名搜索权限用户；支持勾选授权权限用户全部/部分功能。</w:t>
            </w:r>
          </w:p>
          <w:p w14:paraId="7D412399">
            <w:pPr>
              <w:widowControl/>
              <w:numPr>
                <w:ilvl w:val="0"/>
                <w:numId w:val="170"/>
              </w:numPr>
              <w:jc w:val="left"/>
              <w:textAlignment w:val="center"/>
              <w:rPr>
                <w:rFonts w:hint="eastAsia" w:ascii="宋体" w:hAnsi="宋体"/>
                <w:color w:val="auto"/>
                <w:szCs w:val="21"/>
                <w:highlight w:val="none"/>
              </w:rPr>
            </w:pPr>
            <w:r>
              <w:rPr>
                <w:rFonts w:hint="eastAsia" w:ascii="宋体" w:hAnsi="宋体"/>
                <w:color w:val="auto"/>
                <w:szCs w:val="21"/>
                <w:highlight w:val="none"/>
              </w:rPr>
              <w:t>电教维修包含保修管理、项目管理、设置等。 ①报修管理：包含报修列表、图表统计、设置公章、人员设置、企业设置。报修列表支持时间筛选搜索；支持查看、打印、导出数据表格；支持查看报修详情、维修处理情况、查看详情、查看打印维修方案；图表统计支持时间筛选，总金额查询及年度金额图表展示；设置公章支持维修公章生成及保存上传；人员设置支持指定审核员；企业设置支持指定维修企业设置。②项目管理：项目列表支持项目添加及维修清单上传、查看、下载、打印功能；支持下载合同清单模板。③设置：权限管理支持添加/删除权限用户；支持输入姓名搜索权限用户；支持勾选授权权限用户全部/部分功能。（需提供功能照片证明材料）</w:t>
            </w:r>
          </w:p>
          <w:p w14:paraId="46FFA7A2">
            <w:pPr>
              <w:widowControl/>
              <w:jc w:val="left"/>
              <w:textAlignment w:val="center"/>
              <w:rPr>
                <w:rFonts w:hint="eastAsia" w:ascii="宋体" w:hAnsi="宋体"/>
                <w:color w:val="auto"/>
                <w:szCs w:val="21"/>
                <w:highlight w:val="none"/>
              </w:rPr>
            </w:pPr>
            <w:r>
              <w:rPr>
                <w:rFonts w:hint="eastAsia" w:ascii="宋体" w:hAnsi="宋体"/>
                <w:color w:val="auto"/>
                <w:szCs w:val="21"/>
                <w:highlight w:val="none"/>
              </w:rPr>
              <w:t>五、校园安全</w:t>
            </w:r>
          </w:p>
          <w:p w14:paraId="58CEBFDA">
            <w:pPr>
              <w:widowControl/>
              <w:numPr>
                <w:ilvl w:val="0"/>
                <w:numId w:val="171"/>
              </w:numPr>
              <w:jc w:val="left"/>
              <w:textAlignment w:val="center"/>
              <w:rPr>
                <w:rFonts w:hint="eastAsia" w:ascii="宋体" w:hAnsi="宋体"/>
                <w:color w:val="auto"/>
                <w:szCs w:val="21"/>
                <w:highlight w:val="none"/>
              </w:rPr>
            </w:pPr>
            <w:r>
              <w:rPr>
                <w:rFonts w:hint="eastAsia" w:ascii="宋体" w:hAnsi="宋体"/>
                <w:color w:val="auto"/>
                <w:szCs w:val="21"/>
                <w:highlight w:val="none"/>
              </w:rPr>
              <w:t>通过学校工作台使用该模块，支持移动端、PC网页同时操作，包含访客管理、双预防、安全台账、心理健康等。</w:t>
            </w:r>
          </w:p>
          <w:p w14:paraId="0EA2EB69">
            <w:pPr>
              <w:widowControl/>
              <w:numPr>
                <w:ilvl w:val="0"/>
                <w:numId w:val="171"/>
              </w:numPr>
              <w:jc w:val="left"/>
              <w:textAlignment w:val="center"/>
              <w:rPr>
                <w:rFonts w:hint="eastAsia" w:ascii="宋体" w:hAnsi="宋体"/>
                <w:color w:val="auto"/>
                <w:szCs w:val="21"/>
                <w:highlight w:val="none"/>
              </w:rPr>
            </w:pPr>
            <w:r>
              <w:rPr>
                <w:rFonts w:hint="eastAsia" w:ascii="宋体" w:hAnsi="宋体"/>
                <w:color w:val="auto"/>
                <w:szCs w:val="21"/>
                <w:highlight w:val="none"/>
              </w:rPr>
              <w:t>访客管理包含访客设置、访客档案、访客黑名单、设置。①访客设置：支持来访者扫码登记信息，包含姓名、身份证号、联系电话等信息，支持二维码打印。②访客档案：展示来访登记信息列表，支持查询登记详情，支持按单位、日期、关键字筛选数据，支持数据导出与打印。③访客黑名单：支持添加黑名单，禁止登记；支持查看黑名单列表；支持按单位、关键字筛选数据；支持导出表格。④设置：权限管理支持添加/删除权限用户；支持输入姓名搜索权限用户；支持勾选授权权限用户全部/部分功能。</w:t>
            </w:r>
          </w:p>
          <w:p w14:paraId="1B2DCD20">
            <w:pPr>
              <w:widowControl/>
              <w:numPr>
                <w:ilvl w:val="0"/>
                <w:numId w:val="171"/>
              </w:numPr>
              <w:jc w:val="left"/>
              <w:textAlignment w:val="center"/>
              <w:rPr>
                <w:rFonts w:hint="eastAsia" w:ascii="宋体" w:hAnsi="宋体"/>
                <w:color w:val="auto"/>
                <w:szCs w:val="21"/>
                <w:highlight w:val="none"/>
              </w:rPr>
            </w:pPr>
            <w:r>
              <w:rPr>
                <w:rFonts w:hint="eastAsia" w:ascii="宋体" w:hAnsi="宋体"/>
                <w:color w:val="auto"/>
                <w:szCs w:val="21"/>
                <w:highlight w:val="none"/>
              </w:rPr>
              <w:t>双预防包含双预防管理、双预防设置、设置。①双预防管理：包含添加隐患类别、隐患类别巡查、隐患类别上报、隐患记录、报表、数据大屏。添加隐患类别支持添加该类别的风险点，包含风险点名称、等级、巡查人和巡查时间；支持查看已添加的风险点；隐患类别巡查支持按时间展示隐患列表，包含序号、隐患类别、主管负责人、风险等级、巡查周期、巡查图片、巡查状态；支持打印；隐患类别上报支持按时间展示隐患上报列表，包含序、隐患类别、上报人、上报时间、上报内容、上报图片、上报状态、风险等级、巡查周期；隐患记录支持展示隐患排查整改情况工作台账，包含上周已整改、上周未整改和本周新增；支持导出表格；报表支持查看隐患巡查统计列表，包含隐患类别、今日、本周、本月的隐患点合计、已巡查、未巡查数量统计；支持点击数字查看巡查详情，包含学校名称、风险点、风险等级、排查计划、排查员、排查进度、排查图片；支持打印报表；数据大屏：支持查看双预防风险等级；支持以柱状图形式展示风险等级图；支持以饼状图形式展示每日、每周、每月的双预防数据，包含已巡查和未巡查数量、隐患点合计数量；支持展示设置的四色图；支持查看日常隐患数据，包含巡查人、隐患内容、时间。 ②双预防设置：包含设置安全专管和四色结构图。设置安全专管支持选择人员姓名设置安全专管；四色/结构图支持设置四色图和结构图展示到数据大屏。③设置：权限管理支持添加/删除pc和app权限用户；支持输入姓名搜索权限用户；支持勾选授权权限用户全部/部分功能。</w:t>
            </w:r>
          </w:p>
          <w:p w14:paraId="4722FE05">
            <w:pPr>
              <w:widowControl/>
              <w:numPr>
                <w:ilvl w:val="0"/>
                <w:numId w:val="171"/>
              </w:numPr>
              <w:jc w:val="left"/>
              <w:textAlignment w:val="center"/>
              <w:rPr>
                <w:rFonts w:hint="eastAsia" w:ascii="宋体" w:hAnsi="宋体"/>
                <w:color w:val="auto"/>
                <w:szCs w:val="21"/>
                <w:highlight w:val="none"/>
              </w:rPr>
            </w:pPr>
            <w:r>
              <w:rPr>
                <w:rFonts w:hint="eastAsia" w:ascii="宋体" w:hAnsi="宋体"/>
                <w:color w:val="auto"/>
                <w:szCs w:val="21"/>
                <w:highlight w:val="none"/>
              </w:rPr>
              <w:t>安全台账包含安全台账上报、安全台账设置、设置。 ①安全台账上报：支持选择日期/输入标题搜索；支持查看上报列表，列表包含序号、日期、标题、发布人、状态、操作列；支持去上报/继续上报/查看操作；支持查看时下载。 ②安全台账设置：包含公章设置、台账。公章设置支持上传公章图片；支持删除已上传的公章图片。台账支持输入标题搜索相应内容；支持查看台账列表，列表包含序号、学校名称、学校负责人、主管负责人、监督人、整改人、验收人、操作列；支持去修改已设置人员。③设置：权限管理支持添加/删除权限用户；支持输入姓名搜索权限用户；支持勾选授权权限用户全部/部分功能。</w:t>
            </w:r>
          </w:p>
          <w:p w14:paraId="2477E4E7">
            <w:pPr>
              <w:widowControl/>
              <w:numPr>
                <w:ilvl w:val="0"/>
                <w:numId w:val="171"/>
              </w:numPr>
              <w:jc w:val="left"/>
              <w:textAlignment w:val="center"/>
              <w:rPr>
                <w:rFonts w:hint="eastAsia" w:ascii="宋体" w:hAnsi="宋体"/>
                <w:color w:val="auto"/>
                <w:szCs w:val="21"/>
                <w:highlight w:val="none"/>
              </w:rPr>
            </w:pPr>
            <w:r>
              <w:rPr>
                <w:rFonts w:hint="eastAsia" w:ascii="宋体" w:hAnsi="宋体"/>
                <w:color w:val="auto"/>
                <w:szCs w:val="21"/>
                <w:highlight w:val="none"/>
              </w:rPr>
              <w:t>心理健康包含测评量表、量表任务、测评报告、测评档案、云测评、设置。①测评量表：支持添加量表，包含名称、标签、分析类型、整体分析、分数区间、状态及建议；支持量表分类、标签、名称筛选检索；支持查看量表名称、标签、分类、题目数量、量表总分发布状态等信息；支持查看量表发布、详情查看、内容编辑、删除量表操作。②量表任务：支持添加测评任务，包含名称、选择量表、测评类型；支持任务名称筛选检索；支持查看测评任务详情；支持线上任务发布、编辑、删除操作；支持线下任务发布、查看学生、统计成绩、编辑、删除操作。③测评报告：支持任务名称筛选检索；支持查看线上测评任务，包含测评信息、个体报告、团体报告；支持查看线下测评任务，包含测评信息、个体报告、团体报告；支持查看云测评详情、个体报告、团体报告。④测评档案：支持学段、年级、班级、学生姓名筛选检索；支持查看学生档案。⑤云测评：支持查看量表名称、介绍、创建时间、测评次数；支持查看详情，添加云测评任务，包含名称、测评人数、密码设置；支持任务名称筛选检索；支持云测评任务发布、导出测评账号、获取测评链接、个体报告、团体报告、删除操作。 ⑥设置：权限管理支持添加/删除权限用户；支持输入姓名搜索权限用户；支持勾选授权权限用户全部/部分功能。（需提供功能照片证明材料）</w:t>
            </w:r>
          </w:p>
          <w:p w14:paraId="269538A7">
            <w:pPr>
              <w:widowControl/>
              <w:jc w:val="left"/>
              <w:textAlignment w:val="center"/>
              <w:rPr>
                <w:rFonts w:hint="eastAsia" w:ascii="宋体" w:hAnsi="宋体"/>
                <w:color w:val="auto"/>
                <w:szCs w:val="21"/>
                <w:highlight w:val="none"/>
              </w:rPr>
            </w:pPr>
            <w:r>
              <w:rPr>
                <w:rFonts w:hint="eastAsia" w:ascii="宋体" w:hAnsi="宋体"/>
                <w:color w:val="auto"/>
                <w:szCs w:val="21"/>
                <w:highlight w:val="none"/>
              </w:rPr>
              <w:t>六、党建</w:t>
            </w:r>
          </w:p>
          <w:p w14:paraId="45AB2420">
            <w:pPr>
              <w:widowControl/>
              <w:numPr>
                <w:ilvl w:val="0"/>
                <w:numId w:val="172"/>
              </w:numPr>
              <w:jc w:val="left"/>
              <w:textAlignment w:val="center"/>
              <w:rPr>
                <w:rFonts w:hint="eastAsia" w:ascii="宋体" w:hAnsi="宋体"/>
                <w:color w:val="auto"/>
                <w:szCs w:val="21"/>
                <w:highlight w:val="none"/>
              </w:rPr>
            </w:pPr>
            <w:r>
              <w:rPr>
                <w:rFonts w:hint="eastAsia" w:ascii="宋体" w:hAnsi="宋体"/>
                <w:color w:val="auto"/>
                <w:szCs w:val="21"/>
                <w:highlight w:val="none"/>
              </w:rPr>
              <w:t>通过学校工作台使用该模块，支持移动端、PC网页同时操作，包含内容管理、党建课程、党建板报、党员管理、数据报表、党建中台。</w:t>
            </w:r>
          </w:p>
          <w:p w14:paraId="5195C813">
            <w:pPr>
              <w:widowControl/>
              <w:numPr>
                <w:ilvl w:val="0"/>
                <w:numId w:val="172"/>
              </w:numPr>
              <w:jc w:val="left"/>
              <w:textAlignment w:val="center"/>
              <w:rPr>
                <w:rFonts w:hint="eastAsia" w:ascii="宋体" w:hAnsi="宋体"/>
                <w:color w:val="auto"/>
                <w:szCs w:val="21"/>
                <w:highlight w:val="none"/>
              </w:rPr>
            </w:pPr>
            <w:r>
              <w:rPr>
                <w:rFonts w:hint="eastAsia" w:ascii="宋体" w:hAnsi="宋体"/>
                <w:color w:val="auto"/>
                <w:szCs w:val="21"/>
                <w:highlight w:val="none"/>
              </w:rPr>
              <w:t>内容管理：①主题党日内容；支持查看内容列表，包含标题、备注、封面图地址、编辑、删除等操作；支持添加党日内容，包含标题、选择分类、封面图及备注；②指数看板内容；支持查看内容列表，包含标题、备注、类型、封面图地址及编辑操作；支持添加内容，包含标题、选择分类、封面图、描述③支部风采内容；可支持查看内容列表，包含标题、备注、封面图地址、编辑、删除等操作；</w:t>
            </w:r>
          </w:p>
          <w:p w14:paraId="7A2962AE">
            <w:pPr>
              <w:widowControl/>
              <w:numPr>
                <w:ilvl w:val="0"/>
                <w:numId w:val="172"/>
              </w:numPr>
              <w:jc w:val="left"/>
              <w:textAlignment w:val="center"/>
              <w:rPr>
                <w:rFonts w:hint="eastAsia" w:ascii="宋体" w:hAnsi="宋体"/>
                <w:color w:val="auto"/>
                <w:szCs w:val="21"/>
                <w:highlight w:val="none"/>
              </w:rPr>
            </w:pPr>
            <w:r>
              <w:rPr>
                <w:rFonts w:hint="eastAsia" w:ascii="宋体" w:hAnsi="宋体"/>
                <w:color w:val="auto"/>
                <w:szCs w:val="21"/>
                <w:highlight w:val="none"/>
              </w:rPr>
              <w:t>党建课程：①课程列表：支持查看所有课程列表，支持选择分类、输入标题进行搜索，支持查看课程的标题、分类、学时、支持查看课程的详情，支持编辑，支持是否启用课程，支持删除课程；②课程资源；支持添加的课程会显示在课程资源内，支持查看资源列表，包含课程标题、课程描述、学习时长、文章类型；③课程添加；支持添加视频课程与文章课程，视频课程包含课程标题、选择分类、课程封面图、课程视频、课程描述、课程学时，文章课程包含课程标题、选择分类、课程封面图、课程描述、课程学时、学习时限、课程内容。</w:t>
            </w:r>
          </w:p>
          <w:p w14:paraId="20BBAEFD">
            <w:pPr>
              <w:widowControl/>
              <w:numPr>
                <w:ilvl w:val="0"/>
                <w:numId w:val="172"/>
              </w:numPr>
              <w:jc w:val="left"/>
              <w:textAlignment w:val="center"/>
              <w:rPr>
                <w:rFonts w:hint="eastAsia" w:ascii="宋体" w:hAnsi="宋体"/>
                <w:color w:val="auto"/>
                <w:szCs w:val="21"/>
                <w:highlight w:val="none"/>
              </w:rPr>
            </w:pPr>
            <w:r>
              <w:rPr>
                <w:rFonts w:hint="eastAsia" w:ascii="宋体" w:hAnsi="宋体"/>
                <w:color w:val="auto"/>
                <w:szCs w:val="21"/>
                <w:highlight w:val="none"/>
              </w:rPr>
              <w:t>党建板报：①党建板报；支持编辑板报的展示顺序以及删除板报②添加板报；支持添加板报标题、图片以及图片排序。</w:t>
            </w:r>
          </w:p>
          <w:p w14:paraId="5B34EA76">
            <w:pPr>
              <w:widowControl/>
              <w:numPr>
                <w:ilvl w:val="0"/>
                <w:numId w:val="172"/>
              </w:numPr>
              <w:jc w:val="left"/>
              <w:textAlignment w:val="center"/>
              <w:rPr>
                <w:rFonts w:hint="eastAsia" w:ascii="宋体" w:hAnsi="宋体"/>
                <w:color w:val="auto"/>
                <w:szCs w:val="21"/>
                <w:highlight w:val="none"/>
              </w:rPr>
            </w:pPr>
            <w:r>
              <w:rPr>
                <w:rFonts w:hint="eastAsia" w:ascii="宋体" w:hAnsi="宋体"/>
                <w:color w:val="auto"/>
                <w:szCs w:val="21"/>
                <w:highlight w:val="none"/>
              </w:rPr>
              <w:t>党员管理：支持添加党员、上传头像。支持查看、编辑、删除党员信息。</w:t>
            </w:r>
          </w:p>
          <w:p w14:paraId="1813A6CF">
            <w:pPr>
              <w:widowControl/>
              <w:numPr>
                <w:ilvl w:val="0"/>
                <w:numId w:val="172"/>
              </w:numPr>
              <w:jc w:val="left"/>
              <w:textAlignment w:val="center"/>
              <w:rPr>
                <w:rFonts w:hint="eastAsia" w:ascii="宋体" w:hAnsi="宋体"/>
                <w:color w:val="auto"/>
                <w:szCs w:val="21"/>
                <w:highlight w:val="none"/>
              </w:rPr>
            </w:pPr>
            <w:r>
              <w:rPr>
                <w:rFonts w:hint="eastAsia" w:ascii="宋体" w:hAnsi="宋体"/>
                <w:color w:val="auto"/>
                <w:szCs w:val="21"/>
                <w:highlight w:val="none"/>
              </w:rPr>
              <w:t>数据报表：支持输入姓名、选择职务进行搜索，支持打印，支持导出表格，支持查看党员的学习列表，包含姓名、职位、学习总时长、已学课程数、上传心得总数。 31.党建中台：支持查看党建板报、党建课程、数据展示和支部信息。</w:t>
            </w:r>
          </w:p>
          <w:p w14:paraId="44F302EE">
            <w:pPr>
              <w:widowControl/>
              <w:numPr>
                <w:ilvl w:val="0"/>
                <w:numId w:val="172"/>
              </w:numPr>
              <w:jc w:val="left"/>
              <w:textAlignment w:val="center"/>
              <w:rPr>
                <w:rFonts w:hint="eastAsia" w:ascii="宋体" w:hAnsi="宋体"/>
                <w:color w:val="auto"/>
                <w:szCs w:val="21"/>
                <w:highlight w:val="none"/>
              </w:rPr>
            </w:pPr>
            <w:r>
              <w:rPr>
                <w:rFonts w:hint="eastAsia" w:ascii="宋体" w:hAnsi="宋体"/>
                <w:color w:val="auto"/>
                <w:szCs w:val="21"/>
                <w:highlight w:val="none"/>
              </w:rPr>
              <w:t>设置：①党建设置；进行设置支部信息、分类设置②权限管理：支持添加/删除权限用户；支持输入姓名搜索权限用户；支持勾选授权权限用户全部/部分功能。</w:t>
            </w:r>
          </w:p>
        </w:tc>
        <w:tc>
          <w:tcPr>
            <w:tcW w:w="863" w:type="dxa"/>
            <w:gridSpan w:val="4"/>
            <w:vAlign w:val="center"/>
          </w:tcPr>
          <w:p w14:paraId="39C432FD">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套</w:t>
            </w:r>
          </w:p>
        </w:tc>
        <w:tc>
          <w:tcPr>
            <w:tcW w:w="925" w:type="dxa"/>
            <w:gridSpan w:val="3"/>
            <w:vAlign w:val="center"/>
          </w:tcPr>
          <w:p w14:paraId="36E4D52C">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10</w:t>
            </w:r>
          </w:p>
        </w:tc>
      </w:tr>
      <w:tr w14:paraId="7DDD1D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9931" w:type="dxa"/>
            <w:gridSpan w:val="10"/>
            <w:noWrap/>
            <w:vAlign w:val="center"/>
          </w:tcPr>
          <w:p w14:paraId="4B224C7C">
            <w:pPr>
              <w:widowControl/>
              <w:jc w:val="center"/>
              <w:textAlignment w:val="center"/>
              <w:rPr>
                <w:rFonts w:hint="eastAsia" w:ascii="宋体" w:hAnsi="宋体"/>
                <w:b/>
                <w:bCs/>
                <w:color w:val="auto"/>
                <w:szCs w:val="21"/>
                <w:highlight w:val="none"/>
              </w:rPr>
            </w:pPr>
            <w:r>
              <w:rPr>
                <w:rFonts w:hint="eastAsia" w:ascii="宋体" w:hAnsi="宋体"/>
                <w:b/>
                <w:bCs/>
                <w:color w:val="auto"/>
                <w:kern w:val="0"/>
                <w:szCs w:val="21"/>
                <w:highlight w:val="none"/>
                <w:lang w:bidi="ar"/>
              </w:rPr>
              <w:t>二、生物实验室</w:t>
            </w:r>
          </w:p>
        </w:tc>
      </w:tr>
      <w:tr w14:paraId="455346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noWrap/>
            <w:vAlign w:val="center"/>
          </w:tcPr>
          <w:p w14:paraId="26CEB76B">
            <w:pPr>
              <w:jc w:val="center"/>
              <w:rPr>
                <w:rFonts w:hint="eastAsia" w:ascii="宋体" w:hAnsi="宋体"/>
                <w:b/>
                <w:bCs/>
                <w:color w:val="auto"/>
                <w:szCs w:val="21"/>
                <w:highlight w:val="none"/>
              </w:rPr>
            </w:pPr>
            <w:r>
              <w:rPr>
                <w:rFonts w:hint="eastAsia" w:ascii="宋体" w:hAnsi="宋体"/>
                <w:b/>
                <w:bCs/>
                <w:color w:val="auto"/>
                <w:szCs w:val="21"/>
                <w:highlight w:val="none"/>
              </w:rPr>
              <w:t>(一)</w:t>
            </w:r>
          </w:p>
        </w:tc>
        <w:tc>
          <w:tcPr>
            <w:tcW w:w="1227" w:type="dxa"/>
            <w:noWrap/>
            <w:vAlign w:val="center"/>
          </w:tcPr>
          <w:p w14:paraId="635F5684">
            <w:pPr>
              <w:widowControl/>
              <w:jc w:val="center"/>
              <w:textAlignment w:val="center"/>
              <w:rPr>
                <w:rFonts w:hint="eastAsia" w:ascii="宋体" w:hAnsi="宋体"/>
                <w:b/>
                <w:bCs/>
                <w:color w:val="auto"/>
                <w:szCs w:val="21"/>
                <w:highlight w:val="none"/>
              </w:rPr>
            </w:pPr>
            <w:r>
              <w:rPr>
                <w:rFonts w:hint="eastAsia" w:ascii="宋体" w:hAnsi="宋体"/>
                <w:b/>
                <w:bCs/>
                <w:color w:val="auto"/>
                <w:kern w:val="0"/>
                <w:szCs w:val="21"/>
                <w:highlight w:val="none"/>
                <w:lang w:bidi="ar"/>
              </w:rPr>
              <w:t>生物智慧吊装豪华实验室</w:t>
            </w:r>
          </w:p>
        </w:tc>
        <w:tc>
          <w:tcPr>
            <w:tcW w:w="6167" w:type="dxa"/>
            <w:noWrap/>
            <w:vAlign w:val="center"/>
          </w:tcPr>
          <w:p w14:paraId="5B86ED34">
            <w:pPr>
              <w:widowControl/>
              <w:jc w:val="left"/>
              <w:textAlignment w:val="center"/>
              <w:rPr>
                <w:rFonts w:hint="eastAsia" w:ascii="宋体" w:hAnsi="宋体"/>
                <w:b/>
                <w:bCs/>
                <w:color w:val="auto"/>
                <w:szCs w:val="21"/>
                <w:highlight w:val="none"/>
              </w:rPr>
            </w:pPr>
            <w:r>
              <w:rPr>
                <w:rFonts w:hint="eastAsia" w:ascii="宋体" w:hAnsi="宋体"/>
                <w:b/>
                <w:bCs/>
                <w:color w:val="auto"/>
                <w:kern w:val="0"/>
                <w:szCs w:val="21"/>
                <w:highlight w:val="none"/>
                <w:lang w:bidi="ar"/>
              </w:rPr>
              <w:t>64座（每室设备配置标准详见以下具体配置）</w:t>
            </w:r>
          </w:p>
        </w:tc>
        <w:tc>
          <w:tcPr>
            <w:tcW w:w="863" w:type="dxa"/>
            <w:gridSpan w:val="4"/>
            <w:vAlign w:val="center"/>
          </w:tcPr>
          <w:p w14:paraId="6246C944">
            <w:pPr>
              <w:jc w:val="center"/>
              <w:rPr>
                <w:rFonts w:hint="eastAsia" w:ascii="宋体" w:hAnsi="宋体"/>
                <w:b/>
                <w:bCs/>
                <w:color w:val="auto"/>
                <w:szCs w:val="21"/>
                <w:highlight w:val="none"/>
              </w:rPr>
            </w:pPr>
          </w:p>
        </w:tc>
        <w:tc>
          <w:tcPr>
            <w:tcW w:w="925" w:type="dxa"/>
            <w:gridSpan w:val="3"/>
            <w:vAlign w:val="center"/>
          </w:tcPr>
          <w:p w14:paraId="50A42CB0">
            <w:pPr>
              <w:jc w:val="center"/>
              <w:rPr>
                <w:rFonts w:hint="eastAsia" w:ascii="宋体" w:hAnsi="宋体"/>
                <w:color w:val="auto"/>
                <w:szCs w:val="21"/>
                <w:highlight w:val="none"/>
              </w:rPr>
            </w:pPr>
          </w:p>
        </w:tc>
      </w:tr>
      <w:tr w14:paraId="533CDB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26D2477B">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c>
          <w:tcPr>
            <w:tcW w:w="1227" w:type="dxa"/>
            <w:vAlign w:val="center"/>
          </w:tcPr>
          <w:p w14:paraId="6C0D0030">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教师演示台</w:t>
            </w:r>
          </w:p>
        </w:tc>
        <w:tc>
          <w:tcPr>
            <w:tcW w:w="6167" w:type="dxa"/>
            <w:vAlign w:val="center"/>
          </w:tcPr>
          <w:p w14:paraId="49CD2EB8">
            <w:pPr>
              <w:widowControl/>
              <w:numPr>
                <w:ilvl w:val="1"/>
                <w:numId w:val="173"/>
              </w:numPr>
              <w:spacing w:line="276" w:lineRule="auto"/>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规格：≥2800mm×700mm×850mm</w:t>
            </w:r>
          </w:p>
          <w:p w14:paraId="5F86174B">
            <w:pPr>
              <w:widowControl/>
              <w:numPr>
                <w:ilvl w:val="1"/>
                <w:numId w:val="173"/>
              </w:numPr>
              <w:spacing w:line="276" w:lineRule="auto"/>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台面：采用≥12.7mm厚实芯理化板倍边加工，四周边缘总厚度≥25.4mm；台面易清洁、耐磨、耐腐蚀、耐辐射、耐高温、耐冲击；甲醛释放量达到E1级标准。</w:t>
            </w:r>
          </w:p>
          <w:p w14:paraId="363878E8">
            <w:pPr>
              <w:widowControl/>
              <w:numPr>
                <w:ilvl w:val="1"/>
                <w:numId w:val="173"/>
              </w:numPr>
              <w:spacing w:line="276" w:lineRule="auto"/>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台体：采用喷塑铝合金方管框架结构；立柱采用≥33mm×60mm，壁厚≥1.5 mm，横梁采用≥32mm×35mm壁厚≥1.5 mm，卡锁式连接件组装，立柱下部安装高强度可调节地脚，要求组合严密、牢固、稳定；框架内镶嵌≥16mm厚环保E1级浸渍胶膜纸饰面刨花板；台体按上部抽屉下部板式门设计，设水箱，安装水槽、水嘴;安装教师电源和学生电源受控装置；所用的板材及铝合金框架内镶嵌的板材体均选用≥18 mm厚环保EI级浸渍胶膜纸饰面刨花板，裸露板截面采用≥1.5 mmPVC封边条机械封边。</w:t>
            </w:r>
          </w:p>
          <w:p w14:paraId="2F831BE6">
            <w:pPr>
              <w:widowControl/>
              <w:numPr>
                <w:ilvl w:val="1"/>
                <w:numId w:val="173"/>
              </w:numPr>
              <w:spacing w:line="276" w:lineRule="auto"/>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五金件：抽屉导轨：消声三节滑轨，合金钢板一次性成型，壁厚≥1.0mm。门铰链：自卸铰链，壁厚≥1.0mm，防腐，承重耐用，不锈钢拉手。</w:t>
            </w:r>
          </w:p>
        </w:tc>
        <w:tc>
          <w:tcPr>
            <w:tcW w:w="863" w:type="dxa"/>
            <w:gridSpan w:val="4"/>
            <w:vAlign w:val="center"/>
          </w:tcPr>
          <w:p w14:paraId="53D20232">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台</w:t>
            </w:r>
          </w:p>
        </w:tc>
        <w:tc>
          <w:tcPr>
            <w:tcW w:w="925" w:type="dxa"/>
            <w:gridSpan w:val="3"/>
            <w:vAlign w:val="center"/>
          </w:tcPr>
          <w:p w14:paraId="3AAB287B">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146B5B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60B383DB">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w:t>
            </w:r>
          </w:p>
        </w:tc>
        <w:tc>
          <w:tcPr>
            <w:tcW w:w="1227" w:type="dxa"/>
            <w:vAlign w:val="center"/>
          </w:tcPr>
          <w:p w14:paraId="61D65A73">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教师办公椅</w:t>
            </w:r>
          </w:p>
        </w:tc>
        <w:tc>
          <w:tcPr>
            <w:tcW w:w="6167" w:type="dxa"/>
            <w:vAlign w:val="center"/>
          </w:tcPr>
          <w:p w14:paraId="7758CB36">
            <w:pPr>
              <w:widowControl/>
              <w:spacing w:line="276" w:lineRule="auto"/>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工字型网布面料五金配件，美观大方。</w:t>
            </w:r>
          </w:p>
        </w:tc>
        <w:tc>
          <w:tcPr>
            <w:tcW w:w="863" w:type="dxa"/>
            <w:gridSpan w:val="4"/>
            <w:vAlign w:val="center"/>
          </w:tcPr>
          <w:p w14:paraId="2478C3DD">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把</w:t>
            </w:r>
          </w:p>
        </w:tc>
        <w:tc>
          <w:tcPr>
            <w:tcW w:w="925" w:type="dxa"/>
            <w:gridSpan w:val="3"/>
            <w:vAlign w:val="center"/>
          </w:tcPr>
          <w:p w14:paraId="47FEC8D4">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416916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75950E2E">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3</w:t>
            </w:r>
          </w:p>
        </w:tc>
        <w:tc>
          <w:tcPr>
            <w:tcW w:w="1227" w:type="dxa"/>
            <w:vAlign w:val="center"/>
          </w:tcPr>
          <w:p w14:paraId="724DF631">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中央实验台</w:t>
            </w:r>
          </w:p>
        </w:tc>
        <w:tc>
          <w:tcPr>
            <w:tcW w:w="6167" w:type="dxa"/>
            <w:vAlign w:val="center"/>
          </w:tcPr>
          <w:p w14:paraId="33EA9CD4">
            <w:pPr>
              <w:widowControl/>
              <w:numPr>
                <w:ilvl w:val="1"/>
                <w:numId w:val="174"/>
              </w:numPr>
              <w:spacing w:line="276" w:lineRule="auto"/>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规格：≥2300mm×1400mm×760mm（根据教室长度适当增加或减少台面长度）</w:t>
            </w:r>
          </w:p>
          <w:p w14:paraId="4A8F4190">
            <w:pPr>
              <w:widowControl/>
              <w:numPr>
                <w:ilvl w:val="1"/>
                <w:numId w:val="174"/>
              </w:numPr>
              <w:spacing w:line="276" w:lineRule="auto"/>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台面：采用≥12.7mm厚实芯理化板倍边加工，四周边缘总厚度≥25.4mm；台面易清洁、耐磨、耐腐蚀、耐辐射、耐高温、耐冲击；甲醛释放量达到E1级标准。</w:t>
            </w:r>
          </w:p>
          <w:p w14:paraId="74D31544">
            <w:pPr>
              <w:widowControl/>
              <w:numPr>
                <w:ilvl w:val="1"/>
                <w:numId w:val="174"/>
              </w:numPr>
              <w:spacing w:line="276" w:lineRule="auto"/>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台体：采用喷塑铝合金方管框架结构；立柱采用≥33mm*60mmD型管，壁厚≥1.5 mm，横梁采用≥32mm*35mm方管，壁厚≥1.5 mm，卡锁式连接件组装，立柱下部安装高强度可调节地脚，要求组合严密、牢固、稳定；框架内镶嵌≥16mm厚环保E1级浸渍胶膜纸饰面刨花板，要求组合严密、牢固、稳定；台体按八人座设计，上部书斗，两端设水箱柜，带门方便维修；材料选用≥18mm厚环保E1级浸渍胶膜纸饰面刨花板，板截面≥1.5mm厚塑制封边条机械封边，台面设置铝合金置物架。</w:t>
            </w:r>
          </w:p>
        </w:tc>
        <w:tc>
          <w:tcPr>
            <w:tcW w:w="863" w:type="dxa"/>
            <w:gridSpan w:val="4"/>
            <w:vAlign w:val="center"/>
          </w:tcPr>
          <w:p w14:paraId="60E3B761">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台</w:t>
            </w:r>
          </w:p>
        </w:tc>
        <w:tc>
          <w:tcPr>
            <w:tcW w:w="925" w:type="dxa"/>
            <w:gridSpan w:val="3"/>
            <w:vAlign w:val="center"/>
          </w:tcPr>
          <w:p w14:paraId="1AFEF0D0">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8</w:t>
            </w:r>
          </w:p>
        </w:tc>
      </w:tr>
      <w:tr w14:paraId="4227C9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7795173D">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4</w:t>
            </w:r>
          </w:p>
        </w:tc>
        <w:tc>
          <w:tcPr>
            <w:tcW w:w="1227" w:type="dxa"/>
            <w:vAlign w:val="center"/>
          </w:tcPr>
          <w:p w14:paraId="2DA984AF">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学生凳</w:t>
            </w:r>
          </w:p>
        </w:tc>
        <w:tc>
          <w:tcPr>
            <w:tcW w:w="6167" w:type="dxa"/>
            <w:vAlign w:val="center"/>
          </w:tcPr>
          <w:p w14:paraId="5B53FB6C">
            <w:pPr>
              <w:widowControl/>
              <w:numPr>
                <w:ilvl w:val="1"/>
                <w:numId w:val="175"/>
              </w:numPr>
              <w:spacing w:line="276" w:lineRule="auto"/>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座高：≥450mm。</w:t>
            </w:r>
          </w:p>
          <w:p w14:paraId="3FE153DF">
            <w:pPr>
              <w:widowControl/>
              <w:numPr>
                <w:ilvl w:val="1"/>
                <w:numId w:val="175"/>
              </w:numPr>
              <w:spacing w:line="276" w:lineRule="auto"/>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坐板：材质：采用全新PP一次注塑成三角型，坐垫下自生加强筋及塑制背盖。</w:t>
            </w:r>
          </w:p>
          <w:p w14:paraId="425B7298">
            <w:pPr>
              <w:widowControl/>
              <w:numPr>
                <w:ilvl w:val="1"/>
                <w:numId w:val="175"/>
              </w:numPr>
              <w:spacing w:line="276" w:lineRule="auto"/>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脚架：采用≥22mm*32mm*2.0mm枣弧管；经数控弯管机弯曲成型，钢管架焊接完成后，表面经大型抛丸机抛丸除锈。静电喷塑，附着力强。涂层需无漏喷、锈蚀；涂层需光滑均匀，色泽一致，长时间使用也不会产生表面漆剥落现象。</w:t>
            </w:r>
          </w:p>
          <w:p w14:paraId="4948103A">
            <w:pPr>
              <w:widowControl/>
              <w:numPr>
                <w:ilvl w:val="1"/>
                <w:numId w:val="175"/>
              </w:numPr>
              <w:spacing w:line="276" w:lineRule="auto"/>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脚垫：材质采用PA塑料。</w:t>
            </w:r>
          </w:p>
        </w:tc>
        <w:tc>
          <w:tcPr>
            <w:tcW w:w="863" w:type="dxa"/>
            <w:gridSpan w:val="4"/>
            <w:vAlign w:val="center"/>
          </w:tcPr>
          <w:p w14:paraId="6CA36732">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25" w:type="dxa"/>
            <w:gridSpan w:val="3"/>
            <w:vAlign w:val="center"/>
          </w:tcPr>
          <w:p w14:paraId="53BAD91B">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64</w:t>
            </w:r>
          </w:p>
        </w:tc>
      </w:tr>
      <w:tr w14:paraId="792940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0B582B26">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5</w:t>
            </w:r>
          </w:p>
        </w:tc>
        <w:tc>
          <w:tcPr>
            <w:tcW w:w="1227" w:type="dxa"/>
            <w:vAlign w:val="center"/>
          </w:tcPr>
          <w:p w14:paraId="507C1237">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水嘴</w:t>
            </w:r>
          </w:p>
        </w:tc>
        <w:tc>
          <w:tcPr>
            <w:tcW w:w="6167" w:type="dxa"/>
            <w:vAlign w:val="center"/>
          </w:tcPr>
          <w:p w14:paraId="42D3B7C6">
            <w:pPr>
              <w:widowControl/>
              <w:spacing w:line="276" w:lineRule="auto"/>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直径≥20mm，三联高压水嘴设有一个高位水嘴，材质为铜质喷塑，陶瓷芯，快闭、快开型。</w:t>
            </w:r>
          </w:p>
        </w:tc>
        <w:tc>
          <w:tcPr>
            <w:tcW w:w="863" w:type="dxa"/>
            <w:gridSpan w:val="4"/>
            <w:vAlign w:val="center"/>
          </w:tcPr>
          <w:p w14:paraId="4F3E0111">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25" w:type="dxa"/>
            <w:gridSpan w:val="3"/>
            <w:vAlign w:val="center"/>
          </w:tcPr>
          <w:p w14:paraId="18BBD6B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17</w:t>
            </w:r>
          </w:p>
        </w:tc>
      </w:tr>
      <w:tr w14:paraId="15A2EF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3E8D6842">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6</w:t>
            </w:r>
          </w:p>
        </w:tc>
        <w:tc>
          <w:tcPr>
            <w:tcW w:w="1227" w:type="dxa"/>
            <w:vAlign w:val="center"/>
          </w:tcPr>
          <w:p w14:paraId="51E59001">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水槽（小）</w:t>
            </w:r>
          </w:p>
        </w:tc>
        <w:tc>
          <w:tcPr>
            <w:tcW w:w="6167" w:type="dxa"/>
            <w:vAlign w:val="center"/>
          </w:tcPr>
          <w:p w14:paraId="6ED26302">
            <w:pPr>
              <w:widowControl/>
              <w:spacing w:line="276" w:lineRule="auto"/>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水槽规格≥380mm×280mm×190mm，采用PP（聚丙烯）材质，一次成型；壁厚≥5mm。带返水弯；台面下安装，要求水箱有检修门，下水口密封。</w:t>
            </w:r>
          </w:p>
        </w:tc>
        <w:tc>
          <w:tcPr>
            <w:tcW w:w="863" w:type="dxa"/>
            <w:gridSpan w:val="4"/>
            <w:vAlign w:val="center"/>
          </w:tcPr>
          <w:p w14:paraId="182D2C1B">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25" w:type="dxa"/>
            <w:gridSpan w:val="3"/>
            <w:vAlign w:val="center"/>
          </w:tcPr>
          <w:p w14:paraId="1801BC56">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16</w:t>
            </w:r>
          </w:p>
        </w:tc>
      </w:tr>
      <w:tr w14:paraId="4B3B86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26C648A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7</w:t>
            </w:r>
          </w:p>
        </w:tc>
        <w:tc>
          <w:tcPr>
            <w:tcW w:w="1227" w:type="dxa"/>
            <w:vAlign w:val="center"/>
          </w:tcPr>
          <w:p w14:paraId="1FDE4EDE">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水槽、（大）</w:t>
            </w:r>
          </w:p>
        </w:tc>
        <w:tc>
          <w:tcPr>
            <w:tcW w:w="6167" w:type="dxa"/>
            <w:vAlign w:val="center"/>
          </w:tcPr>
          <w:p w14:paraId="2E845B76">
            <w:pPr>
              <w:widowControl/>
              <w:spacing w:line="276" w:lineRule="auto"/>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规格：≥485mm×385mm×290mm，采用PP（聚丙烯）材质，一次成型；壁厚≥5mm。带返水弯；台面下安装，要求水箱有检修门，下水口密封。</w:t>
            </w:r>
          </w:p>
        </w:tc>
        <w:tc>
          <w:tcPr>
            <w:tcW w:w="863" w:type="dxa"/>
            <w:gridSpan w:val="4"/>
            <w:vAlign w:val="center"/>
          </w:tcPr>
          <w:p w14:paraId="26B59C47">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25" w:type="dxa"/>
            <w:gridSpan w:val="3"/>
            <w:vAlign w:val="center"/>
          </w:tcPr>
          <w:p w14:paraId="2039248A">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754FA6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459CB681">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8</w:t>
            </w:r>
          </w:p>
        </w:tc>
        <w:tc>
          <w:tcPr>
            <w:tcW w:w="1227" w:type="dxa"/>
            <w:vAlign w:val="center"/>
          </w:tcPr>
          <w:p w14:paraId="28124DFA">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生物教师总控制电源</w:t>
            </w:r>
          </w:p>
        </w:tc>
        <w:tc>
          <w:tcPr>
            <w:tcW w:w="6167" w:type="dxa"/>
            <w:vAlign w:val="center"/>
          </w:tcPr>
          <w:p w14:paraId="614644DD">
            <w:pPr>
              <w:widowControl/>
              <w:spacing w:line="276" w:lineRule="auto"/>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教师主控电源配备总漏电保护断路器，采用数字化模块、高精密集成电子电路、采用10寸以上触摸屏式人机操作界面、人性化设计理念，方便教师多元化使用；主控电源主机采用金属材料制成，表面磷化喷塑防护处理，采用机械抽拉式结构。电源主控台需与教师演示台一体化，实现设备故障报警，密码开机管理功能，通过无线网络控制学生塔吊、制动窗帘以及室内照明等终端，智能化控制，真正实现统一化智能管理教室。</w:t>
            </w:r>
          </w:p>
        </w:tc>
        <w:tc>
          <w:tcPr>
            <w:tcW w:w="863" w:type="dxa"/>
            <w:gridSpan w:val="4"/>
            <w:vAlign w:val="center"/>
          </w:tcPr>
          <w:p w14:paraId="5FCCB257">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台</w:t>
            </w:r>
          </w:p>
        </w:tc>
        <w:tc>
          <w:tcPr>
            <w:tcW w:w="925" w:type="dxa"/>
            <w:gridSpan w:val="3"/>
            <w:vAlign w:val="center"/>
          </w:tcPr>
          <w:p w14:paraId="4AE2AE90">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6F9158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0BC3990F">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9</w:t>
            </w:r>
          </w:p>
        </w:tc>
        <w:tc>
          <w:tcPr>
            <w:tcW w:w="1227" w:type="dxa"/>
            <w:vAlign w:val="center"/>
          </w:tcPr>
          <w:p w14:paraId="69D38886">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生物智能升降机（吊塔）</w:t>
            </w:r>
          </w:p>
        </w:tc>
        <w:tc>
          <w:tcPr>
            <w:tcW w:w="6167" w:type="dxa"/>
            <w:vAlign w:val="center"/>
          </w:tcPr>
          <w:p w14:paraId="73295FBB">
            <w:pPr>
              <w:widowControl/>
              <w:numPr>
                <w:ilvl w:val="0"/>
                <w:numId w:val="176"/>
              </w:numPr>
              <w:spacing w:line="276" w:lineRule="auto"/>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规格：≥650mm*650mm*350mm</w:t>
            </w:r>
          </w:p>
          <w:p w14:paraId="154A8E16">
            <w:pPr>
              <w:widowControl/>
              <w:numPr>
                <w:ilvl w:val="0"/>
                <w:numId w:val="176"/>
              </w:numPr>
              <w:spacing w:line="276" w:lineRule="auto"/>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吊架：高强度铝合金电动吊架，具有运行平稳，噪音低、安全性强，行程随意、定位精准的特点，每个吊塔自身控制升降随意调节高度，或由教师主机或手机、移动工具等通过无线网络实现远程控制，教师在演示台上可以单控或全控所有吊塔升降高度方便学生实验需要。内部走线，行程随意、定位简单精准，遥控与全触屏智能控制相结合，罩式吸风口边衬led辅助光源，气体依次经初层过滤网、蜂窝式活性炭过滤网、HEPA复合过滤网深度净化生成负离子，增加含氧量，释放清新空气。</w:t>
            </w:r>
          </w:p>
        </w:tc>
        <w:tc>
          <w:tcPr>
            <w:tcW w:w="863" w:type="dxa"/>
            <w:gridSpan w:val="4"/>
            <w:vAlign w:val="center"/>
          </w:tcPr>
          <w:p w14:paraId="68398CED">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台</w:t>
            </w:r>
          </w:p>
        </w:tc>
        <w:tc>
          <w:tcPr>
            <w:tcW w:w="925" w:type="dxa"/>
            <w:gridSpan w:val="3"/>
            <w:vAlign w:val="center"/>
          </w:tcPr>
          <w:p w14:paraId="02E03D03">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8</w:t>
            </w:r>
          </w:p>
        </w:tc>
      </w:tr>
      <w:tr w14:paraId="2F3EAD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35FF2FD5">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10</w:t>
            </w:r>
          </w:p>
        </w:tc>
        <w:tc>
          <w:tcPr>
            <w:tcW w:w="1227" w:type="dxa"/>
            <w:vAlign w:val="center"/>
          </w:tcPr>
          <w:p w14:paraId="19DACCAE">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配电系统安装</w:t>
            </w:r>
          </w:p>
        </w:tc>
        <w:tc>
          <w:tcPr>
            <w:tcW w:w="6167" w:type="dxa"/>
            <w:vAlign w:val="center"/>
          </w:tcPr>
          <w:p w14:paraId="79EB01EE">
            <w:pPr>
              <w:widowControl/>
              <w:spacing w:line="276" w:lineRule="auto"/>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天棚内、地板内敷设安装≥Ø20mmPVC阻燃塑料管，主干电源线采用≥4mm</w:t>
            </w:r>
            <w:r>
              <w:rPr>
                <w:rFonts w:hint="eastAsia" w:ascii="宋体" w:hAnsi="宋体"/>
                <w:color w:val="auto"/>
                <w:kern w:val="0"/>
                <w:szCs w:val="21"/>
                <w:highlight w:val="none"/>
                <w:vertAlign w:val="superscript"/>
                <w:lang w:bidi="ar"/>
              </w:rPr>
              <w:t>2</w:t>
            </w:r>
            <w:r>
              <w:rPr>
                <w:rFonts w:hint="eastAsia" w:ascii="宋体" w:hAnsi="宋体"/>
                <w:color w:val="auto"/>
                <w:kern w:val="0"/>
                <w:szCs w:val="21"/>
                <w:highlight w:val="none"/>
                <w:lang w:bidi="ar"/>
              </w:rPr>
              <w:t xml:space="preserve"> BV塑铜线，支干电源线采用≥1.5mm</w:t>
            </w:r>
            <w:r>
              <w:rPr>
                <w:rFonts w:hint="eastAsia" w:ascii="宋体" w:hAnsi="宋体"/>
                <w:color w:val="auto"/>
                <w:kern w:val="0"/>
                <w:szCs w:val="21"/>
                <w:highlight w:val="none"/>
                <w:vertAlign w:val="superscript"/>
                <w:lang w:bidi="ar"/>
              </w:rPr>
              <w:t>2</w:t>
            </w:r>
            <w:r>
              <w:rPr>
                <w:rFonts w:hint="eastAsia" w:ascii="宋体" w:hAnsi="宋体"/>
                <w:color w:val="auto"/>
                <w:kern w:val="0"/>
                <w:szCs w:val="21"/>
                <w:highlight w:val="none"/>
                <w:lang w:bidi="ar"/>
              </w:rPr>
              <w:t xml:space="preserve"> BV塑铜线；支干电源线于插座电源线采用≥1.5mm</w:t>
            </w:r>
            <w:r>
              <w:rPr>
                <w:rFonts w:hint="eastAsia" w:ascii="宋体" w:hAnsi="宋体"/>
                <w:color w:val="auto"/>
                <w:kern w:val="0"/>
                <w:szCs w:val="21"/>
                <w:highlight w:val="none"/>
                <w:vertAlign w:val="superscript"/>
                <w:lang w:bidi="ar"/>
              </w:rPr>
              <w:t>2</w:t>
            </w:r>
            <w:r>
              <w:rPr>
                <w:rFonts w:hint="eastAsia" w:ascii="宋体" w:hAnsi="宋体"/>
                <w:color w:val="auto"/>
                <w:kern w:val="0"/>
                <w:szCs w:val="21"/>
                <w:highlight w:val="none"/>
                <w:lang w:bidi="ar"/>
              </w:rPr>
              <w:t>多芯塑铜线，保证线路安全，安装符合现行国家专业规范。</w:t>
            </w:r>
          </w:p>
        </w:tc>
        <w:tc>
          <w:tcPr>
            <w:tcW w:w="863" w:type="dxa"/>
            <w:gridSpan w:val="4"/>
            <w:vAlign w:val="center"/>
          </w:tcPr>
          <w:p w14:paraId="47B5F5AE">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室</w:t>
            </w:r>
          </w:p>
        </w:tc>
        <w:tc>
          <w:tcPr>
            <w:tcW w:w="925" w:type="dxa"/>
            <w:gridSpan w:val="3"/>
            <w:vAlign w:val="center"/>
          </w:tcPr>
          <w:p w14:paraId="2A9EF58B">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40588D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12916B26">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11</w:t>
            </w:r>
          </w:p>
        </w:tc>
        <w:tc>
          <w:tcPr>
            <w:tcW w:w="1227" w:type="dxa"/>
            <w:vAlign w:val="center"/>
          </w:tcPr>
          <w:p w14:paraId="6FC85E21">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给排水系统安装</w:t>
            </w:r>
          </w:p>
        </w:tc>
        <w:tc>
          <w:tcPr>
            <w:tcW w:w="6167" w:type="dxa"/>
            <w:vAlign w:val="center"/>
          </w:tcPr>
          <w:p w14:paraId="74D00335">
            <w:pPr>
              <w:widowControl/>
              <w:spacing w:line="276" w:lineRule="auto"/>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给水采用PPR专用给水管热熔连接，每个给水点设阀门一个，与水嘴连接采用专用给水软链接管。排水采用PVC塑料管管件连接。与水槽连接采用专用排水软连接管，接口处密封，地面设地漏及检查口。</w:t>
            </w:r>
          </w:p>
        </w:tc>
        <w:tc>
          <w:tcPr>
            <w:tcW w:w="863" w:type="dxa"/>
            <w:gridSpan w:val="4"/>
            <w:vAlign w:val="center"/>
          </w:tcPr>
          <w:p w14:paraId="6B1805C2">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室</w:t>
            </w:r>
          </w:p>
        </w:tc>
        <w:tc>
          <w:tcPr>
            <w:tcW w:w="925" w:type="dxa"/>
            <w:gridSpan w:val="3"/>
            <w:vAlign w:val="center"/>
          </w:tcPr>
          <w:p w14:paraId="13A1C6E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040ECA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203DD05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12</w:t>
            </w:r>
          </w:p>
        </w:tc>
        <w:tc>
          <w:tcPr>
            <w:tcW w:w="1227" w:type="dxa"/>
            <w:vAlign w:val="center"/>
          </w:tcPr>
          <w:p w14:paraId="7E6EBA06">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环境布置</w:t>
            </w:r>
          </w:p>
        </w:tc>
        <w:tc>
          <w:tcPr>
            <w:tcW w:w="6167" w:type="dxa"/>
          </w:tcPr>
          <w:p w14:paraId="78E37442">
            <w:pPr>
              <w:widowControl/>
              <w:spacing w:line="276" w:lineRule="auto"/>
              <w:jc w:val="left"/>
              <w:textAlignment w:val="top"/>
              <w:rPr>
                <w:rFonts w:hint="eastAsia" w:ascii="宋体" w:hAnsi="宋体"/>
                <w:color w:val="auto"/>
                <w:szCs w:val="21"/>
                <w:highlight w:val="none"/>
              </w:rPr>
            </w:pPr>
            <w:r>
              <w:rPr>
                <w:rFonts w:hint="eastAsia" w:ascii="宋体" w:hAnsi="宋体"/>
                <w:color w:val="auto"/>
                <w:kern w:val="0"/>
                <w:szCs w:val="21"/>
                <w:highlight w:val="none"/>
                <w:lang w:bidi="ar"/>
              </w:rPr>
              <w:t>需满足项目学校功能室基本环境需求：包含基础装修、垃圾清运、设备安装、货物搬运等</w:t>
            </w:r>
          </w:p>
        </w:tc>
        <w:tc>
          <w:tcPr>
            <w:tcW w:w="863" w:type="dxa"/>
            <w:gridSpan w:val="4"/>
            <w:vAlign w:val="center"/>
          </w:tcPr>
          <w:p w14:paraId="48F00063">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室</w:t>
            </w:r>
          </w:p>
        </w:tc>
        <w:tc>
          <w:tcPr>
            <w:tcW w:w="925" w:type="dxa"/>
            <w:gridSpan w:val="3"/>
            <w:vAlign w:val="center"/>
          </w:tcPr>
          <w:p w14:paraId="3A4BABE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117D75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noWrap/>
            <w:vAlign w:val="center"/>
          </w:tcPr>
          <w:p w14:paraId="4671294D">
            <w:pPr>
              <w:jc w:val="center"/>
              <w:rPr>
                <w:rFonts w:hint="eastAsia" w:ascii="宋体" w:hAnsi="宋体"/>
                <w:b/>
                <w:bCs/>
                <w:color w:val="auto"/>
                <w:szCs w:val="21"/>
                <w:highlight w:val="none"/>
              </w:rPr>
            </w:pPr>
            <w:r>
              <w:rPr>
                <w:rFonts w:ascii="Times New Roman" w:hAnsi="Times New Roman" w:cs="Times New Roman"/>
                <w:b/>
                <w:bCs/>
                <w:color w:val="auto"/>
                <w:highlight w:val="none"/>
              </w:rPr>
              <w:br w:type="page"/>
            </w:r>
            <w:r>
              <w:rPr>
                <w:rFonts w:hint="eastAsia" w:ascii="Times New Roman" w:hAnsi="Times New Roman" w:cs="Times New Roman"/>
                <w:b/>
                <w:bCs/>
                <w:color w:val="auto"/>
                <w:highlight w:val="none"/>
              </w:rPr>
              <w:t>(二)</w:t>
            </w:r>
          </w:p>
        </w:tc>
        <w:tc>
          <w:tcPr>
            <w:tcW w:w="1227" w:type="dxa"/>
            <w:noWrap/>
            <w:vAlign w:val="center"/>
          </w:tcPr>
          <w:p w14:paraId="7E4A5014">
            <w:pPr>
              <w:widowControl/>
              <w:jc w:val="center"/>
              <w:textAlignment w:val="center"/>
              <w:rPr>
                <w:rFonts w:hint="eastAsia" w:ascii="宋体" w:hAnsi="宋体"/>
                <w:b/>
                <w:bCs/>
                <w:color w:val="auto"/>
                <w:szCs w:val="21"/>
                <w:highlight w:val="none"/>
              </w:rPr>
            </w:pPr>
            <w:r>
              <w:rPr>
                <w:rFonts w:hint="eastAsia" w:ascii="宋体" w:hAnsi="宋体"/>
                <w:b/>
                <w:bCs/>
                <w:color w:val="auto"/>
                <w:kern w:val="0"/>
                <w:szCs w:val="21"/>
                <w:highlight w:val="none"/>
                <w:lang w:bidi="ar"/>
              </w:rPr>
              <w:t>生物准备室</w:t>
            </w:r>
          </w:p>
        </w:tc>
        <w:tc>
          <w:tcPr>
            <w:tcW w:w="6167" w:type="dxa"/>
            <w:noWrap/>
            <w:vAlign w:val="center"/>
          </w:tcPr>
          <w:p w14:paraId="03EEF8B2">
            <w:pPr>
              <w:jc w:val="left"/>
              <w:rPr>
                <w:rFonts w:hint="eastAsia" w:ascii="宋体" w:hAnsi="宋体"/>
                <w:b/>
                <w:bCs/>
                <w:color w:val="auto"/>
                <w:szCs w:val="21"/>
                <w:highlight w:val="none"/>
              </w:rPr>
            </w:pPr>
          </w:p>
        </w:tc>
        <w:tc>
          <w:tcPr>
            <w:tcW w:w="863" w:type="dxa"/>
            <w:gridSpan w:val="4"/>
            <w:vAlign w:val="center"/>
          </w:tcPr>
          <w:p w14:paraId="01C767A9">
            <w:pPr>
              <w:jc w:val="center"/>
              <w:rPr>
                <w:rFonts w:hint="eastAsia" w:ascii="宋体" w:hAnsi="宋体"/>
                <w:b/>
                <w:bCs/>
                <w:color w:val="auto"/>
                <w:szCs w:val="21"/>
                <w:highlight w:val="none"/>
              </w:rPr>
            </w:pPr>
          </w:p>
        </w:tc>
        <w:tc>
          <w:tcPr>
            <w:tcW w:w="925" w:type="dxa"/>
            <w:gridSpan w:val="3"/>
            <w:vAlign w:val="center"/>
          </w:tcPr>
          <w:p w14:paraId="59E06B33">
            <w:pPr>
              <w:jc w:val="center"/>
              <w:rPr>
                <w:rFonts w:hint="eastAsia" w:ascii="宋体" w:hAnsi="宋体"/>
                <w:b/>
                <w:bCs/>
                <w:color w:val="auto"/>
                <w:szCs w:val="21"/>
                <w:highlight w:val="none"/>
              </w:rPr>
            </w:pPr>
          </w:p>
        </w:tc>
      </w:tr>
      <w:tr w14:paraId="61BE4E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1505DEB3">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c>
          <w:tcPr>
            <w:tcW w:w="1227" w:type="dxa"/>
            <w:vAlign w:val="center"/>
          </w:tcPr>
          <w:p w14:paraId="1D3D4335">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准备台</w:t>
            </w:r>
          </w:p>
        </w:tc>
        <w:tc>
          <w:tcPr>
            <w:tcW w:w="6167" w:type="dxa"/>
            <w:vAlign w:val="center"/>
          </w:tcPr>
          <w:p w14:paraId="52481B59">
            <w:pPr>
              <w:widowControl/>
              <w:numPr>
                <w:ilvl w:val="1"/>
                <w:numId w:val="177"/>
              </w:numPr>
              <w:spacing w:line="276" w:lineRule="auto"/>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规格：≥2800mm×700mm×850mm</w:t>
            </w:r>
          </w:p>
          <w:p w14:paraId="334E1008">
            <w:pPr>
              <w:widowControl/>
              <w:numPr>
                <w:ilvl w:val="1"/>
                <w:numId w:val="177"/>
              </w:numPr>
              <w:spacing w:line="276" w:lineRule="auto"/>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台面：采用≥12.7mm厚实芯理化板倍边加工，四周边缘总厚度为≥25.4mm；台面易清洁、耐磨、耐腐蚀、耐辐射、耐高温、耐冲击；甲醛释放量达到E1级标准；</w:t>
            </w:r>
          </w:p>
          <w:p w14:paraId="54C9CF8F">
            <w:pPr>
              <w:widowControl/>
              <w:numPr>
                <w:ilvl w:val="1"/>
                <w:numId w:val="177"/>
              </w:numPr>
              <w:spacing w:line="276" w:lineRule="auto"/>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台体：喷塑铝合金框架结构，框架内镶嵌≥18mm 厚环保E1级浸渍胶膜纸饰面刨花板，立柱规格≥33mm*60 mmD型管，壁厚≥1.5 mm；横梁规格≥32mm*35mm*1.5 mm，卡锁式连接件组装；立柱下部镶嵌ABS地脚座，预埋铜质螺母，安装高强度可调地脚；要求组合严密、牢固、稳定；台体一侧设水箱，按上部抽屉下部板式门设计，抽屉和柜门的材质采用≥18mm厚环保E1级浸渍胶膜纸饰面刨花板，板截面采用≥1.5mm厚塑制封边条机械封边。</w:t>
            </w:r>
          </w:p>
          <w:p w14:paraId="5D2C73D2">
            <w:pPr>
              <w:widowControl/>
              <w:numPr>
                <w:ilvl w:val="1"/>
                <w:numId w:val="177"/>
              </w:numPr>
              <w:spacing w:line="276" w:lineRule="auto"/>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五金件：抽屉导轨选用消声三节滑轨，合金钢板一次性成型，壁厚≥1.0mm；自卸门铰链，壁厚≥1.0mm，防腐，承重耐用；铝合金一字型扣手；配置铝合金置物架。</w:t>
            </w:r>
          </w:p>
        </w:tc>
        <w:tc>
          <w:tcPr>
            <w:tcW w:w="863" w:type="dxa"/>
            <w:gridSpan w:val="4"/>
            <w:vAlign w:val="center"/>
          </w:tcPr>
          <w:p w14:paraId="0D641516">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台</w:t>
            </w:r>
          </w:p>
        </w:tc>
        <w:tc>
          <w:tcPr>
            <w:tcW w:w="925" w:type="dxa"/>
            <w:gridSpan w:val="3"/>
            <w:vAlign w:val="center"/>
          </w:tcPr>
          <w:p w14:paraId="53899FA5">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2FAD28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5CDD964B">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w:t>
            </w:r>
          </w:p>
        </w:tc>
        <w:tc>
          <w:tcPr>
            <w:tcW w:w="1227" w:type="dxa"/>
            <w:vAlign w:val="center"/>
          </w:tcPr>
          <w:p w14:paraId="3BDBABB7">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仪器柜</w:t>
            </w:r>
          </w:p>
        </w:tc>
        <w:tc>
          <w:tcPr>
            <w:tcW w:w="6167" w:type="dxa"/>
            <w:vAlign w:val="center"/>
          </w:tcPr>
          <w:p w14:paraId="7557579B">
            <w:pPr>
              <w:widowControl/>
              <w:numPr>
                <w:ilvl w:val="1"/>
                <w:numId w:val="178"/>
              </w:numPr>
              <w:spacing w:line="276" w:lineRule="auto"/>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柜体尺寸（宽深高）≥1000 mm×500 mm×2000mm，铝木结构：</w:t>
            </w:r>
          </w:p>
          <w:p w14:paraId="32C8C421">
            <w:pPr>
              <w:widowControl/>
              <w:numPr>
                <w:ilvl w:val="1"/>
                <w:numId w:val="178"/>
              </w:numPr>
              <w:spacing w:line="276" w:lineRule="auto"/>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柜体框架：采用模具成型的专用铝合金方管制作，通过ABS专用连接件组装而成，保证连接牢固。前立柱、前横梁外径为≥30mm×44mm（误差±1mm），后立柱、后横梁外径为≥44mm×44mm（误差±1mm），铝合金管材的壁厚≥1.5 mm（误差±0.15 mm）。铝合金型材带凹槽，凹槽的宽度与柜体衬板相匹配，凹槽的深度≥14mm（误差±0.15 mm），保证柜体衬板与铝型材之间接缝严密，无晃动现象，不发生脱落。铝合金型材表面经静电粉沫喷涂处理，整体耐腐蚀、防火、防潮、稳固耐用。柜体衬板：用厚度为≥16mm±0.3 mm、彩色和灰白色双面三聚氰胺板（即双饰面板）作为台体衬板，外漏截面采用1.5mm厚塑制优质封边条机械封边。</w:t>
            </w:r>
          </w:p>
          <w:p w14:paraId="5B18F257">
            <w:pPr>
              <w:widowControl/>
              <w:numPr>
                <w:ilvl w:val="1"/>
                <w:numId w:val="178"/>
              </w:numPr>
              <w:spacing w:line="276" w:lineRule="auto"/>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柜门：上部为专用铝型材对开玻璃门，玻璃门边框规格为≥52mm*18mm*1.2mm，预留4mm螺丝孔，上下框规格为≥18mm*18mm*5mm，下部为对开木门。柜门采用优质定位铰链，*铰链下垫≥56mm*49mm*13mmABS胶垫并预留螺丝孔，铰链的壁厚≥1.5mm，安全、牢固、防腐、耐用。铝合金通体一字型扣手。</w:t>
            </w:r>
          </w:p>
          <w:p w14:paraId="6715D0F7">
            <w:pPr>
              <w:widowControl/>
              <w:numPr>
                <w:ilvl w:val="1"/>
                <w:numId w:val="178"/>
              </w:numPr>
              <w:spacing w:line="276" w:lineRule="auto"/>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隔板：上柜设置2块活动隔板，下柜设置1块固定隔板。隔板所用的板材与柜体板材相同。隔板的长边采用铝合金山形槽包边，铝合金正面预留标签卡槽，表面进行喷塑处理。</w:t>
            </w:r>
          </w:p>
          <w:p w14:paraId="4AFE7A02">
            <w:pPr>
              <w:widowControl/>
              <w:numPr>
                <w:ilvl w:val="1"/>
                <w:numId w:val="178"/>
              </w:numPr>
              <w:spacing w:line="276" w:lineRule="auto"/>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高度升降条：上部柜体内侧安装高度升降条（≥1.0 mm冷轧钢板制作），每侧2根，带12个活动支撑座（位置可调）。高度升降条和支撑座表面采用纯环氧树脂静电喷涂高温固化，具有较高耐蚀性能。</w:t>
            </w:r>
          </w:p>
          <w:p w14:paraId="1F9B763F">
            <w:pPr>
              <w:widowControl/>
              <w:numPr>
                <w:ilvl w:val="1"/>
                <w:numId w:val="178"/>
              </w:numPr>
              <w:spacing w:line="276" w:lineRule="auto"/>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支脚：采用直径≥12mm的镀锌螺杆与ABS工程塑料一次注塑成型的脚垫，高度可调节。</w:t>
            </w:r>
          </w:p>
        </w:tc>
        <w:tc>
          <w:tcPr>
            <w:tcW w:w="863" w:type="dxa"/>
            <w:gridSpan w:val="4"/>
            <w:vAlign w:val="center"/>
          </w:tcPr>
          <w:p w14:paraId="2A14085C">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25" w:type="dxa"/>
            <w:gridSpan w:val="3"/>
            <w:vAlign w:val="center"/>
          </w:tcPr>
          <w:p w14:paraId="5D91711C">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15</w:t>
            </w:r>
          </w:p>
        </w:tc>
      </w:tr>
      <w:tr w14:paraId="78FB88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20E9FFA4">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5</w:t>
            </w:r>
          </w:p>
        </w:tc>
        <w:tc>
          <w:tcPr>
            <w:tcW w:w="1227" w:type="dxa"/>
            <w:vAlign w:val="center"/>
          </w:tcPr>
          <w:p w14:paraId="4C00F525">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实验插座</w:t>
            </w:r>
          </w:p>
        </w:tc>
        <w:tc>
          <w:tcPr>
            <w:tcW w:w="6167" w:type="dxa"/>
            <w:vAlign w:val="center"/>
          </w:tcPr>
          <w:p w14:paraId="5BC9599E">
            <w:pPr>
              <w:widowControl/>
              <w:spacing w:line="276" w:lineRule="auto"/>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多用插座220V/2A要求带防尘盒。</w:t>
            </w:r>
          </w:p>
        </w:tc>
        <w:tc>
          <w:tcPr>
            <w:tcW w:w="863" w:type="dxa"/>
            <w:gridSpan w:val="4"/>
            <w:vAlign w:val="center"/>
          </w:tcPr>
          <w:p w14:paraId="567FDFAF">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套</w:t>
            </w:r>
          </w:p>
        </w:tc>
        <w:tc>
          <w:tcPr>
            <w:tcW w:w="925" w:type="dxa"/>
            <w:gridSpan w:val="3"/>
            <w:vAlign w:val="center"/>
          </w:tcPr>
          <w:p w14:paraId="02B51BE3">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04B127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64B99A1F">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6</w:t>
            </w:r>
          </w:p>
        </w:tc>
        <w:tc>
          <w:tcPr>
            <w:tcW w:w="1227" w:type="dxa"/>
            <w:vAlign w:val="center"/>
          </w:tcPr>
          <w:p w14:paraId="3F5A718D">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水槽</w:t>
            </w:r>
          </w:p>
        </w:tc>
        <w:tc>
          <w:tcPr>
            <w:tcW w:w="6167" w:type="dxa"/>
            <w:vAlign w:val="center"/>
          </w:tcPr>
          <w:p w14:paraId="0BC30358">
            <w:pPr>
              <w:widowControl/>
              <w:spacing w:line="276" w:lineRule="auto"/>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规格：≥485mm×385mm×290mm采用PP（聚丙烯）材质，一次成型；要求带水封式水槽；台面下安装，下水口密封。</w:t>
            </w:r>
          </w:p>
        </w:tc>
        <w:tc>
          <w:tcPr>
            <w:tcW w:w="863" w:type="dxa"/>
            <w:gridSpan w:val="4"/>
            <w:vAlign w:val="center"/>
          </w:tcPr>
          <w:p w14:paraId="536407A2">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套</w:t>
            </w:r>
          </w:p>
        </w:tc>
        <w:tc>
          <w:tcPr>
            <w:tcW w:w="925" w:type="dxa"/>
            <w:gridSpan w:val="3"/>
            <w:vAlign w:val="center"/>
          </w:tcPr>
          <w:p w14:paraId="3F85A253">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5ABE52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1B375384">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7</w:t>
            </w:r>
          </w:p>
        </w:tc>
        <w:tc>
          <w:tcPr>
            <w:tcW w:w="1227" w:type="dxa"/>
            <w:vAlign w:val="center"/>
          </w:tcPr>
          <w:p w14:paraId="348BB4B6">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水嘴</w:t>
            </w:r>
          </w:p>
        </w:tc>
        <w:tc>
          <w:tcPr>
            <w:tcW w:w="6167" w:type="dxa"/>
            <w:vAlign w:val="center"/>
          </w:tcPr>
          <w:p w14:paraId="6EA08813">
            <w:pPr>
              <w:widowControl/>
              <w:spacing w:line="276" w:lineRule="auto"/>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直径≥20mm，三联高压水嘴设有一个高位水嘴，材质为钢质喷塑，陶瓷芯，搬把快闭、快开型。</w:t>
            </w:r>
          </w:p>
        </w:tc>
        <w:tc>
          <w:tcPr>
            <w:tcW w:w="863" w:type="dxa"/>
            <w:gridSpan w:val="4"/>
            <w:vAlign w:val="center"/>
          </w:tcPr>
          <w:p w14:paraId="1F913891">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套</w:t>
            </w:r>
          </w:p>
        </w:tc>
        <w:tc>
          <w:tcPr>
            <w:tcW w:w="925" w:type="dxa"/>
            <w:gridSpan w:val="3"/>
            <w:vAlign w:val="center"/>
          </w:tcPr>
          <w:p w14:paraId="2133C94D">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2211AF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526C4BE7">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8</w:t>
            </w:r>
          </w:p>
        </w:tc>
        <w:tc>
          <w:tcPr>
            <w:tcW w:w="1227" w:type="dxa"/>
            <w:vAlign w:val="center"/>
          </w:tcPr>
          <w:p w14:paraId="1FA8BAE1">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生物标本柜</w:t>
            </w:r>
          </w:p>
        </w:tc>
        <w:tc>
          <w:tcPr>
            <w:tcW w:w="6167" w:type="dxa"/>
            <w:vAlign w:val="center"/>
          </w:tcPr>
          <w:p w14:paraId="27161B0A">
            <w:pPr>
              <w:widowControl/>
              <w:numPr>
                <w:ilvl w:val="0"/>
                <w:numId w:val="179"/>
              </w:numPr>
              <w:spacing w:line="276" w:lineRule="auto"/>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规格：≥1000mm×450mm×2000mm</w:t>
            </w:r>
          </w:p>
          <w:p w14:paraId="1618052F">
            <w:pPr>
              <w:widowControl/>
              <w:numPr>
                <w:ilvl w:val="0"/>
                <w:numId w:val="179"/>
              </w:numPr>
              <w:spacing w:line="276" w:lineRule="auto"/>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柜体框架：采用模具成型的铝合金方管制作，通过ABS专用连接件组装而成，保证连接牢固。前立柱、前横梁外径≥44mm×30mm，后立柱、后横梁外径≥44mm×44mm，铝合金管材的壁厚≥1.2 mm。铝合金型材带凹槽，凹槽的宽度应与柜体衬板/玻璃相匹配，凹槽的深度应足够，保证柜体衬板/玻璃与铝型材之间接缝严密，无晃动现象，不发生脱落。铝合金型材表面需经静电粉沫喷涂处理，整体耐腐蚀、防火、防潮、稳固耐用。</w:t>
            </w:r>
          </w:p>
          <w:p w14:paraId="328B988B">
            <w:pPr>
              <w:widowControl/>
              <w:numPr>
                <w:ilvl w:val="0"/>
                <w:numId w:val="179"/>
              </w:numPr>
              <w:spacing w:line="276" w:lineRule="auto"/>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柜门：上部前面、侧面镶装≥5mm钢化玻璃，背面镶装≥5mm平面镜，下部为对开木门。</w:t>
            </w:r>
          </w:p>
          <w:p w14:paraId="3067D660">
            <w:pPr>
              <w:widowControl/>
              <w:numPr>
                <w:ilvl w:val="0"/>
                <w:numId w:val="179"/>
              </w:numPr>
              <w:spacing w:line="276" w:lineRule="auto"/>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搁物板：上部为2层≥5mm厚钢化玻璃搁物板。</w:t>
            </w:r>
          </w:p>
          <w:p w14:paraId="1A97FE77">
            <w:pPr>
              <w:widowControl/>
              <w:numPr>
                <w:ilvl w:val="0"/>
                <w:numId w:val="179"/>
              </w:numPr>
              <w:spacing w:line="276" w:lineRule="auto"/>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高度升降条：上部柜体内侧均应安装高度升降条（≥1.0 mm冷轧钢板制作），每侧2根，带活动支撑座（位置可调）。高度升降条和支撑座表面应采用纯环氧树脂静电喷涂高温固化，具有较高耐蚀性能。</w:t>
            </w:r>
          </w:p>
          <w:p w14:paraId="5409C9AF">
            <w:pPr>
              <w:widowControl/>
              <w:numPr>
                <w:ilvl w:val="0"/>
                <w:numId w:val="179"/>
              </w:numPr>
              <w:spacing w:line="276" w:lineRule="auto"/>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柜脚：采用直径≥12mm的不锈钢螺杆与ABS工程塑料一次注塑成型的脚垫，高度可调节。</w:t>
            </w:r>
          </w:p>
        </w:tc>
        <w:tc>
          <w:tcPr>
            <w:tcW w:w="863" w:type="dxa"/>
            <w:gridSpan w:val="4"/>
            <w:vAlign w:val="center"/>
          </w:tcPr>
          <w:p w14:paraId="168B3018">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25" w:type="dxa"/>
            <w:gridSpan w:val="3"/>
            <w:vAlign w:val="center"/>
          </w:tcPr>
          <w:p w14:paraId="74C0C34F">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5</w:t>
            </w:r>
          </w:p>
        </w:tc>
      </w:tr>
      <w:tr w14:paraId="260A7A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1B8885D2">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9</w:t>
            </w:r>
          </w:p>
        </w:tc>
        <w:tc>
          <w:tcPr>
            <w:tcW w:w="1227" w:type="dxa"/>
            <w:vAlign w:val="center"/>
          </w:tcPr>
          <w:p w14:paraId="5F829BB5">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室内配电管线</w:t>
            </w:r>
          </w:p>
        </w:tc>
        <w:tc>
          <w:tcPr>
            <w:tcW w:w="6167" w:type="dxa"/>
            <w:vAlign w:val="center"/>
          </w:tcPr>
          <w:p w14:paraId="309C6777">
            <w:pPr>
              <w:widowControl/>
              <w:spacing w:line="276" w:lineRule="auto"/>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主干电源线采用2.5mm</w:t>
            </w:r>
            <w:r>
              <w:rPr>
                <w:rFonts w:hint="eastAsia" w:ascii="宋体" w:hAnsi="宋体"/>
                <w:color w:val="auto"/>
                <w:kern w:val="0"/>
                <w:szCs w:val="21"/>
                <w:highlight w:val="none"/>
                <w:vertAlign w:val="superscript"/>
                <w:lang w:bidi="ar"/>
              </w:rPr>
              <w:t>2</w:t>
            </w:r>
            <w:r>
              <w:rPr>
                <w:rFonts w:hint="eastAsia" w:ascii="宋体" w:hAnsi="宋体"/>
                <w:color w:val="auto"/>
                <w:kern w:val="0"/>
                <w:szCs w:val="21"/>
                <w:highlight w:val="none"/>
                <w:lang w:bidi="ar"/>
              </w:rPr>
              <w:t xml:space="preserve"> BV塑铜线，支干电源线采用1.5mm</w:t>
            </w:r>
            <w:r>
              <w:rPr>
                <w:rFonts w:hint="eastAsia" w:ascii="宋体" w:hAnsi="宋体"/>
                <w:color w:val="auto"/>
                <w:kern w:val="0"/>
                <w:szCs w:val="21"/>
                <w:highlight w:val="none"/>
                <w:vertAlign w:val="superscript"/>
                <w:lang w:bidi="ar"/>
              </w:rPr>
              <w:t>2</w:t>
            </w:r>
            <w:r>
              <w:rPr>
                <w:rFonts w:hint="eastAsia" w:ascii="宋体" w:hAnsi="宋体"/>
                <w:color w:val="auto"/>
                <w:kern w:val="0"/>
                <w:szCs w:val="21"/>
                <w:highlight w:val="none"/>
                <w:lang w:bidi="ar"/>
              </w:rPr>
              <w:t xml:space="preserve"> BV塑铜线；支干电源线于插座电源线采用1.5mm</w:t>
            </w:r>
            <w:r>
              <w:rPr>
                <w:rFonts w:hint="eastAsia" w:ascii="宋体" w:hAnsi="宋体"/>
                <w:color w:val="auto"/>
                <w:kern w:val="0"/>
                <w:szCs w:val="21"/>
                <w:highlight w:val="none"/>
                <w:vertAlign w:val="superscript"/>
                <w:lang w:bidi="ar"/>
              </w:rPr>
              <w:t>2</w:t>
            </w:r>
            <w:r>
              <w:rPr>
                <w:rFonts w:hint="eastAsia" w:ascii="宋体" w:hAnsi="宋体"/>
                <w:color w:val="auto"/>
                <w:kern w:val="0"/>
                <w:szCs w:val="21"/>
                <w:highlight w:val="none"/>
                <w:lang w:bidi="ar"/>
              </w:rPr>
              <w:t>多芯塑铜线；保证线路安全，安装符合现行国家专业规范。</w:t>
            </w:r>
          </w:p>
        </w:tc>
        <w:tc>
          <w:tcPr>
            <w:tcW w:w="863" w:type="dxa"/>
            <w:gridSpan w:val="4"/>
            <w:vAlign w:val="center"/>
          </w:tcPr>
          <w:p w14:paraId="7B3A0B9B">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套</w:t>
            </w:r>
          </w:p>
        </w:tc>
        <w:tc>
          <w:tcPr>
            <w:tcW w:w="925" w:type="dxa"/>
            <w:gridSpan w:val="3"/>
            <w:vAlign w:val="center"/>
          </w:tcPr>
          <w:p w14:paraId="7CDC2F2B">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17481D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7AFE36C3">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10</w:t>
            </w:r>
          </w:p>
        </w:tc>
        <w:tc>
          <w:tcPr>
            <w:tcW w:w="1227" w:type="dxa"/>
            <w:vAlign w:val="center"/>
          </w:tcPr>
          <w:p w14:paraId="0587C0F1">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室内给排水系统</w:t>
            </w:r>
          </w:p>
        </w:tc>
        <w:tc>
          <w:tcPr>
            <w:tcW w:w="6167" w:type="dxa"/>
            <w:vAlign w:val="center"/>
          </w:tcPr>
          <w:p w14:paraId="440198D2">
            <w:pPr>
              <w:widowControl/>
              <w:spacing w:line="276" w:lineRule="auto"/>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给水采用PPR专用给水管热熔连接，每个给水点设阀门一个，与水嘴连接采用专用给水软链接管。地下排水采用PVC塑料管管件连接。与水槽连接采用专用排水软连接管，接口处密封，地面设地漏及检查口。</w:t>
            </w:r>
          </w:p>
        </w:tc>
        <w:tc>
          <w:tcPr>
            <w:tcW w:w="863" w:type="dxa"/>
            <w:gridSpan w:val="4"/>
            <w:vAlign w:val="center"/>
          </w:tcPr>
          <w:p w14:paraId="0C507DC5">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套</w:t>
            </w:r>
          </w:p>
        </w:tc>
        <w:tc>
          <w:tcPr>
            <w:tcW w:w="925" w:type="dxa"/>
            <w:gridSpan w:val="3"/>
            <w:vAlign w:val="center"/>
          </w:tcPr>
          <w:p w14:paraId="06F59B01">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71D675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44AD04CA">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11</w:t>
            </w:r>
          </w:p>
        </w:tc>
        <w:tc>
          <w:tcPr>
            <w:tcW w:w="1227" w:type="dxa"/>
            <w:vAlign w:val="center"/>
          </w:tcPr>
          <w:p w14:paraId="3C9D8AC1">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环境布置</w:t>
            </w:r>
          </w:p>
        </w:tc>
        <w:tc>
          <w:tcPr>
            <w:tcW w:w="6167" w:type="dxa"/>
          </w:tcPr>
          <w:p w14:paraId="02E0F1FF">
            <w:pPr>
              <w:widowControl/>
              <w:spacing w:line="276" w:lineRule="auto"/>
              <w:jc w:val="left"/>
              <w:textAlignment w:val="top"/>
              <w:rPr>
                <w:rFonts w:hint="eastAsia" w:ascii="宋体" w:hAnsi="宋体"/>
                <w:color w:val="auto"/>
                <w:szCs w:val="21"/>
                <w:highlight w:val="none"/>
              </w:rPr>
            </w:pPr>
            <w:r>
              <w:rPr>
                <w:rFonts w:hint="eastAsia" w:ascii="宋体" w:hAnsi="宋体"/>
                <w:color w:val="auto"/>
                <w:kern w:val="0"/>
                <w:szCs w:val="21"/>
                <w:highlight w:val="none"/>
                <w:lang w:bidi="ar"/>
              </w:rPr>
              <w:t>需满足项目学校功能室基本环境需求：包含基础装修、垃圾清运、设备安装、货物搬运等</w:t>
            </w:r>
          </w:p>
        </w:tc>
        <w:tc>
          <w:tcPr>
            <w:tcW w:w="863" w:type="dxa"/>
            <w:gridSpan w:val="4"/>
            <w:vAlign w:val="center"/>
          </w:tcPr>
          <w:p w14:paraId="0AB07BFD">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室</w:t>
            </w:r>
          </w:p>
        </w:tc>
        <w:tc>
          <w:tcPr>
            <w:tcW w:w="925" w:type="dxa"/>
            <w:gridSpan w:val="3"/>
            <w:vAlign w:val="center"/>
          </w:tcPr>
          <w:p w14:paraId="2F913CCE">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24AF61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noWrap/>
            <w:vAlign w:val="center"/>
          </w:tcPr>
          <w:p w14:paraId="4B67B0AB">
            <w:pPr>
              <w:widowControl/>
              <w:textAlignment w:val="center"/>
              <w:rPr>
                <w:rFonts w:hint="eastAsia" w:ascii="宋体" w:hAnsi="宋体"/>
                <w:b/>
                <w:bCs/>
                <w:color w:val="auto"/>
                <w:kern w:val="0"/>
                <w:szCs w:val="21"/>
                <w:highlight w:val="none"/>
                <w:lang w:bidi="ar"/>
              </w:rPr>
            </w:pPr>
            <w:r>
              <w:rPr>
                <w:rFonts w:hint="eastAsia" w:ascii="宋体" w:hAnsi="宋体"/>
                <w:b/>
                <w:bCs/>
                <w:color w:val="auto"/>
                <w:kern w:val="0"/>
                <w:szCs w:val="21"/>
                <w:highlight w:val="none"/>
                <w:lang w:bidi="ar"/>
              </w:rPr>
              <w:t>(三)</w:t>
            </w:r>
          </w:p>
        </w:tc>
        <w:tc>
          <w:tcPr>
            <w:tcW w:w="1227" w:type="dxa"/>
            <w:noWrap/>
            <w:vAlign w:val="center"/>
          </w:tcPr>
          <w:p w14:paraId="63F172A6">
            <w:pPr>
              <w:widowControl/>
              <w:jc w:val="center"/>
              <w:textAlignment w:val="center"/>
              <w:rPr>
                <w:rFonts w:hint="eastAsia" w:ascii="宋体" w:hAnsi="宋体"/>
                <w:b/>
                <w:bCs/>
                <w:color w:val="auto"/>
                <w:szCs w:val="21"/>
                <w:highlight w:val="none"/>
              </w:rPr>
            </w:pPr>
            <w:r>
              <w:rPr>
                <w:rFonts w:hint="eastAsia" w:ascii="宋体" w:hAnsi="宋体"/>
                <w:b/>
                <w:bCs/>
                <w:color w:val="auto"/>
                <w:kern w:val="0"/>
                <w:szCs w:val="21"/>
                <w:highlight w:val="none"/>
                <w:lang w:bidi="ar"/>
              </w:rPr>
              <w:t>生物仪器</w:t>
            </w:r>
          </w:p>
        </w:tc>
        <w:tc>
          <w:tcPr>
            <w:tcW w:w="6167" w:type="dxa"/>
            <w:noWrap/>
            <w:vAlign w:val="center"/>
          </w:tcPr>
          <w:p w14:paraId="40C8450A">
            <w:pPr>
              <w:jc w:val="left"/>
              <w:rPr>
                <w:rFonts w:hint="eastAsia" w:ascii="宋体" w:hAnsi="宋体"/>
                <w:b/>
                <w:bCs/>
                <w:color w:val="auto"/>
                <w:szCs w:val="21"/>
                <w:highlight w:val="none"/>
              </w:rPr>
            </w:pPr>
          </w:p>
        </w:tc>
        <w:tc>
          <w:tcPr>
            <w:tcW w:w="863" w:type="dxa"/>
            <w:gridSpan w:val="4"/>
            <w:vAlign w:val="bottom"/>
          </w:tcPr>
          <w:p w14:paraId="5E0D5856">
            <w:pPr>
              <w:jc w:val="center"/>
              <w:rPr>
                <w:rFonts w:hint="eastAsia" w:ascii="宋体" w:hAnsi="宋体"/>
                <w:b/>
                <w:bCs/>
                <w:color w:val="auto"/>
                <w:szCs w:val="21"/>
                <w:highlight w:val="none"/>
              </w:rPr>
            </w:pPr>
          </w:p>
        </w:tc>
        <w:tc>
          <w:tcPr>
            <w:tcW w:w="925" w:type="dxa"/>
            <w:gridSpan w:val="3"/>
            <w:vAlign w:val="bottom"/>
          </w:tcPr>
          <w:p w14:paraId="4102D4ED">
            <w:pPr>
              <w:jc w:val="center"/>
              <w:rPr>
                <w:rFonts w:hint="eastAsia" w:ascii="宋体" w:hAnsi="宋体"/>
                <w:b/>
                <w:bCs/>
                <w:color w:val="auto"/>
                <w:szCs w:val="21"/>
                <w:highlight w:val="none"/>
              </w:rPr>
            </w:pPr>
          </w:p>
        </w:tc>
      </w:tr>
      <w:tr w14:paraId="790E50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773606E4">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c>
          <w:tcPr>
            <w:tcW w:w="1227" w:type="dxa"/>
            <w:vAlign w:val="center"/>
          </w:tcPr>
          <w:p w14:paraId="6EB3532F">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生物计算机数据采集处理系统</w:t>
            </w:r>
          </w:p>
        </w:tc>
        <w:tc>
          <w:tcPr>
            <w:tcW w:w="6167" w:type="dxa"/>
            <w:vAlign w:val="center"/>
          </w:tcPr>
          <w:p w14:paraId="708B23BD">
            <w:pPr>
              <w:widowControl/>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有计算机采集处理分析软件，图形数据采集分析仪，传感器，可配套专用实验仪器，详细配置如下：</w:t>
            </w:r>
          </w:p>
          <w:p w14:paraId="24E6F8A2">
            <w:pPr>
              <w:widowControl/>
              <w:jc w:val="left"/>
              <w:textAlignment w:val="center"/>
              <w:rPr>
                <w:rFonts w:hint="eastAsia" w:ascii="宋体" w:hAnsi="宋体"/>
                <w:b/>
                <w:bCs/>
                <w:color w:val="auto"/>
                <w:kern w:val="0"/>
                <w:szCs w:val="21"/>
                <w:highlight w:val="none"/>
                <w:lang w:bidi="ar"/>
              </w:rPr>
            </w:pPr>
            <w:r>
              <w:rPr>
                <w:rFonts w:hint="eastAsia" w:ascii="宋体" w:hAnsi="宋体"/>
                <w:b/>
                <w:bCs/>
                <w:color w:val="auto"/>
                <w:kern w:val="0"/>
                <w:szCs w:val="21"/>
                <w:highlight w:val="none"/>
                <w:lang w:bidi="ar"/>
              </w:rPr>
              <w:t>一、图形数据采集分析仪：</w:t>
            </w:r>
          </w:p>
          <w:p w14:paraId="4BDD12C7">
            <w:pPr>
              <w:widowControl/>
              <w:numPr>
                <w:ilvl w:val="1"/>
                <w:numId w:val="180"/>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支持≥6通道TYPEC接口并行采集，单通道最高采样率≥200kHz；采集器模拟采样分辨率≥12-bits，数字采样分辨率≥0.1μs；</w:t>
            </w:r>
          </w:p>
          <w:p w14:paraId="7B263169">
            <w:pPr>
              <w:widowControl/>
              <w:numPr>
                <w:ilvl w:val="1"/>
                <w:numId w:val="180"/>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具备≥1路USB-A 2.0型接口，可以外接USB设备，也可以再接一个数据采集器之用，最多可以连接18路传感器同时实验；具备≥1路usb-A 3.0型接口，可以当普通usb接口使用，也可以传输高速数据；</w:t>
            </w:r>
          </w:p>
          <w:p w14:paraId="0342702D">
            <w:pPr>
              <w:widowControl/>
              <w:numPr>
                <w:ilvl w:val="1"/>
                <w:numId w:val="180"/>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具备一个micro接口，在分析仪耗尽储电时作为普通采集器使用；</w:t>
            </w:r>
          </w:p>
          <w:p w14:paraId="26D61889">
            <w:pPr>
              <w:widowControl/>
              <w:numPr>
                <w:ilvl w:val="1"/>
                <w:numId w:val="180"/>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采用英特尔双核处理器，CPU主频≥1.44GHz，≥4GB DDR4内存，≥64GB SSD存储器；</w:t>
            </w:r>
          </w:p>
          <w:p w14:paraId="7E77FD5C">
            <w:pPr>
              <w:widowControl/>
              <w:numPr>
                <w:ilvl w:val="1"/>
                <w:numId w:val="180"/>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屏幕≥10.1寸液晶屏，支持电容多点触控，预装Win10操作系统；</w:t>
            </w:r>
          </w:p>
          <w:p w14:paraId="5C3FAF1A">
            <w:pPr>
              <w:widowControl/>
              <w:numPr>
                <w:ilvl w:val="1"/>
                <w:numId w:val="180"/>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具备≥1路HDMI接口，可以连接外部显示设备；</w:t>
            </w:r>
          </w:p>
          <w:p w14:paraId="122D5BE1">
            <w:pPr>
              <w:widowControl/>
              <w:numPr>
                <w:ilvl w:val="1"/>
                <w:numId w:val="180"/>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具备≥1个RJ45接口，可以连接有线网络，内置wifi，可以连接无线网络；</w:t>
            </w:r>
          </w:p>
          <w:p w14:paraId="712A7BA3">
            <w:pPr>
              <w:widowControl/>
              <w:numPr>
                <w:ilvl w:val="1"/>
                <w:numId w:val="180"/>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具备≥1个mini-sd卡槽，作为扩展存储之用；</w:t>
            </w:r>
          </w:p>
          <w:p w14:paraId="05D5FF33">
            <w:pPr>
              <w:widowControl/>
              <w:numPr>
                <w:ilvl w:val="1"/>
                <w:numId w:val="180"/>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具备≥1个PJ-327型耳机插孔，，可以外接耳机，内置2路立体声扬声器；</w:t>
            </w:r>
          </w:p>
          <w:p w14:paraId="7DABF90D">
            <w:pPr>
              <w:widowControl/>
              <w:numPr>
                <w:ilvl w:val="1"/>
                <w:numId w:val="180"/>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具备≥1个开机实体按键，≥2个音量控制按键，可以调整系统声音。</w:t>
            </w:r>
          </w:p>
          <w:p w14:paraId="497E6A66">
            <w:pPr>
              <w:widowControl/>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二、传感器：</w:t>
            </w:r>
          </w:p>
          <w:p w14:paraId="11C49C81">
            <w:pPr>
              <w:widowControl/>
              <w:numPr>
                <w:ilvl w:val="0"/>
                <w:numId w:val="181"/>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光照度传感器：量程1：0～600Lux，分辨率≥0.01Lux；量程2：0～1300Lux，分辨率≥0.02Lux；量程3：0～8000Lux，分辨率≥0.1Lux；量程4：0～16000Lux，分辨率≥0.2Lux；量程5：0～64000Lux，分辨率≥1Lux；软件切换量程，接口为TYPEC接口，连接传感器无需辨认方向。</w:t>
            </w:r>
          </w:p>
          <w:p w14:paraId="3EB4C559">
            <w:pPr>
              <w:widowControl/>
              <w:numPr>
                <w:ilvl w:val="0"/>
                <w:numId w:val="181"/>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温度传感器：量程：-80℃～+200℃；分辨率：≥0.1℃；接口为TYPEC接口，连接传感器无需辨认方向。</w:t>
            </w:r>
          </w:p>
          <w:p w14:paraId="3803C1EC">
            <w:pPr>
              <w:widowControl/>
              <w:numPr>
                <w:ilvl w:val="0"/>
                <w:numId w:val="181"/>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气体压强传感器：量程： 0～700kPa，分辨率≥0.1kPa；接口为TYPEC接口，连接传感器无需辨认方向</w:t>
            </w:r>
          </w:p>
          <w:p w14:paraId="0333455E">
            <w:pPr>
              <w:widowControl/>
              <w:numPr>
                <w:ilvl w:val="0"/>
                <w:numId w:val="181"/>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二氧化碳传感器：量程：0～50000ppm ；分辨率：≥1ppm；接口为TYPEC接口，连接传感器无需辨认方向。</w:t>
            </w:r>
          </w:p>
          <w:p w14:paraId="60F8D753">
            <w:pPr>
              <w:widowControl/>
              <w:numPr>
                <w:ilvl w:val="0"/>
                <w:numId w:val="181"/>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湿度传感器：量程：0～100%RH分辨率：≥0.1%RH；接口为TYPE-C接口，连接传感器无需辨认方向。</w:t>
            </w:r>
          </w:p>
          <w:p w14:paraId="4569837D">
            <w:pPr>
              <w:widowControl/>
              <w:numPr>
                <w:ilvl w:val="0"/>
                <w:numId w:val="181"/>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氧气传感器：量程：0～100%  ；分辨率：≥0.1%；接口为TYPEC接口，连接传感器无需辨认方向。</w:t>
            </w:r>
          </w:p>
          <w:p w14:paraId="7BE6384F">
            <w:pPr>
              <w:widowControl/>
              <w:numPr>
                <w:ilvl w:val="0"/>
                <w:numId w:val="181"/>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pH传感器：量程：0～14   分辨率：≥0.01；接口为TYPEC接口，连接传感器无需辨认方向。</w:t>
            </w:r>
          </w:p>
          <w:p w14:paraId="4A0B301A">
            <w:pPr>
              <w:widowControl/>
              <w:numPr>
                <w:ilvl w:val="0"/>
                <w:numId w:val="181"/>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血氧传感器：血氧饱和度35～100%;脉率 25 ～ 250次/分;分辨率：血氧饱和度 1％;脉率 1BPM ；接口为TYPEC接口，连接传感器无需辨认方向。</w:t>
            </w:r>
          </w:p>
          <w:p w14:paraId="2A412399">
            <w:pPr>
              <w:widowControl/>
              <w:numPr>
                <w:ilvl w:val="0"/>
                <w:numId w:val="181"/>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 xml:space="preserve">高强度铝合金箱：TF铝板冷压成型表面氧化，高强度铝合金型材框架，内部缓冲海绵传感器定位嵌槽装置，USB数据线1根，TYPEC传感器数据线6根，用户手册。  </w:t>
            </w:r>
          </w:p>
        </w:tc>
        <w:tc>
          <w:tcPr>
            <w:tcW w:w="863" w:type="dxa"/>
            <w:gridSpan w:val="4"/>
            <w:vAlign w:val="center"/>
          </w:tcPr>
          <w:p w14:paraId="1FFF695E">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套</w:t>
            </w:r>
          </w:p>
        </w:tc>
        <w:tc>
          <w:tcPr>
            <w:tcW w:w="925" w:type="dxa"/>
            <w:gridSpan w:val="3"/>
            <w:vAlign w:val="center"/>
          </w:tcPr>
          <w:p w14:paraId="247A0B40">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709BE0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352F0ABC">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w:t>
            </w:r>
          </w:p>
        </w:tc>
        <w:tc>
          <w:tcPr>
            <w:tcW w:w="1227" w:type="dxa"/>
            <w:vAlign w:val="center"/>
          </w:tcPr>
          <w:p w14:paraId="68BB9241">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灭火毯</w:t>
            </w:r>
          </w:p>
        </w:tc>
        <w:tc>
          <w:tcPr>
            <w:tcW w:w="6167" w:type="dxa"/>
            <w:vAlign w:val="center"/>
          </w:tcPr>
          <w:p w14:paraId="7EE6BE25">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玻璃纤维材质，≥1200 mm×1800mm</w:t>
            </w:r>
          </w:p>
        </w:tc>
        <w:tc>
          <w:tcPr>
            <w:tcW w:w="863" w:type="dxa"/>
            <w:gridSpan w:val="4"/>
            <w:vAlign w:val="center"/>
          </w:tcPr>
          <w:p w14:paraId="75199F47">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件</w:t>
            </w:r>
          </w:p>
        </w:tc>
        <w:tc>
          <w:tcPr>
            <w:tcW w:w="925" w:type="dxa"/>
            <w:gridSpan w:val="3"/>
            <w:vAlign w:val="center"/>
          </w:tcPr>
          <w:p w14:paraId="73006126">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2A967B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26FF4A90">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3</w:t>
            </w:r>
          </w:p>
        </w:tc>
        <w:tc>
          <w:tcPr>
            <w:tcW w:w="1227" w:type="dxa"/>
            <w:vAlign w:val="center"/>
          </w:tcPr>
          <w:p w14:paraId="2ADC509A">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简易急救箱</w:t>
            </w:r>
          </w:p>
        </w:tc>
        <w:tc>
          <w:tcPr>
            <w:tcW w:w="6167" w:type="dxa"/>
            <w:vAlign w:val="center"/>
          </w:tcPr>
          <w:p w14:paraId="610CF910">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箱内包括：烧伤药膏，医用酒精，碘伏，创可贴，胶布，绷带，卫生棉签，剪刀，镊子，止血带（长度≥30cm）等</w:t>
            </w:r>
          </w:p>
        </w:tc>
        <w:tc>
          <w:tcPr>
            <w:tcW w:w="863" w:type="dxa"/>
            <w:gridSpan w:val="4"/>
            <w:vAlign w:val="center"/>
          </w:tcPr>
          <w:p w14:paraId="49BBC1D7">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25" w:type="dxa"/>
            <w:gridSpan w:val="3"/>
            <w:vAlign w:val="center"/>
          </w:tcPr>
          <w:p w14:paraId="43082594">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5100F9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6A165E8C">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4</w:t>
            </w:r>
          </w:p>
        </w:tc>
        <w:tc>
          <w:tcPr>
            <w:tcW w:w="1227" w:type="dxa"/>
            <w:vAlign w:val="center"/>
          </w:tcPr>
          <w:p w14:paraId="77360CFA">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实验服</w:t>
            </w:r>
          </w:p>
        </w:tc>
        <w:tc>
          <w:tcPr>
            <w:tcW w:w="6167" w:type="dxa"/>
            <w:vAlign w:val="center"/>
          </w:tcPr>
          <w:p w14:paraId="6F9CD724">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可分为大中小号</w:t>
            </w:r>
          </w:p>
        </w:tc>
        <w:tc>
          <w:tcPr>
            <w:tcW w:w="863" w:type="dxa"/>
            <w:gridSpan w:val="4"/>
            <w:vAlign w:val="center"/>
          </w:tcPr>
          <w:p w14:paraId="6EF677E3">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件</w:t>
            </w:r>
          </w:p>
        </w:tc>
        <w:tc>
          <w:tcPr>
            <w:tcW w:w="925" w:type="dxa"/>
            <w:gridSpan w:val="3"/>
            <w:vAlign w:val="center"/>
          </w:tcPr>
          <w:p w14:paraId="00622A64">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25</w:t>
            </w:r>
          </w:p>
        </w:tc>
      </w:tr>
      <w:tr w14:paraId="1A7A7C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2D743010">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5</w:t>
            </w:r>
          </w:p>
        </w:tc>
        <w:tc>
          <w:tcPr>
            <w:tcW w:w="1227" w:type="dxa"/>
            <w:vAlign w:val="center"/>
          </w:tcPr>
          <w:p w14:paraId="5D6490A1">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护目镜</w:t>
            </w:r>
          </w:p>
        </w:tc>
        <w:tc>
          <w:tcPr>
            <w:tcW w:w="6167" w:type="dxa"/>
            <w:vAlign w:val="center"/>
          </w:tcPr>
          <w:p w14:paraId="760D60E1">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侧面完全遮挡， 耐酸碱，抗冲击，耐磨， 便于 清洗</w:t>
            </w:r>
          </w:p>
        </w:tc>
        <w:tc>
          <w:tcPr>
            <w:tcW w:w="863" w:type="dxa"/>
            <w:gridSpan w:val="4"/>
            <w:vAlign w:val="center"/>
          </w:tcPr>
          <w:p w14:paraId="7A4A8342">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25" w:type="dxa"/>
            <w:gridSpan w:val="3"/>
            <w:vAlign w:val="center"/>
          </w:tcPr>
          <w:p w14:paraId="179A6DFF">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25</w:t>
            </w:r>
          </w:p>
        </w:tc>
      </w:tr>
      <w:tr w14:paraId="4AED57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67FC4D1A">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6</w:t>
            </w:r>
          </w:p>
        </w:tc>
        <w:tc>
          <w:tcPr>
            <w:tcW w:w="1227" w:type="dxa"/>
            <w:vAlign w:val="center"/>
          </w:tcPr>
          <w:p w14:paraId="5526D9B4">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乳胶手套</w:t>
            </w:r>
          </w:p>
        </w:tc>
        <w:tc>
          <w:tcPr>
            <w:tcW w:w="6167" w:type="dxa"/>
            <w:vAlign w:val="center"/>
          </w:tcPr>
          <w:p w14:paraId="4E7AA083">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耐酸碱</w:t>
            </w:r>
          </w:p>
        </w:tc>
        <w:tc>
          <w:tcPr>
            <w:tcW w:w="863" w:type="dxa"/>
            <w:gridSpan w:val="4"/>
            <w:vAlign w:val="center"/>
          </w:tcPr>
          <w:p w14:paraId="516C9E6D">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副</w:t>
            </w:r>
          </w:p>
        </w:tc>
        <w:tc>
          <w:tcPr>
            <w:tcW w:w="925" w:type="dxa"/>
            <w:gridSpan w:val="3"/>
            <w:vAlign w:val="center"/>
          </w:tcPr>
          <w:p w14:paraId="4F069776">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50</w:t>
            </w:r>
          </w:p>
        </w:tc>
      </w:tr>
      <w:tr w14:paraId="703F3C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0E50BCDD">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7</w:t>
            </w:r>
          </w:p>
        </w:tc>
        <w:tc>
          <w:tcPr>
            <w:tcW w:w="1227" w:type="dxa"/>
            <w:vAlign w:val="center"/>
          </w:tcPr>
          <w:p w14:paraId="4A6A1C43">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一次性 PE 手套</w:t>
            </w:r>
          </w:p>
        </w:tc>
        <w:tc>
          <w:tcPr>
            <w:tcW w:w="6167" w:type="dxa"/>
            <w:vAlign w:val="center"/>
          </w:tcPr>
          <w:p w14:paraId="63CB1619">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塑料材质</w:t>
            </w:r>
          </w:p>
        </w:tc>
        <w:tc>
          <w:tcPr>
            <w:tcW w:w="863" w:type="dxa"/>
            <w:gridSpan w:val="4"/>
            <w:vAlign w:val="center"/>
          </w:tcPr>
          <w:p w14:paraId="011B9C2C">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包</w:t>
            </w:r>
          </w:p>
        </w:tc>
        <w:tc>
          <w:tcPr>
            <w:tcW w:w="925" w:type="dxa"/>
            <w:gridSpan w:val="3"/>
            <w:vAlign w:val="center"/>
          </w:tcPr>
          <w:p w14:paraId="1B42E45B">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09D02E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450187E8">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8</w:t>
            </w:r>
          </w:p>
        </w:tc>
        <w:tc>
          <w:tcPr>
            <w:tcW w:w="1227" w:type="dxa"/>
            <w:vAlign w:val="center"/>
          </w:tcPr>
          <w:p w14:paraId="66C79962">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电冰箱</w:t>
            </w:r>
          </w:p>
        </w:tc>
        <w:tc>
          <w:tcPr>
            <w:tcW w:w="6167" w:type="dxa"/>
            <w:vAlign w:val="center"/>
          </w:tcPr>
          <w:p w14:paraId="12543718">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≥180 L</w:t>
            </w:r>
          </w:p>
        </w:tc>
        <w:tc>
          <w:tcPr>
            <w:tcW w:w="863" w:type="dxa"/>
            <w:gridSpan w:val="4"/>
            <w:vAlign w:val="center"/>
          </w:tcPr>
          <w:p w14:paraId="43D25C2D">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台</w:t>
            </w:r>
          </w:p>
        </w:tc>
        <w:tc>
          <w:tcPr>
            <w:tcW w:w="925" w:type="dxa"/>
            <w:gridSpan w:val="3"/>
            <w:vAlign w:val="center"/>
          </w:tcPr>
          <w:p w14:paraId="7826F69F">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3DBF55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1295686E">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9</w:t>
            </w:r>
          </w:p>
        </w:tc>
        <w:tc>
          <w:tcPr>
            <w:tcW w:w="1227" w:type="dxa"/>
            <w:vAlign w:val="center"/>
          </w:tcPr>
          <w:p w14:paraId="08D3FBB6">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电磁炉</w:t>
            </w:r>
          </w:p>
        </w:tc>
        <w:tc>
          <w:tcPr>
            <w:tcW w:w="6167" w:type="dxa"/>
            <w:vAlign w:val="center"/>
          </w:tcPr>
          <w:p w14:paraId="476C2DFD">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功率可调，额定功率≥1600 W</w:t>
            </w:r>
          </w:p>
        </w:tc>
        <w:tc>
          <w:tcPr>
            <w:tcW w:w="863" w:type="dxa"/>
            <w:gridSpan w:val="4"/>
            <w:vAlign w:val="center"/>
          </w:tcPr>
          <w:p w14:paraId="1C2D1795">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25" w:type="dxa"/>
            <w:gridSpan w:val="3"/>
            <w:vAlign w:val="center"/>
          </w:tcPr>
          <w:p w14:paraId="08EE6C5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5940F3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70332D5B">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10</w:t>
            </w:r>
          </w:p>
        </w:tc>
        <w:tc>
          <w:tcPr>
            <w:tcW w:w="1227" w:type="dxa"/>
            <w:vAlign w:val="center"/>
          </w:tcPr>
          <w:p w14:paraId="765FFAFC">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恒温水浴锅</w:t>
            </w:r>
          </w:p>
        </w:tc>
        <w:tc>
          <w:tcPr>
            <w:tcW w:w="6167" w:type="dxa"/>
            <w:vAlign w:val="center"/>
          </w:tcPr>
          <w:p w14:paraId="5B2C8A5C">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水浴控温范围： 室温+5 ℃~99.9 ℃,水温控 制±0.5 ℃,不锈钢内胆，数字显示</w:t>
            </w:r>
          </w:p>
        </w:tc>
        <w:tc>
          <w:tcPr>
            <w:tcW w:w="863" w:type="dxa"/>
            <w:gridSpan w:val="4"/>
            <w:vAlign w:val="center"/>
          </w:tcPr>
          <w:p w14:paraId="56C4CC27">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台</w:t>
            </w:r>
          </w:p>
        </w:tc>
        <w:tc>
          <w:tcPr>
            <w:tcW w:w="925" w:type="dxa"/>
            <w:gridSpan w:val="3"/>
            <w:vAlign w:val="center"/>
          </w:tcPr>
          <w:p w14:paraId="56D8E11D">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78E8F0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2BC74091">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11</w:t>
            </w:r>
          </w:p>
        </w:tc>
        <w:tc>
          <w:tcPr>
            <w:tcW w:w="1227" w:type="dxa"/>
            <w:vAlign w:val="center"/>
          </w:tcPr>
          <w:p w14:paraId="1604B55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榨汁机</w:t>
            </w:r>
          </w:p>
        </w:tc>
        <w:tc>
          <w:tcPr>
            <w:tcW w:w="6167" w:type="dxa"/>
            <w:vAlign w:val="center"/>
          </w:tcPr>
          <w:p w14:paraId="4DADD36D">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≥18000 r/min， ≥1.0 L</w:t>
            </w:r>
          </w:p>
        </w:tc>
        <w:tc>
          <w:tcPr>
            <w:tcW w:w="863" w:type="dxa"/>
            <w:gridSpan w:val="4"/>
            <w:vAlign w:val="center"/>
          </w:tcPr>
          <w:p w14:paraId="2094CA00">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台</w:t>
            </w:r>
          </w:p>
        </w:tc>
        <w:tc>
          <w:tcPr>
            <w:tcW w:w="925" w:type="dxa"/>
            <w:gridSpan w:val="3"/>
            <w:vAlign w:val="center"/>
          </w:tcPr>
          <w:p w14:paraId="07162DD5">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5E88CD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1B70EA22">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12</w:t>
            </w:r>
          </w:p>
        </w:tc>
        <w:tc>
          <w:tcPr>
            <w:tcW w:w="1227" w:type="dxa"/>
            <w:vAlign w:val="center"/>
          </w:tcPr>
          <w:p w14:paraId="55D2C908">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烘干箱</w:t>
            </w:r>
          </w:p>
        </w:tc>
        <w:tc>
          <w:tcPr>
            <w:tcW w:w="6167" w:type="dxa"/>
            <w:vAlign w:val="center"/>
          </w:tcPr>
          <w:p w14:paraId="127717F8">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电热鼓风型，功率≥600 W，1.5 级（温度均匀 性为±0.03 ℃,温度波动性为 1.5 ℃), 烘 干温度 250 ℃以下， 箱体内有隔板， 内部容积 ≥350 mm×350 mm×350 mm</w:t>
            </w:r>
          </w:p>
        </w:tc>
        <w:tc>
          <w:tcPr>
            <w:tcW w:w="863" w:type="dxa"/>
            <w:gridSpan w:val="4"/>
            <w:vAlign w:val="center"/>
          </w:tcPr>
          <w:p w14:paraId="7DDF3352">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台</w:t>
            </w:r>
          </w:p>
        </w:tc>
        <w:tc>
          <w:tcPr>
            <w:tcW w:w="925" w:type="dxa"/>
            <w:gridSpan w:val="3"/>
            <w:vAlign w:val="center"/>
          </w:tcPr>
          <w:p w14:paraId="76C0D3C3">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55333F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41337855">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13</w:t>
            </w:r>
          </w:p>
        </w:tc>
        <w:tc>
          <w:tcPr>
            <w:tcW w:w="1227" w:type="dxa"/>
            <w:vAlign w:val="center"/>
          </w:tcPr>
          <w:p w14:paraId="6E9C37EE">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高压灭菌器</w:t>
            </w:r>
          </w:p>
        </w:tc>
        <w:tc>
          <w:tcPr>
            <w:tcW w:w="6167" w:type="dxa"/>
            <w:vAlign w:val="center"/>
          </w:tcPr>
          <w:p w14:paraId="7A1AAA9B">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≥30 L，立式， 全自动，有超高温、超高压自 动保护设置</w:t>
            </w:r>
          </w:p>
        </w:tc>
        <w:tc>
          <w:tcPr>
            <w:tcW w:w="863" w:type="dxa"/>
            <w:gridSpan w:val="4"/>
            <w:vAlign w:val="center"/>
          </w:tcPr>
          <w:p w14:paraId="6C0FF3F7">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25" w:type="dxa"/>
            <w:gridSpan w:val="3"/>
            <w:vAlign w:val="center"/>
          </w:tcPr>
          <w:p w14:paraId="3B0F4E15">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747832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2A0A14CE">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14</w:t>
            </w:r>
          </w:p>
        </w:tc>
        <w:tc>
          <w:tcPr>
            <w:tcW w:w="1227" w:type="dxa"/>
            <w:vAlign w:val="center"/>
          </w:tcPr>
          <w:p w14:paraId="5FCCFCAC">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恒温培养箱</w:t>
            </w:r>
          </w:p>
        </w:tc>
        <w:tc>
          <w:tcPr>
            <w:tcW w:w="6167" w:type="dxa"/>
            <w:vAlign w:val="center"/>
          </w:tcPr>
          <w:p w14:paraId="56064A85">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控温范围：室温+5 ℃～65 ℃ ,  ±1 ℃</w:t>
            </w:r>
          </w:p>
        </w:tc>
        <w:tc>
          <w:tcPr>
            <w:tcW w:w="863" w:type="dxa"/>
            <w:gridSpan w:val="4"/>
            <w:vAlign w:val="center"/>
          </w:tcPr>
          <w:p w14:paraId="4A65A9B5">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台</w:t>
            </w:r>
          </w:p>
        </w:tc>
        <w:tc>
          <w:tcPr>
            <w:tcW w:w="925" w:type="dxa"/>
            <w:gridSpan w:val="3"/>
            <w:vAlign w:val="center"/>
          </w:tcPr>
          <w:p w14:paraId="392C52FB">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7A88EA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4246ED2A">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15</w:t>
            </w:r>
          </w:p>
        </w:tc>
        <w:tc>
          <w:tcPr>
            <w:tcW w:w="1227" w:type="dxa"/>
            <w:vAlign w:val="center"/>
          </w:tcPr>
          <w:p w14:paraId="3605454A">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仪器车</w:t>
            </w:r>
          </w:p>
        </w:tc>
        <w:tc>
          <w:tcPr>
            <w:tcW w:w="6167" w:type="dxa"/>
            <w:vAlign w:val="center"/>
          </w:tcPr>
          <w:p w14:paraId="03400A58">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≥600 mm×400 mm×800 mm，不锈钢材质，至少两层，各层带可拆卸护栏，总载重≥60 kg</w:t>
            </w:r>
          </w:p>
        </w:tc>
        <w:tc>
          <w:tcPr>
            <w:tcW w:w="863" w:type="dxa"/>
            <w:gridSpan w:val="4"/>
            <w:vAlign w:val="center"/>
          </w:tcPr>
          <w:p w14:paraId="4AD97902">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辆</w:t>
            </w:r>
          </w:p>
        </w:tc>
        <w:tc>
          <w:tcPr>
            <w:tcW w:w="925" w:type="dxa"/>
            <w:gridSpan w:val="3"/>
            <w:vAlign w:val="center"/>
          </w:tcPr>
          <w:p w14:paraId="14040D8F">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13A475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719A5D76">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16</w:t>
            </w:r>
          </w:p>
        </w:tc>
        <w:tc>
          <w:tcPr>
            <w:tcW w:w="1227" w:type="dxa"/>
            <w:vAlign w:val="center"/>
          </w:tcPr>
          <w:p w14:paraId="4A007406">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整理箱</w:t>
            </w:r>
          </w:p>
        </w:tc>
        <w:tc>
          <w:tcPr>
            <w:tcW w:w="6167" w:type="dxa"/>
            <w:vAlign w:val="center"/>
          </w:tcPr>
          <w:p w14:paraId="0E6FE346">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PP 材质，储存及分发试剂用</w:t>
            </w:r>
          </w:p>
        </w:tc>
        <w:tc>
          <w:tcPr>
            <w:tcW w:w="863" w:type="dxa"/>
            <w:gridSpan w:val="4"/>
            <w:vAlign w:val="center"/>
          </w:tcPr>
          <w:p w14:paraId="756EA6C7">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25" w:type="dxa"/>
            <w:gridSpan w:val="3"/>
            <w:vAlign w:val="center"/>
          </w:tcPr>
          <w:p w14:paraId="310122E5">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5</w:t>
            </w:r>
          </w:p>
        </w:tc>
      </w:tr>
      <w:tr w14:paraId="2B9966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2745EFF6">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17</w:t>
            </w:r>
          </w:p>
        </w:tc>
        <w:tc>
          <w:tcPr>
            <w:tcW w:w="1227" w:type="dxa"/>
            <w:vAlign w:val="center"/>
          </w:tcPr>
          <w:p w14:paraId="41138676">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大托盘</w:t>
            </w:r>
          </w:p>
        </w:tc>
        <w:tc>
          <w:tcPr>
            <w:tcW w:w="6167" w:type="dxa"/>
            <w:vAlign w:val="center"/>
          </w:tcPr>
          <w:p w14:paraId="251A2B65">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≥400 mm×300 mm×60 mm</w:t>
            </w:r>
          </w:p>
        </w:tc>
        <w:tc>
          <w:tcPr>
            <w:tcW w:w="863" w:type="dxa"/>
            <w:gridSpan w:val="4"/>
            <w:vAlign w:val="center"/>
          </w:tcPr>
          <w:p w14:paraId="77FF82F3">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25" w:type="dxa"/>
            <w:gridSpan w:val="3"/>
            <w:vAlign w:val="center"/>
          </w:tcPr>
          <w:p w14:paraId="204FAC80">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3</w:t>
            </w:r>
          </w:p>
        </w:tc>
      </w:tr>
      <w:tr w14:paraId="5A7167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3704827E">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18</w:t>
            </w:r>
          </w:p>
        </w:tc>
        <w:tc>
          <w:tcPr>
            <w:tcW w:w="1227" w:type="dxa"/>
            <w:vAlign w:val="center"/>
          </w:tcPr>
          <w:p w14:paraId="430EE37B">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小托盘</w:t>
            </w:r>
          </w:p>
        </w:tc>
        <w:tc>
          <w:tcPr>
            <w:tcW w:w="6167" w:type="dxa"/>
            <w:vAlign w:val="center"/>
          </w:tcPr>
          <w:p w14:paraId="2D39B901">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≥300 mm×200 mm×40 mm</w:t>
            </w:r>
          </w:p>
        </w:tc>
        <w:tc>
          <w:tcPr>
            <w:tcW w:w="863" w:type="dxa"/>
            <w:gridSpan w:val="4"/>
            <w:vAlign w:val="center"/>
          </w:tcPr>
          <w:p w14:paraId="1A7B349B">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25" w:type="dxa"/>
            <w:gridSpan w:val="3"/>
            <w:vAlign w:val="center"/>
          </w:tcPr>
          <w:p w14:paraId="039DDE9A">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3</w:t>
            </w:r>
          </w:p>
        </w:tc>
      </w:tr>
      <w:tr w14:paraId="129ACB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4B9F63FE">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19</w:t>
            </w:r>
          </w:p>
        </w:tc>
        <w:tc>
          <w:tcPr>
            <w:tcW w:w="1227" w:type="dxa"/>
            <w:vAlign w:val="center"/>
          </w:tcPr>
          <w:p w14:paraId="3CCBEF33">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实验用品提篮</w:t>
            </w:r>
          </w:p>
        </w:tc>
        <w:tc>
          <w:tcPr>
            <w:tcW w:w="6167" w:type="dxa"/>
            <w:vAlign w:val="center"/>
          </w:tcPr>
          <w:p w14:paraId="76A44EE4">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木制，配有提手，≥490 mm×360 mm×290 mm</w:t>
            </w:r>
          </w:p>
        </w:tc>
        <w:tc>
          <w:tcPr>
            <w:tcW w:w="863" w:type="dxa"/>
            <w:gridSpan w:val="4"/>
            <w:vAlign w:val="center"/>
          </w:tcPr>
          <w:p w14:paraId="18737917">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25" w:type="dxa"/>
            <w:gridSpan w:val="3"/>
            <w:vAlign w:val="center"/>
          </w:tcPr>
          <w:p w14:paraId="20F92F5D">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w:t>
            </w:r>
          </w:p>
        </w:tc>
      </w:tr>
      <w:tr w14:paraId="4BEE30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57823527">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20</w:t>
            </w:r>
          </w:p>
        </w:tc>
        <w:tc>
          <w:tcPr>
            <w:tcW w:w="1227" w:type="dxa"/>
            <w:vAlign w:val="center"/>
          </w:tcPr>
          <w:p w14:paraId="393E0152">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打孔器</w:t>
            </w:r>
          </w:p>
        </w:tc>
        <w:tc>
          <w:tcPr>
            <w:tcW w:w="6167" w:type="dxa"/>
            <w:vAlign w:val="center"/>
          </w:tcPr>
          <w:p w14:paraId="1AC56CB3">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刀口式，材质为不锈钢管、钢管或黄铜管，每组不少于4支，外径分别为9mm、8mm、7mm、6mm，并配一支带柄金属通扦</w:t>
            </w:r>
          </w:p>
        </w:tc>
        <w:tc>
          <w:tcPr>
            <w:tcW w:w="863" w:type="dxa"/>
            <w:gridSpan w:val="4"/>
            <w:vAlign w:val="center"/>
          </w:tcPr>
          <w:p w14:paraId="22E7D490">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套</w:t>
            </w:r>
          </w:p>
        </w:tc>
        <w:tc>
          <w:tcPr>
            <w:tcW w:w="925" w:type="dxa"/>
            <w:gridSpan w:val="3"/>
            <w:vAlign w:val="center"/>
          </w:tcPr>
          <w:p w14:paraId="32D2615E">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w:t>
            </w:r>
          </w:p>
        </w:tc>
      </w:tr>
      <w:tr w14:paraId="1B3C04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0BD350FD">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21</w:t>
            </w:r>
          </w:p>
        </w:tc>
        <w:tc>
          <w:tcPr>
            <w:tcW w:w="1227" w:type="dxa"/>
            <w:vAlign w:val="center"/>
          </w:tcPr>
          <w:p w14:paraId="44D6C0F1">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打孔夹板</w:t>
            </w:r>
          </w:p>
        </w:tc>
        <w:tc>
          <w:tcPr>
            <w:tcW w:w="6167" w:type="dxa"/>
            <w:vAlign w:val="center"/>
          </w:tcPr>
          <w:p w14:paraId="7DB4BEE1">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硬木或硬塑料制</w:t>
            </w:r>
          </w:p>
        </w:tc>
        <w:tc>
          <w:tcPr>
            <w:tcW w:w="863" w:type="dxa"/>
            <w:gridSpan w:val="4"/>
            <w:vAlign w:val="center"/>
          </w:tcPr>
          <w:p w14:paraId="1A0BBC12">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25" w:type="dxa"/>
            <w:gridSpan w:val="3"/>
            <w:vAlign w:val="center"/>
          </w:tcPr>
          <w:p w14:paraId="4F3ABB9B">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248679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68883804">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22</w:t>
            </w:r>
          </w:p>
        </w:tc>
        <w:tc>
          <w:tcPr>
            <w:tcW w:w="1227" w:type="dxa"/>
            <w:vAlign w:val="center"/>
          </w:tcPr>
          <w:p w14:paraId="4CD9EFA2">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打孔器刮刀</w:t>
            </w:r>
          </w:p>
        </w:tc>
        <w:tc>
          <w:tcPr>
            <w:tcW w:w="6167" w:type="dxa"/>
            <w:vAlign w:val="center"/>
          </w:tcPr>
          <w:p w14:paraId="5FCAEF31">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刮刀宜用65M板制成，表面热处理，55 HRC ~ 60 HRC，总长为70 mm±0.5 mm，宽14.5mm±0.1mm，厚1.8mm±0.5mm；刀口角度宜为60°±5 °,锋刃＜0.1 mm</w:t>
            </w:r>
          </w:p>
        </w:tc>
        <w:tc>
          <w:tcPr>
            <w:tcW w:w="863" w:type="dxa"/>
            <w:gridSpan w:val="4"/>
            <w:vAlign w:val="center"/>
          </w:tcPr>
          <w:p w14:paraId="074726BC">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25" w:type="dxa"/>
            <w:gridSpan w:val="3"/>
            <w:vAlign w:val="center"/>
          </w:tcPr>
          <w:p w14:paraId="4FA5BE68">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33BF7D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55FEFF10">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23</w:t>
            </w:r>
          </w:p>
        </w:tc>
        <w:tc>
          <w:tcPr>
            <w:tcW w:w="1227" w:type="dxa"/>
            <w:vAlign w:val="center"/>
          </w:tcPr>
          <w:p w14:paraId="328BDD7C">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低压测电器</w:t>
            </w:r>
          </w:p>
        </w:tc>
        <w:tc>
          <w:tcPr>
            <w:tcW w:w="6167" w:type="dxa"/>
            <w:vAlign w:val="center"/>
          </w:tcPr>
          <w:p w14:paraId="3ABC9B44">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笔式，氖泡式，测电极长≤10 mm，测量范围 100 V～500 V，辉光应稳定不闪烁</w:t>
            </w:r>
          </w:p>
        </w:tc>
        <w:tc>
          <w:tcPr>
            <w:tcW w:w="863" w:type="dxa"/>
            <w:gridSpan w:val="4"/>
            <w:vAlign w:val="center"/>
          </w:tcPr>
          <w:p w14:paraId="709D428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支</w:t>
            </w:r>
          </w:p>
        </w:tc>
        <w:tc>
          <w:tcPr>
            <w:tcW w:w="925" w:type="dxa"/>
            <w:gridSpan w:val="3"/>
            <w:vAlign w:val="center"/>
          </w:tcPr>
          <w:p w14:paraId="5C0E82DF">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3E8D89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544444EF">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24</w:t>
            </w:r>
          </w:p>
        </w:tc>
        <w:tc>
          <w:tcPr>
            <w:tcW w:w="1227" w:type="dxa"/>
            <w:vAlign w:val="center"/>
          </w:tcPr>
          <w:p w14:paraId="5A1579C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一字螺丝刀</w:t>
            </w:r>
          </w:p>
        </w:tc>
        <w:tc>
          <w:tcPr>
            <w:tcW w:w="6167" w:type="dxa"/>
            <w:vAlign w:val="center"/>
          </w:tcPr>
          <w:p w14:paraId="04EE029E">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≥Φ6mm，长≥150mm；≥Φ3 mm，长≥75 mm，工作部带磁性，硬度≥48 HRC；旋杆采用铬钒钢，旋杆长度≥100 mm，应经镀铬防锈处理；手柄采用高强度PP+高强性 TPR注塑成型</w:t>
            </w:r>
          </w:p>
        </w:tc>
        <w:tc>
          <w:tcPr>
            <w:tcW w:w="863" w:type="dxa"/>
            <w:gridSpan w:val="4"/>
            <w:vAlign w:val="center"/>
          </w:tcPr>
          <w:p w14:paraId="39E71EC5">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套</w:t>
            </w:r>
          </w:p>
        </w:tc>
        <w:tc>
          <w:tcPr>
            <w:tcW w:w="925" w:type="dxa"/>
            <w:gridSpan w:val="3"/>
            <w:vAlign w:val="center"/>
          </w:tcPr>
          <w:p w14:paraId="72944E52">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0A3A5B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56D00C98">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25</w:t>
            </w:r>
          </w:p>
        </w:tc>
        <w:tc>
          <w:tcPr>
            <w:tcW w:w="1227" w:type="dxa"/>
            <w:vAlign w:val="center"/>
          </w:tcPr>
          <w:p w14:paraId="067FFEA3">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十字螺丝刀</w:t>
            </w:r>
          </w:p>
        </w:tc>
        <w:tc>
          <w:tcPr>
            <w:tcW w:w="6167" w:type="dxa"/>
            <w:vAlign w:val="center"/>
          </w:tcPr>
          <w:p w14:paraId="77585767">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≥Φ6mm，长≥150mm；≥Φ3mm，长≥75mm，工作部带磁性，硬度≥48 HRC；旋杆采用铬钒钢，旋杆长度≥100mm，应经镀铬防锈处理；手柄采用高强度PP+高强性TPR注塑成型</w:t>
            </w:r>
          </w:p>
        </w:tc>
        <w:tc>
          <w:tcPr>
            <w:tcW w:w="863" w:type="dxa"/>
            <w:gridSpan w:val="4"/>
            <w:vAlign w:val="center"/>
          </w:tcPr>
          <w:p w14:paraId="131E005C">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套</w:t>
            </w:r>
          </w:p>
        </w:tc>
        <w:tc>
          <w:tcPr>
            <w:tcW w:w="925" w:type="dxa"/>
            <w:gridSpan w:val="3"/>
            <w:vAlign w:val="center"/>
          </w:tcPr>
          <w:p w14:paraId="0100794E">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06AC45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7BD290B5">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26</w:t>
            </w:r>
          </w:p>
        </w:tc>
        <w:tc>
          <w:tcPr>
            <w:tcW w:w="1227" w:type="dxa"/>
            <w:vAlign w:val="center"/>
          </w:tcPr>
          <w:p w14:paraId="58065DDC">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钢手锯</w:t>
            </w:r>
          </w:p>
        </w:tc>
        <w:tc>
          <w:tcPr>
            <w:tcW w:w="6167" w:type="dxa"/>
            <w:vAlign w:val="center"/>
          </w:tcPr>
          <w:p w14:paraId="074BAAF3">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A 型（单面）≥300mm，齿数：≥18（每25mm）； 可调钢锯架，前后固定销与相应孔的配合间隙 ≤0.3 mm；安装锯条后，锯条中心平面与锯架 中心平面的平行度≤2 mm；钢锯在达到 99 N 拉力后经 1 min，不应有永久变形， 拉钉不得 松动脱落。钢板制锯架在达到 900 N 张力时， 侧弯不得超过 1.8 mm</w:t>
            </w:r>
          </w:p>
        </w:tc>
        <w:tc>
          <w:tcPr>
            <w:tcW w:w="863" w:type="dxa"/>
            <w:gridSpan w:val="4"/>
            <w:vAlign w:val="center"/>
          </w:tcPr>
          <w:p w14:paraId="7CE9E093">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把</w:t>
            </w:r>
          </w:p>
        </w:tc>
        <w:tc>
          <w:tcPr>
            <w:tcW w:w="925" w:type="dxa"/>
            <w:gridSpan w:val="3"/>
            <w:vAlign w:val="center"/>
          </w:tcPr>
          <w:p w14:paraId="33595F5D">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0219D4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19EAB47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27</w:t>
            </w:r>
          </w:p>
        </w:tc>
        <w:tc>
          <w:tcPr>
            <w:tcW w:w="1227" w:type="dxa"/>
            <w:vAlign w:val="center"/>
          </w:tcPr>
          <w:p w14:paraId="5C1A4D36">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剥线钳</w:t>
            </w:r>
          </w:p>
        </w:tc>
        <w:tc>
          <w:tcPr>
            <w:tcW w:w="6167" w:type="dxa"/>
            <w:vAlign w:val="center"/>
          </w:tcPr>
          <w:p w14:paraId="781106DA">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自动剥线钳，Φ 0.5 mm~Φ 2.5 mm；刃口在闭 合状态，刃口间隙应≤0.3 mm； 刃口错位应 ≤0.2 mm；钳口硬度应≥65 HRA 或 30 HRC</w:t>
            </w:r>
          </w:p>
        </w:tc>
        <w:tc>
          <w:tcPr>
            <w:tcW w:w="863" w:type="dxa"/>
            <w:gridSpan w:val="4"/>
            <w:vAlign w:val="center"/>
          </w:tcPr>
          <w:p w14:paraId="4040CB2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把</w:t>
            </w:r>
          </w:p>
        </w:tc>
        <w:tc>
          <w:tcPr>
            <w:tcW w:w="925" w:type="dxa"/>
            <w:gridSpan w:val="3"/>
            <w:vAlign w:val="center"/>
          </w:tcPr>
          <w:p w14:paraId="10BEC860">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275BBB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33FE0DF5">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28</w:t>
            </w:r>
          </w:p>
        </w:tc>
        <w:tc>
          <w:tcPr>
            <w:tcW w:w="1227" w:type="dxa"/>
            <w:vAlign w:val="center"/>
          </w:tcPr>
          <w:p w14:paraId="346A4D11">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钢丝钳</w:t>
            </w:r>
          </w:p>
        </w:tc>
        <w:tc>
          <w:tcPr>
            <w:tcW w:w="6167" w:type="dxa"/>
            <w:vAlign w:val="center"/>
          </w:tcPr>
          <w:p w14:paraId="6D1B6695">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160 mm，抗弯强度：1120 N；扭力：15 N·m，15° ; 嘴顶缝隙：0.4 mm；剪切性能：Φ 16 mm 钢丝， 580 N；夹持面硬度≥44 HRC，PVC 全新料环保手 柄，在≤18 N 的力作用下撑开角度≥22°</w:t>
            </w:r>
          </w:p>
        </w:tc>
        <w:tc>
          <w:tcPr>
            <w:tcW w:w="863" w:type="dxa"/>
            <w:gridSpan w:val="4"/>
            <w:vAlign w:val="center"/>
          </w:tcPr>
          <w:p w14:paraId="4F3B4110">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把</w:t>
            </w:r>
          </w:p>
        </w:tc>
        <w:tc>
          <w:tcPr>
            <w:tcW w:w="925" w:type="dxa"/>
            <w:gridSpan w:val="3"/>
            <w:vAlign w:val="center"/>
          </w:tcPr>
          <w:p w14:paraId="2F3BE20C">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61D972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0522DF20">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29</w:t>
            </w:r>
          </w:p>
        </w:tc>
        <w:tc>
          <w:tcPr>
            <w:tcW w:w="1227" w:type="dxa"/>
            <w:vAlign w:val="center"/>
          </w:tcPr>
          <w:p w14:paraId="25D69177">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钢锤</w:t>
            </w:r>
          </w:p>
        </w:tc>
        <w:tc>
          <w:tcPr>
            <w:tcW w:w="6167" w:type="dxa"/>
            <w:vAlign w:val="center"/>
          </w:tcPr>
          <w:p w14:paraId="3397369B">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≥0.25 kg，羊角锤</w:t>
            </w:r>
          </w:p>
        </w:tc>
        <w:tc>
          <w:tcPr>
            <w:tcW w:w="863" w:type="dxa"/>
            <w:gridSpan w:val="4"/>
            <w:vAlign w:val="center"/>
          </w:tcPr>
          <w:p w14:paraId="4B16B0E0">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把</w:t>
            </w:r>
          </w:p>
        </w:tc>
        <w:tc>
          <w:tcPr>
            <w:tcW w:w="925" w:type="dxa"/>
            <w:gridSpan w:val="3"/>
            <w:vAlign w:val="center"/>
          </w:tcPr>
          <w:p w14:paraId="408C4FAD">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3F49FB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6E0D12E5">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30</w:t>
            </w:r>
          </w:p>
        </w:tc>
        <w:tc>
          <w:tcPr>
            <w:tcW w:w="1227" w:type="dxa"/>
            <w:vAlign w:val="center"/>
          </w:tcPr>
          <w:p w14:paraId="069ABC74">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活扳手</w:t>
            </w:r>
          </w:p>
        </w:tc>
        <w:tc>
          <w:tcPr>
            <w:tcW w:w="6167" w:type="dxa"/>
            <w:vAlign w:val="center"/>
          </w:tcPr>
          <w:p w14:paraId="793C58EC">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≥200 mm，活动扳口和扳体头部以及蜗杆的硬度 ≥40 HRC</w:t>
            </w:r>
          </w:p>
        </w:tc>
        <w:tc>
          <w:tcPr>
            <w:tcW w:w="863" w:type="dxa"/>
            <w:gridSpan w:val="4"/>
            <w:vAlign w:val="center"/>
          </w:tcPr>
          <w:p w14:paraId="1B2C4B13">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把</w:t>
            </w:r>
          </w:p>
        </w:tc>
        <w:tc>
          <w:tcPr>
            <w:tcW w:w="925" w:type="dxa"/>
            <w:gridSpan w:val="3"/>
            <w:vAlign w:val="center"/>
          </w:tcPr>
          <w:p w14:paraId="0D48DCC4">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276641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1451CFAC">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31</w:t>
            </w:r>
          </w:p>
        </w:tc>
        <w:tc>
          <w:tcPr>
            <w:tcW w:w="1227" w:type="dxa"/>
            <w:vAlign w:val="center"/>
          </w:tcPr>
          <w:p w14:paraId="2198AB8A">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砂轮片</w:t>
            </w:r>
          </w:p>
        </w:tc>
        <w:tc>
          <w:tcPr>
            <w:tcW w:w="6167" w:type="dxa"/>
            <w:vAlign w:val="center"/>
          </w:tcPr>
          <w:p w14:paraId="78F98D7E">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Φ 20 mm～Φ 30 mm</w:t>
            </w:r>
          </w:p>
        </w:tc>
        <w:tc>
          <w:tcPr>
            <w:tcW w:w="863" w:type="dxa"/>
            <w:gridSpan w:val="4"/>
            <w:vAlign w:val="center"/>
          </w:tcPr>
          <w:p w14:paraId="18B61C1A">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片</w:t>
            </w:r>
          </w:p>
        </w:tc>
        <w:tc>
          <w:tcPr>
            <w:tcW w:w="925" w:type="dxa"/>
            <w:gridSpan w:val="3"/>
            <w:vAlign w:val="center"/>
          </w:tcPr>
          <w:p w14:paraId="1D60D8B4">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3</w:t>
            </w:r>
          </w:p>
        </w:tc>
      </w:tr>
      <w:tr w14:paraId="49CF7C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18E2994F">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32</w:t>
            </w:r>
          </w:p>
        </w:tc>
        <w:tc>
          <w:tcPr>
            <w:tcW w:w="1227" w:type="dxa"/>
            <w:vAlign w:val="center"/>
          </w:tcPr>
          <w:p w14:paraId="482029BD">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软尺</w:t>
            </w:r>
          </w:p>
        </w:tc>
        <w:tc>
          <w:tcPr>
            <w:tcW w:w="6167" w:type="dxa"/>
            <w:vAlign w:val="center"/>
          </w:tcPr>
          <w:p w14:paraId="14EE20CA">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～1500 mm</w:t>
            </w:r>
          </w:p>
        </w:tc>
        <w:tc>
          <w:tcPr>
            <w:tcW w:w="863" w:type="dxa"/>
            <w:gridSpan w:val="4"/>
            <w:vAlign w:val="center"/>
          </w:tcPr>
          <w:p w14:paraId="0E6C92CB">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25" w:type="dxa"/>
            <w:gridSpan w:val="3"/>
            <w:vAlign w:val="center"/>
          </w:tcPr>
          <w:p w14:paraId="76482C11">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9</w:t>
            </w:r>
          </w:p>
        </w:tc>
      </w:tr>
      <w:tr w14:paraId="3467D1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37E6B77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33</w:t>
            </w:r>
          </w:p>
        </w:tc>
        <w:tc>
          <w:tcPr>
            <w:tcW w:w="1227" w:type="dxa"/>
            <w:vAlign w:val="center"/>
          </w:tcPr>
          <w:p w14:paraId="2919796C">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托盘天平</w:t>
            </w:r>
          </w:p>
        </w:tc>
        <w:tc>
          <w:tcPr>
            <w:tcW w:w="6167" w:type="dxa"/>
            <w:vAlign w:val="center"/>
          </w:tcPr>
          <w:p w14:paraId="5153DD41">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≥200 g，0.2 g</w:t>
            </w:r>
          </w:p>
        </w:tc>
        <w:tc>
          <w:tcPr>
            <w:tcW w:w="863" w:type="dxa"/>
            <w:gridSpan w:val="4"/>
            <w:vAlign w:val="center"/>
          </w:tcPr>
          <w:p w14:paraId="195BE93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台</w:t>
            </w:r>
          </w:p>
        </w:tc>
        <w:tc>
          <w:tcPr>
            <w:tcW w:w="925" w:type="dxa"/>
            <w:gridSpan w:val="3"/>
            <w:vAlign w:val="center"/>
          </w:tcPr>
          <w:p w14:paraId="760EE4AE">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9</w:t>
            </w:r>
          </w:p>
        </w:tc>
      </w:tr>
      <w:tr w14:paraId="1C10C3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0DCFE5BE">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34</w:t>
            </w:r>
          </w:p>
        </w:tc>
        <w:tc>
          <w:tcPr>
            <w:tcW w:w="1227" w:type="dxa"/>
            <w:vAlign w:val="center"/>
          </w:tcPr>
          <w:p w14:paraId="7BAD6750">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电子天平</w:t>
            </w:r>
          </w:p>
        </w:tc>
        <w:tc>
          <w:tcPr>
            <w:tcW w:w="6167" w:type="dxa"/>
            <w:vAlign w:val="center"/>
          </w:tcPr>
          <w:p w14:paraId="4661583B">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≥200 g，0.01 g</w:t>
            </w:r>
          </w:p>
        </w:tc>
        <w:tc>
          <w:tcPr>
            <w:tcW w:w="863" w:type="dxa"/>
            <w:gridSpan w:val="4"/>
            <w:vAlign w:val="center"/>
          </w:tcPr>
          <w:p w14:paraId="1F82A621">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台</w:t>
            </w:r>
          </w:p>
        </w:tc>
        <w:tc>
          <w:tcPr>
            <w:tcW w:w="925" w:type="dxa"/>
            <w:gridSpan w:val="3"/>
            <w:vAlign w:val="center"/>
          </w:tcPr>
          <w:p w14:paraId="722BF988">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9</w:t>
            </w:r>
          </w:p>
        </w:tc>
      </w:tr>
      <w:tr w14:paraId="1A88D8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4A261187">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35</w:t>
            </w:r>
          </w:p>
        </w:tc>
        <w:tc>
          <w:tcPr>
            <w:tcW w:w="1227" w:type="dxa"/>
            <w:vAlign w:val="center"/>
          </w:tcPr>
          <w:p w14:paraId="317B3538">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电子天平</w:t>
            </w:r>
          </w:p>
        </w:tc>
        <w:tc>
          <w:tcPr>
            <w:tcW w:w="6167" w:type="dxa"/>
            <w:vAlign w:val="center"/>
          </w:tcPr>
          <w:p w14:paraId="5EB582A1">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≥500 g, 0.01 g</w:t>
            </w:r>
          </w:p>
        </w:tc>
        <w:tc>
          <w:tcPr>
            <w:tcW w:w="863" w:type="dxa"/>
            <w:gridSpan w:val="4"/>
            <w:vAlign w:val="center"/>
          </w:tcPr>
          <w:p w14:paraId="746139CB">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台</w:t>
            </w:r>
          </w:p>
        </w:tc>
        <w:tc>
          <w:tcPr>
            <w:tcW w:w="925" w:type="dxa"/>
            <w:gridSpan w:val="3"/>
            <w:vAlign w:val="center"/>
          </w:tcPr>
          <w:p w14:paraId="50F322BF">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6E19D4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0EF69FEB">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36</w:t>
            </w:r>
          </w:p>
        </w:tc>
        <w:tc>
          <w:tcPr>
            <w:tcW w:w="1227" w:type="dxa"/>
            <w:vAlign w:val="center"/>
          </w:tcPr>
          <w:p w14:paraId="2661A71B">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电子秒表</w:t>
            </w:r>
          </w:p>
        </w:tc>
        <w:tc>
          <w:tcPr>
            <w:tcW w:w="6167" w:type="dxa"/>
            <w:vAlign w:val="center"/>
          </w:tcPr>
          <w:p w14:paraId="0B547B26">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专用型，全时段分辨力≥0.01 s；有防震、防水 功能，电池更换周期≥1.5 年</w:t>
            </w:r>
          </w:p>
        </w:tc>
        <w:tc>
          <w:tcPr>
            <w:tcW w:w="863" w:type="dxa"/>
            <w:gridSpan w:val="4"/>
            <w:vAlign w:val="center"/>
          </w:tcPr>
          <w:p w14:paraId="43050718">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25" w:type="dxa"/>
            <w:gridSpan w:val="3"/>
            <w:vAlign w:val="center"/>
          </w:tcPr>
          <w:p w14:paraId="32EDF697">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9</w:t>
            </w:r>
          </w:p>
        </w:tc>
      </w:tr>
      <w:tr w14:paraId="65D559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6FFFBD51">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37</w:t>
            </w:r>
          </w:p>
        </w:tc>
        <w:tc>
          <w:tcPr>
            <w:tcW w:w="1227" w:type="dxa"/>
            <w:vAlign w:val="center"/>
          </w:tcPr>
          <w:p w14:paraId="410EC48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红液温度计</w:t>
            </w:r>
          </w:p>
        </w:tc>
        <w:tc>
          <w:tcPr>
            <w:tcW w:w="6167" w:type="dxa"/>
            <w:vAlign w:val="center"/>
          </w:tcPr>
          <w:p w14:paraId="6E969C33">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0 ℃～ 100 ℃,分度值 1 ℃,示值误差 ＜1.5 ℃</w:t>
            </w:r>
          </w:p>
        </w:tc>
        <w:tc>
          <w:tcPr>
            <w:tcW w:w="863" w:type="dxa"/>
            <w:gridSpan w:val="4"/>
            <w:vAlign w:val="center"/>
          </w:tcPr>
          <w:p w14:paraId="22F347F7">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支</w:t>
            </w:r>
          </w:p>
        </w:tc>
        <w:tc>
          <w:tcPr>
            <w:tcW w:w="925" w:type="dxa"/>
            <w:gridSpan w:val="3"/>
            <w:vAlign w:val="center"/>
          </w:tcPr>
          <w:p w14:paraId="6A1C96E2">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30</w:t>
            </w:r>
          </w:p>
        </w:tc>
      </w:tr>
      <w:tr w14:paraId="5EDBA5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44CD134F">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38</w:t>
            </w:r>
          </w:p>
        </w:tc>
        <w:tc>
          <w:tcPr>
            <w:tcW w:w="1227" w:type="dxa"/>
            <w:vAlign w:val="center"/>
          </w:tcPr>
          <w:p w14:paraId="0A6AA69A">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水银温度计</w:t>
            </w:r>
          </w:p>
        </w:tc>
        <w:tc>
          <w:tcPr>
            <w:tcW w:w="6167" w:type="dxa"/>
            <w:vAlign w:val="center"/>
          </w:tcPr>
          <w:p w14:paraId="388620D0">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0 ℃～200 ℃,分度值 1 ℃, 示值误差 ＜0.5 ℃ , 有保护套</w:t>
            </w:r>
          </w:p>
        </w:tc>
        <w:tc>
          <w:tcPr>
            <w:tcW w:w="863" w:type="dxa"/>
            <w:gridSpan w:val="4"/>
            <w:vAlign w:val="center"/>
          </w:tcPr>
          <w:p w14:paraId="0CA58E41">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支</w:t>
            </w:r>
          </w:p>
        </w:tc>
        <w:tc>
          <w:tcPr>
            <w:tcW w:w="925" w:type="dxa"/>
            <w:gridSpan w:val="3"/>
            <w:vAlign w:val="center"/>
          </w:tcPr>
          <w:p w14:paraId="464EFA0D">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5</w:t>
            </w:r>
          </w:p>
        </w:tc>
      </w:tr>
      <w:tr w14:paraId="377452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2B6A1FF5">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39</w:t>
            </w:r>
          </w:p>
        </w:tc>
        <w:tc>
          <w:tcPr>
            <w:tcW w:w="1227" w:type="dxa"/>
            <w:vAlign w:val="center"/>
          </w:tcPr>
          <w:p w14:paraId="2158D3C5">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干湿球温度计</w:t>
            </w:r>
          </w:p>
        </w:tc>
        <w:tc>
          <w:tcPr>
            <w:tcW w:w="6167" w:type="dxa"/>
            <w:vAlign w:val="center"/>
          </w:tcPr>
          <w:p w14:paraId="67C0F745">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-25 ℃～50 ℃,分度值 0.2 ℃;测量湿度 0%～100%</w:t>
            </w:r>
          </w:p>
        </w:tc>
        <w:tc>
          <w:tcPr>
            <w:tcW w:w="863" w:type="dxa"/>
            <w:gridSpan w:val="4"/>
            <w:vAlign w:val="center"/>
          </w:tcPr>
          <w:p w14:paraId="70DAEF93">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25" w:type="dxa"/>
            <w:gridSpan w:val="3"/>
            <w:vAlign w:val="center"/>
          </w:tcPr>
          <w:p w14:paraId="1A25CE9E">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9</w:t>
            </w:r>
          </w:p>
        </w:tc>
      </w:tr>
      <w:tr w14:paraId="5F499D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049750F1">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40</w:t>
            </w:r>
          </w:p>
        </w:tc>
        <w:tc>
          <w:tcPr>
            <w:tcW w:w="1227" w:type="dxa"/>
            <w:vAlign w:val="center"/>
          </w:tcPr>
          <w:p w14:paraId="3C08E213">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计数器</w:t>
            </w:r>
          </w:p>
        </w:tc>
        <w:tc>
          <w:tcPr>
            <w:tcW w:w="6167" w:type="dxa"/>
            <w:vAlign w:val="center"/>
          </w:tcPr>
          <w:p w14:paraId="3BD5D968">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手持式</w:t>
            </w:r>
          </w:p>
        </w:tc>
        <w:tc>
          <w:tcPr>
            <w:tcW w:w="863" w:type="dxa"/>
            <w:gridSpan w:val="4"/>
            <w:vAlign w:val="center"/>
          </w:tcPr>
          <w:p w14:paraId="160230D8">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25" w:type="dxa"/>
            <w:gridSpan w:val="3"/>
            <w:vAlign w:val="center"/>
          </w:tcPr>
          <w:p w14:paraId="6D187B93">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9</w:t>
            </w:r>
          </w:p>
        </w:tc>
      </w:tr>
      <w:tr w14:paraId="6284C6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262F1541">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41</w:t>
            </w:r>
          </w:p>
        </w:tc>
        <w:tc>
          <w:tcPr>
            <w:tcW w:w="1227" w:type="dxa"/>
            <w:vAlign w:val="center"/>
          </w:tcPr>
          <w:p w14:paraId="774F13F6">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解剖器</w:t>
            </w:r>
          </w:p>
        </w:tc>
        <w:tc>
          <w:tcPr>
            <w:tcW w:w="6167" w:type="dxa"/>
            <w:vAlign w:val="center"/>
          </w:tcPr>
          <w:p w14:paraId="2FBDAACC">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不锈钢材料，≥7 件，包括：2 把解剖剪（直剪、 弯剪各 1）、2 个镊子（直头、弯头各 1）、2 个解剖刀（圆头、尖头各 1）、1 个解剖针</w:t>
            </w:r>
          </w:p>
        </w:tc>
        <w:tc>
          <w:tcPr>
            <w:tcW w:w="863" w:type="dxa"/>
            <w:gridSpan w:val="4"/>
            <w:vAlign w:val="center"/>
          </w:tcPr>
          <w:p w14:paraId="1A4E1347">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套</w:t>
            </w:r>
          </w:p>
        </w:tc>
        <w:tc>
          <w:tcPr>
            <w:tcW w:w="925" w:type="dxa"/>
            <w:gridSpan w:val="3"/>
            <w:vAlign w:val="center"/>
          </w:tcPr>
          <w:p w14:paraId="404642FD">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9</w:t>
            </w:r>
          </w:p>
        </w:tc>
      </w:tr>
      <w:tr w14:paraId="754622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1AC3712A">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42</w:t>
            </w:r>
          </w:p>
        </w:tc>
        <w:tc>
          <w:tcPr>
            <w:tcW w:w="1227" w:type="dxa"/>
            <w:vAlign w:val="center"/>
          </w:tcPr>
          <w:p w14:paraId="56D917B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解剖盘</w:t>
            </w:r>
          </w:p>
        </w:tc>
        <w:tc>
          <w:tcPr>
            <w:tcW w:w="6167" w:type="dxa"/>
            <w:vAlign w:val="center"/>
          </w:tcPr>
          <w:p w14:paraId="616FE846">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≥260 mm×200 mm×30 mm，蜡盘</w:t>
            </w:r>
          </w:p>
        </w:tc>
        <w:tc>
          <w:tcPr>
            <w:tcW w:w="863" w:type="dxa"/>
            <w:gridSpan w:val="4"/>
            <w:vAlign w:val="center"/>
          </w:tcPr>
          <w:p w14:paraId="1D2EBDFE">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25" w:type="dxa"/>
            <w:gridSpan w:val="3"/>
            <w:vAlign w:val="center"/>
          </w:tcPr>
          <w:p w14:paraId="253B76B7">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9</w:t>
            </w:r>
          </w:p>
        </w:tc>
      </w:tr>
      <w:tr w14:paraId="6AC5DE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1E9BB316">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43</w:t>
            </w:r>
          </w:p>
        </w:tc>
        <w:tc>
          <w:tcPr>
            <w:tcW w:w="1227" w:type="dxa"/>
            <w:vAlign w:val="center"/>
          </w:tcPr>
          <w:p w14:paraId="56320678">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骨剪</w:t>
            </w:r>
          </w:p>
        </w:tc>
        <w:tc>
          <w:tcPr>
            <w:tcW w:w="6167" w:type="dxa"/>
            <w:vAlign w:val="center"/>
          </w:tcPr>
          <w:p w14:paraId="582EFB44">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不锈钢材料，≥130 mm</w:t>
            </w:r>
          </w:p>
        </w:tc>
        <w:tc>
          <w:tcPr>
            <w:tcW w:w="863" w:type="dxa"/>
            <w:gridSpan w:val="4"/>
            <w:vAlign w:val="center"/>
          </w:tcPr>
          <w:p w14:paraId="1D6A3918">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把</w:t>
            </w:r>
          </w:p>
        </w:tc>
        <w:tc>
          <w:tcPr>
            <w:tcW w:w="925" w:type="dxa"/>
            <w:gridSpan w:val="3"/>
            <w:vAlign w:val="center"/>
          </w:tcPr>
          <w:p w14:paraId="0F1D1BF2">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5FCD88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43FC121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44</w:t>
            </w:r>
          </w:p>
        </w:tc>
        <w:tc>
          <w:tcPr>
            <w:tcW w:w="1227" w:type="dxa"/>
            <w:vAlign w:val="center"/>
          </w:tcPr>
          <w:p w14:paraId="384F2A1D">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普通手术剪</w:t>
            </w:r>
          </w:p>
        </w:tc>
        <w:tc>
          <w:tcPr>
            <w:tcW w:w="6167" w:type="dxa"/>
            <w:vAlign w:val="center"/>
          </w:tcPr>
          <w:p w14:paraId="500F7CFE">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尖头，≥140 mm</w:t>
            </w:r>
          </w:p>
        </w:tc>
        <w:tc>
          <w:tcPr>
            <w:tcW w:w="863" w:type="dxa"/>
            <w:gridSpan w:val="4"/>
            <w:vAlign w:val="center"/>
          </w:tcPr>
          <w:p w14:paraId="7D3AE9AC">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把</w:t>
            </w:r>
          </w:p>
        </w:tc>
        <w:tc>
          <w:tcPr>
            <w:tcW w:w="925" w:type="dxa"/>
            <w:gridSpan w:val="3"/>
            <w:vAlign w:val="center"/>
          </w:tcPr>
          <w:p w14:paraId="58235DAD">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w:t>
            </w:r>
          </w:p>
        </w:tc>
      </w:tr>
      <w:tr w14:paraId="39EC52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6B05B081">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45</w:t>
            </w:r>
          </w:p>
        </w:tc>
        <w:tc>
          <w:tcPr>
            <w:tcW w:w="1227" w:type="dxa"/>
            <w:vAlign w:val="center"/>
          </w:tcPr>
          <w:p w14:paraId="5451401F">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眼用手术剪</w:t>
            </w:r>
          </w:p>
        </w:tc>
        <w:tc>
          <w:tcPr>
            <w:tcW w:w="6167" w:type="dxa"/>
            <w:vAlign w:val="center"/>
          </w:tcPr>
          <w:p w14:paraId="4C15B775">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尖头，≥100 mm</w:t>
            </w:r>
          </w:p>
        </w:tc>
        <w:tc>
          <w:tcPr>
            <w:tcW w:w="863" w:type="dxa"/>
            <w:gridSpan w:val="4"/>
            <w:vAlign w:val="center"/>
          </w:tcPr>
          <w:p w14:paraId="782BE74E">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把</w:t>
            </w:r>
          </w:p>
        </w:tc>
        <w:tc>
          <w:tcPr>
            <w:tcW w:w="925" w:type="dxa"/>
            <w:gridSpan w:val="3"/>
            <w:vAlign w:val="center"/>
          </w:tcPr>
          <w:p w14:paraId="47559971">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w:t>
            </w:r>
          </w:p>
        </w:tc>
      </w:tr>
      <w:tr w14:paraId="43535C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3A25D928">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46</w:t>
            </w:r>
          </w:p>
        </w:tc>
        <w:tc>
          <w:tcPr>
            <w:tcW w:w="1227" w:type="dxa"/>
            <w:vAlign w:val="center"/>
          </w:tcPr>
          <w:p w14:paraId="5908B982">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手术刀柄</w:t>
            </w:r>
          </w:p>
        </w:tc>
        <w:tc>
          <w:tcPr>
            <w:tcW w:w="6167" w:type="dxa"/>
            <w:vAlign w:val="center"/>
          </w:tcPr>
          <w:p w14:paraId="3EC1923C">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刀柄外形轮廓应清晰， 刀柄与手术刀片配合时， 插卸应轻松</w:t>
            </w:r>
          </w:p>
        </w:tc>
        <w:tc>
          <w:tcPr>
            <w:tcW w:w="863" w:type="dxa"/>
            <w:gridSpan w:val="4"/>
            <w:vAlign w:val="center"/>
          </w:tcPr>
          <w:p w14:paraId="2313D1C1">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把</w:t>
            </w:r>
          </w:p>
        </w:tc>
        <w:tc>
          <w:tcPr>
            <w:tcW w:w="925" w:type="dxa"/>
            <w:gridSpan w:val="3"/>
            <w:vAlign w:val="center"/>
          </w:tcPr>
          <w:p w14:paraId="4A62974E">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w:t>
            </w:r>
          </w:p>
        </w:tc>
      </w:tr>
      <w:tr w14:paraId="48F637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6FFE90CB">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47</w:t>
            </w:r>
          </w:p>
        </w:tc>
        <w:tc>
          <w:tcPr>
            <w:tcW w:w="1227" w:type="dxa"/>
            <w:vAlign w:val="center"/>
          </w:tcPr>
          <w:p w14:paraId="1405BF8C">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手术刀片</w:t>
            </w:r>
          </w:p>
        </w:tc>
        <w:tc>
          <w:tcPr>
            <w:tcW w:w="6167" w:type="dxa"/>
            <w:vAlign w:val="center"/>
          </w:tcPr>
          <w:p w14:paraId="3B9224D1">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刀片应平整，刃口应锋利</w:t>
            </w:r>
          </w:p>
        </w:tc>
        <w:tc>
          <w:tcPr>
            <w:tcW w:w="863" w:type="dxa"/>
            <w:gridSpan w:val="4"/>
            <w:vAlign w:val="center"/>
          </w:tcPr>
          <w:p w14:paraId="709B404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包</w:t>
            </w:r>
          </w:p>
        </w:tc>
        <w:tc>
          <w:tcPr>
            <w:tcW w:w="925" w:type="dxa"/>
            <w:gridSpan w:val="3"/>
            <w:vAlign w:val="center"/>
          </w:tcPr>
          <w:p w14:paraId="0EFE32F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w:t>
            </w:r>
          </w:p>
        </w:tc>
      </w:tr>
      <w:tr w14:paraId="4A3E47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28ABABB8">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48</w:t>
            </w:r>
          </w:p>
        </w:tc>
        <w:tc>
          <w:tcPr>
            <w:tcW w:w="1227" w:type="dxa"/>
            <w:vAlign w:val="center"/>
          </w:tcPr>
          <w:p w14:paraId="5CE78730">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双面刀片</w:t>
            </w:r>
          </w:p>
        </w:tc>
        <w:tc>
          <w:tcPr>
            <w:tcW w:w="6167" w:type="dxa"/>
            <w:vAlign w:val="center"/>
          </w:tcPr>
          <w:p w14:paraId="393A1202">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≥43 mm×22 mm</w:t>
            </w:r>
          </w:p>
        </w:tc>
        <w:tc>
          <w:tcPr>
            <w:tcW w:w="863" w:type="dxa"/>
            <w:gridSpan w:val="4"/>
            <w:vAlign w:val="center"/>
          </w:tcPr>
          <w:p w14:paraId="03D19AD7">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包</w:t>
            </w:r>
          </w:p>
        </w:tc>
        <w:tc>
          <w:tcPr>
            <w:tcW w:w="925" w:type="dxa"/>
            <w:gridSpan w:val="3"/>
            <w:vAlign w:val="center"/>
          </w:tcPr>
          <w:p w14:paraId="1B2DE1DB">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5</w:t>
            </w:r>
          </w:p>
        </w:tc>
      </w:tr>
      <w:tr w14:paraId="1A11D6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52471BA1">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49</w:t>
            </w:r>
          </w:p>
        </w:tc>
        <w:tc>
          <w:tcPr>
            <w:tcW w:w="1227" w:type="dxa"/>
            <w:vAlign w:val="center"/>
          </w:tcPr>
          <w:p w14:paraId="0CFBD312">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镊子</w:t>
            </w:r>
          </w:p>
        </w:tc>
        <w:tc>
          <w:tcPr>
            <w:tcW w:w="6167" w:type="dxa"/>
            <w:vAlign w:val="center"/>
          </w:tcPr>
          <w:p w14:paraId="33DD1C60">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尖头，≥140 mm</w:t>
            </w:r>
          </w:p>
        </w:tc>
        <w:tc>
          <w:tcPr>
            <w:tcW w:w="863" w:type="dxa"/>
            <w:gridSpan w:val="4"/>
            <w:vAlign w:val="center"/>
          </w:tcPr>
          <w:p w14:paraId="4496699D">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把</w:t>
            </w:r>
          </w:p>
        </w:tc>
        <w:tc>
          <w:tcPr>
            <w:tcW w:w="925" w:type="dxa"/>
            <w:gridSpan w:val="3"/>
            <w:vAlign w:val="center"/>
          </w:tcPr>
          <w:p w14:paraId="595E849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w:t>
            </w:r>
          </w:p>
        </w:tc>
      </w:tr>
      <w:tr w14:paraId="2DF6CD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3955019C">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50</w:t>
            </w:r>
          </w:p>
        </w:tc>
        <w:tc>
          <w:tcPr>
            <w:tcW w:w="1227" w:type="dxa"/>
            <w:vAlign w:val="center"/>
          </w:tcPr>
          <w:p w14:paraId="0D2B8588">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镊子</w:t>
            </w:r>
          </w:p>
        </w:tc>
        <w:tc>
          <w:tcPr>
            <w:tcW w:w="6167" w:type="dxa"/>
            <w:vAlign w:val="center"/>
          </w:tcPr>
          <w:p w14:paraId="59AE6D4C">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弯头，≥140 mm</w:t>
            </w:r>
          </w:p>
        </w:tc>
        <w:tc>
          <w:tcPr>
            <w:tcW w:w="863" w:type="dxa"/>
            <w:gridSpan w:val="4"/>
            <w:vAlign w:val="center"/>
          </w:tcPr>
          <w:p w14:paraId="13A3F3F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把</w:t>
            </w:r>
          </w:p>
        </w:tc>
        <w:tc>
          <w:tcPr>
            <w:tcW w:w="925" w:type="dxa"/>
            <w:gridSpan w:val="3"/>
            <w:vAlign w:val="center"/>
          </w:tcPr>
          <w:p w14:paraId="13D3587F">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w:t>
            </w:r>
          </w:p>
        </w:tc>
      </w:tr>
      <w:tr w14:paraId="0246A7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7026B3BC">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51</w:t>
            </w:r>
          </w:p>
        </w:tc>
        <w:tc>
          <w:tcPr>
            <w:tcW w:w="1227" w:type="dxa"/>
            <w:vAlign w:val="center"/>
          </w:tcPr>
          <w:p w14:paraId="17CA1EF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眼科镊</w:t>
            </w:r>
          </w:p>
        </w:tc>
        <w:tc>
          <w:tcPr>
            <w:tcW w:w="6167" w:type="dxa"/>
            <w:vAlign w:val="center"/>
          </w:tcPr>
          <w:p w14:paraId="4012EAAF">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直，≥100 mm</w:t>
            </w:r>
          </w:p>
        </w:tc>
        <w:tc>
          <w:tcPr>
            <w:tcW w:w="863" w:type="dxa"/>
            <w:gridSpan w:val="4"/>
            <w:vAlign w:val="center"/>
          </w:tcPr>
          <w:p w14:paraId="30C20634">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把</w:t>
            </w:r>
          </w:p>
        </w:tc>
        <w:tc>
          <w:tcPr>
            <w:tcW w:w="925" w:type="dxa"/>
            <w:gridSpan w:val="3"/>
            <w:vAlign w:val="center"/>
          </w:tcPr>
          <w:p w14:paraId="1E74CF6F">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w:t>
            </w:r>
          </w:p>
        </w:tc>
      </w:tr>
      <w:tr w14:paraId="482BF1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6B8CDD82">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52</w:t>
            </w:r>
          </w:p>
        </w:tc>
        <w:tc>
          <w:tcPr>
            <w:tcW w:w="1227" w:type="dxa"/>
            <w:vAlign w:val="center"/>
          </w:tcPr>
          <w:p w14:paraId="161AA856">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解剖针</w:t>
            </w:r>
          </w:p>
        </w:tc>
        <w:tc>
          <w:tcPr>
            <w:tcW w:w="6167" w:type="dxa"/>
            <w:vAlign w:val="center"/>
          </w:tcPr>
          <w:p w14:paraId="17B8A936">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六菱医用全钢</w:t>
            </w:r>
          </w:p>
        </w:tc>
        <w:tc>
          <w:tcPr>
            <w:tcW w:w="863" w:type="dxa"/>
            <w:gridSpan w:val="4"/>
            <w:vAlign w:val="center"/>
          </w:tcPr>
          <w:p w14:paraId="2240386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把</w:t>
            </w:r>
          </w:p>
        </w:tc>
        <w:tc>
          <w:tcPr>
            <w:tcW w:w="925" w:type="dxa"/>
            <w:gridSpan w:val="3"/>
            <w:vAlign w:val="center"/>
          </w:tcPr>
          <w:p w14:paraId="14C0EC0A">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w:t>
            </w:r>
          </w:p>
        </w:tc>
      </w:tr>
      <w:tr w14:paraId="519CE7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58DFB293">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53</w:t>
            </w:r>
          </w:p>
        </w:tc>
        <w:tc>
          <w:tcPr>
            <w:tcW w:w="1227" w:type="dxa"/>
            <w:vAlign w:val="center"/>
          </w:tcPr>
          <w:p w14:paraId="18D29C41">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教学支架</w:t>
            </w:r>
          </w:p>
        </w:tc>
        <w:tc>
          <w:tcPr>
            <w:tcW w:w="6167" w:type="dxa"/>
            <w:vAlign w:val="center"/>
          </w:tcPr>
          <w:p w14:paraId="62C11DD6">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方形座， 含铁夹、复夹、铁圈，重心稳定不晃 动，夹持器内侧应有垫衬</w:t>
            </w:r>
          </w:p>
        </w:tc>
        <w:tc>
          <w:tcPr>
            <w:tcW w:w="863" w:type="dxa"/>
            <w:gridSpan w:val="4"/>
            <w:vAlign w:val="center"/>
          </w:tcPr>
          <w:p w14:paraId="25A28BBC">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套</w:t>
            </w:r>
          </w:p>
        </w:tc>
        <w:tc>
          <w:tcPr>
            <w:tcW w:w="925" w:type="dxa"/>
            <w:gridSpan w:val="3"/>
            <w:vAlign w:val="center"/>
          </w:tcPr>
          <w:p w14:paraId="67D781D6">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9</w:t>
            </w:r>
          </w:p>
        </w:tc>
      </w:tr>
      <w:tr w14:paraId="2687ED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0B59B92B">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54</w:t>
            </w:r>
          </w:p>
        </w:tc>
        <w:tc>
          <w:tcPr>
            <w:tcW w:w="1227" w:type="dxa"/>
            <w:vAlign w:val="center"/>
          </w:tcPr>
          <w:p w14:paraId="0C21645E">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三脚架</w:t>
            </w:r>
          </w:p>
        </w:tc>
        <w:tc>
          <w:tcPr>
            <w:tcW w:w="6167" w:type="dxa"/>
            <w:vAlign w:val="center"/>
          </w:tcPr>
          <w:p w14:paraId="78141108">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铁质，环内径≥75 mm，高≥150 mm</w:t>
            </w:r>
          </w:p>
        </w:tc>
        <w:tc>
          <w:tcPr>
            <w:tcW w:w="863" w:type="dxa"/>
            <w:gridSpan w:val="4"/>
            <w:vAlign w:val="center"/>
          </w:tcPr>
          <w:p w14:paraId="34DE6A86">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25" w:type="dxa"/>
            <w:gridSpan w:val="3"/>
            <w:vAlign w:val="center"/>
          </w:tcPr>
          <w:p w14:paraId="53A97204">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9</w:t>
            </w:r>
          </w:p>
        </w:tc>
      </w:tr>
      <w:tr w14:paraId="6D48F5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47AB5C1D">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55</w:t>
            </w:r>
          </w:p>
        </w:tc>
        <w:tc>
          <w:tcPr>
            <w:tcW w:w="1227" w:type="dxa"/>
            <w:vAlign w:val="center"/>
          </w:tcPr>
          <w:p w14:paraId="13F99A42">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试管架</w:t>
            </w:r>
          </w:p>
        </w:tc>
        <w:tc>
          <w:tcPr>
            <w:tcW w:w="6167" w:type="dxa"/>
            <w:vAlign w:val="center"/>
          </w:tcPr>
          <w:p w14:paraId="699F81A8">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木质或塑料质，≥8 孔，孔径≥21mm，立柱黏结 牢固</w:t>
            </w:r>
          </w:p>
        </w:tc>
        <w:tc>
          <w:tcPr>
            <w:tcW w:w="863" w:type="dxa"/>
            <w:gridSpan w:val="4"/>
            <w:vAlign w:val="center"/>
          </w:tcPr>
          <w:p w14:paraId="273E0644">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25" w:type="dxa"/>
            <w:gridSpan w:val="3"/>
            <w:vAlign w:val="center"/>
          </w:tcPr>
          <w:p w14:paraId="11831853">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9</w:t>
            </w:r>
          </w:p>
        </w:tc>
      </w:tr>
      <w:tr w14:paraId="42F5F8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2309B407">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56</w:t>
            </w:r>
          </w:p>
        </w:tc>
        <w:tc>
          <w:tcPr>
            <w:tcW w:w="1227" w:type="dxa"/>
            <w:vAlign w:val="center"/>
          </w:tcPr>
          <w:p w14:paraId="464C3733">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量筒</w:t>
            </w:r>
          </w:p>
        </w:tc>
        <w:tc>
          <w:tcPr>
            <w:tcW w:w="6167" w:type="dxa"/>
            <w:vAlign w:val="center"/>
          </w:tcPr>
          <w:p w14:paraId="74EE8461">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≥10 mL 透明钠钙玻璃制，分度线、数字和标志应完整、清晰和耐久，容积为20℃时充满量筒刻度线所容纳体积</w:t>
            </w:r>
          </w:p>
        </w:tc>
        <w:tc>
          <w:tcPr>
            <w:tcW w:w="863" w:type="dxa"/>
            <w:gridSpan w:val="4"/>
            <w:vAlign w:val="center"/>
          </w:tcPr>
          <w:p w14:paraId="7D5969CE">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25" w:type="dxa"/>
            <w:gridSpan w:val="3"/>
            <w:vAlign w:val="center"/>
          </w:tcPr>
          <w:p w14:paraId="6A3D0BAE">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15</w:t>
            </w:r>
          </w:p>
        </w:tc>
      </w:tr>
      <w:tr w14:paraId="6AD08E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713F2B71">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57</w:t>
            </w:r>
          </w:p>
        </w:tc>
        <w:tc>
          <w:tcPr>
            <w:tcW w:w="1227" w:type="dxa"/>
            <w:vAlign w:val="center"/>
          </w:tcPr>
          <w:p w14:paraId="1F727E5F">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量筒</w:t>
            </w:r>
          </w:p>
        </w:tc>
        <w:tc>
          <w:tcPr>
            <w:tcW w:w="6167" w:type="dxa"/>
            <w:vAlign w:val="center"/>
          </w:tcPr>
          <w:p w14:paraId="0666C0C8">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≥50 mL 透明钠钙玻璃制，分度线、数字和标志应完整、清晰和耐久，容 积为20℃时充满量筒刻度线所 容纳体积</w:t>
            </w:r>
          </w:p>
        </w:tc>
        <w:tc>
          <w:tcPr>
            <w:tcW w:w="863" w:type="dxa"/>
            <w:gridSpan w:val="4"/>
            <w:vAlign w:val="center"/>
          </w:tcPr>
          <w:p w14:paraId="2EFE69F6">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25" w:type="dxa"/>
            <w:gridSpan w:val="3"/>
            <w:vAlign w:val="center"/>
          </w:tcPr>
          <w:p w14:paraId="7133C9C5">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15</w:t>
            </w:r>
          </w:p>
        </w:tc>
      </w:tr>
      <w:tr w14:paraId="213645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5E00D262">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58</w:t>
            </w:r>
          </w:p>
        </w:tc>
        <w:tc>
          <w:tcPr>
            <w:tcW w:w="1227" w:type="dxa"/>
            <w:vAlign w:val="center"/>
          </w:tcPr>
          <w:p w14:paraId="6093DED4">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量筒</w:t>
            </w:r>
          </w:p>
        </w:tc>
        <w:tc>
          <w:tcPr>
            <w:tcW w:w="6167" w:type="dxa"/>
            <w:vAlign w:val="center"/>
          </w:tcPr>
          <w:p w14:paraId="23D85411">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≥100 mL 透明钠钙玻璃制，分度线、数字和标志应完整、清晰和耐久，容积为20℃时充满量筒刻度线所容纳体积</w:t>
            </w:r>
          </w:p>
        </w:tc>
        <w:tc>
          <w:tcPr>
            <w:tcW w:w="863" w:type="dxa"/>
            <w:gridSpan w:val="4"/>
            <w:vAlign w:val="center"/>
          </w:tcPr>
          <w:p w14:paraId="3D1DDCFA">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25" w:type="dxa"/>
            <w:gridSpan w:val="3"/>
            <w:vAlign w:val="center"/>
          </w:tcPr>
          <w:p w14:paraId="3DB343A1">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15</w:t>
            </w:r>
          </w:p>
        </w:tc>
      </w:tr>
      <w:tr w14:paraId="638E20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3A036A66">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59</w:t>
            </w:r>
          </w:p>
        </w:tc>
        <w:tc>
          <w:tcPr>
            <w:tcW w:w="1227" w:type="dxa"/>
            <w:vAlign w:val="center"/>
          </w:tcPr>
          <w:p w14:paraId="301595C2">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量筒</w:t>
            </w:r>
          </w:p>
        </w:tc>
        <w:tc>
          <w:tcPr>
            <w:tcW w:w="6167" w:type="dxa"/>
            <w:vAlign w:val="center"/>
          </w:tcPr>
          <w:p w14:paraId="471F10FD">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≥500 mL 透明钠钙玻璃制，分度线、数字和标志应完整、清晰和耐久，容积为20 ℃时充满量筒刻度线所容纳体积</w:t>
            </w:r>
          </w:p>
        </w:tc>
        <w:tc>
          <w:tcPr>
            <w:tcW w:w="863" w:type="dxa"/>
            <w:gridSpan w:val="4"/>
            <w:vAlign w:val="center"/>
          </w:tcPr>
          <w:p w14:paraId="0DDB87C4">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25" w:type="dxa"/>
            <w:gridSpan w:val="3"/>
            <w:vAlign w:val="center"/>
          </w:tcPr>
          <w:p w14:paraId="39F4131D">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w:t>
            </w:r>
          </w:p>
        </w:tc>
      </w:tr>
      <w:tr w14:paraId="2A09E4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5E72FDE8">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60</w:t>
            </w:r>
          </w:p>
        </w:tc>
        <w:tc>
          <w:tcPr>
            <w:tcW w:w="1227" w:type="dxa"/>
            <w:vAlign w:val="center"/>
          </w:tcPr>
          <w:p w14:paraId="7C839368">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容量瓶</w:t>
            </w:r>
          </w:p>
        </w:tc>
        <w:tc>
          <w:tcPr>
            <w:tcW w:w="6167" w:type="dxa"/>
            <w:vAlign w:val="center"/>
          </w:tcPr>
          <w:p w14:paraId="5EBAECB9">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≥500 mL 透明硼硅酸盐玻璃制， 刻度线应在 瓶颈下部三分之二处，清晰耐久，粗细均匀</w:t>
            </w:r>
          </w:p>
        </w:tc>
        <w:tc>
          <w:tcPr>
            <w:tcW w:w="863" w:type="dxa"/>
            <w:gridSpan w:val="4"/>
            <w:vAlign w:val="center"/>
          </w:tcPr>
          <w:p w14:paraId="44185D6F">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25" w:type="dxa"/>
            <w:gridSpan w:val="3"/>
            <w:vAlign w:val="center"/>
          </w:tcPr>
          <w:p w14:paraId="75C53833">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w:t>
            </w:r>
          </w:p>
        </w:tc>
      </w:tr>
      <w:tr w14:paraId="436D1E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58884DD7">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61</w:t>
            </w:r>
          </w:p>
        </w:tc>
        <w:tc>
          <w:tcPr>
            <w:tcW w:w="1227" w:type="dxa"/>
            <w:vAlign w:val="center"/>
          </w:tcPr>
          <w:p w14:paraId="001F1237">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试管</w:t>
            </w:r>
          </w:p>
        </w:tc>
        <w:tc>
          <w:tcPr>
            <w:tcW w:w="6167" w:type="dxa"/>
            <w:vAlign w:val="center"/>
          </w:tcPr>
          <w:p w14:paraId="430A8B0B">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≥Φ12mm×70mm 透明硼硅酸盐玻璃制</w:t>
            </w:r>
          </w:p>
        </w:tc>
        <w:tc>
          <w:tcPr>
            <w:tcW w:w="863" w:type="dxa"/>
            <w:gridSpan w:val="4"/>
            <w:vAlign w:val="center"/>
          </w:tcPr>
          <w:p w14:paraId="0684EE48">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支</w:t>
            </w:r>
          </w:p>
        </w:tc>
        <w:tc>
          <w:tcPr>
            <w:tcW w:w="925" w:type="dxa"/>
            <w:gridSpan w:val="3"/>
            <w:vAlign w:val="center"/>
          </w:tcPr>
          <w:p w14:paraId="34B5F462">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30</w:t>
            </w:r>
          </w:p>
        </w:tc>
      </w:tr>
      <w:tr w14:paraId="04A8E8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4C2D93FA">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62</w:t>
            </w:r>
          </w:p>
        </w:tc>
        <w:tc>
          <w:tcPr>
            <w:tcW w:w="1227" w:type="dxa"/>
            <w:vAlign w:val="center"/>
          </w:tcPr>
          <w:p w14:paraId="0B92AFCC">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试管</w:t>
            </w:r>
          </w:p>
        </w:tc>
        <w:tc>
          <w:tcPr>
            <w:tcW w:w="6167" w:type="dxa"/>
            <w:vAlign w:val="center"/>
          </w:tcPr>
          <w:p w14:paraId="156ECDA6">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≥Φ15mm×150mm 透明硼硅酸盐玻璃制</w:t>
            </w:r>
          </w:p>
        </w:tc>
        <w:tc>
          <w:tcPr>
            <w:tcW w:w="863" w:type="dxa"/>
            <w:gridSpan w:val="4"/>
            <w:vAlign w:val="center"/>
          </w:tcPr>
          <w:p w14:paraId="56D4170B">
            <w:pPr>
              <w:jc w:val="center"/>
              <w:rPr>
                <w:rFonts w:hint="eastAsia" w:ascii="宋体" w:hAnsi="宋体"/>
                <w:color w:val="auto"/>
                <w:szCs w:val="21"/>
                <w:highlight w:val="none"/>
              </w:rPr>
            </w:pPr>
            <w:r>
              <w:rPr>
                <w:rFonts w:hint="eastAsia" w:ascii="宋体" w:hAnsi="宋体"/>
                <w:color w:val="auto"/>
                <w:kern w:val="0"/>
                <w:szCs w:val="21"/>
                <w:highlight w:val="none"/>
                <w:lang w:bidi="ar"/>
              </w:rPr>
              <w:t>支</w:t>
            </w:r>
          </w:p>
        </w:tc>
        <w:tc>
          <w:tcPr>
            <w:tcW w:w="925" w:type="dxa"/>
            <w:gridSpan w:val="3"/>
            <w:vAlign w:val="center"/>
          </w:tcPr>
          <w:p w14:paraId="2184F49D">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60</w:t>
            </w:r>
          </w:p>
        </w:tc>
      </w:tr>
      <w:tr w14:paraId="276E88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5EFCA74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63</w:t>
            </w:r>
          </w:p>
        </w:tc>
        <w:tc>
          <w:tcPr>
            <w:tcW w:w="1227" w:type="dxa"/>
            <w:vAlign w:val="center"/>
          </w:tcPr>
          <w:p w14:paraId="1DAA778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烧杯</w:t>
            </w:r>
          </w:p>
        </w:tc>
        <w:tc>
          <w:tcPr>
            <w:tcW w:w="6167" w:type="dxa"/>
            <w:vAlign w:val="center"/>
          </w:tcPr>
          <w:p w14:paraId="2FB87858">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≥50 mL 透明硼硅酸盐玻璃制，烧杯的满口容量应超过标称容量的10%或烧杯的满口容量和标称容量的两液面间距不应少于10mm，并应采用容量差值较大的一种</w:t>
            </w:r>
          </w:p>
        </w:tc>
        <w:tc>
          <w:tcPr>
            <w:tcW w:w="863" w:type="dxa"/>
            <w:gridSpan w:val="4"/>
            <w:vAlign w:val="center"/>
          </w:tcPr>
          <w:p w14:paraId="52ED9CF0">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25" w:type="dxa"/>
            <w:gridSpan w:val="3"/>
            <w:vAlign w:val="center"/>
          </w:tcPr>
          <w:p w14:paraId="00AA7C48">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30</w:t>
            </w:r>
          </w:p>
        </w:tc>
      </w:tr>
      <w:tr w14:paraId="702FD1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5677BF77">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64</w:t>
            </w:r>
          </w:p>
        </w:tc>
        <w:tc>
          <w:tcPr>
            <w:tcW w:w="1227" w:type="dxa"/>
            <w:vAlign w:val="center"/>
          </w:tcPr>
          <w:p w14:paraId="4AF90E36">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烧杯</w:t>
            </w:r>
          </w:p>
        </w:tc>
        <w:tc>
          <w:tcPr>
            <w:tcW w:w="6167" w:type="dxa"/>
            <w:vAlign w:val="center"/>
          </w:tcPr>
          <w:p w14:paraId="4FA304D5">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≥100mL透明硼硅酸盐玻璃制，烧杯的满口容量应超过标称容量的10%或烧杯的满口容量和标称容量的两液面间距不应少于10mm，并应采用容量差值较大的一种</w:t>
            </w:r>
          </w:p>
        </w:tc>
        <w:tc>
          <w:tcPr>
            <w:tcW w:w="863" w:type="dxa"/>
            <w:gridSpan w:val="4"/>
            <w:vAlign w:val="center"/>
          </w:tcPr>
          <w:p w14:paraId="3BFD49B4">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25" w:type="dxa"/>
            <w:gridSpan w:val="3"/>
            <w:vAlign w:val="center"/>
          </w:tcPr>
          <w:p w14:paraId="7F014E8F">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30</w:t>
            </w:r>
          </w:p>
        </w:tc>
      </w:tr>
      <w:tr w14:paraId="3F33E6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75900660">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65</w:t>
            </w:r>
          </w:p>
        </w:tc>
        <w:tc>
          <w:tcPr>
            <w:tcW w:w="1227" w:type="dxa"/>
            <w:vAlign w:val="center"/>
          </w:tcPr>
          <w:p w14:paraId="3151828B">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烧杯</w:t>
            </w:r>
          </w:p>
        </w:tc>
        <w:tc>
          <w:tcPr>
            <w:tcW w:w="6167" w:type="dxa"/>
            <w:vAlign w:val="center"/>
          </w:tcPr>
          <w:p w14:paraId="1F09D71B">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≥250mL透明硼硅酸盐玻璃制，烧杯的满口容量应超过标称容量的10%或烧杯的满口容量和标称容量的两液面间距不应少于10mm，并应采用 容量差值较大的一种</w:t>
            </w:r>
          </w:p>
        </w:tc>
        <w:tc>
          <w:tcPr>
            <w:tcW w:w="863" w:type="dxa"/>
            <w:gridSpan w:val="4"/>
            <w:vAlign w:val="center"/>
          </w:tcPr>
          <w:p w14:paraId="578DDAA8">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25" w:type="dxa"/>
            <w:gridSpan w:val="3"/>
            <w:vAlign w:val="center"/>
          </w:tcPr>
          <w:p w14:paraId="780A538B">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30</w:t>
            </w:r>
          </w:p>
        </w:tc>
      </w:tr>
      <w:tr w14:paraId="736CA7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45241831">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66</w:t>
            </w:r>
          </w:p>
        </w:tc>
        <w:tc>
          <w:tcPr>
            <w:tcW w:w="1227" w:type="dxa"/>
            <w:vAlign w:val="center"/>
          </w:tcPr>
          <w:p w14:paraId="14C0D7E2">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烧杯</w:t>
            </w:r>
          </w:p>
        </w:tc>
        <w:tc>
          <w:tcPr>
            <w:tcW w:w="6167" w:type="dxa"/>
            <w:vAlign w:val="center"/>
          </w:tcPr>
          <w:p w14:paraId="4526C8E6">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≥500mL透明硼硅酸盐玻璃制，烧杯的满口容量应超过标称容量的10%或烧杯的满口容量和标称容量的两液面间距不应少于10mm，并应采用容量差值较大的一种</w:t>
            </w:r>
          </w:p>
        </w:tc>
        <w:tc>
          <w:tcPr>
            <w:tcW w:w="863" w:type="dxa"/>
            <w:gridSpan w:val="4"/>
            <w:vAlign w:val="center"/>
          </w:tcPr>
          <w:p w14:paraId="7BF60A8D">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25" w:type="dxa"/>
            <w:gridSpan w:val="3"/>
            <w:vAlign w:val="center"/>
          </w:tcPr>
          <w:p w14:paraId="28FFABC0">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30</w:t>
            </w:r>
          </w:p>
        </w:tc>
      </w:tr>
      <w:tr w14:paraId="0D43A7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2A57A0E1">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67</w:t>
            </w:r>
          </w:p>
        </w:tc>
        <w:tc>
          <w:tcPr>
            <w:tcW w:w="1227" w:type="dxa"/>
            <w:vAlign w:val="center"/>
          </w:tcPr>
          <w:p w14:paraId="7EC39EB1">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锥形瓶</w:t>
            </w:r>
          </w:p>
        </w:tc>
        <w:tc>
          <w:tcPr>
            <w:tcW w:w="6167" w:type="dxa"/>
            <w:vAlign w:val="center"/>
          </w:tcPr>
          <w:p w14:paraId="31ABED07">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≥100mL透明硼硅酸盐玻璃制，放在平台上应直立不摇晃、不转动</w:t>
            </w:r>
          </w:p>
        </w:tc>
        <w:tc>
          <w:tcPr>
            <w:tcW w:w="863" w:type="dxa"/>
            <w:gridSpan w:val="4"/>
            <w:vAlign w:val="center"/>
          </w:tcPr>
          <w:p w14:paraId="2BB101C8">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25" w:type="dxa"/>
            <w:gridSpan w:val="3"/>
            <w:vAlign w:val="center"/>
          </w:tcPr>
          <w:p w14:paraId="409E2023">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15</w:t>
            </w:r>
          </w:p>
        </w:tc>
      </w:tr>
      <w:tr w14:paraId="75D11A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7776CF00">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68</w:t>
            </w:r>
          </w:p>
        </w:tc>
        <w:tc>
          <w:tcPr>
            <w:tcW w:w="1227" w:type="dxa"/>
            <w:vAlign w:val="center"/>
          </w:tcPr>
          <w:p w14:paraId="23F02784">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锥形瓶</w:t>
            </w:r>
          </w:p>
        </w:tc>
        <w:tc>
          <w:tcPr>
            <w:tcW w:w="6167" w:type="dxa"/>
            <w:vAlign w:val="center"/>
          </w:tcPr>
          <w:p w14:paraId="4F28B7D0">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≥250mL透明硼硅酸盐玻璃制，放在平台上应直立不摇晃、不转动</w:t>
            </w:r>
          </w:p>
        </w:tc>
        <w:tc>
          <w:tcPr>
            <w:tcW w:w="863" w:type="dxa"/>
            <w:gridSpan w:val="4"/>
            <w:vAlign w:val="center"/>
          </w:tcPr>
          <w:p w14:paraId="68207DA1">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25" w:type="dxa"/>
            <w:gridSpan w:val="3"/>
            <w:vAlign w:val="center"/>
          </w:tcPr>
          <w:p w14:paraId="418065E0">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30</w:t>
            </w:r>
          </w:p>
        </w:tc>
      </w:tr>
      <w:tr w14:paraId="78215E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71FD9E1B">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69</w:t>
            </w:r>
          </w:p>
        </w:tc>
        <w:tc>
          <w:tcPr>
            <w:tcW w:w="1227" w:type="dxa"/>
            <w:vAlign w:val="center"/>
          </w:tcPr>
          <w:p w14:paraId="29A77336">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广口瓶</w:t>
            </w:r>
          </w:p>
        </w:tc>
        <w:tc>
          <w:tcPr>
            <w:tcW w:w="6167" w:type="dxa"/>
            <w:vAlign w:val="center"/>
          </w:tcPr>
          <w:p w14:paraId="17FBACC5">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≥125mL 透明钠钙玻璃制，瓶塞与瓶口紧实，不晃动；口部应圆整光滑，底部应平整，放置平台上不应摇晃或转动</w:t>
            </w:r>
          </w:p>
        </w:tc>
        <w:tc>
          <w:tcPr>
            <w:tcW w:w="863" w:type="dxa"/>
            <w:gridSpan w:val="4"/>
            <w:vAlign w:val="center"/>
          </w:tcPr>
          <w:p w14:paraId="2D1FC65A">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25" w:type="dxa"/>
            <w:gridSpan w:val="3"/>
            <w:vAlign w:val="center"/>
          </w:tcPr>
          <w:p w14:paraId="37093ACB">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60</w:t>
            </w:r>
          </w:p>
        </w:tc>
      </w:tr>
      <w:tr w14:paraId="58041B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3329BBA8">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70</w:t>
            </w:r>
          </w:p>
        </w:tc>
        <w:tc>
          <w:tcPr>
            <w:tcW w:w="1227" w:type="dxa"/>
            <w:vAlign w:val="center"/>
          </w:tcPr>
          <w:p w14:paraId="6310DFFD">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广口瓶</w:t>
            </w:r>
          </w:p>
        </w:tc>
        <w:tc>
          <w:tcPr>
            <w:tcW w:w="6167" w:type="dxa"/>
            <w:vAlign w:val="center"/>
          </w:tcPr>
          <w:p w14:paraId="196DE373">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≥500mL透明钠钙玻璃制，瓶塞与瓶口紧实，不晃动；口部应圆整光滑，底部应平整，放置平台上不应摇晃或转动</w:t>
            </w:r>
          </w:p>
        </w:tc>
        <w:tc>
          <w:tcPr>
            <w:tcW w:w="863" w:type="dxa"/>
            <w:gridSpan w:val="4"/>
            <w:vAlign w:val="center"/>
          </w:tcPr>
          <w:p w14:paraId="27BB73E4">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25" w:type="dxa"/>
            <w:gridSpan w:val="3"/>
            <w:vAlign w:val="center"/>
          </w:tcPr>
          <w:p w14:paraId="5D59C5BF">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60</w:t>
            </w:r>
          </w:p>
        </w:tc>
      </w:tr>
      <w:tr w14:paraId="46D14A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308D07C6">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71</w:t>
            </w:r>
          </w:p>
        </w:tc>
        <w:tc>
          <w:tcPr>
            <w:tcW w:w="1227" w:type="dxa"/>
            <w:vAlign w:val="center"/>
          </w:tcPr>
          <w:p w14:paraId="2D700DEC">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细口瓶</w:t>
            </w:r>
          </w:p>
        </w:tc>
        <w:tc>
          <w:tcPr>
            <w:tcW w:w="6167" w:type="dxa"/>
            <w:vAlign w:val="center"/>
          </w:tcPr>
          <w:p w14:paraId="3ED2EC27">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≥250mL 透明钠钙玻璃制，瓶塞与瓶口紧实，不晃动；口部应圆整光滑，底部应平整，放置平台上不应摇晃或转动</w:t>
            </w:r>
          </w:p>
        </w:tc>
        <w:tc>
          <w:tcPr>
            <w:tcW w:w="863" w:type="dxa"/>
            <w:gridSpan w:val="4"/>
            <w:vAlign w:val="center"/>
          </w:tcPr>
          <w:p w14:paraId="3CBA70B4">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25" w:type="dxa"/>
            <w:gridSpan w:val="3"/>
            <w:vAlign w:val="center"/>
          </w:tcPr>
          <w:p w14:paraId="57828FBE">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5</w:t>
            </w:r>
          </w:p>
        </w:tc>
      </w:tr>
      <w:tr w14:paraId="55E0D4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662438F0">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72</w:t>
            </w:r>
          </w:p>
        </w:tc>
        <w:tc>
          <w:tcPr>
            <w:tcW w:w="1227" w:type="dxa"/>
            <w:vAlign w:val="center"/>
          </w:tcPr>
          <w:p w14:paraId="16A9359E">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细口瓶</w:t>
            </w:r>
          </w:p>
        </w:tc>
        <w:tc>
          <w:tcPr>
            <w:tcW w:w="6167" w:type="dxa"/>
            <w:vAlign w:val="center"/>
          </w:tcPr>
          <w:p w14:paraId="747AAD7C">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≥500mL 透明钠钙玻璃制，瓶塞与瓶口紧实，不晃动；口部应圆整光滑，底部应平整，放置平台上不应摇晃或转动</w:t>
            </w:r>
          </w:p>
        </w:tc>
        <w:tc>
          <w:tcPr>
            <w:tcW w:w="863" w:type="dxa"/>
            <w:gridSpan w:val="4"/>
            <w:vAlign w:val="center"/>
          </w:tcPr>
          <w:p w14:paraId="215E6C01">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25" w:type="dxa"/>
            <w:gridSpan w:val="3"/>
            <w:vAlign w:val="center"/>
          </w:tcPr>
          <w:p w14:paraId="3E6222E1">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5</w:t>
            </w:r>
          </w:p>
        </w:tc>
      </w:tr>
      <w:tr w14:paraId="1D98A5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2D3C66A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73</w:t>
            </w:r>
          </w:p>
        </w:tc>
        <w:tc>
          <w:tcPr>
            <w:tcW w:w="1227" w:type="dxa"/>
            <w:vAlign w:val="center"/>
          </w:tcPr>
          <w:p w14:paraId="013B2416">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滴瓶</w:t>
            </w:r>
          </w:p>
        </w:tc>
        <w:tc>
          <w:tcPr>
            <w:tcW w:w="6167" w:type="dxa"/>
            <w:vAlign w:val="center"/>
          </w:tcPr>
          <w:p w14:paraId="54E4066E">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≥30 mL 透明钠钙玻璃制，瓶口细磨，磨砂面应均匀细腻，滴管应附橡胶帽，吸放弹性好，开口直径6mm，与滴管口套合牢固稳定</w:t>
            </w:r>
          </w:p>
        </w:tc>
        <w:tc>
          <w:tcPr>
            <w:tcW w:w="863" w:type="dxa"/>
            <w:gridSpan w:val="4"/>
            <w:vAlign w:val="center"/>
          </w:tcPr>
          <w:p w14:paraId="4AD78AC5">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25" w:type="dxa"/>
            <w:gridSpan w:val="3"/>
            <w:vAlign w:val="center"/>
          </w:tcPr>
          <w:p w14:paraId="49F38095">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75</w:t>
            </w:r>
          </w:p>
        </w:tc>
      </w:tr>
      <w:tr w14:paraId="322C74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042062BD">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74</w:t>
            </w:r>
          </w:p>
        </w:tc>
        <w:tc>
          <w:tcPr>
            <w:tcW w:w="1227" w:type="dxa"/>
            <w:vAlign w:val="center"/>
          </w:tcPr>
          <w:p w14:paraId="69789066">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滴瓶</w:t>
            </w:r>
          </w:p>
        </w:tc>
        <w:tc>
          <w:tcPr>
            <w:tcW w:w="6167" w:type="dxa"/>
            <w:vAlign w:val="center"/>
          </w:tcPr>
          <w:p w14:paraId="51488B8B">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≥60 mL 透明钠钙玻璃制，瓶口细磨，磨砂面应均匀细腻，滴管应附橡胶帽，吸放弹性好，开口直径6mm，与滴管口套合牢固稳定</w:t>
            </w:r>
          </w:p>
        </w:tc>
        <w:tc>
          <w:tcPr>
            <w:tcW w:w="863" w:type="dxa"/>
            <w:gridSpan w:val="4"/>
            <w:vAlign w:val="center"/>
          </w:tcPr>
          <w:p w14:paraId="671E4250">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25" w:type="dxa"/>
            <w:gridSpan w:val="3"/>
            <w:vAlign w:val="center"/>
          </w:tcPr>
          <w:p w14:paraId="0EE2E9B5">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75</w:t>
            </w:r>
          </w:p>
        </w:tc>
      </w:tr>
      <w:tr w14:paraId="14137F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6E89070D">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75</w:t>
            </w:r>
          </w:p>
        </w:tc>
        <w:tc>
          <w:tcPr>
            <w:tcW w:w="1227" w:type="dxa"/>
            <w:vAlign w:val="center"/>
          </w:tcPr>
          <w:p w14:paraId="19E07B3B">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茶色滴瓶</w:t>
            </w:r>
          </w:p>
        </w:tc>
        <w:tc>
          <w:tcPr>
            <w:tcW w:w="6167" w:type="dxa"/>
            <w:vAlign w:val="center"/>
          </w:tcPr>
          <w:p w14:paraId="53E44380">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≥30mL 黄棕色钠钙玻璃制，瓶口细磨，磨砂面应均匀细腻，滴管应附橡胶帽，吸放弹性好，开口直径6mm，与滴管口套合牢固稳定</w:t>
            </w:r>
          </w:p>
        </w:tc>
        <w:tc>
          <w:tcPr>
            <w:tcW w:w="863" w:type="dxa"/>
            <w:gridSpan w:val="4"/>
            <w:vAlign w:val="center"/>
          </w:tcPr>
          <w:p w14:paraId="76FE60C2">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25" w:type="dxa"/>
            <w:gridSpan w:val="3"/>
            <w:vAlign w:val="center"/>
          </w:tcPr>
          <w:p w14:paraId="17D2FBD3">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75</w:t>
            </w:r>
          </w:p>
        </w:tc>
      </w:tr>
      <w:tr w14:paraId="5CAEF0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4B02E406">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76</w:t>
            </w:r>
          </w:p>
        </w:tc>
        <w:tc>
          <w:tcPr>
            <w:tcW w:w="1227" w:type="dxa"/>
            <w:vAlign w:val="center"/>
          </w:tcPr>
          <w:p w14:paraId="48F28BA0">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茶色滴瓶</w:t>
            </w:r>
          </w:p>
        </w:tc>
        <w:tc>
          <w:tcPr>
            <w:tcW w:w="6167" w:type="dxa"/>
            <w:vAlign w:val="center"/>
          </w:tcPr>
          <w:p w14:paraId="1BE363FA">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≥60mL 黄棕色钠钙玻璃制，瓶口细磨，磨砂面应均匀细腻，滴管应附橡胶帽，吸放弹性好，开口直径6mm，与滴管口套合牢固稳定</w:t>
            </w:r>
          </w:p>
        </w:tc>
        <w:tc>
          <w:tcPr>
            <w:tcW w:w="863" w:type="dxa"/>
            <w:gridSpan w:val="4"/>
            <w:vAlign w:val="center"/>
          </w:tcPr>
          <w:p w14:paraId="7D7F220B">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25" w:type="dxa"/>
            <w:gridSpan w:val="3"/>
            <w:vAlign w:val="center"/>
          </w:tcPr>
          <w:p w14:paraId="1149F0FE">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75</w:t>
            </w:r>
          </w:p>
        </w:tc>
      </w:tr>
      <w:tr w14:paraId="5A23CF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3E4B641D">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77</w:t>
            </w:r>
          </w:p>
        </w:tc>
        <w:tc>
          <w:tcPr>
            <w:tcW w:w="1227" w:type="dxa"/>
            <w:vAlign w:val="center"/>
          </w:tcPr>
          <w:p w14:paraId="6D4C7B6F">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培养皿</w:t>
            </w:r>
          </w:p>
        </w:tc>
        <w:tc>
          <w:tcPr>
            <w:tcW w:w="6167" w:type="dxa"/>
            <w:vAlign w:val="center"/>
          </w:tcPr>
          <w:p w14:paraId="2A28356E">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≥60mm 玻璃薄厚均匀、耐高温高压</w:t>
            </w:r>
          </w:p>
        </w:tc>
        <w:tc>
          <w:tcPr>
            <w:tcW w:w="863" w:type="dxa"/>
            <w:gridSpan w:val="4"/>
            <w:vAlign w:val="center"/>
          </w:tcPr>
          <w:p w14:paraId="63968A36">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套</w:t>
            </w:r>
          </w:p>
        </w:tc>
        <w:tc>
          <w:tcPr>
            <w:tcW w:w="925" w:type="dxa"/>
            <w:gridSpan w:val="3"/>
            <w:vAlign w:val="center"/>
          </w:tcPr>
          <w:p w14:paraId="21411DE0">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60</w:t>
            </w:r>
          </w:p>
        </w:tc>
      </w:tr>
      <w:tr w14:paraId="624AC5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2AD0B38A">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78</w:t>
            </w:r>
          </w:p>
        </w:tc>
        <w:tc>
          <w:tcPr>
            <w:tcW w:w="1227" w:type="dxa"/>
            <w:vAlign w:val="center"/>
          </w:tcPr>
          <w:p w14:paraId="23849112">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培养皿</w:t>
            </w:r>
          </w:p>
        </w:tc>
        <w:tc>
          <w:tcPr>
            <w:tcW w:w="6167" w:type="dxa"/>
            <w:vAlign w:val="center"/>
          </w:tcPr>
          <w:p w14:paraId="2FBE3482">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≥90mm 玻璃薄厚均匀、耐高温高压</w:t>
            </w:r>
          </w:p>
        </w:tc>
        <w:tc>
          <w:tcPr>
            <w:tcW w:w="863" w:type="dxa"/>
            <w:gridSpan w:val="4"/>
            <w:vAlign w:val="center"/>
          </w:tcPr>
          <w:p w14:paraId="2EF13851">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套</w:t>
            </w:r>
          </w:p>
        </w:tc>
        <w:tc>
          <w:tcPr>
            <w:tcW w:w="925" w:type="dxa"/>
            <w:gridSpan w:val="3"/>
            <w:vAlign w:val="center"/>
          </w:tcPr>
          <w:p w14:paraId="770A5423">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60</w:t>
            </w:r>
          </w:p>
        </w:tc>
      </w:tr>
      <w:tr w14:paraId="384D85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69807EFA">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79</w:t>
            </w:r>
          </w:p>
        </w:tc>
        <w:tc>
          <w:tcPr>
            <w:tcW w:w="1227" w:type="dxa"/>
            <w:vAlign w:val="center"/>
          </w:tcPr>
          <w:p w14:paraId="019432C3">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干燥器</w:t>
            </w:r>
          </w:p>
        </w:tc>
        <w:tc>
          <w:tcPr>
            <w:tcW w:w="6167" w:type="dxa"/>
            <w:vAlign w:val="center"/>
          </w:tcPr>
          <w:p w14:paraId="2D6C1292">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磨口平整， 密封严实， 隔板大小合适，不少于5个圆孔</w:t>
            </w:r>
          </w:p>
        </w:tc>
        <w:tc>
          <w:tcPr>
            <w:tcW w:w="863" w:type="dxa"/>
            <w:gridSpan w:val="4"/>
            <w:vAlign w:val="center"/>
          </w:tcPr>
          <w:p w14:paraId="26113991">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25" w:type="dxa"/>
            <w:gridSpan w:val="3"/>
            <w:vAlign w:val="center"/>
          </w:tcPr>
          <w:p w14:paraId="7DDA3C70">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298BB3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10FB8BA2">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80</w:t>
            </w:r>
          </w:p>
        </w:tc>
        <w:tc>
          <w:tcPr>
            <w:tcW w:w="1227" w:type="dxa"/>
            <w:vAlign w:val="center"/>
          </w:tcPr>
          <w:p w14:paraId="1D288FBC">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干燥管</w:t>
            </w:r>
          </w:p>
        </w:tc>
        <w:tc>
          <w:tcPr>
            <w:tcW w:w="6167" w:type="dxa"/>
            <w:vAlign w:val="center"/>
          </w:tcPr>
          <w:p w14:paraId="381ED685">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U 型，≥Φ15 mm×150 mm，硼硅酸盐玻璃制，玻璃壁厚度适中， 球体圆润，导气管长度≥2 cm， 最好有防滑脱沟槽</w:t>
            </w:r>
          </w:p>
        </w:tc>
        <w:tc>
          <w:tcPr>
            <w:tcW w:w="863" w:type="dxa"/>
            <w:gridSpan w:val="4"/>
            <w:vAlign w:val="center"/>
          </w:tcPr>
          <w:p w14:paraId="12188123">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25" w:type="dxa"/>
            <w:gridSpan w:val="3"/>
            <w:vAlign w:val="center"/>
          </w:tcPr>
          <w:p w14:paraId="511EE6DE">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15</w:t>
            </w:r>
          </w:p>
        </w:tc>
      </w:tr>
      <w:tr w14:paraId="1C40BF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6F761CCB">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81</w:t>
            </w:r>
          </w:p>
        </w:tc>
        <w:tc>
          <w:tcPr>
            <w:tcW w:w="1227" w:type="dxa"/>
            <w:vAlign w:val="center"/>
          </w:tcPr>
          <w:p w14:paraId="213B8FA2">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漏斗</w:t>
            </w:r>
          </w:p>
        </w:tc>
        <w:tc>
          <w:tcPr>
            <w:tcW w:w="6167" w:type="dxa"/>
            <w:vAlign w:val="center"/>
          </w:tcPr>
          <w:p w14:paraId="0502054F">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≥60 mm，直径准确，锥度适中</w:t>
            </w:r>
          </w:p>
        </w:tc>
        <w:tc>
          <w:tcPr>
            <w:tcW w:w="863" w:type="dxa"/>
            <w:gridSpan w:val="4"/>
            <w:vAlign w:val="center"/>
          </w:tcPr>
          <w:p w14:paraId="399257CE">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25" w:type="dxa"/>
            <w:gridSpan w:val="3"/>
            <w:vAlign w:val="center"/>
          </w:tcPr>
          <w:p w14:paraId="3E3F44D7">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15</w:t>
            </w:r>
          </w:p>
        </w:tc>
      </w:tr>
      <w:tr w14:paraId="03ED4F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7AF1125A">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82</w:t>
            </w:r>
          </w:p>
        </w:tc>
        <w:tc>
          <w:tcPr>
            <w:tcW w:w="1227" w:type="dxa"/>
            <w:vAlign w:val="center"/>
          </w:tcPr>
          <w:p w14:paraId="0D59FDD6">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三通连接管</w:t>
            </w:r>
          </w:p>
        </w:tc>
        <w:tc>
          <w:tcPr>
            <w:tcW w:w="6167" w:type="dxa"/>
            <w:vAlign w:val="center"/>
          </w:tcPr>
          <w:p w14:paraId="506BA706">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Y 形， Φ 7 mm～Φ 8 mm，连接完好，管口应作打磨或烧结处理</w:t>
            </w:r>
          </w:p>
        </w:tc>
        <w:tc>
          <w:tcPr>
            <w:tcW w:w="863" w:type="dxa"/>
            <w:gridSpan w:val="4"/>
            <w:vAlign w:val="center"/>
          </w:tcPr>
          <w:p w14:paraId="4CF3786E">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25" w:type="dxa"/>
            <w:gridSpan w:val="3"/>
            <w:vAlign w:val="center"/>
          </w:tcPr>
          <w:p w14:paraId="335FF957">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15</w:t>
            </w:r>
          </w:p>
        </w:tc>
      </w:tr>
      <w:tr w14:paraId="0E1EF8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42054EFE">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83</w:t>
            </w:r>
          </w:p>
        </w:tc>
        <w:tc>
          <w:tcPr>
            <w:tcW w:w="1227" w:type="dxa"/>
            <w:vAlign w:val="center"/>
          </w:tcPr>
          <w:p w14:paraId="60B447D4">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滴管</w:t>
            </w:r>
          </w:p>
        </w:tc>
        <w:tc>
          <w:tcPr>
            <w:tcW w:w="6167" w:type="dxa"/>
            <w:vAlign w:val="center"/>
          </w:tcPr>
          <w:p w14:paraId="7F347CE2">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≥100 mm，直形，滴管尖嘴口径≥1mm，上端有防滑脱翻口，翻口处直径比滴管直径略多1mm～2mm</w:t>
            </w:r>
          </w:p>
        </w:tc>
        <w:tc>
          <w:tcPr>
            <w:tcW w:w="863" w:type="dxa"/>
            <w:gridSpan w:val="4"/>
            <w:vAlign w:val="center"/>
          </w:tcPr>
          <w:p w14:paraId="1BA7E762">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支</w:t>
            </w:r>
          </w:p>
        </w:tc>
        <w:tc>
          <w:tcPr>
            <w:tcW w:w="925" w:type="dxa"/>
            <w:gridSpan w:val="3"/>
            <w:vAlign w:val="center"/>
          </w:tcPr>
          <w:p w14:paraId="1364690E">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150</w:t>
            </w:r>
          </w:p>
        </w:tc>
      </w:tr>
      <w:tr w14:paraId="34C065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552B8737">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84</w:t>
            </w:r>
          </w:p>
        </w:tc>
        <w:tc>
          <w:tcPr>
            <w:tcW w:w="1227" w:type="dxa"/>
            <w:vAlign w:val="center"/>
          </w:tcPr>
          <w:p w14:paraId="01EF2AFE">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玻璃钟罩</w:t>
            </w:r>
          </w:p>
        </w:tc>
        <w:tc>
          <w:tcPr>
            <w:tcW w:w="6167" w:type="dxa"/>
            <w:vAlign w:val="center"/>
          </w:tcPr>
          <w:p w14:paraId="4F50F5DD">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≥Φ150 mm×280 mm，玻璃壁厚度＞3 mm</w:t>
            </w:r>
          </w:p>
        </w:tc>
        <w:tc>
          <w:tcPr>
            <w:tcW w:w="863" w:type="dxa"/>
            <w:gridSpan w:val="4"/>
            <w:vAlign w:val="center"/>
          </w:tcPr>
          <w:p w14:paraId="6FF503D7">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25" w:type="dxa"/>
            <w:gridSpan w:val="3"/>
            <w:vAlign w:val="center"/>
          </w:tcPr>
          <w:p w14:paraId="25A136CF">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w:t>
            </w:r>
          </w:p>
        </w:tc>
      </w:tr>
      <w:tr w14:paraId="251F2E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5408E2A7">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85</w:t>
            </w:r>
          </w:p>
        </w:tc>
        <w:tc>
          <w:tcPr>
            <w:tcW w:w="1227" w:type="dxa"/>
            <w:vAlign w:val="center"/>
          </w:tcPr>
          <w:p w14:paraId="73EC0DD6">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载玻片</w:t>
            </w:r>
          </w:p>
        </w:tc>
        <w:tc>
          <w:tcPr>
            <w:tcW w:w="6167" w:type="dxa"/>
            <w:vAlign w:val="center"/>
          </w:tcPr>
          <w:p w14:paraId="41DBBD88">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无色透明，平整</w:t>
            </w:r>
          </w:p>
        </w:tc>
        <w:tc>
          <w:tcPr>
            <w:tcW w:w="863" w:type="dxa"/>
            <w:gridSpan w:val="4"/>
            <w:vAlign w:val="center"/>
          </w:tcPr>
          <w:p w14:paraId="2602EEBD">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盒</w:t>
            </w:r>
          </w:p>
        </w:tc>
        <w:tc>
          <w:tcPr>
            <w:tcW w:w="925" w:type="dxa"/>
            <w:gridSpan w:val="3"/>
            <w:vAlign w:val="center"/>
          </w:tcPr>
          <w:p w14:paraId="598D8474">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5</w:t>
            </w:r>
          </w:p>
        </w:tc>
      </w:tr>
      <w:tr w14:paraId="17989C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3835C538">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86</w:t>
            </w:r>
          </w:p>
        </w:tc>
        <w:tc>
          <w:tcPr>
            <w:tcW w:w="1227" w:type="dxa"/>
            <w:vAlign w:val="center"/>
          </w:tcPr>
          <w:p w14:paraId="01DBC6CC">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盖玻片</w:t>
            </w:r>
          </w:p>
        </w:tc>
        <w:tc>
          <w:tcPr>
            <w:tcW w:w="6167" w:type="dxa"/>
            <w:vAlign w:val="center"/>
          </w:tcPr>
          <w:p w14:paraId="67661E3A">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无色透明，平整</w:t>
            </w:r>
          </w:p>
        </w:tc>
        <w:tc>
          <w:tcPr>
            <w:tcW w:w="863" w:type="dxa"/>
            <w:gridSpan w:val="4"/>
            <w:vAlign w:val="center"/>
          </w:tcPr>
          <w:p w14:paraId="53A29806">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包</w:t>
            </w:r>
          </w:p>
        </w:tc>
        <w:tc>
          <w:tcPr>
            <w:tcW w:w="925" w:type="dxa"/>
            <w:gridSpan w:val="3"/>
            <w:vAlign w:val="center"/>
          </w:tcPr>
          <w:p w14:paraId="1FAEFFD0">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25</w:t>
            </w:r>
          </w:p>
        </w:tc>
      </w:tr>
      <w:tr w14:paraId="3FB250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54A6FE6D">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87</w:t>
            </w:r>
          </w:p>
        </w:tc>
        <w:tc>
          <w:tcPr>
            <w:tcW w:w="1227" w:type="dxa"/>
            <w:vAlign w:val="center"/>
          </w:tcPr>
          <w:p w14:paraId="257B90CA">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酒精灯</w:t>
            </w:r>
          </w:p>
        </w:tc>
        <w:tc>
          <w:tcPr>
            <w:tcW w:w="6167" w:type="dxa"/>
            <w:vAlign w:val="center"/>
          </w:tcPr>
          <w:p w14:paraId="106E4C29">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≥150 mL，透明钠钙玻璃制，无明显黄绿色；灯口应平整，瓷灯头与灯口平面间隙不应超过1.5 mm；玻璃灯罩应磨口；瓷灯头应为白色，完全覆盖灯口，表面无缺陷，配置与灯口孔径相适应的整齐完整的棉线灯芯</w:t>
            </w:r>
          </w:p>
        </w:tc>
        <w:tc>
          <w:tcPr>
            <w:tcW w:w="863" w:type="dxa"/>
            <w:gridSpan w:val="4"/>
            <w:vAlign w:val="center"/>
          </w:tcPr>
          <w:p w14:paraId="726C6BE7">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25" w:type="dxa"/>
            <w:gridSpan w:val="3"/>
            <w:vAlign w:val="center"/>
          </w:tcPr>
          <w:p w14:paraId="447460CC">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15</w:t>
            </w:r>
          </w:p>
        </w:tc>
      </w:tr>
      <w:tr w14:paraId="168A6D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36D6326A">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88</w:t>
            </w:r>
          </w:p>
        </w:tc>
        <w:tc>
          <w:tcPr>
            <w:tcW w:w="1227" w:type="dxa"/>
            <w:vAlign w:val="center"/>
          </w:tcPr>
          <w:p w14:paraId="5258E273">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玻璃管</w:t>
            </w:r>
          </w:p>
        </w:tc>
        <w:tc>
          <w:tcPr>
            <w:tcW w:w="6167" w:type="dxa"/>
            <w:vAlign w:val="center"/>
          </w:tcPr>
          <w:p w14:paraId="36F43CBB">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Φ 5 mm～Φ 6 mm，中性料，管口应打磨或烧结，避免划伤事故</w:t>
            </w:r>
          </w:p>
        </w:tc>
        <w:tc>
          <w:tcPr>
            <w:tcW w:w="863" w:type="dxa"/>
            <w:gridSpan w:val="4"/>
            <w:vAlign w:val="center"/>
          </w:tcPr>
          <w:p w14:paraId="52CA9B70">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kg</w:t>
            </w:r>
          </w:p>
        </w:tc>
        <w:tc>
          <w:tcPr>
            <w:tcW w:w="925" w:type="dxa"/>
            <w:gridSpan w:val="3"/>
            <w:vAlign w:val="center"/>
          </w:tcPr>
          <w:p w14:paraId="41B9F8CB">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732A2C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578AFA43">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89</w:t>
            </w:r>
          </w:p>
        </w:tc>
        <w:tc>
          <w:tcPr>
            <w:tcW w:w="1227" w:type="dxa"/>
            <w:vAlign w:val="center"/>
          </w:tcPr>
          <w:p w14:paraId="09AFCEE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玻璃弯管</w:t>
            </w:r>
          </w:p>
        </w:tc>
        <w:tc>
          <w:tcPr>
            <w:tcW w:w="6167" w:type="dxa"/>
            <w:vAlign w:val="center"/>
          </w:tcPr>
          <w:p w14:paraId="38A169B5">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Φ 7 mm～Φ 8 mm，一端长度为 6 cm～7 cm，一端长度约20 cm，形状为直角和钝角两种，管 口应打磨或烧结，避免划伤事故</w:t>
            </w:r>
          </w:p>
        </w:tc>
        <w:tc>
          <w:tcPr>
            <w:tcW w:w="863" w:type="dxa"/>
            <w:gridSpan w:val="4"/>
            <w:vAlign w:val="center"/>
          </w:tcPr>
          <w:p w14:paraId="23610CE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kg</w:t>
            </w:r>
          </w:p>
        </w:tc>
        <w:tc>
          <w:tcPr>
            <w:tcW w:w="925" w:type="dxa"/>
            <w:gridSpan w:val="3"/>
            <w:vAlign w:val="center"/>
          </w:tcPr>
          <w:p w14:paraId="5D391D6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0.5</w:t>
            </w:r>
          </w:p>
        </w:tc>
      </w:tr>
      <w:tr w14:paraId="352369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33E7A4B8">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90</w:t>
            </w:r>
          </w:p>
        </w:tc>
        <w:tc>
          <w:tcPr>
            <w:tcW w:w="1227" w:type="dxa"/>
            <w:vAlign w:val="center"/>
          </w:tcPr>
          <w:p w14:paraId="58A6E5B5">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玻璃棒</w:t>
            </w:r>
          </w:p>
        </w:tc>
        <w:tc>
          <w:tcPr>
            <w:tcW w:w="6167" w:type="dxa"/>
            <w:vAlign w:val="center"/>
          </w:tcPr>
          <w:p w14:paraId="15C739CE">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Φ3 mm～Φ 4 mm，粗细均匀</w:t>
            </w:r>
          </w:p>
        </w:tc>
        <w:tc>
          <w:tcPr>
            <w:tcW w:w="863" w:type="dxa"/>
            <w:gridSpan w:val="4"/>
            <w:vAlign w:val="center"/>
          </w:tcPr>
          <w:p w14:paraId="170160A4">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kg</w:t>
            </w:r>
          </w:p>
        </w:tc>
        <w:tc>
          <w:tcPr>
            <w:tcW w:w="925" w:type="dxa"/>
            <w:gridSpan w:val="3"/>
            <w:vAlign w:val="center"/>
          </w:tcPr>
          <w:p w14:paraId="2AE52E06">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1F7E65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2A9C04B3">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91</w:t>
            </w:r>
          </w:p>
        </w:tc>
        <w:tc>
          <w:tcPr>
            <w:tcW w:w="1227" w:type="dxa"/>
            <w:vAlign w:val="center"/>
          </w:tcPr>
          <w:p w14:paraId="3E6D11BB">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试管夹</w:t>
            </w:r>
          </w:p>
        </w:tc>
        <w:tc>
          <w:tcPr>
            <w:tcW w:w="6167" w:type="dxa"/>
            <w:vAlign w:val="center"/>
          </w:tcPr>
          <w:p w14:paraId="794E1071">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木制或竹制，长度≥200 mm，宽度≥20mm，厚度≥20mm；试管夹闭口缝≤1mm，开口距≥25 mm；毡块黏结牢固，试管夹弹簧作防锈处理，试管夹持部位圆弧内径≤15 mm</w:t>
            </w:r>
          </w:p>
        </w:tc>
        <w:tc>
          <w:tcPr>
            <w:tcW w:w="863" w:type="dxa"/>
            <w:gridSpan w:val="4"/>
            <w:vAlign w:val="center"/>
          </w:tcPr>
          <w:p w14:paraId="42D9B344">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把</w:t>
            </w:r>
          </w:p>
        </w:tc>
        <w:tc>
          <w:tcPr>
            <w:tcW w:w="925" w:type="dxa"/>
            <w:gridSpan w:val="3"/>
            <w:vAlign w:val="center"/>
          </w:tcPr>
          <w:p w14:paraId="34BF070E">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9</w:t>
            </w:r>
          </w:p>
        </w:tc>
      </w:tr>
      <w:tr w14:paraId="1FF9B1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4F000951">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92</w:t>
            </w:r>
          </w:p>
        </w:tc>
        <w:tc>
          <w:tcPr>
            <w:tcW w:w="1227" w:type="dxa"/>
            <w:vAlign w:val="center"/>
          </w:tcPr>
          <w:p w14:paraId="4F724EED">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止水皮管夹</w:t>
            </w:r>
          </w:p>
        </w:tc>
        <w:tc>
          <w:tcPr>
            <w:tcW w:w="6167" w:type="dxa"/>
            <w:vAlign w:val="center"/>
          </w:tcPr>
          <w:p w14:paraId="6F4AC684">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≥Φ3 mm钢丝制成，作防锈处理，夹持角度≥60º , 弹性好， 不漏液</w:t>
            </w:r>
          </w:p>
        </w:tc>
        <w:tc>
          <w:tcPr>
            <w:tcW w:w="863" w:type="dxa"/>
            <w:gridSpan w:val="4"/>
            <w:vAlign w:val="center"/>
          </w:tcPr>
          <w:p w14:paraId="22AEAFCA">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25" w:type="dxa"/>
            <w:gridSpan w:val="3"/>
            <w:vAlign w:val="center"/>
          </w:tcPr>
          <w:p w14:paraId="229A995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9</w:t>
            </w:r>
          </w:p>
        </w:tc>
      </w:tr>
      <w:tr w14:paraId="52CC20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49143CED">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93</w:t>
            </w:r>
          </w:p>
        </w:tc>
        <w:tc>
          <w:tcPr>
            <w:tcW w:w="1227" w:type="dxa"/>
            <w:vAlign w:val="center"/>
          </w:tcPr>
          <w:p w14:paraId="28723B66">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陶土网</w:t>
            </w:r>
          </w:p>
        </w:tc>
        <w:tc>
          <w:tcPr>
            <w:tcW w:w="6167" w:type="dxa"/>
            <w:vAlign w:val="center"/>
          </w:tcPr>
          <w:p w14:paraId="415D6FBA">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功能等同于石棉网，尺寸≥125 mm×125 mm， 耐火材料为陶土</w:t>
            </w:r>
          </w:p>
        </w:tc>
        <w:tc>
          <w:tcPr>
            <w:tcW w:w="863" w:type="dxa"/>
            <w:gridSpan w:val="4"/>
            <w:vAlign w:val="center"/>
          </w:tcPr>
          <w:p w14:paraId="38940AD6">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25" w:type="dxa"/>
            <w:gridSpan w:val="3"/>
            <w:vAlign w:val="center"/>
          </w:tcPr>
          <w:p w14:paraId="22708C8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9</w:t>
            </w:r>
          </w:p>
        </w:tc>
      </w:tr>
      <w:tr w14:paraId="6A605B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7C0BED64">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94</w:t>
            </w:r>
          </w:p>
        </w:tc>
        <w:tc>
          <w:tcPr>
            <w:tcW w:w="1227" w:type="dxa"/>
            <w:vAlign w:val="center"/>
          </w:tcPr>
          <w:p w14:paraId="709F04AB">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燃烧匙</w:t>
            </w:r>
          </w:p>
        </w:tc>
        <w:tc>
          <w:tcPr>
            <w:tcW w:w="6167" w:type="dxa"/>
            <w:vAlign w:val="center"/>
          </w:tcPr>
          <w:p w14:paraId="1F831154">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铜勺，勺≥Φ18 mm，深≥10mm，铁柄，柄长≥300 mm，长柄和铜勺连接稳定结实</w:t>
            </w:r>
          </w:p>
        </w:tc>
        <w:tc>
          <w:tcPr>
            <w:tcW w:w="863" w:type="dxa"/>
            <w:gridSpan w:val="4"/>
            <w:vAlign w:val="center"/>
          </w:tcPr>
          <w:p w14:paraId="023C8B14">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把</w:t>
            </w:r>
          </w:p>
        </w:tc>
        <w:tc>
          <w:tcPr>
            <w:tcW w:w="925" w:type="dxa"/>
            <w:gridSpan w:val="3"/>
            <w:vAlign w:val="center"/>
          </w:tcPr>
          <w:p w14:paraId="67B01D4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9</w:t>
            </w:r>
          </w:p>
        </w:tc>
      </w:tr>
      <w:tr w14:paraId="4EA8B8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0D900BE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95</w:t>
            </w:r>
          </w:p>
        </w:tc>
        <w:tc>
          <w:tcPr>
            <w:tcW w:w="1227" w:type="dxa"/>
            <w:vAlign w:val="center"/>
          </w:tcPr>
          <w:p w14:paraId="6A259540">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药匙</w:t>
            </w:r>
          </w:p>
        </w:tc>
        <w:tc>
          <w:tcPr>
            <w:tcW w:w="6167" w:type="dxa"/>
            <w:vAlign w:val="center"/>
          </w:tcPr>
          <w:p w14:paraId="3EDBAD83">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长度≥13 cm，带小勺，材质可选金属、牛角、塑料</w:t>
            </w:r>
          </w:p>
        </w:tc>
        <w:tc>
          <w:tcPr>
            <w:tcW w:w="863" w:type="dxa"/>
            <w:gridSpan w:val="4"/>
            <w:vAlign w:val="center"/>
          </w:tcPr>
          <w:p w14:paraId="0C9C5EB3">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把</w:t>
            </w:r>
          </w:p>
        </w:tc>
        <w:tc>
          <w:tcPr>
            <w:tcW w:w="925" w:type="dxa"/>
            <w:gridSpan w:val="3"/>
            <w:vAlign w:val="center"/>
          </w:tcPr>
          <w:p w14:paraId="65E99FEA">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9</w:t>
            </w:r>
          </w:p>
        </w:tc>
      </w:tr>
      <w:tr w14:paraId="67D411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39B1BD87">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96</w:t>
            </w:r>
          </w:p>
        </w:tc>
        <w:tc>
          <w:tcPr>
            <w:tcW w:w="1227" w:type="dxa"/>
            <w:vAlign w:val="center"/>
          </w:tcPr>
          <w:p w14:paraId="72C0C00D">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橡胶塞</w:t>
            </w:r>
          </w:p>
        </w:tc>
        <w:tc>
          <w:tcPr>
            <w:tcW w:w="6167" w:type="dxa"/>
            <w:vAlign w:val="center"/>
          </w:tcPr>
          <w:p w14:paraId="6794B505">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000、00、0～10 号，白色，质地均匀</w:t>
            </w:r>
          </w:p>
        </w:tc>
        <w:tc>
          <w:tcPr>
            <w:tcW w:w="863" w:type="dxa"/>
            <w:gridSpan w:val="4"/>
            <w:vAlign w:val="center"/>
          </w:tcPr>
          <w:p w14:paraId="4EF17C3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kg</w:t>
            </w:r>
          </w:p>
        </w:tc>
        <w:tc>
          <w:tcPr>
            <w:tcW w:w="925" w:type="dxa"/>
            <w:gridSpan w:val="3"/>
            <w:vAlign w:val="center"/>
          </w:tcPr>
          <w:p w14:paraId="213776C4">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374CAD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4DBB9BB8">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97</w:t>
            </w:r>
          </w:p>
        </w:tc>
        <w:tc>
          <w:tcPr>
            <w:tcW w:w="1227" w:type="dxa"/>
            <w:vAlign w:val="center"/>
          </w:tcPr>
          <w:p w14:paraId="3151CF2A">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橡胶管</w:t>
            </w:r>
          </w:p>
        </w:tc>
        <w:tc>
          <w:tcPr>
            <w:tcW w:w="6167" w:type="dxa"/>
            <w:vAlign w:val="center"/>
          </w:tcPr>
          <w:p w14:paraId="2A85589F">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外径≥9mm，内径≥6 mm，乳白色，具有耐油、耐 酸碱、耐压等特性</w:t>
            </w:r>
          </w:p>
        </w:tc>
        <w:tc>
          <w:tcPr>
            <w:tcW w:w="863" w:type="dxa"/>
            <w:gridSpan w:val="4"/>
            <w:vAlign w:val="center"/>
          </w:tcPr>
          <w:p w14:paraId="58A5A7D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kg</w:t>
            </w:r>
          </w:p>
        </w:tc>
        <w:tc>
          <w:tcPr>
            <w:tcW w:w="925" w:type="dxa"/>
            <w:gridSpan w:val="3"/>
            <w:vAlign w:val="center"/>
          </w:tcPr>
          <w:p w14:paraId="662512BC">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055EC8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13A92DB2">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98</w:t>
            </w:r>
          </w:p>
        </w:tc>
        <w:tc>
          <w:tcPr>
            <w:tcW w:w="1227" w:type="dxa"/>
            <w:vAlign w:val="center"/>
          </w:tcPr>
          <w:p w14:paraId="5C4AB47E">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试管刷</w:t>
            </w:r>
          </w:p>
        </w:tc>
        <w:tc>
          <w:tcPr>
            <w:tcW w:w="6167" w:type="dxa"/>
            <w:vAlign w:val="center"/>
          </w:tcPr>
          <w:p w14:paraId="38FB33C5">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≥Φ12 mm，手持部分顶端应为环状，顶部要有 刷丝，铁丝不可外露’</w:t>
            </w:r>
          </w:p>
        </w:tc>
        <w:tc>
          <w:tcPr>
            <w:tcW w:w="863" w:type="dxa"/>
            <w:gridSpan w:val="4"/>
            <w:vAlign w:val="center"/>
          </w:tcPr>
          <w:p w14:paraId="17FDD8EC">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25" w:type="dxa"/>
            <w:gridSpan w:val="3"/>
            <w:vAlign w:val="center"/>
          </w:tcPr>
          <w:p w14:paraId="00778CBC">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25</w:t>
            </w:r>
          </w:p>
        </w:tc>
      </w:tr>
      <w:tr w14:paraId="1782D3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20339723">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99</w:t>
            </w:r>
          </w:p>
        </w:tc>
        <w:tc>
          <w:tcPr>
            <w:tcW w:w="1227" w:type="dxa"/>
            <w:vAlign w:val="center"/>
          </w:tcPr>
          <w:p w14:paraId="7639DEAE">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试管刷</w:t>
            </w:r>
          </w:p>
        </w:tc>
        <w:tc>
          <w:tcPr>
            <w:tcW w:w="6167" w:type="dxa"/>
            <w:vAlign w:val="center"/>
          </w:tcPr>
          <w:p w14:paraId="2520A645">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≥Φ18 mm，手持部分顶端应为环状，顶部要有 刷丝，铁丝不可外露</w:t>
            </w:r>
          </w:p>
        </w:tc>
        <w:tc>
          <w:tcPr>
            <w:tcW w:w="863" w:type="dxa"/>
            <w:gridSpan w:val="4"/>
            <w:vAlign w:val="center"/>
          </w:tcPr>
          <w:p w14:paraId="70977A42">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25" w:type="dxa"/>
            <w:gridSpan w:val="3"/>
            <w:vAlign w:val="center"/>
          </w:tcPr>
          <w:p w14:paraId="7E3A23F8">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25</w:t>
            </w:r>
          </w:p>
        </w:tc>
      </w:tr>
      <w:tr w14:paraId="173A59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110489A3">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100</w:t>
            </w:r>
          </w:p>
        </w:tc>
        <w:tc>
          <w:tcPr>
            <w:tcW w:w="1227" w:type="dxa"/>
            <w:vAlign w:val="center"/>
          </w:tcPr>
          <w:p w14:paraId="7620F918">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研钵</w:t>
            </w:r>
          </w:p>
        </w:tc>
        <w:tc>
          <w:tcPr>
            <w:tcW w:w="6167" w:type="dxa"/>
            <w:vAlign w:val="center"/>
          </w:tcPr>
          <w:p w14:paraId="6A01077A">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≥100 mm，瓷或玻璃制，配有研杵，内部粗糙便于研磨，外部光滑</w:t>
            </w:r>
          </w:p>
        </w:tc>
        <w:tc>
          <w:tcPr>
            <w:tcW w:w="863" w:type="dxa"/>
            <w:gridSpan w:val="4"/>
            <w:vAlign w:val="center"/>
          </w:tcPr>
          <w:p w14:paraId="4488B39A">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25" w:type="dxa"/>
            <w:gridSpan w:val="3"/>
            <w:vAlign w:val="center"/>
          </w:tcPr>
          <w:p w14:paraId="4B5F0472">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15</w:t>
            </w:r>
          </w:p>
        </w:tc>
      </w:tr>
      <w:tr w14:paraId="339075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348E96D7">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101</w:t>
            </w:r>
          </w:p>
        </w:tc>
        <w:tc>
          <w:tcPr>
            <w:tcW w:w="1227" w:type="dxa"/>
            <w:vAlign w:val="center"/>
          </w:tcPr>
          <w:p w14:paraId="5D3D85E7">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记数载玻片（计数板）</w:t>
            </w:r>
          </w:p>
        </w:tc>
        <w:tc>
          <w:tcPr>
            <w:tcW w:w="6167" w:type="dxa"/>
            <w:vAlign w:val="center"/>
          </w:tcPr>
          <w:p w14:paraId="1C46D9EB">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计数区边长为 1 mm，由400个小方格组成</w:t>
            </w:r>
          </w:p>
        </w:tc>
        <w:tc>
          <w:tcPr>
            <w:tcW w:w="863" w:type="dxa"/>
            <w:gridSpan w:val="4"/>
            <w:vAlign w:val="center"/>
          </w:tcPr>
          <w:p w14:paraId="6522CE88">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片</w:t>
            </w:r>
          </w:p>
        </w:tc>
        <w:tc>
          <w:tcPr>
            <w:tcW w:w="925" w:type="dxa"/>
            <w:gridSpan w:val="3"/>
            <w:vAlign w:val="center"/>
          </w:tcPr>
          <w:p w14:paraId="035A202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13</w:t>
            </w:r>
          </w:p>
        </w:tc>
      </w:tr>
      <w:tr w14:paraId="57E527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4804EA95">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102</w:t>
            </w:r>
          </w:p>
        </w:tc>
        <w:tc>
          <w:tcPr>
            <w:tcW w:w="1227" w:type="dxa"/>
            <w:vAlign w:val="center"/>
          </w:tcPr>
          <w:p w14:paraId="7FA8222D">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枝剪</w:t>
            </w:r>
          </w:p>
        </w:tc>
        <w:tc>
          <w:tcPr>
            <w:tcW w:w="6167" w:type="dxa"/>
            <w:vAlign w:val="center"/>
          </w:tcPr>
          <w:p w14:paraId="7034268F">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高碳钢</w:t>
            </w:r>
          </w:p>
        </w:tc>
        <w:tc>
          <w:tcPr>
            <w:tcW w:w="863" w:type="dxa"/>
            <w:gridSpan w:val="4"/>
            <w:vAlign w:val="center"/>
          </w:tcPr>
          <w:p w14:paraId="1BB832DD">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把</w:t>
            </w:r>
          </w:p>
        </w:tc>
        <w:tc>
          <w:tcPr>
            <w:tcW w:w="925" w:type="dxa"/>
            <w:gridSpan w:val="3"/>
            <w:vAlign w:val="center"/>
          </w:tcPr>
          <w:p w14:paraId="048405F5">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4</w:t>
            </w:r>
          </w:p>
        </w:tc>
      </w:tr>
      <w:tr w14:paraId="5E8F48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0D39711D">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103</w:t>
            </w:r>
          </w:p>
        </w:tc>
        <w:tc>
          <w:tcPr>
            <w:tcW w:w="1227" w:type="dxa"/>
            <w:vAlign w:val="center"/>
          </w:tcPr>
          <w:p w14:paraId="6FB519FB">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水网</w:t>
            </w:r>
          </w:p>
        </w:tc>
        <w:tc>
          <w:tcPr>
            <w:tcW w:w="6167" w:type="dxa"/>
            <w:vAlign w:val="center"/>
          </w:tcPr>
          <w:p w14:paraId="11B2B815">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网口内径≥50cm，网身长≥145cm，网目孔径 ≤1 mm</w:t>
            </w:r>
          </w:p>
        </w:tc>
        <w:tc>
          <w:tcPr>
            <w:tcW w:w="863" w:type="dxa"/>
            <w:gridSpan w:val="4"/>
            <w:vAlign w:val="center"/>
          </w:tcPr>
          <w:p w14:paraId="104CC7E3">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把</w:t>
            </w:r>
          </w:p>
        </w:tc>
        <w:tc>
          <w:tcPr>
            <w:tcW w:w="925" w:type="dxa"/>
            <w:gridSpan w:val="3"/>
            <w:vAlign w:val="center"/>
          </w:tcPr>
          <w:p w14:paraId="6C9D032A">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4</w:t>
            </w:r>
          </w:p>
        </w:tc>
      </w:tr>
      <w:tr w14:paraId="71CF13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39EA06D8">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104</w:t>
            </w:r>
          </w:p>
        </w:tc>
        <w:tc>
          <w:tcPr>
            <w:tcW w:w="1227" w:type="dxa"/>
            <w:vAlign w:val="center"/>
          </w:tcPr>
          <w:p w14:paraId="621562C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保温桶</w:t>
            </w:r>
          </w:p>
        </w:tc>
        <w:tc>
          <w:tcPr>
            <w:tcW w:w="6167" w:type="dxa"/>
            <w:vAlign w:val="center"/>
          </w:tcPr>
          <w:p w14:paraId="697B9C72">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1 L～2 L</w:t>
            </w:r>
          </w:p>
        </w:tc>
        <w:tc>
          <w:tcPr>
            <w:tcW w:w="863" w:type="dxa"/>
            <w:gridSpan w:val="4"/>
            <w:vAlign w:val="center"/>
          </w:tcPr>
          <w:p w14:paraId="462DC30A">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25" w:type="dxa"/>
            <w:gridSpan w:val="3"/>
            <w:vAlign w:val="center"/>
          </w:tcPr>
          <w:p w14:paraId="64A0399C">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w:t>
            </w:r>
          </w:p>
        </w:tc>
      </w:tr>
      <w:tr w14:paraId="73A2BE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3039678A">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105</w:t>
            </w:r>
          </w:p>
        </w:tc>
        <w:tc>
          <w:tcPr>
            <w:tcW w:w="1227" w:type="dxa"/>
            <w:vAlign w:val="center"/>
          </w:tcPr>
          <w:p w14:paraId="2545EEC7">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标记笔</w:t>
            </w:r>
          </w:p>
        </w:tc>
        <w:tc>
          <w:tcPr>
            <w:tcW w:w="6167" w:type="dxa"/>
            <w:vAlign w:val="center"/>
          </w:tcPr>
          <w:p w14:paraId="06E61360">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双头，油性墨水</w:t>
            </w:r>
          </w:p>
        </w:tc>
        <w:tc>
          <w:tcPr>
            <w:tcW w:w="863" w:type="dxa"/>
            <w:gridSpan w:val="4"/>
            <w:vAlign w:val="center"/>
          </w:tcPr>
          <w:p w14:paraId="4381FD80">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支</w:t>
            </w:r>
          </w:p>
        </w:tc>
        <w:tc>
          <w:tcPr>
            <w:tcW w:w="925" w:type="dxa"/>
            <w:gridSpan w:val="3"/>
            <w:vAlign w:val="center"/>
          </w:tcPr>
          <w:p w14:paraId="6CE6F71B">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9</w:t>
            </w:r>
          </w:p>
        </w:tc>
      </w:tr>
      <w:tr w14:paraId="0A99EF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456C1ED7">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106</w:t>
            </w:r>
          </w:p>
        </w:tc>
        <w:tc>
          <w:tcPr>
            <w:tcW w:w="1227" w:type="dxa"/>
            <w:vAlign w:val="center"/>
          </w:tcPr>
          <w:p w14:paraId="5FE7E9DB">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生物显微镜</w:t>
            </w:r>
          </w:p>
        </w:tc>
        <w:tc>
          <w:tcPr>
            <w:tcW w:w="6167" w:type="dxa"/>
            <w:vAlign w:val="center"/>
          </w:tcPr>
          <w:p w14:paraId="5F0368E6">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双目， 消色差物镜： 4×、 10×、40×、 100×; 广视场目镜： WF10×;带照明光源和聚光镜， 亮度连续可调；双层移动式载物台</w:t>
            </w:r>
          </w:p>
        </w:tc>
        <w:tc>
          <w:tcPr>
            <w:tcW w:w="863" w:type="dxa"/>
            <w:gridSpan w:val="4"/>
            <w:vAlign w:val="center"/>
          </w:tcPr>
          <w:p w14:paraId="20DC2070">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台</w:t>
            </w:r>
          </w:p>
        </w:tc>
        <w:tc>
          <w:tcPr>
            <w:tcW w:w="925" w:type="dxa"/>
            <w:gridSpan w:val="3"/>
            <w:vAlign w:val="center"/>
          </w:tcPr>
          <w:p w14:paraId="37D53D35">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9</w:t>
            </w:r>
          </w:p>
        </w:tc>
      </w:tr>
      <w:tr w14:paraId="4F1D55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4E9515A2">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107</w:t>
            </w:r>
          </w:p>
        </w:tc>
        <w:tc>
          <w:tcPr>
            <w:tcW w:w="1227" w:type="dxa"/>
            <w:vAlign w:val="center"/>
          </w:tcPr>
          <w:p w14:paraId="486BC1D7">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字母装片</w:t>
            </w:r>
          </w:p>
        </w:tc>
        <w:tc>
          <w:tcPr>
            <w:tcW w:w="6167" w:type="dxa"/>
            <w:vAlign w:val="center"/>
          </w:tcPr>
          <w:p w14:paraId="68F834B6">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“e”或“b”，多重染色</w:t>
            </w:r>
          </w:p>
        </w:tc>
        <w:tc>
          <w:tcPr>
            <w:tcW w:w="863" w:type="dxa"/>
            <w:gridSpan w:val="4"/>
            <w:vAlign w:val="center"/>
          </w:tcPr>
          <w:p w14:paraId="150B21A1">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片</w:t>
            </w:r>
          </w:p>
        </w:tc>
        <w:tc>
          <w:tcPr>
            <w:tcW w:w="925" w:type="dxa"/>
            <w:gridSpan w:val="3"/>
            <w:vAlign w:val="center"/>
          </w:tcPr>
          <w:p w14:paraId="6715EC76">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15</w:t>
            </w:r>
          </w:p>
        </w:tc>
      </w:tr>
      <w:tr w14:paraId="0CBC45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3376C7AF">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108</w:t>
            </w:r>
          </w:p>
        </w:tc>
        <w:tc>
          <w:tcPr>
            <w:tcW w:w="1227" w:type="dxa"/>
            <w:vAlign w:val="center"/>
          </w:tcPr>
          <w:p w14:paraId="6ED742D6">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双目立体显微镜</w:t>
            </w:r>
          </w:p>
        </w:tc>
        <w:tc>
          <w:tcPr>
            <w:tcW w:w="6167" w:type="dxa"/>
            <w:vAlign w:val="center"/>
          </w:tcPr>
          <w:p w14:paraId="532C09C5">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放大倍数至少达到 40 倍，可配有显示屏， 方便 连接电脑、数码相机等外接设备，便于图像的 传输保存</w:t>
            </w:r>
          </w:p>
        </w:tc>
        <w:tc>
          <w:tcPr>
            <w:tcW w:w="863" w:type="dxa"/>
            <w:gridSpan w:val="4"/>
            <w:vAlign w:val="center"/>
          </w:tcPr>
          <w:p w14:paraId="5B7FB87C">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台</w:t>
            </w:r>
          </w:p>
        </w:tc>
        <w:tc>
          <w:tcPr>
            <w:tcW w:w="925" w:type="dxa"/>
            <w:gridSpan w:val="3"/>
            <w:vAlign w:val="center"/>
          </w:tcPr>
          <w:p w14:paraId="4DD558CB">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9</w:t>
            </w:r>
          </w:p>
        </w:tc>
      </w:tr>
      <w:tr w14:paraId="6D717B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2DB8A7F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109</w:t>
            </w:r>
          </w:p>
        </w:tc>
        <w:tc>
          <w:tcPr>
            <w:tcW w:w="1227" w:type="dxa"/>
            <w:vAlign w:val="center"/>
          </w:tcPr>
          <w:p w14:paraId="2010D67F">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放大镜</w:t>
            </w:r>
          </w:p>
        </w:tc>
        <w:tc>
          <w:tcPr>
            <w:tcW w:w="6167" w:type="dxa"/>
            <w:vAlign w:val="center"/>
          </w:tcPr>
          <w:p w14:paraId="41019436">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手持式，有效通光孔径≥40 mm，5 倍</w:t>
            </w:r>
          </w:p>
        </w:tc>
        <w:tc>
          <w:tcPr>
            <w:tcW w:w="863" w:type="dxa"/>
            <w:gridSpan w:val="4"/>
            <w:vAlign w:val="center"/>
          </w:tcPr>
          <w:p w14:paraId="749FBFCB">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25" w:type="dxa"/>
            <w:gridSpan w:val="3"/>
            <w:vAlign w:val="center"/>
          </w:tcPr>
          <w:p w14:paraId="2F8DC955">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9</w:t>
            </w:r>
          </w:p>
        </w:tc>
      </w:tr>
      <w:tr w14:paraId="779929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35A16ADE">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110</w:t>
            </w:r>
          </w:p>
        </w:tc>
        <w:tc>
          <w:tcPr>
            <w:tcW w:w="1227" w:type="dxa"/>
            <w:vAlign w:val="center"/>
          </w:tcPr>
          <w:p w14:paraId="0C8D9F4B">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洋葱鳞片叶表皮 装片</w:t>
            </w:r>
          </w:p>
        </w:tc>
        <w:tc>
          <w:tcPr>
            <w:tcW w:w="6167" w:type="dxa"/>
            <w:vAlign w:val="center"/>
          </w:tcPr>
          <w:p w14:paraId="3024AF27">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细胞质着色均匀，细胞核明显，细胞界限清晰</w:t>
            </w:r>
          </w:p>
        </w:tc>
        <w:tc>
          <w:tcPr>
            <w:tcW w:w="863" w:type="dxa"/>
            <w:gridSpan w:val="4"/>
            <w:vAlign w:val="center"/>
          </w:tcPr>
          <w:p w14:paraId="0A6039C5">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片</w:t>
            </w:r>
          </w:p>
        </w:tc>
        <w:tc>
          <w:tcPr>
            <w:tcW w:w="925" w:type="dxa"/>
            <w:gridSpan w:val="3"/>
            <w:vAlign w:val="center"/>
          </w:tcPr>
          <w:p w14:paraId="289502CD">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15</w:t>
            </w:r>
          </w:p>
        </w:tc>
      </w:tr>
      <w:tr w14:paraId="3154E3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49E7263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111</w:t>
            </w:r>
          </w:p>
        </w:tc>
        <w:tc>
          <w:tcPr>
            <w:tcW w:w="1227" w:type="dxa"/>
            <w:vAlign w:val="center"/>
          </w:tcPr>
          <w:p w14:paraId="43B24222">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植物细胞模型</w:t>
            </w:r>
          </w:p>
        </w:tc>
        <w:tc>
          <w:tcPr>
            <w:tcW w:w="6167" w:type="dxa"/>
            <w:vAlign w:val="center"/>
          </w:tcPr>
          <w:p w14:paraId="289FDBA2">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以洋葱表皮细胞为参考材料，示细胞壁、细胞 膜、细胞质、细胞核、核仁和液泡等结构</w:t>
            </w:r>
          </w:p>
        </w:tc>
        <w:tc>
          <w:tcPr>
            <w:tcW w:w="863" w:type="dxa"/>
            <w:gridSpan w:val="4"/>
            <w:vAlign w:val="center"/>
          </w:tcPr>
          <w:p w14:paraId="17B9A20E">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件</w:t>
            </w:r>
          </w:p>
        </w:tc>
        <w:tc>
          <w:tcPr>
            <w:tcW w:w="925" w:type="dxa"/>
            <w:gridSpan w:val="3"/>
            <w:vAlign w:val="center"/>
          </w:tcPr>
          <w:p w14:paraId="478AC283">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378D3B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20B1ED28">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112</w:t>
            </w:r>
          </w:p>
        </w:tc>
        <w:tc>
          <w:tcPr>
            <w:tcW w:w="1227" w:type="dxa"/>
            <w:vAlign w:val="center"/>
          </w:tcPr>
          <w:p w14:paraId="64E3D80B">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动物细胞模型</w:t>
            </w:r>
          </w:p>
        </w:tc>
        <w:tc>
          <w:tcPr>
            <w:tcW w:w="6167" w:type="dxa"/>
            <w:vAlign w:val="center"/>
          </w:tcPr>
          <w:p w14:paraId="13E406E6">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示细胞膜、细胞质、细胞核、核仁等结构</w:t>
            </w:r>
          </w:p>
        </w:tc>
        <w:tc>
          <w:tcPr>
            <w:tcW w:w="863" w:type="dxa"/>
            <w:gridSpan w:val="4"/>
            <w:vAlign w:val="center"/>
          </w:tcPr>
          <w:p w14:paraId="2DE9646C">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件</w:t>
            </w:r>
          </w:p>
        </w:tc>
        <w:tc>
          <w:tcPr>
            <w:tcW w:w="925" w:type="dxa"/>
            <w:gridSpan w:val="3"/>
            <w:vAlign w:val="center"/>
          </w:tcPr>
          <w:p w14:paraId="6DBE45EB">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5C4136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4031D7A7">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113</w:t>
            </w:r>
          </w:p>
        </w:tc>
        <w:tc>
          <w:tcPr>
            <w:tcW w:w="1227" w:type="dxa"/>
            <w:vAlign w:val="center"/>
          </w:tcPr>
          <w:p w14:paraId="532AF630">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草履虫模型</w:t>
            </w:r>
          </w:p>
        </w:tc>
        <w:tc>
          <w:tcPr>
            <w:tcW w:w="6167" w:type="dxa"/>
            <w:vAlign w:val="center"/>
          </w:tcPr>
          <w:p w14:paraId="32336515">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草履虫纵剖模型，各部着色应协调，并能相互 区分</w:t>
            </w:r>
          </w:p>
        </w:tc>
        <w:tc>
          <w:tcPr>
            <w:tcW w:w="863" w:type="dxa"/>
            <w:gridSpan w:val="4"/>
            <w:vAlign w:val="center"/>
          </w:tcPr>
          <w:p w14:paraId="78B9A1B4">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件</w:t>
            </w:r>
          </w:p>
        </w:tc>
        <w:tc>
          <w:tcPr>
            <w:tcW w:w="925" w:type="dxa"/>
            <w:gridSpan w:val="3"/>
            <w:vAlign w:val="center"/>
          </w:tcPr>
          <w:p w14:paraId="047D76BF">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2507E9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4CDC95DE">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114</w:t>
            </w:r>
          </w:p>
        </w:tc>
        <w:tc>
          <w:tcPr>
            <w:tcW w:w="1227" w:type="dxa"/>
            <w:vAlign w:val="center"/>
          </w:tcPr>
          <w:p w14:paraId="456E56DD">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植物细胞有丝分裂切片</w:t>
            </w:r>
          </w:p>
        </w:tc>
        <w:tc>
          <w:tcPr>
            <w:tcW w:w="6167" w:type="dxa"/>
            <w:vAlign w:val="center"/>
          </w:tcPr>
          <w:p w14:paraId="350747BC">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洋葱根尖纵切，应显示处于分裂前期、中期、 后期、末期的细胞，分裂各期染色体的形态特 征典型，分裂中期和后期纺锤丝隐约可见，细 胞核、核仁、染色体应着色明显，细胞质色淡</w:t>
            </w:r>
          </w:p>
        </w:tc>
        <w:tc>
          <w:tcPr>
            <w:tcW w:w="863" w:type="dxa"/>
            <w:gridSpan w:val="4"/>
            <w:vAlign w:val="center"/>
          </w:tcPr>
          <w:p w14:paraId="7357BCE7">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片</w:t>
            </w:r>
          </w:p>
        </w:tc>
        <w:tc>
          <w:tcPr>
            <w:tcW w:w="925" w:type="dxa"/>
            <w:gridSpan w:val="3"/>
            <w:vAlign w:val="center"/>
          </w:tcPr>
          <w:p w14:paraId="07F6E04F">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15</w:t>
            </w:r>
          </w:p>
        </w:tc>
      </w:tr>
      <w:tr w14:paraId="50EB76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3BA4128A">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115</w:t>
            </w:r>
          </w:p>
        </w:tc>
        <w:tc>
          <w:tcPr>
            <w:tcW w:w="1227" w:type="dxa"/>
            <w:vAlign w:val="center"/>
          </w:tcPr>
          <w:p w14:paraId="2067FBA5">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单层扁平上皮装片</w:t>
            </w:r>
          </w:p>
        </w:tc>
        <w:tc>
          <w:tcPr>
            <w:tcW w:w="6167" w:type="dxa"/>
            <w:vAlign w:val="center"/>
          </w:tcPr>
          <w:p w14:paraId="502DB5AB">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取材于动物的肠系膜等，应能看清由边缘不规 则而呈锯齿状的扁平细胞组成的单层上皮</w:t>
            </w:r>
          </w:p>
        </w:tc>
        <w:tc>
          <w:tcPr>
            <w:tcW w:w="863" w:type="dxa"/>
            <w:gridSpan w:val="4"/>
            <w:vAlign w:val="center"/>
          </w:tcPr>
          <w:p w14:paraId="049F3AF7">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片</w:t>
            </w:r>
          </w:p>
        </w:tc>
        <w:tc>
          <w:tcPr>
            <w:tcW w:w="925" w:type="dxa"/>
            <w:gridSpan w:val="3"/>
            <w:vAlign w:val="center"/>
          </w:tcPr>
          <w:p w14:paraId="6BA5C10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15</w:t>
            </w:r>
          </w:p>
        </w:tc>
      </w:tr>
      <w:tr w14:paraId="41DAAC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741B927A">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116</w:t>
            </w:r>
          </w:p>
        </w:tc>
        <w:tc>
          <w:tcPr>
            <w:tcW w:w="1227" w:type="dxa"/>
            <w:vAlign w:val="center"/>
          </w:tcPr>
          <w:p w14:paraId="60CF4B67">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纤维结缔组织切片</w:t>
            </w:r>
          </w:p>
        </w:tc>
        <w:tc>
          <w:tcPr>
            <w:tcW w:w="6167" w:type="dxa"/>
            <w:vAlign w:val="center"/>
          </w:tcPr>
          <w:p w14:paraId="0B8C9CA4">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腱纵切，取材于哺乳动物或两栖动物的跟腱或 尾腱，应能看清平行排列的胶原纤维束和呈不 规则四边形的腱细胞</w:t>
            </w:r>
          </w:p>
        </w:tc>
        <w:tc>
          <w:tcPr>
            <w:tcW w:w="863" w:type="dxa"/>
            <w:gridSpan w:val="4"/>
            <w:vAlign w:val="center"/>
          </w:tcPr>
          <w:p w14:paraId="2C61FA7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片</w:t>
            </w:r>
          </w:p>
        </w:tc>
        <w:tc>
          <w:tcPr>
            <w:tcW w:w="925" w:type="dxa"/>
            <w:gridSpan w:val="3"/>
            <w:vAlign w:val="center"/>
          </w:tcPr>
          <w:p w14:paraId="45D2C4F4">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15</w:t>
            </w:r>
          </w:p>
        </w:tc>
      </w:tr>
      <w:tr w14:paraId="211BEE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7D06EEF2">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117</w:t>
            </w:r>
          </w:p>
        </w:tc>
        <w:tc>
          <w:tcPr>
            <w:tcW w:w="1227" w:type="dxa"/>
            <w:vAlign w:val="center"/>
          </w:tcPr>
          <w:p w14:paraId="0E09A8A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疏松结缔组织装片</w:t>
            </w:r>
          </w:p>
        </w:tc>
        <w:tc>
          <w:tcPr>
            <w:tcW w:w="6167" w:type="dxa"/>
            <w:vAlign w:val="center"/>
          </w:tcPr>
          <w:p w14:paraId="239820DB">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取材于哺乳细胞的皮下结缔组织，应能看清纵 横交错的胶原纤维和弹力纤维以及大量的成纤 维细胞</w:t>
            </w:r>
          </w:p>
        </w:tc>
        <w:tc>
          <w:tcPr>
            <w:tcW w:w="863" w:type="dxa"/>
            <w:gridSpan w:val="4"/>
            <w:vAlign w:val="center"/>
          </w:tcPr>
          <w:p w14:paraId="1E3133A6">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片</w:t>
            </w:r>
          </w:p>
        </w:tc>
        <w:tc>
          <w:tcPr>
            <w:tcW w:w="925" w:type="dxa"/>
            <w:gridSpan w:val="3"/>
            <w:vAlign w:val="center"/>
          </w:tcPr>
          <w:p w14:paraId="609722B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15</w:t>
            </w:r>
          </w:p>
        </w:tc>
      </w:tr>
      <w:tr w14:paraId="6816C8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479E1451">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118</w:t>
            </w:r>
          </w:p>
        </w:tc>
        <w:tc>
          <w:tcPr>
            <w:tcW w:w="1227" w:type="dxa"/>
            <w:vAlign w:val="center"/>
          </w:tcPr>
          <w:p w14:paraId="167E3701">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骨骼肌纵横切</w:t>
            </w:r>
          </w:p>
        </w:tc>
        <w:tc>
          <w:tcPr>
            <w:tcW w:w="6167" w:type="dxa"/>
            <w:vAlign w:val="center"/>
          </w:tcPr>
          <w:p w14:paraId="0310D119">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取材于哺乳动物的膈肌，应能看清肌外膜、肌束 膜、肌纤维膜、肌纤维及其细胞核和小血管等</w:t>
            </w:r>
          </w:p>
        </w:tc>
        <w:tc>
          <w:tcPr>
            <w:tcW w:w="863" w:type="dxa"/>
            <w:gridSpan w:val="4"/>
            <w:vAlign w:val="center"/>
          </w:tcPr>
          <w:p w14:paraId="3732543F">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片</w:t>
            </w:r>
          </w:p>
        </w:tc>
        <w:tc>
          <w:tcPr>
            <w:tcW w:w="925" w:type="dxa"/>
            <w:gridSpan w:val="3"/>
            <w:vAlign w:val="center"/>
          </w:tcPr>
          <w:p w14:paraId="20D6B627">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15</w:t>
            </w:r>
          </w:p>
        </w:tc>
      </w:tr>
      <w:tr w14:paraId="46B71D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4D1CFB12">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119</w:t>
            </w:r>
          </w:p>
        </w:tc>
        <w:tc>
          <w:tcPr>
            <w:tcW w:w="1227" w:type="dxa"/>
            <w:vAlign w:val="center"/>
          </w:tcPr>
          <w:p w14:paraId="6BD8CF28">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平滑肌分离装片</w:t>
            </w:r>
          </w:p>
        </w:tc>
        <w:tc>
          <w:tcPr>
            <w:tcW w:w="6167" w:type="dxa"/>
            <w:vAlign w:val="center"/>
          </w:tcPr>
          <w:p w14:paraId="779027C4">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取材于两栖动物或哺乳动物消化管的基层，应能 看清大部分被分离成单个的长梭形平滑肌细胞</w:t>
            </w:r>
          </w:p>
        </w:tc>
        <w:tc>
          <w:tcPr>
            <w:tcW w:w="863" w:type="dxa"/>
            <w:gridSpan w:val="4"/>
            <w:vAlign w:val="center"/>
          </w:tcPr>
          <w:p w14:paraId="70527C51">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片</w:t>
            </w:r>
          </w:p>
        </w:tc>
        <w:tc>
          <w:tcPr>
            <w:tcW w:w="925" w:type="dxa"/>
            <w:gridSpan w:val="3"/>
            <w:vAlign w:val="center"/>
          </w:tcPr>
          <w:p w14:paraId="277821D8">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15</w:t>
            </w:r>
          </w:p>
        </w:tc>
      </w:tr>
      <w:tr w14:paraId="521B8B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79E19345">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120</w:t>
            </w:r>
          </w:p>
        </w:tc>
        <w:tc>
          <w:tcPr>
            <w:tcW w:w="1227" w:type="dxa"/>
            <w:vAlign w:val="center"/>
          </w:tcPr>
          <w:p w14:paraId="5DDBB653">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心肌切片</w:t>
            </w:r>
          </w:p>
        </w:tc>
        <w:tc>
          <w:tcPr>
            <w:tcW w:w="6167" w:type="dxa"/>
            <w:vAlign w:val="center"/>
          </w:tcPr>
          <w:p w14:paraId="50EE7C85">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取材于哺乳动物的心脏，应能看清柱状并具有 分枝的肌纤维（肌细胞）</w:t>
            </w:r>
          </w:p>
        </w:tc>
        <w:tc>
          <w:tcPr>
            <w:tcW w:w="863" w:type="dxa"/>
            <w:gridSpan w:val="4"/>
            <w:vAlign w:val="center"/>
          </w:tcPr>
          <w:p w14:paraId="682BE982">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片</w:t>
            </w:r>
          </w:p>
        </w:tc>
        <w:tc>
          <w:tcPr>
            <w:tcW w:w="925" w:type="dxa"/>
            <w:gridSpan w:val="3"/>
            <w:vAlign w:val="center"/>
          </w:tcPr>
          <w:p w14:paraId="77AA0F58">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15</w:t>
            </w:r>
          </w:p>
        </w:tc>
      </w:tr>
      <w:tr w14:paraId="36BD4B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05B4EA53">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121</w:t>
            </w:r>
          </w:p>
        </w:tc>
        <w:tc>
          <w:tcPr>
            <w:tcW w:w="1227" w:type="dxa"/>
            <w:vAlign w:val="center"/>
          </w:tcPr>
          <w:p w14:paraId="088E1F43">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运动神经元装片</w:t>
            </w:r>
          </w:p>
        </w:tc>
        <w:tc>
          <w:tcPr>
            <w:tcW w:w="6167" w:type="dxa"/>
            <w:vAlign w:val="center"/>
          </w:tcPr>
          <w:p w14:paraId="4F520E27">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应能看清运动神经元的细胞体和突起、细胞核 以及少量的神经纤维</w:t>
            </w:r>
          </w:p>
        </w:tc>
        <w:tc>
          <w:tcPr>
            <w:tcW w:w="863" w:type="dxa"/>
            <w:gridSpan w:val="4"/>
            <w:vAlign w:val="center"/>
          </w:tcPr>
          <w:p w14:paraId="19F5CC95">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片</w:t>
            </w:r>
          </w:p>
        </w:tc>
        <w:tc>
          <w:tcPr>
            <w:tcW w:w="925" w:type="dxa"/>
            <w:gridSpan w:val="3"/>
            <w:vAlign w:val="center"/>
          </w:tcPr>
          <w:p w14:paraId="05B61E83">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15</w:t>
            </w:r>
          </w:p>
        </w:tc>
      </w:tr>
      <w:tr w14:paraId="257A69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1710D003">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122</w:t>
            </w:r>
          </w:p>
        </w:tc>
        <w:tc>
          <w:tcPr>
            <w:tcW w:w="1227" w:type="dxa"/>
            <w:vAlign w:val="center"/>
          </w:tcPr>
          <w:p w14:paraId="7B08B7D6">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玉米种子纵切</w:t>
            </w:r>
          </w:p>
        </w:tc>
        <w:tc>
          <w:tcPr>
            <w:tcW w:w="6167" w:type="dxa"/>
            <w:vAlign w:val="center"/>
          </w:tcPr>
          <w:p w14:paraId="18818827">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应显示子叶、胚芽、胚芽鞘、胚轴、胚根和胚 根鞘</w:t>
            </w:r>
          </w:p>
        </w:tc>
        <w:tc>
          <w:tcPr>
            <w:tcW w:w="863" w:type="dxa"/>
            <w:gridSpan w:val="4"/>
            <w:vAlign w:val="center"/>
          </w:tcPr>
          <w:p w14:paraId="3C50F9F0">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片</w:t>
            </w:r>
          </w:p>
        </w:tc>
        <w:tc>
          <w:tcPr>
            <w:tcW w:w="925" w:type="dxa"/>
            <w:gridSpan w:val="3"/>
            <w:vAlign w:val="center"/>
          </w:tcPr>
          <w:p w14:paraId="099147C1">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15</w:t>
            </w:r>
          </w:p>
        </w:tc>
      </w:tr>
      <w:tr w14:paraId="585F9E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642436DA">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123</w:t>
            </w:r>
          </w:p>
        </w:tc>
        <w:tc>
          <w:tcPr>
            <w:tcW w:w="1227" w:type="dxa"/>
            <w:vAlign w:val="center"/>
          </w:tcPr>
          <w:p w14:paraId="5C594666">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根纵剖模型</w:t>
            </w:r>
          </w:p>
        </w:tc>
        <w:tc>
          <w:tcPr>
            <w:tcW w:w="6167" w:type="dxa"/>
            <w:vAlign w:val="center"/>
          </w:tcPr>
          <w:p w14:paraId="67EEA4E6">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应以单子叶植物玉米的根尖为参考材料，示根  尖的解剖结构， 根尖中部做不同方向的纵剖面， 突出维管柱，示根冠、分生区、伸长区、成熟  区和原形成层等</w:t>
            </w:r>
          </w:p>
        </w:tc>
        <w:tc>
          <w:tcPr>
            <w:tcW w:w="863" w:type="dxa"/>
            <w:gridSpan w:val="4"/>
            <w:vAlign w:val="center"/>
          </w:tcPr>
          <w:p w14:paraId="4938F055">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件</w:t>
            </w:r>
          </w:p>
        </w:tc>
        <w:tc>
          <w:tcPr>
            <w:tcW w:w="925" w:type="dxa"/>
            <w:gridSpan w:val="3"/>
            <w:vAlign w:val="center"/>
          </w:tcPr>
          <w:p w14:paraId="2868D27C">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5C784F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67455C2D">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124</w:t>
            </w:r>
          </w:p>
        </w:tc>
        <w:tc>
          <w:tcPr>
            <w:tcW w:w="1227" w:type="dxa"/>
            <w:vAlign w:val="center"/>
          </w:tcPr>
          <w:p w14:paraId="6AEE0D07">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植物根尖纵切</w:t>
            </w:r>
          </w:p>
        </w:tc>
        <w:tc>
          <w:tcPr>
            <w:tcW w:w="6167" w:type="dxa"/>
            <w:vAlign w:val="center"/>
          </w:tcPr>
          <w:p w14:paraId="4976A7D9">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应取材于玉米根，取材部位为根冠至根毛区， 应明显显示根冠、分生区、伸长区、根毛区和 原形成层等</w:t>
            </w:r>
          </w:p>
        </w:tc>
        <w:tc>
          <w:tcPr>
            <w:tcW w:w="863" w:type="dxa"/>
            <w:gridSpan w:val="4"/>
            <w:vAlign w:val="center"/>
          </w:tcPr>
          <w:p w14:paraId="681215A8">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片</w:t>
            </w:r>
          </w:p>
        </w:tc>
        <w:tc>
          <w:tcPr>
            <w:tcW w:w="925" w:type="dxa"/>
            <w:gridSpan w:val="3"/>
            <w:vAlign w:val="center"/>
          </w:tcPr>
          <w:p w14:paraId="18D5C877">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15</w:t>
            </w:r>
          </w:p>
        </w:tc>
      </w:tr>
      <w:tr w14:paraId="046A79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0E8BEC68">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125</w:t>
            </w:r>
          </w:p>
        </w:tc>
        <w:tc>
          <w:tcPr>
            <w:tcW w:w="1227" w:type="dxa"/>
            <w:vAlign w:val="center"/>
          </w:tcPr>
          <w:p w14:paraId="28F9032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顶芽纵切</w:t>
            </w:r>
          </w:p>
        </w:tc>
        <w:tc>
          <w:tcPr>
            <w:tcW w:w="6167" w:type="dxa"/>
            <w:vAlign w:val="center"/>
          </w:tcPr>
          <w:p w14:paraId="73FB0A44">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应取材于黑藻顶芽， 应能看清生长锥、叶原基、 幼叶、腋芽原基和芽轴，生长锥及幼叶处细胞  不应有明显的“质壁分离”现象</w:t>
            </w:r>
          </w:p>
        </w:tc>
        <w:tc>
          <w:tcPr>
            <w:tcW w:w="863" w:type="dxa"/>
            <w:gridSpan w:val="4"/>
            <w:vAlign w:val="center"/>
          </w:tcPr>
          <w:p w14:paraId="00C5D2C2">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片</w:t>
            </w:r>
          </w:p>
        </w:tc>
        <w:tc>
          <w:tcPr>
            <w:tcW w:w="925" w:type="dxa"/>
            <w:gridSpan w:val="3"/>
            <w:vAlign w:val="center"/>
          </w:tcPr>
          <w:p w14:paraId="4033204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15</w:t>
            </w:r>
          </w:p>
        </w:tc>
      </w:tr>
      <w:tr w14:paraId="1E86E6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03B56F16">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126</w:t>
            </w:r>
          </w:p>
        </w:tc>
        <w:tc>
          <w:tcPr>
            <w:tcW w:w="1227" w:type="dxa"/>
            <w:vAlign w:val="center"/>
          </w:tcPr>
          <w:p w14:paraId="627343C8">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桃花模型</w:t>
            </w:r>
          </w:p>
        </w:tc>
        <w:tc>
          <w:tcPr>
            <w:tcW w:w="6167" w:type="dxa"/>
            <w:vAlign w:val="center"/>
          </w:tcPr>
          <w:p w14:paraId="7AFC309C">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放大的盛开状态的桃花模型，花冠的直径330 mm±15 mm，示花柄、花托、花萼、花冠、 雄蕊和雌蕊，花瓣、雌蕊可拆装，子房做纵剖</w:t>
            </w:r>
          </w:p>
        </w:tc>
        <w:tc>
          <w:tcPr>
            <w:tcW w:w="863" w:type="dxa"/>
            <w:gridSpan w:val="4"/>
            <w:vAlign w:val="center"/>
          </w:tcPr>
          <w:p w14:paraId="37E1D286">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件</w:t>
            </w:r>
          </w:p>
        </w:tc>
        <w:tc>
          <w:tcPr>
            <w:tcW w:w="925" w:type="dxa"/>
            <w:gridSpan w:val="3"/>
            <w:vAlign w:val="center"/>
          </w:tcPr>
          <w:p w14:paraId="6D563046">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9</w:t>
            </w:r>
          </w:p>
        </w:tc>
      </w:tr>
      <w:tr w14:paraId="3C378D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383A9E54">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127</w:t>
            </w:r>
          </w:p>
        </w:tc>
        <w:tc>
          <w:tcPr>
            <w:tcW w:w="1227" w:type="dxa"/>
            <w:vAlign w:val="center"/>
          </w:tcPr>
          <w:p w14:paraId="3BD8C7E5">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单子叶植物茎模型</w:t>
            </w:r>
          </w:p>
        </w:tc>
        <w:tc>
          <w:tcPr>
            <w:tcW w:w="6167" w:type="dxa"/>
            <w:vAlign w:val="center"/>
          </w:tcPr>
          <w:p w14:paraId="06796BB2">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应明显显示表皮、机械组织、薄壁细胞、维管 束、维管束鞘、环纹导管、螺纹导管、孔纹导 管、筛管和伴胞、气道，各结构应位置准确， 修饰自然、正确</w:t>
            </w:r>
          </w:p>
        </w:tc>
        <w:tc>
          <w:tcPr>
            <w:tcW w:w="863" w:type="dxa"/>
            <w:gridSpan w:val="4"/>
            <w:vAlign w:val="center"/>
          </w:tcPr>
          <w:p w14:paraId="7B25346C">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件</w:t>
            </w:r>
          </w:p>
        </w:tc>
        <w:tc>
          <w:tcPr>
            <w:tcW w:w="925" w:type="dxa"/>
            <w:gridSpan w:val="3"/>
            <w:vAlign w:val="center"/>
          </w:tcPr>
          <w:p w14:paraId="5D590C3E">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7C723D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3A49AA2E">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128</w:t>
            </w:r>
          </w:p>
        </w:tc>
        <w:tc>
          <w:tcPr>
            <w:tcW w:w="1227" w:type="dxa"/>
            <w:vAlign w:val="center"/>
          </w:tcPr>
          <w:p w14:paraId="37127337">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双子叶草本植物 茎模型</w:t>
            </w:r>
          </w:p>
        </w:tc>
        <w:tc>
          <w:tcPr>
            <w:tcW w:w="6167" w:type="dxa"/>
            <w:vAlign w:val="center"/>
          </w:tcPr>
          <w:p w14:paraId="59DAC9EA">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应以向日葵茎为参考材料，示双子叶草本植物 茎纵、横切面的结构，应示角质层、表皮、厚 角组织、薄壁组织、维管束、髓、髓射线、环 纹导管、螺纹导管、孔纹导管、筛管和伴胞、 形成层各部位</w:t>
            </w:r>
          </w:p>
        </w:tc>
        <w:tc>
          <w:tcPr>
            <w:tcW w:w="863" w:type="dxa"/>
            <w:gridSpan w:val="4"/>
            <w:vAlign w:val="center"/>
          </w:tcPr>
          <w:p w14:paraId="3980F40B">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件</w:t>
            </w:r>
          </w:p>
        </w:tc>
        <w:tc>
          <w:tcPr>
            <w:tcW w:w="925" w:type="dxa"/>
            <w:gridSpan w:val="3"/>
            <w:vAlign w:val="center"/>
          </w:tcPr>
          <w:p w14:paraId="231F2244">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6043F8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459FFE31">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129</w:t>
            </w:r>
          </w:p>
        </w:tc>
        <w:tc>
          <w:tcPr>
            <w:tcW w:w="1227" w:type="dxa"/>
            <w:vAlign w:val="center"/>
          </w:tcPr>
          <w:p w14:paraId="25E78A86">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导管、筛管结构 模型</w:t>
            </w:r>
          </w:p>
        </w:tc>
        <w:tc>
          <w:tcPr>
            <w:tcW w:w="6167" w:type="dxa"/>
            <w:vAlign w:val="center"/>
          </w:tcPr>
          <w:p w14:paraId="3EB9FFA9">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显微结构的立体放大模型，包括环纹导管、螺 纹导管、网纹导管、孔纹导管及筛管，形态结 构应正确、自然</w:t>
            </w:r>
          </w:p>
        </w:tc>
        <w:tc>
          <w:tcPr>
            <w:tcW w:w="863" w:type="dxa"/>
            <w:gridSpan w:val="4"/>
            <w:vAlign w:val="center"/>
          </w:tcPr>
          <w:p w14:paraId="0091CD17">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件</w:t>
            </w:r>
          </w:p>
        </w:tc>
        <w:tc>
          <w:tcPr>
            <w:tcW w:w="925" w:type="dxa"/>
            <w:gridSpan w:val="3"/>
            <w:vAlign w:val="center"/>
          </w:tcPr>
          <w:p w14:paraId="7475A4E6">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3F4093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2AA40FDF">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130</w:t>
            </w:r>
          </w:p>
        </w:tc>
        <w:tc>
          <w:tcPr>
            <w:tcW w:w="1227" w:type="dxa"/>
            <w:vAlign w:val="center"/>
          </w:tcPr>
          <w:p w14:paraId="7301AA23">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木本双子叶植物 茎横切</w:t>
            </w:r>
          </w:p>
        </w:tc>
        <w:tc>
          <w:tcPr>
            <w:tcW w:w="6167" w:type="dxa"/>
            <w:vAlign w:val="center"/>
          </w:tcPr>
          <w:p w14:paraId="21E8EF89">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取材于三年生椴木枝， 应能看清表皮、木栓层、 厚角组织、皮层、韧皮部、形成层、木质部、  髓部和髓射线</w:t>
            </w:r>
          </w:p>
        </w:tc>
        <w:tc>
          <w:tcPr>
            <w:tcW w:w="863" w:type="dxa"/>
            <w:gridSpan w:val="4"/>
            <w:vAlign w:val="center"/>
          </w:tcPr>
          <w:p w14:paraId="003A2720">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片</w:t>
            </w:r>
          </w:p>
        </w:tc>
        <w:tc>
          <w:tcPr>
            <w:tcW w:w="925" w:type="dxa"/>
            <w:gridSpan w:val="3"/>
            <w:vAlign w:val="center"/>
          </w:tcPr>
          <w:p w14:paraId="51FBAD9F">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15</w:t>
            </w:r>
          </w:p>
        </w:tc>
      </w:tr>
      <w:tr w14:paraId="08A8F4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2B55CC8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131</w:t>
            </w:r>
          </w:p>
        </w:tc>
        <w:tc>
          <w:tcPr>
            <w:tcW w:w="1227" w:type="dxa"/>
            <w:vAlign w:val="center"/>
          </w:tcPr>
          <w:p w14:paraId="15947ECF">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南瓜茎纵切</w:t>
            </w:r>
          </w:p>
        </w:tc>
        <w:tc>
          <w:tcPr>
            <w:tcW w:w="6167" w:type="dxa"/>
            <w:vAlign w:val="center"/>
          </w:tcPr>
          <w:p w14:paraId="7CD19945">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应能看清皮层、机械组织、薄壁组织、双韧维 管束和髓腔，在双韧维管束的纵断面上应能看 清网纹导管或环纹导管或螺纹导管中的两种和 筛管、筛板等结构</w:t>
            </w:r>
          </w:p>
        </w:tc>
        <w:tc>
          <w:tcPr>
            <w:tcW w:w="863" w:type="dxa"/>
            <w:gridSpan w:val="4"/>
            <w:vAlign w:val="center"/>
          </w:tcPr>
          <w:p w14:paraId="0FF1F69D">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片</w:t>
            </w:r>
          </w:p>
        </w:tc>
        <w:tc>
          <w:tcPr>
            <w:tcW w:w="925" w:type="dxa"/>
            <w:gridSpan w:val="3"/>
            <w:vAlign w:val="center"/>
          </w:tcPr>
          <w:p w14:paraId="508E92F7">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15</w:t>
            </w:r>
          </w:p>
        </w:tc>
      </w:tr>
      <w:tr w14:paraId="00AB20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54C566D2">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132</w:t>
            </w:r>
          </w:p>
        </w:tc>
        <w:tc>
          <w:tcPr>
            <w:tcW w:w="1227" w:type="dxa"/>
            <w:vAlign w:val="center"/>
          </w:tcPr>
          <w:p w14:paraId="34065F28">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叶构造模型</w:t>
            </w:r>
          </w:p>
        </w:tc>
        <w:tc>
          <w:tcPr>
            <w:tcW w:w="6167" w:type="dxa"/>
            <w:vAlign w:val="center"/>
          </w:tcPr>
          <w:p w14:paraId="737D4557">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以蚕豆叶为参考材料， 示双子叶植物叶的构造， 示上表皮、下表皮、栅栏组织、海绵组织、主  脉、侧脉、木质部、韧皮部、形成层、气孔等  部位</w:t>
            </w:r>
          </w:p>
        </w:tc>
        <w:tc>
          <w:tcPr>
            <w:tcW w:w="863" w:type="dxa"/>
            <w:gridSpan w:val="4"/>
            <w:vAlign w:val="center"/>
          </w:tcPr>
          <w:p w14:paraId="27DA0335">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件</w:t>
            </w:r>
          </w:p>
        </w:tc>
        <w:tc>
          <w:tcPr>
            <w:tcW w:w="925" w:type="dxa"/>
            <w:gridSpan w:val="3"/>
            <w:vAlign w:val="center"/>
          </w:tcPr>
          <w:p w14:paraId="71B9D19B">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5374AE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4017C9EC">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133</w:t>
            </w:r>
          </w:p>
        </w:tc>
        <w:tc>
          <w:tcPr>
            <w:tcW w:w="1227" w:type="dxa"/>
            <w:vAlign w:val="center"/>
          </w:tcPr>
          <w:p w14:paraId="6BAA3933">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迎春叶横切</w:t>
            </w:r>
          </w:p>
        </w:tc>
        <w:tc>
          <w:tcPr>
            <w:tcW w:w="6167" w:type="dxa"/>
            <w:vAlign w:val="center"/>
          </w:tcPr>
          <w:p w14:paraId="7C61565B">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应显示叶片横断面的上下表皮、栅栏组织、海 绵组织及叶脉等</w:t>
            </w:r>
          </w:p>
        </w:tc>
        <w:tc>
          <w:tcPr>
            <w:tcW w:w="863" w:type="dxa"/>
            <w:gridSpan w:val="4"/>
            <w:vAlign w:val="center"/>
          </w:tcPr>
          <w:p w14:paraId="3D3AD293">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片</w:t>
            </w:r>
          </w:p>
        </w:tc>
        <w:tc>
          <w:tcPr>
            <w:tcW w:w="925" w:type="dxa"/>
            <w:gridSpan w:val="3"/>
            <w:vAlign w:val="center"/>
          </w:tcPr>
          <w:p w14:paraId="14AD3270">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15</w:t>
            </w:r>
          </w:p>
        </w:tc>
      </w:tr>
      <w:tr w14:paraId="2F5DBF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3E61FC0F">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134</w:t>
            </w:r>
          </w:p>
        </w:tc>
        <w:tc>
          <w:tcPr>
            <w:tcW w:w="1227" w:type="dxa"/>
            <w:vAlign w:val="center"/>
          </w:tcPr>
          <w:p w14:paraId="500F9747">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人体半身模型</w:t>
            </w:r>
          </w:p>
        </w:tc>
        <w:tc>
          <w:tcPr>
            <w:tcW w:w="6167" w:type="dxa"/>
            <w:vAlign w:val="center"/>
          </w:tcPr>
          <w:p w14:paraId="012B51BE">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自然大，橡胶制，示消化系统、呼吸系统、 泌尿系统</w:t>
            </w:r>
          </w:p>
        </w:tc>
        <w:tc>
          <w:tcPr>
            <w:tcW w:w="863" w:type="dxa"/>
            <w:gridSpan w:val="4"/>
            <w:vAlign w:val="center"/>
          </w:tcPr>
          <w:p w14:paraId="75EB9C6B">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件</w:t>
            </w:r>
          </w:p>
        </w:tc>
        <w:tc>
          <w:tcPr>
            <w:tcW w:w="925" w:type="dxa"/>
            <w:gridSpan w:val="3"/>
            <w:vAlign w:val="center"/>
          </w:tcPr>
          <w:p w14:paraId="6ADCB021">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4257EA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3A90FF0A">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135</w:t>
            </w:r>
          </w:p>
        </w:tc>
        <w:tc>
          <w:tcPr>
            <w:tcW w:w="1227" w:type="dxa"/>
            <w:vAlign w:val="center"/>
          </w:tcPr>
          <w:p w14:paraId="6794EC83">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小肠切片</w:t>
            </w:r>
          </w:p>
        </w:tc>
        <w:tc>
          <w:tcPr>
            <w:tcW w:w="6167" w:type="dxa"/>
            <w:vAlign w:val="center"/>
          </w:tcPr>
          <w:p w14:paraId="57423B2D">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应能看清粘膜，包括绒毛、粘膜肌层和肠腺， 粘膜下层、肌层和浆膜等</w:t>
            </w:r>
          </w:p>
        </w:tc>
        <w:tc>
          <w:tcPr>
            <w:tcW w:w="863" w:type="dxa"/>
            <w:gridSpan w:val="4"/>
            <w:vAlign w:val="center"/>
          </w:tcPr>
          <w:p w14:paraId="22E5022B">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片</w:t>
            </w:r>
          </w:p>
        </w:tc>
        <w:tc>
          <w:tcPr>
            <w:tcW w:w="925" w:type="dxa"/>
            <w:gridSpan w:val="3"/>
            <w:vAlign w:val="center"/>
          </w:tcPr>
          <w:p w14:paraId="4690F6C6">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15</w:t>
            </w:r>
          </w:p>
        </w:tc>
      </w:tr>
      <w:tr w14:paraId="0D8A64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41DAE1F4">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136</w:t>
            </w:r>
          </w:p>
        </w:tc>
        <w:tc>
          <w:tcPr>
            <w:tcW w:w="1227" w:type="dxa"/>
            <w:vAlign w:val="center"/>
          </w:tcPr>
          <w:p w14:paraId="051B1F2B">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喉解剖模型</w:t>
            </w:r>
          </w:p>
        </w:tc>
        <w:tc>
          <w:tcPr>
            <w:tcW w:w="6167" w:type="dxa"/>
            <w:vAlign w:val="center"/>
          </w:tcPr>
          <w:p w14:paraId="7C8759B5">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应正确显示喉软骨、喉肌、喉腔、喉口等结构 特征</w:t>
            </w:r>
          </w:p>
        </w:tc>
        <w:tc>
          <w:tcPr>
            <w:tcW w:w="863" w:type="dxa"/>
            <w:gridSpan w:val="4"/>
            <w:vAlign w:val="center"/>
          </w:tcPr>
          <w:p w14:paraId="6F897195">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件</w:t>
            </w:r>
          </w:p>
        </w:tc>
        <w:tc>
          <w:tcPr>
            <w:tcW w:w="925" w:type="dxa"/>
            <w:gridSpan w:val="3"/>
            <w:vAlign w:val="center"/>
          </w:tcPr>
          <w:p w14:paraId="06D752A6">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2B38BF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115086EA">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137</w:t>
            </w:r>
          </w:p>
        </w:tc>
        <w:tc>
          <w:tcPr>
            <w:tcW w:w="1227" w:type="dxa"/>
            <w:vAlign w:val="center"/>
          </w:tcPr>
          <w:p w14:paraId="59548C68">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肺泡模型</w:t>
            </w:r>
          </w:p>
        </w:tc>
        <w:tc>
          <w:tcPr>
            <w:tcW w:w="6167" w:type="dxa"/>
            <w:vAlign w:val="center"/>
          </w:tcPr>
          <w:p w14:paraId="1B9B63F9">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应正确显示细支气管、呼吸性细支气管、肺泡  管、肺泡囊、肺泡、肺泡隔、肺动脉、肺静脉、 肺泡毛细血管网、支气管动脉、支气管静脉、  平滑肌、弹性纤维等结构特征</w:t>
            </w:r>
          </w:p>
        </w:tc>
        <w:tc>
          <w:tcPr>
            <w:tcW w:w="863" w:type="dxa"/>
            <w:gridSpan w:val="4"/>
            <w:vAlign w:val="center"/>
          </w:tcPr>
          <w:p w14:paraId="33571A67">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件</w:t>
            </w:r>
          </w:p>
        </w:tc>
        <w:tc>
          <w:tcPr>
            <w:tcW w:w="925" w:type="dxa"/>
            <w:gridSpan w:val="3"/>
            <w:vAlign w:val="center"/>
          </w:tcPr>
          <w:p w14:paraId="2F9CBE2E">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41F83F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3B1B6F6E">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138</w:t>
            </w:r>
          </w:p>
        </w:tc>
        <w:tc>
          <w:tcPr>
            <w:tcW w:w="1227" w:type="dxa"/>
            <w:vAlign w:val="center"/>
          </w:tcPr>
          <w:p w14:paraId="268EABCD">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膈肌运动模拟器</w:t>
            </w:r>
          </w:p>
        </w:tc>
        <w:tc>
          <w:tcPr>
            <w:tcW w:w="6167" w:type="dxa"/>
            <w:vAlign w:val="center"/>
          </w:tcPr>
          <w:p w14:paraId="4A618CF9">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高度 250 mm±15 mm，宽度或直径 220 mm±15 mm， 膈的直径（或长径）≥170 mm；应模拟显示胸  腔、膈、气管、支气管、肺（或肺泡）等结构</w:t>
            </w:r>
          </w:p>
        </w:tc>
        <w:tc>
          <w:tcPr>
            <w:tcW w:w="863" w:type="dxa"/>
            <w:gridSpan w:val="4"/>
            <w:vAlign w:val="center"/>
          </w:tcPr>
          <w:p w14:paraId="1B69FA76">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件</w:t>
            </w:r>
          </w:p>
        </w:tc>
        <w:tc>
          <w:tcPr>
            <w:tcW w:w="925" w:type="dxa"/>
            <w:gridSpan w:val="3"/>
            <w:vAlign w:val="center"/>
          </w:tcPr>
          <w:p w14:paraId="4BBA37B7">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7F6B56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6BB53B0C">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139</w:t>
            </w:r>
          </w:p>
        </w:tc>
        <w:tc>
          <w:tcPr>
            <w:tcW w:w="1227" w:type="dxa"/>
            <w:vAlign w:val="center"/>
          </w:tcPr>
          <w:p w14:paraId="22A71A72">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人血涂片</w:t>
            </w:r>
          </w:p>
        </w:tc>
        <w:tc>
          <w:tcPr>
            <w:tcW w:w="6167" w:type="dxa"/>
            <w:vAlign w:val="center"/>
          </w:tcPr>
          <w:p w14:paraId="7FAE4E38">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染色均匀，能看清红血细胞和白血细胞，细胞 不重叠、无变形和自溶现象</w:t>
            </w:r>
          </w:p>
        </w:tc>
        <w:tc>
          <w:tcPr>
            <w:tcW w:w="863" w:type="dxa"/>
            <w:gridSpan w:val="4"/>
            <w:vAlign w:val="center"/>
          </w:tcPr>
          <w:p w14:paraId="5CFBAD22">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片</w:t>
            </w:r>
          </w:p>
        </w:tc>
        <w:tc>
          <w:tcPr>
            <w:tcW w:w="925" w:type="dxa"/>
            <w:gridSpan w:val="3"/>
            <w:vAlign w:val="center"/>
          </w:tcPr>
          <w:p w14:paraId="3E2DD5AE">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15</w:t>
            </w:r>
          </w:p>
        </w:tc>
      </w:tr>
      <w:tr w14:paraId="1A1960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53DD2C0A">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140</w:t>
            </w:r>
          </w:p>
        </w:tc>
        <w:tc>
          <w:tcPr>
            <w:tcW w:w="1227" w:type="dxa"/>
            <w:vAlign w:val="center"/>
          </w:tcPr>
          <w:p w14:paraId="66EF5804">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动静脉血管横切</w:t>
            </w:r>
          </w:p>
        </w:tc>
        <w:tc>
          <w:tcPr>
            <w:tcW w:w="6167" w:type="dxa"/>
            <w:vAlign w:val="center"/>
          </w:tcPr>
          <w:p w14:paraId="0710903C">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取材于哺乳动物的腹主动脉和下腔静脉，内皮 应 90%以上完整</w:t>
            </w:r>
          </w:p>
        </w:tc>
        <w:tc>
          <w:tcPr>
            <w:tcW w:w="863" w:type="dxa"/>
            <w:gridSpan w:val="4"/>
            <w:vAlign w:val="center"/>
          </w:tcPr>
          <w:p w14:paraId="217A0E2A">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片</w:t>
            </w:r>
          </w:p>
        </w:tc>
        <w:tc>
          <w:tcPr>
            <w:tcW w:w="925" w:type="dxa"/>
            <w:gridSpan w:val="3"/>
            <w:vAlign w:val="center"/>
          </w:tcPr>
          <w:p w14:paraId="627E15DB">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15</w:t>
            </w:r>
          </w:p>
        </w:tc>
      </w:tr>
      <w:tr w14:paraId="369906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5A85D4D8">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141</w:t>
            </w:r>
          </w:p>
        </w:tc>
        <w:tc>
          <w:tcPr>
            <w:tcW w:w="1227" w:type="dxa"/>
            <w:vAlign w:val="center"/>
          </w:tcPr>
          <w:p w14:paraId="5B433650">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心脏解剖模型</w:t>
            </w:r>
          </w:p>
        </w:tc>
        <w:tc>
          <w:tcPr>
            <w:tcW w:w="6167" w:type="dxa"/>
            <w:vAlign w:val="center"/>
          </w:tcPr>
          <w:p w14:paraId="3C877EB8">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三倍自然大， 示上腔静脉、下腔静脉、主动脉、 肺动脉、动脉韧带、左冠状动脉、右冠状动脉、 冠状窦，左心房、右心房、左心室、右心室、  二尖瓣、三尖瓣、主动脉瓣、肺动脉瓣、卵圆  窝、冠状窦口</w:t>
            </w:r>
          </w:p>
        </w:tc>
        <w:tc>
          <w:tcPr>
            <w:tcW w:w="863" w:type="dxa"/>
            <w:gridSpan w:val="4"/>
            <w:vAlign w:val="center"/>
          </w:tcPr>
          <w:p w14:paraId="351522A6">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件</w:t>
            </w:r>
          </w:p>
        </w:tc>
        <w:tc>
          <w:tcPr>
            <w:tcW w:w="925" w:type="dxa"/>
            <w:gridSpan w:val="3"/>
            <w:vAlign w:val="center"/>
          </w:tcPr>
          <w:p w14:paraId="06DF10ED">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255513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27A1E5A1">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142</w:t>
            </w:r>
          </w:p>
        </w:tc>
        <w:tc>
          <w:tcPr>
            <w:tcW w:w="1227" w:type="dxa"/>
            <w:vAlign w:val="center"/>
          </w:tcPr>
          <w:p w14:paraId="08F30F9C">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心脏解剖模型</w:t>
            </w:r>
          </w:p>
        </w:tc>
        <w:tc>
          <w:tcPr>
            <w:tcW w:w="6167" w:type="dxa"/>
            <w:vAlign w:val="center"/>
          </w:tcPr>
          <w:p w14:paraId="6FAA7709">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自然大，示上腔静脉、下腔静脉、主动脉、肺 动脉、左心房、右心房、左心室、右心室</w:t>
            </w:r>
          </w:p>
        </w:tc>
        <w:tc>
          <w:tcPr>
            <w:tcW w:w="863" w:type="dxa"/>
            <w:gridSpan w:val="4"/>
            <w:vAlign w:val="center"/>
          </w:tcPr>
          <w:p w14:paraId="79A58A47">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件</w:t>
            </w:r>
          </w:p>
        </w:tc>
        <w:tc>
          <w:tcPr>
            <w:tcW w:w="925" w:type="dxa"/>
            <w:gridSpan w:val="3"/>
            <w:vAlign w:val="center"/>
          </w:tcPr>
          <w:p w14:paraId="5EB6C94A">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9</w:t>
            </w:r>
          </w:p>
        </w:tc>
      </w:tr>
      <w:tr w14:paraId="3E4E95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4BE15826">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143</w:t>
            </w:r>
          </w:p>
        </w:tc>
        <w:tc>
          <w:tcPr>
            <w:tcW w:w="1227" w:type="dxa"/>
            <w:vAlign w:val="center"/>
          </w:tcPr>
          <w:p w14:paraId="1EFF8465">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电子血压计</w:t>
            </w:r>
          </w:p>
        </w:tc>
        <w:tc>
          <w:tcPr>
            <w:tcW w:w="6167" w:type="dxa"/>
            <w:vAlign w:val="center"/>
          </w:tcPr>
          <w:p w14:paraId="4B86E152">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数字式液晶显示，量程 0 mmHg～299 mmHg， 分辨力 3 mmHg</w:t>
            </w:r>
          </w:p>
        </w:tc>
        <w:tc>
          <w:tcPr>
            <w:tcW w:w="863" w:type="dxa"/>
            <w:gridSpan w:val="4"/>
            <w:vAlign w:val="center"/>
          </w:tcPr>
          <w:p w14:paraId="107EDD56">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件</w:t>
            </w:r>
          </w:p>
        </w:tc>
        <w:tc>
          <w:tcPr>
            <w:tcW w:w="925" w:type="dxa"/>
            <w:gridSpan w:val="3"/>
            <w:vAlign w:val="center"/>
          </w:tcPr>
          <w:p w14:paraId="6DFDD7D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9</w:t>
            </w:r>
          </w:p>
        </w:tc>
      </w:tr>
      <w:tr w14:paraId="790C0F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67BA9DE5">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144</w:t>
            </w:r>
          </w:p>
        </w:tc>
        <w:tc>
          <w:tcPr>
            <w:tcW w:w="1227" w:type="dxa"/>
            <w:vAlign w:val="center"/>
          </w:tcPr>
          <w:p w14:paraId="7D4854C5">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男性泌尿生殖系 统模型</w:t>
            </w:r>
          </w:p>
        </w:tc>
        <w:tc>
          <w:tcPr>
            <w:tcW w:w="6167" w:type="dxa"/>
            <w:vAlign w:val="center"/>
          </w:tcPr>
          <w:p w14:paraId="5AE91010">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自然大，结构清晰，位置精准，比例适宜</w:t>
            </w:r>
          </w:p>
        </w:tc>
        <w:tc>
          <w:tcPr>
            <w:tcW w:w="863" w:type="dxa"/>
            <w:gridSpan w:val="4"/>
            <w:vAlign w:val="center"/>
          </w:tcPr>
          <w:p w14:paraId="3A1A1173">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件</w:t>
            </w:r>
          </w:p>
        </w:tc>
        <w:tc>
          <w:tcPr>
            <w:tcW w:w="925" w:type="dxa"/>
            <w:gridSpan w:val="3"/>
            <w:vAlign w:val="center"/>
          </w:tcPr>
          <w:p w14:paraId="151C483D">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68680F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5EB686BA">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145</w:t>
            </w:r>
          </w:p>
        </w:tc>
        <w:tc>
          <w:tcPr>
            <w:tcW w:w="1227" w:type="dxa"/>
            <w:vAlign w:val="center"/>
          </w:tcPr>
          <w:p w14:paraId="1B5B77E5">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女性泌尿生殖系 统模型</w:t>
            </w:r>
          </w:p>
        </w:tc>
        <w:tc>
          <w:tcPr>
            <w:tcW w:w="6167" w:type="dxa"/>
            <w:vAlign w:val="center"/>
          </w:tcPr>
          <w:p w14:paraId="1F135C5E">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自然大，结构清晰，位置精准，比例适宜</w:t>
            </w:r>
          </w:p>
        </w:tc>
        <w:tc>
          <w:tcPr>
            <w:tcW w:w="863" w:type="dxa"/>
            <w:gridSpan w:val="4"/>
            <w:vAlign w:val="center"/>
          </w:tcPr>
          <w:p w14:paraId="44CB4343">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件</w:t>
            </w:r>
          </w:p>
        </w:tc>
        <w:tc>
          <w:tcPr>
            <w:tcW w:w="925" w:type="dxa"/>
            <w:gridSpan w:val="3"/>
            <w:vAlign w:val="center"/>
          </w:tcPr>
          <w:p w14:paraId="44E03542">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010E2D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7B2B4CA0">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146</w:t>
            </w:r>
          </w:p>
        </w:tc>
        <w:tc>
          <w:tcPr>
            <w:tcW w:w="1227" w:type="dxa"/>
            <w:vAlign w:val="center"/>
          </w:tcPr>
          <w:p w14:paraId="4727937B">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肾单位、肾小体 模型</w:t>
            </w:r>
          </w:p>
        </w:tc>
        <w:tc>
          <w:tcPr>
            <w:tcW w:w="6167" w:type="dxa"/>
            <w:vAlign w:val="center"/>
          </w:tcPr>
          <w:p w14:paraId="5451AB2D">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肾单位模型≥400 mm×240 mm，示肾小体、肾 小管和集合管等；肾小体模型直径≥100 mm， 半剖，示肾小球、肾小囊、入球小动脉和出球 小动脉等</w:t>
            </w:r>
          </w:p>
        </w:tc>
        <w:tc>
          <w:tcPr>
            <w:tcW w:w="863" w:type="dxa"/>
            <w:gridSpan w:val="4"/>
            <w:vAlign w:val="center"/>
          </w:tcPr>
          <w:p w14:paraId="5C20C0DA">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件</w:t>
            </w:r>
          </w:p>
        </w:tc>
        <w:tc>
          <w:tcPr>
            <w:tcW w:w="925" w:type="dxa"/>
            <w:gridSpan w:val="3"/>
            <w:vAlign w:val="center"/>
          </w:tcPr>
          <w:p w14:paraId="6F934D6C">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41E017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17F2B9D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147</w:t>
            </w:r>
          </w:p>
        </w:tc>
        <w:tc>
          <w:tcPr>
            <w:tcW w:w="1227" w:type="dxa"/>
            <w:vAlign w:val="center"/>
          </w:tcPr>
          <w:p w14:paraId="55D0733A">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眼球解剖模型</w:t>
            </w:r>
          </w:p>
        </w:tc>
        <w:tc>
          <w:tcPr>
            <w:tcW w:w="6167" w:type="dxa"/>
            <w:vAlign w:val="center"/>
          </w:tcPr>
          <w:p w14:paraId="38E162A8">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6 倍自然大，应采用硬质热塑性塑料制作，角  膜、虹膜应完整显示， 两者和眼球内的晶状体、 玻璃体分别可拆下，各部的肌肉、膜壁、血管  和神经等的形态结构、位置、比例、颜色均应  正确自然</w:t>
            </w:r>
          </w:p>
        </w:tc>
        <w:tc>
          <w:tcPr>
            <w:tcW w:w="863" w:type="dxa"/>
            <w:gridSpan w:val="4"/>
            <w:vAlign w:val="center"/>
          </w:tcPr>
          <w:p w14:paraId="39929C73">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件</w:t>
            </w:r>
          </w:p>
        </w:tc>
        <w:tc>
          <w:tcPr>
            <w:tcW w:w="925" w:type="dxa"/>
            <w:gridSpan w:val="3"/>
            <w:vAlign w:val="center"/>
          </w:tcPr>
          <w:p w14:paraId="4888C450">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9</w:t>
            </w:r>
          </w:p>
        </w:tc>
      </w:tr>
      <w:tr w14:paraId="2C1C22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4CEF1BFE">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148</w:t>
            </w:r>
          </w:p>
        </w:tc>
        <w:tc>
          <w:tcPr>
            <w:tcW w:w="1227" w:type="dxa"/>
            <w:vAlign w:val="center"/>
          </w:tcPr>
          <w:p w14:paraId="0C11BAFD">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眼球仪</w:t>
            </w:r>
          </w:p>
        </w:tc>
        <w:tc>
          <w:tcPr>
            <w:tcW w:w="6167" w:type="dxa"/>
            <w:vAlign w:val="center"/>
          </w:tcPr>
          <w:p w14:paraId="1F3F3BFA">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由放大的成人眼球模型、晶状体曲度调节器、 光源、矫正镜盘、视网膜成像显示屏及手持式 显示屏等组成</w:t>
            </w:r>
          </w:p>
        </w:tc>
        <w:tc>
          <w:tcPr>
            <w:tcW w:w="863" w:type="dxa"/>
            <w:gridSpan w:val="4"/>
            <w:vAlign w:val="center"/>
          </w:tcPr>
          <w:p w14:paraId="57ECA4E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件</w:t>
            </w:r>
          </w:p>
        </w:tc>
        <w:tc>
          <w:tcPr>
            <w:tcW w:w="925" w:type="dxa"/>
            <w:gridSpan w:val="3"/>
            <w:vAlign w:val="center"/>
          </w:tcPr>
          <w:p w14:paraId="2C7F563D">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1ADA6F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4E682983">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149</w:t>
            </w:r>
          </w:p>
        </w:tc>
        <w:tc>
          <w:tcPr>
            <w:tcW w:w="1227" w:type="dxa"/>
            <w:vAlign w:val="center"/>
          </w:tcPr>
          <w:p w14:paraId="0D0D6FF1">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耳解剖模型</w:t>
            </w:r>
          </w:p>
        </w:tc>
        <w:tc>
          <w:tcPr>
            <w:tcW w:w="6167" w:type="dxa"/>
            <w:vAlign w:val="center"/>
          </w:tcPr>
          <w:p w14:paraId="578C32DC">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6 倍自然大，应完整显示外耳道、鼓膜、听小  骨、鼓室、咽鼓管、鼓膜张肌、乳突窦、前庭、 骨半规管、耳蜗、前庭窗、蜗窗、前庭蜗神经  等结构</w:t>
            </w:r>
          </w:p>
        </w:tc>
        <w:tc>
          <w:tcPr>
            <w:tcW w:w="863" w:type="dxa"/>
            <w:gridSpan w:val="4"/>
            <w:vAlign w:val="center"/>
          </w:tcPr>
          <w:p w14:paraId="3888189C">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件</w:t>
            </w:r>
          </w:p>
        </w:tc>
        <w:tc>
          <w:tcPr>
            <w:tcW w:w="925" w:type="dxa"/>
            <w:gridSpan w:val="3"/>
            <w:vAlign w:val="center"/>
          </w:tcPr>
          <w:p w14:paraId="5824E7B8">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7F7D3A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49031C7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150</w:t>
            </w:r>
          </w:p>
        </w:tc>
        <w:tc>
          <w:tcPr>
            <w:tcW w:w="1227" w:type="dxa"/>
            <w:vAlign w:val="center"/>
          </w:tcPr>
          <w:p w14:paraId="176832F7">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脑解剖模型</w:t>
            </w:r>
          </w:p>
        </w:tc>
        <w:tc>
          <w:tcPr>
            <w:tcW w:w="6167" w:type="dxa"/>
            <w:vAlign w:val="center"/>
          </w:tcPr>
          <w:p w14:paraId="1377DB84">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自然大，大脑做正中矢状切面，左侧脑半球经 外侧沟向枕部再做水平切面，并保留完整的脑 干形态，应示大脑、小脑、延髓、脑桥、上下 丘、胼胝体、透明隔、嗅球、视神经、动眼神 经等部位</w:t>
            </w:r>
          </w:p>
        </w:tc>
        <w:tc>
          <w:tcPr>
            <w:tcW w:w="863" w:type="dxa"/>
            <w:gridSpan w:val="4"/>
            <w:vAlign w:val="center"/>
          </w:tcPr>
          <w:p w14:paraId="782D09C0">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件</w:t>
            </w:r>
          </w:p>
        </w:tc>
        <w:tc>
          <w:tcPr>
            <w:tcW w:w="925" w:type="dxa"/>
            <w:gridSpan w:val="3"/>
            <w:vAlign w:val="center"/>
          </w:tcPr>
          <w:p w14:paraId="72DC10CB">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22B1E6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02326DE0">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151</w:t>
            </w:r>
          </w:p>
        </w:tc>
        <w:tc>
          <w:tcPr>
            <w:tcW w:w="1227" w:type="dxa"/>
            <w:vAlign w:val="center"/>
          </w:tcPr>
          <w:p w14:paraId="63ADCC04">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脊髓横切</w:t>
            </w:r>
          </w:p>
        </w:tc>
        <w:tc>
          <w:tcPr>
            <w:tcW w:w="6167" w:type="dxa"/>
            <w:vAlign w:val="center"/>
          </w:tcPr>
          <w:p w14:paraId="1D78A4A7">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应能看清被膜、灰质和白质</w:t>
            </w:r>
          </w:p>
        </w:tc>
        <w:tc>
          <w:tcPr>
            <w:tcW w:w="863" w:type="dxa"/>
            <w:gridSpan w:val="4"/>
            <w:vAlign w:val="center"/>
          </w:tcPr>
          <w:p w14:paraId="38515410">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片</w:t>
            </w:r>
          </w:p>
        </w:tc>
        <w:tc>
          <w:tcPr>
            <w:tcW w:w="925" w:type="dxa"/>
            <w:gridSpan w:val="3"/>
            <w:vAlign w:val="center"/>
          </w:tcPr>
          <w:p w14:paraId="2312C8E6">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9</w:t>
            </w:r>
          </w:p>
        </w:tc>
      </w:tr>
      <w:tr w14:paraId="1DA40B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1DDC6A58">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152</w:t>
            </w:r>
          </w:p>
        </w:tc>
        <w:tc>
          <w:tcPr>
            <w:tcW w:w="1227" w:type="dxa"/>
            <w:vAlign w:val="center"/>
          </w:tcPr>
          <w:p w14:paraId="2BE8740F">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橡皮锤</w:t>
            </w:r>
          </w:p>
        </w:tc>
        <w:tc>
          <w:tcPr>
            <w:tcW w:w="6167" w:type="dxa"/>
            <w:vAlign w:val="center"/>
          </w:tcPr>
          <w:p w14:paraId="0FB91EDF">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膝跳反射用</w:t>
            </w:r>
          </w:p>
        </w:tc>
        <w:tc>
          <w:tcPr>
            <w:tcW w:w="863" w:type="dxa"/>
            <w:gridSpan w:val="4"/>
            <w:vAlign w:val="center"/>
          </w:tcPr>
          <w:p w14:paraId="4BE20610">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把</w:t>
            </w:r>
          </w:p>
        </w:tc>
        <w:tc>
          <w:tcPr>
            <w:tcW w:w="925" w:type="dxa"/>
            <w:gridSpan w:val="3"/>
            <w:vAlign w:val="center"/>
          </w:tcPr>
          <w:p w14:paraId="390F5E5E">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4</w:t>
            </w:r>
          </w:p>
        </w:tc>
      </w:tr>
      <w:tr w14:paraId="0D0CE8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39628E4D">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153</w:t>
            </w:r>
          </w:p>
        </w:tc>
        <w:tc>
          <w:tcPr>
            <w:tcW w:w="1227" w:type="dxa"/>
            <w:vAlign w:val="center"/>
          </w:tcPr>
          <w:p w14:paraId="14F9EE80">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人体骨骼模型</w:t>
            </w:r>
          </w:p>
        </w:tc>
        <w:tc>
          <w:tcPr>
            <w:tcW w:w="6167" w:type="dxa"/>
            <w:vAlign w:val="center"/>
          </w:tcPr>
          <w:p w14:paraId="533F65C3">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≥850 mm，各部分骨的形态特征，应正确清晰， 富有真实感，骨缝应清楚，骨性鼻腔，眶及所 有孔，管、沟、裂显示应正确自然</w:t>
            </w:r>
          </w:p>
        </w:tc>
        <w:tc>
          <w:tcPr>
            <w:tcW w:w="863" w:type="dxa"/>
            <w:gridSpan w:val="4"/>
            <w:vAlign w:val="center"/>
          </w:tcPr>
          <w:p w14:paraId="422FCBB2">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件</w:t>
            </w:r>
          </w:p>
        </w:tc>
        <w:tc>
          <w:tcPr>
            <w:tcW w:w="925" w:type="dxa"/>
            <w:gridSpan w:val="3"/>
            <w:vAlign w:val="center"/>
          </w:tcPr>
          <w:p w14:paraId="3EA64E0C">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2381B1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434B83B2">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154</w:t>
            </w:r>
          </w:p>
        </w:tc>
        <w:tc>
          <w:tcPr>
            <w:tcW w:w="1227" w:type="dxa"/>
            <w:vAlign w:val="center"/>
          </w:tcPr>
          <w:p w14:paraId="4308163C">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人体肌肉模型</w:t>
            </w:r>
          </w:p>
        </w:tc>
        <w:tc>
          <w:tcPr>
            <w:tcW w:w="6167" w:type="dxa"/>
            <w:vAlign w:val="center"/>
          </w:tcPr>
          <w:p w14:paraId="2849DC15">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≥850 mm 全身，示浅层肌及部分深层肌</w:t>
            </w:r>
          </w:p>
        </w:tc>
        <w:tc>
          <w:tcPr>
            <w:tcW w:w="863" w:type="dxa"/>
            <w:gridSpan w:val="4"/>
            <w:vAlign w:val="center"/>
          </w:tcPr>
          <w:p w14:paraId="348CD4C4">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件</w:t>
            </w:r>
          </w:p>
        </w:tc>
        <w:tc>
          <w:tcPr>
            <w:tcW w:w="925" w:type="dxa"/>
            <w:gridSpan w:val="3"/>
            <w:vAlign w:val="center"/>
          </w:tcPr>
          <w:p w14:paraId="19CB3374">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701C1E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4178A782">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155</w:t>
            </w:r>
          </w:p>
        </w:tc>
        <w:tc>
          <w:tcPr>
            <w:tcW w:w="1227" w:type="dxa"/>
            <w:vAlign w:val="center"/>
          </w:tcPr>
          <w:p w14:paraId="4CBEEADC">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家蚕生活史标本</w:t>
            </w:r>
          </w:p>
        </w:tc>
        <w:tc>
          <w:tcPr>
            <w:tcW w:w="6167" w:type="dxa"/>
            <w:vAlign w:val="center"/>
          </w:tcPr>
          <w:p w14:paraId="5344E272">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干制或包埋</w:t>
            </w:r>
          </w:p>
        </w:tc>
        <w:tc>
          <w:tcPr>
            <w:tcW w:w="863" w:type="dxa"/>
            <w:gridSpan w:val="4"/>
            <w:vAlign w:val="center"/>
          </w:tcPr>
          <w:p w14:paraId="14B0182B">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盒/块</w:t>
            </w:r>
          </w:p>
        </w:tc>
        <w:tc>
          <w:tcPr>
            <w:tcW w:w="925" w:type="dxa"/>
            <w:gridSpan w:val="3"/>
            <w:vAlign w:val="center"/>
          </w:tcPr>
          <w:p w14:paraId="429BDA8D">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4470E3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01BD8A3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156</w:t>
            </w:r>
          </w:p>
        </w:tc>
        <w:tc>
          <w:tcPr>
            <w:tcW w:w="1227" w:type="dxa"/>
            <w:vAlign w:val="center"/>
          </w:tcPr>
          <w:p w14:paraId="5F6C6E45">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蝗虫生活史标本</w:t>
            </w:r>
          </w:p>
        </w:tc>
        <w:tc>
          <w:tcPr>
            <w:tcW w:w="6167" w:type="dxa"/>
            <w:vAlign w:val="center"/>
          </w:tcPr>
          <w:p w14:paraId="5DCF246F">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干制或包埋</w:t>
            </w:r>
          </w:p>
        </w:tc>
        <w:tc>
          <w:tcPr>
            <w:tcW w:w="863" w:type="dxa"/>
            <w:gridSpan w:val="4"/>
            <w:vAlign w:val="center"/>
          </w:tcPr>
          <w:p w14:paraId="6EB59F3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盒/块</w:t>
            </w:r>
          </w:p>
        </w:tc>
        <w:tc>
          <w:tcPr>
            <w:tcW w:w="925" w:type="dxa"/>
            <w:gridSpan w:val="3"/>
            <w:vAlign w:val="center"/>
          </w:tcPr>
          <w:p w14:paraId="48AA32EF">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107D0C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39E5B50C">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157</w:t>
            </w:r>
          </w:p>
        </w:tc>
        <w:tc>
          <w:tcPr>
            <w:tcW w:w="1227" w:type="dxa"/>
            <w:vAlign w:val="center"/>
          </w:tcPr>
          <w:p w14:paraId="3C5F6A0C">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蜜蜂生活史标本</w:t>
            </w:r>
          </w:p>
        </w:tc>
        <w:tc>
          <w:tcPr>
            <w:tcW w:w="6167" w:type="dxa"/>
            <w:vAlign w:val="center"/>
          </w:tcPr>
          <w:p w14:paraId="33741C49">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干制或包埋</w:t>
            </w:r>
          </w:p>
        </w:tc>
        <w:tc>
          <w:tcPr>
            <w:tcW w:w="863" w:type="dxa"/>
            <w:gridSpan w:val="4"/>
            <w:vAlign w:val="center"/>
          </w:tcPr>
          <w:p w14:paraId="086DF2C4">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盒/块</w:t>
            </w:r>
          </w:p>
        </w:tc>
        <w:tc>
          <w:tcPr>
            <w:tcW w:w="925" w:type="dxa"/>
            <w:gridSpan w:val="3"/>
            <w:vAlign w:val="center"/>
          </w:tcPr>
          <w:p w14:paraId="7D06FF4C">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040780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284FE1BE">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158</w:t>
            </w:r>
          </w:p>
        </w:tc>
        <w:tc>
          <w:tcPr>
            <w:tcW w:w="1227" w:type="dxa"/>
            <w:vAlign w:val="center"/>
          </w:tcPr>
          <w:p w14:paraId="1B93F1F8">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菜粉蝶生活史标本</w:t>
            </w:r>
          </w:p>
        </w:tc>
        <w:tc>
          <w:tcPr>
            <w:tcW w:w="6167" w:type="dxa"/>
            <w:vAlign w:val="center"/>
          </w:tcPr>
          <w:p w14:paraId="15B67690">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干制或包埋</w:t>
            </w:r>
          </w:p>
        </w:tc>
        <w:tc>
          <w:tcPr>
            <w:tcW w:w="863" w:type="dxa"/>
            <w:gridSpan w:val="4"/>
            <w:vAlign w:val="center"/>
          </w:tcPr>
          <w:p w14:paraId="13EF2006">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盒/块</w:t>
            </w:r>
          </w:p>
        </w:tc>
        <w:tc>
          <w:tcPr>
            <w:tcW w:w="925" w:type="dxa"/>
            <w:gridSpan w:val="3"/>
            <w:vAlign w:val="center"/>
          </w:tcPr>
          <w:p w14:paraId="57AC3203">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049CDA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2EE8A8EF">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159</w:t>
            </w:r>
          </w:p>
        </w:tc>
        <w:tc>
          <w:tcPr>
            <w:tcW w:w="1227" w:type="dxa"/>
            <w:vAlign w:val="center"/>
          </w:tcPr>
          <w:p w14:paraId="2EA5A733">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蛙发育顺序标本</w:t>
            </w:r>
          </w:p>
        </w:tc>
        <w:tc>
          <w:tcPr>
            <w:tcW w:w="6167" w:type="dxa"/>
            <w:vAlign w:val="center"/>
          </w:tcPr>
          <w:p w14:paraId="240C2938">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浸制 c 或包埋</w:t>
            </w:r>
          </w:p>
        </w:tc>
        <w:tc>
          <w:tcPr>
            <w:tcW w:w="863" w:type="dxa"/>
            <w:gridSpan w:val="4"/>
            <w:vAlign w:val="center"/>
          </w:tcPr>
          <w:p w14:paraId="01960D15">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瓶/块</w:t>
            </w:r>
          </w:p>
        </w:tc>
        <w:tc>
          <w:tcPr>
            <w:tcW w:w="925" w:type="dxa"/>
            <w:gridSpan w:val="3"/>
            <w:vAlign w:val="center"/>
          </w:tcPr>
          <w:p w14:paraId="748099E5">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01F4FE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1065433F">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160</w:t>
            </w:r>
          </w:p>
        </w:tc>
        <w:tc>
          <w:tcPr>
            <w:tcW w:w="1227" w:type="dxa"/>
            <w:vAlign w:val="center"/>
          </w:tcPr>
          <w:p w14:paraId="17D16F4D">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正常人染色体装片</w:t>
            </w:r>
          </w:p>
        </w:tc>
        <w:tc>
          <w:tcPr>
            <w:tcW w:w="6167" w:type="dxa"/>
            <w:vAlign w:val="center"/>
          </w:tcPr>
          <w:p w14:paraId="58A7A547">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多重染色</w:t>
            </w:r>
          </w:p>
        </w:tc>
        <w:tc>
          <w:tcPr>
            <w:tcW w:w="863" w:type="dxa"/>
            <w:gridSpan w:val="4"/>
            <w:vAlign w:val="center"/>
          </w:tcPr>
          <w:p w14:paraId="327C797F">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片</w:t>
            </w:r>
          </w:p>
        </w:tc>
        <w:tc>
          <w:tcPr>
            <w:tcW w:w="925" w:type="dxa"/>
            <w:gridSpan w:val="3"/>
            <w:vAlign w:val="center"/>
          </w:tcPr>
          <w:p w14:paraId="6C4DDBC5">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15</w:t>
            </w:r>
          </w:p>
        </w:tc>
      </w:tr>
      <w:tr w14:paraId="11E5E5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2EC96251">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161</w:t>
            </w:r>
          </w:p>
        </w:tc>
        <w:tc>
          <w:tcPr>
            <w:tcW w:w="1227" w:type="dxa"/>
            <w:vAlign w:val="center"/>
          </w:tcPr>
          <w:p w14:paraId="7ECD8B33">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蛔虫标本</w:t>
            </w:r>
          </w:p>
        </w:tc>
        <w:tc>
          <w:tcPr>
            <w:tcW w:w="6167" w:type="dxa"/>
            <w:vAlign w:val="center"/>
          </w:tcPr>
          <w:p w14:paraId="2E622933">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雌、 雄各一条，浸制 c 或包埋</w:t>
            </w:r>
          </w:p>
        </w:tc>
        <w:tc>
          <w:tcPr>
            <w:tcW w:w="863" w:type="dxa"/>
            <w:gridSpan w:val="4"/>
            <w:vAlign w:val="center"/>
          </w:tcPr>
          <w:p w14:paraId="06D3652B">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瓶/块</w:t>
            </w:r>
          </w:p>
        </w:tc>
        <w:tc>
          <w:tcPr>
            <w:tcW w:w="925" w:type="dxa"/>
            <w:gridSpan w:val="3"/>
            <w:vAlign w:val="center"/>
          </w:tcPr>
          <w:p w14:paraId="76DCDBB7">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139D60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3B912161">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162</w:t>
            </w:r>
          </w:p>
        </w:tc>
        <w:tc>
          <w:tcPr>
            <w:tcW w:w="1227" w:type="dxa"/>
            <w:vAlign w:val="center"/>
          </w:tcPr>
          <w:p w14:paraId="49BA512B">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节肢动物标本</w:t>
            </w:r>
          </w:p>
        </w:tc>
        <w:tc>
          <w:tcPr>
            <w:tcW w:w="6167" w:type="dxa"/>
            <w:vAlign w:val="center"/>
          </w:tcPr>
          <w:p w14:paraId="0BC8AAAD">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常见六种以上，干制或包埋</w:t>
            </w:r>
          </w:p>
        </w:tc>
        <w:tc>
          <w:tcPr>
            <w:tcW w:w="863" w:type="dxa"/>
            <w:gridSpan w:val="4"/>
            <w:vAlign w:val="center"/>
          </w:tcPr>
          <w:p w14:paraId="2C487056">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盒/块</w:t>
            </w:r>
          </w:p>
        </w:tc>
        <w:tc>
          <w:tcPr>
            <w:tcW w:w="925" w:type="dxa"/>
            <w:gridSpan w:val="3"/>
            <w:vAlign w:val="center"/>
          </w:tcPr>
          <w:p w14:paraId="720A63A3">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5083E8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178F9524">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163</w:t>
            </w:r>
          </w:p>
        </w:tc>
        <w:tc>
          <w:tcPr>
            <w:tcW w:w="1227" w:type="dxa"/>
            <w:vAlign w:val="center"/>
          </w:tcPr>
          <w:p w14:paraId="7A594B75">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昆虫标本</w:t>
            </w:r>
          </w:p>
        </w:tc>
        <w:tc>
          <w:tcPr>
            <w:tcW w:w="6167" w:type="dxa"/>
            <w:vAlign w:val="center"/>
          </w:tcPr>
          <w:p w14:paraId="4EB0CF59">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常见六种以上，干制或包埋</w:t>
            </w:r>
          </w:p>
        </w:tc>
        <w:tc>
          <w:tcPr>
            <w:tcW w:w="863" w:type="dxa"/>
            <w:gridSpan w:val="4"/>
            <w:vAlign w:val="center"/>
          </w:tcPr>
          <w:p w14:paraId="700F6F4F">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盒/块</w:t>
            </w:r>
          </w:p>
        </w:tc>
        <w:tc>
          <w:tcPr>
            <w:tcW w:w="925" w:type="dxa"/>
            <w:gridSpan w:val="3"/>
            <w:vAlign w:val="center"/>
          </w:tcPr>
          <w:p w14:paraId="1B2E0BB5">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1FC6FE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6F834C4E">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164</w:t>
            </w:r>
          </w:p>
        </w:tc>
        <w:tc>
          <w:tcPr>
            <w:tcW w:w="1227" w:type="dxa"/>
            <w:vAlign w:val="center"/>
          </w:tcPr>
          <w:p w14:paraId="1B134366">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细菌三型涂片</w:t>
            </w:r>
          </w:p>
        </w:tc>
        <w:tc>
          <w:tcPr>
            <w:tcW w:w="6167" w:type="dxa"/>
            <w:vAlign w:val="center"/>
          </w:tcPr>
          <w:p w14:paraId="4D0D6BA8">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示球菌、杆菌、螺旋菌三种形态</w:t>
            </w:r>
          </w:p>
        </w:tc>
        <w:tc>
          <w:tcPr>
            <w:tcW w:w="863" w:type="dxa"/>
            <w:gridSpan w:val="4"/>
            <w:vAlign w:val="center"/>
          </w:tcPr>
          <w:p w14:paraId="16E7F070">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片</w:t>
            </w:r>
          </w:p>
        </w:tc>
        <w:tc>
          <w:tcPr>
            <w:tcW w:w="925" w:type="dxa"/>
            <w:gridSpan w:val="3"/>
            <w:vAlign w:val="center"/>
          </w:tcPr>
          <w:p w14:paraId="5AFFBB73">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15</w:t>
            </w:r>
          </w:p>
        </w:tc>
      </w:tr>
      <w:tr w14:paraId="56880F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30201D8C">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165</w:t>
            </w:r>
          </w:p>
        </w:tc>
        <w:tc>
          <w:tcPr>
            <w:tcW w:w="1227" w:type="dxa"/>
            <w:vAlign w:val="center"/>
          </w:tcPr>
          <w:p w14:paraId="5B1A51C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酵母菌装片</w:t>
            </w:r>
          </w:p>
        </w:tc>
        <w:tc>
          <w:tcPr>
            <w:tcW w:w="6167" w:type="dxa"/>
            <w:vAlign w:val="center"/>
          </w:tcPr>
          <w:p w14:paraId="1BC06244">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应能看清细胞壁、细胞核、细胞质、液泡和细 胞膜等结构，可见芽体</w:t>
            </w:r>
          </w:p>
        </w:tc>
        <w:tc>
          <w:tcPr>
            <w:tcW w:w="863" w:type="dxa"/>
            <w:gridSpan w:val="4"/>
            <w:vAlign w:val="center"/>
          </w:tcPr>
          <w:p w14:paraId="3E8680CD">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片</w:t>
            </w:r>
          </w:p>
        </w:tc>
        <w:tc>
          <w:tcPr>
            <w:tcW w:w="925" w:type="dxa"/>
            <w:gridSpan w:val="3"/>
            <w:vAlign w:val="center"/>
          </w:tcPr>
          <w:p w14:paraId="490817DB">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15</w:t>
            </w:r>
          </w:p>
        </w:tc>
      </w:tr>
      <w:tr w14:paraId="7FC85A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3CBA999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166</w:t>
            </w:r>
          </w:p>
        </w:tc>
        <w:tc>
          <w:tcPr>
            <w:tcW w:w="1227" w:type="dxa"/>
            <w:vAlign w:val="center"/>
          </w:tcPr>
          <w:p w14:paraId="5DA3462A">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青霉装片</w:t>
            </w:r>
          </w:p>
        </w:tc>
        <w:tc>
          <w:tcPr>
            <w:tcW w:w="6167" w:type="dxa"/>
            <w:vAlign w:val="center"/>
          </w:tcPr>
          <w:p w14:paraId="5BC7B351">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应能看清分生孢子梗和顶端的扫帚枝，菌丝、 孢子梗、孢子应无收缩</w:t>
            </w:r>
          </w:p>
        </w:tc>
        <w:tc>
          <w:tcPr>
            <w:tcW w:w="863" w:type="dxa"/>
            <w:gridSpan w:val="4"/>
            <w:vAlign w:val="center"/>
          </w:tcPr>
          <w:p w14:paraId="17370026">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片</w:t>
            </w:r>
          </w:p>
        </w:tc>
        <w:tc>
          <w:tcPr>
            <w:tcW w:w="925" w:type="dxa"/>
            <w:gridSpan w:val="3"/>
            <w:vAlign w:val="center"/>
          </w:tcPr>
          <w:p w14:paraId="340D5D7D">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15</w:t>
            </w:r>
          </w:p>
        </w:tc>
      </w:tr>
      <w:tr w14:paraId="758D4B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443C35C7">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167</w:t>
            </w:r>
          </w:p>
        </w:tc>
        <w:tc>
          <w:tcPr>
            <w:tcW w:w="1227" w:type="dxa"/>
            <w:vAlign w:val="center"/>
          </w:tcPr>
          <w:p w14:paraId="54E7E0FE">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曲霉装片</w:t>
            </w:r>
          </w:p>
        </w:tc>
        <w:tc>
          <w:tcPr>
            <w:tcW w:w="6167" w:type="dxa"/>
            <w:vAlign w:val="center"/>
          </w:tcPr>
          <w:p w14:paraId="5EAF57F9">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应能看清营养菌丝及其上的分生孢子梗、顶囊 和顶端的分生孢子</w:t>
            </w:r>
          </w:p>
        </w:tc>
        <w:tc>
          <w:tcPr>
            <w:tcW w:w="863" w:type="dxa"/>
            <w:gridSpan w:val="4"/>
            <w:vAlign w:val="center"/>
          </w:tcPr>
          <w:p w14:paraId="07CED44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片</w:t>
            </w:r>
          </w:p>
        </w:tc>
        <w:tc>
          <w:tcPr>
            <w:tcW w:w="925" w:type="dxa"/>
            <w:gridSpan w:val="3"/>
            <w:vAlign w:val="center"/>
          </w:tcPr>
          <w:p w14:paraId="24B2AC6B">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15</w:t>
            </w:r>
          </w:p>
        </w:tc>
      </w:tr>
      <w:tr w14:paraId="218C80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noWrap/>
            <w:vAlign w:val="center"/>
          </w:tcPr>
          <w:p w14:paraId="489D1EA3">
            <w:pPr>
              <w:widowControl/>
              <w:jc w:val="center"/>
              <w:textAlignment w:val="center"/>
              <w:rPr>
                <w:rFonts w:hint="eastAsia" w:ascii="宋体" w:hAnsi="宋体"/>
                <w:b/>
                <w:bCs/>
                <w:color w:val="auto"/>
                <w:szCs w:val="21"/>
                <w:highlight w:val="none"/>
              </w:rPr>
            </w:pPr>
            <w:r>
              <w:rPr>
                <w:rFonts w:ascii="Times New Roman" w:hAnsi="Times New Roman" w:cs="Times New Roman"/>
                <w:color w:val="auto"/>
                <w:highlight w:val="none"/>
              </w:rPr>
              <w:br w:type="page"/>
            </w:r>
            <w:r>
              <w:rPr>
                <w:rFonts w:hint="eastAsia" w:ascii="宋体" w:hAnsi="宋体"/>
                <w:b/>
                <w:bCs/>
                <w:color w:val="auto"/>
                <w:kern w:val="0"/>
                <w:szCs w:val="21"/>
                <w:highlight w:val="none"/>
                <w:lang w:bidi="ar"/>
              </w:rPr>
              <w:t>(四)</w:t>
            </w:r>
          </w:p>
        </w:tc>
        <w:tc>
          <w:tcPr>
            <w:tcW w:w="1227" w:type="dxa"/>
            <w:noWrap/>
            <w:vAlign w:val="center"/>
          </w:tcPr>
          <w:p w14:paraId="4EAD378B">
            <w:pPr>
              <w:widowControl/>
              <w:jc w:val="center"/>
              <w:textAlignment w:val="center"/>
              <w:rPr>
                <w:rFonts w:hint="eastAsia" w:ascii="宋体" w:hAnsi="宋体"/>
                <w:b/>
                <w:bCs/>
                <w:color w:val="auto"/>
                <w:szCs w:val="21"/>
                <w:highlight w:val="none"/>
              </w:rPr>
            </w:pPr>
            <w:r>
              <w:rPr>
                <w:rFonts w:hint="eastAsia" w:ascii="宋体" w:hAnsi="宋体"/>
                <w:b/>
                <w:bCs/>
                <w:color w:val="auto"/>
                <w:kern w:val="0"/>
                <w:szCs w:val="21"/>
                <w:highlight w:val="none"/>
                <w:lang w:bidi="ar"/>
              </w:rPr>
              <w:t>连接设备</w:t>
            </w:r>
          </w:p>
        </w:tc>
        <w:tc>
          <w:tcPr>
            <w:tcW w:w="6167" w:type="dxa"/>
            <w:noWrap/>
            <w:vAlign w:val="center"/>
          </w:tcPr>
          <w:p w14:paraId="6638B1A6">
            <w:pPr>
              <w:widowControl/>
              <w:jc w:val="center"/>
              <w:textAlignment w:val="center"/>
              <w:rPr>
                <w:rFonts w:hint="eastAsia" w:ascii="宋体" w:hAnsi="宋体"/>
                <w:b/>
                <w:bCs/>
                <w:color w:val="auto"/>
                <w:szCs w:val="21"/>
                <w:highlight w:val="none"/>
              </w:rPr>
            </w:pPr>
          </w:p>
        </w:tc>
        <w:tc>
          <w:tcPr>
            <w:tcW w:w="863" w:type="dxa"/>
            <w:gridSpan w:val="4"/>
            <w:vAlign w:val="center"/>
          </w:tcPr>
          <w:p w14:paraId="28042B90">
            <w:pPr>
              <w:widowControl/>
              <w:jc w:val="center"/>
              <w:textAlignment w:val="center"/>
              <w:rPr>
                <w:rFonts w:hint="eastAsia" w:ascii="宋体" w:hAnsi="宋体"/>
                <w:b/>
                <w:bCs/>
                <w:color w:val="auto"/>
                <w:szCs w:val="21"/>
                <w:highlight w:val="none"/>
              </w:rPr>
            </w:pPr>
          </w:p>
        </w:tc>
        <w:tc>
          <w:tcPr>
            <w:tcW w:w="925" w:type="dxa"/>
            <w:gridSpan w:val="3"/>
            <w:vAlign w:val="center"/>
          </w:tcPr>
          <w:p w14:paraId="4307E943">
            <w:pPr>
              <w:widowControl/>
              <w:jc w:val="center"/>
              <w:textAlignment w:val="center"/>
              <w:rPr>
                <w:rFonts w:hint="eastAsia" w:ascii="宋体" w:hAnsi="宋体"/>
                <w:b/>
                <w:bCs/>
                <w:color w:val="auto"/>
                <w:szCs w:val="21"/>
                <w:highlight w:val="none"/>
              </w:rPr>
            </w:pPr>
          </w:p>
        </w:tc>
      </w:tr>
      <w:tr w14:paraId="6E7CBC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noWrap/>
            <w:vAlign w:val="center"/>
          </w:tcPr>
          <w:p w14:paraId="263589DF">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c>
          <w:tcPr>
            <w:tcW w:w="1227" w:type="dxa"/>
            <w:shd w:val="clear" w:color="auto" w:fill="FFFFFF"/>
            <w:noWrap/>
            <w:vAlign w:val="center"/>
          </w:tcPr>
          <w:p w14:paraId="6EF6E43C">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实验室连接设备</w:t>
            </w:r>
          </w:p>
        </w:tc>
        <w:tc>
          <w:tcPr>
            <w:tcW w:w="6167" w:type="dxa"/>
            <w:shd w:val="clear" w:color="auto" w:fill="FFFFFF"/>
            <w:noWrap/>
            <w:vAlign w:val="center"/>
          </w:tcPr>
          <w:p w14:paraId="109EC2CB">
            <w:pPr>
              <w:widowControl/>
              <w:jc w:val="left"/>
              <w:textAlignment w:val="center"/>
              <w:rPr>
                <w:rFonts w:hint="eastAsia" w:ascii="宋体" w:hAnsi="宋体"/>
                <w:b/>
                <w:bCs/>
                <w:color w:val="auto"/>
                <w:szCs w:val="21"/>
                <w:highlight w:val="none"/>
              </w:rPr>
            </w:pPr>
            <w:r>
              <w:rPr>
                <w:rFonts w:hint="eastAsia" w:ascii="宋体" w:hAnsi="宋体"/>
                <w:b/>
                <w:bCs/>
                <w:color w:val="auto"/>
                <w:szCs w:val="21"/>
                <w:highlight w:val="none"/>
              </w:rPr>
              <w:t>一、显示部分要求</w:t>
            </w:r>
          </w:p>
          <w:p w14:paraId="35A395ED">
            <w:pPr>
              <w:widowControl/>
              <w:numPr>
                <w:ilvl w:val="2"/>
                <w:numId w:val="182"/>
              </w:numPr>
              <w:jc w:val="left"/>
              <w:textAlignment w:val="center"/>
              <w:rPr>
                <w:rFonts w:hint="eastAsia" w:ascii="宋体" w:hAnsi="宋体"/>
                <w:color w:val="auto"/>
                <w:szCs w:val="21"/>
                <w:highlight w:val="none"/>
              </w:rPr>
            </w:pPr>
            <w:r>
              <w:rPr>
                <w:rFonts w:hint="eastAsia" w:ascii="宋体" w:hAnsi="宋体"/>
                <w:color w:val="auto"/>
                <w:szCs w:val="21"/>
                <w:highlight w:val="none"/>
              </w:rPr>
              <w:t>智慧黑板显示尺寸≥86英寸，分辨率：≥3840*2160。</w:t>
            </w:r>
          </w:p>
          <w:p w14:paraId="5FBB7711">
            <w:pPr>
              <w:widowControl/>
              <w:numPr>
                <w:ilvl w:val="2"/>
                <w:numId w:val="182"/>
              </w:numPr>
              <w:jc w:val="left"/>
              <w:textAlignment w:val="center"/>
              <w:rPr>
                <w:rFonts w:hint="eastAsia" w:ascii="宋体" w:hAnsi="宋体"/>
                <w:color w:val="auto"/>
                <w:szCs w:val="21"/>
                <w:highlight w:val="none"/>
              </w:rPr>
            </w:pPr>
            <w:r>
              <w:rPr>
                <w:rFonts w:hint="eastAsia" w:ascii="宋体" w:hAnsi="宋体"/>
                <w:color w:val="auto"/>
                <w:szCs w:val="21"/>
                <w:highlight w:val="none"/>
              </w:rPr>
              <w:t>智慧黑板表面玻璃须采用高强度钢化玻璃，防眩光，厚度不超过3.5mm，硬度≥莫氏7级，石墨硬度≥9H。</w:t>
            </w:r>
          </w:p>
          <w:p w14:paraId="35D3BC71">
            <w:pPr>
              <w:widowControl/>
              <w:numPr>
                <w:ilvl w:val="2"/>
                <w:numId w:val="182"/>
              </w:numPr>
              <w:jc w:val="left"/>
              <w:textAlignment w:val="center"/>
              <w:rPr>
                <w:rFonts w:hint="eastAsia" w:ascii="宋体" w:hAnsi="宋体"/>
                <w:color w:val="auto"/>
                <w:szCs w:val="21"/>
                <w:highlight w:val="none"/>
              </w:rPr>
            </w:pPr>
            <w:r>
              <w:rPr>
                <w:rFonts w:hint="eastAsia" w:ascii="宋体" w:hAnsi="宋体"/>
                <w:color w:val="auto"/>
                <w:szCs w:val="21"/>
                <w:highlight w:val="none"/>
              </w:rPr>
              <w:t>智慧黑板背光系统需支持多级亮度调节，拍摄时画面无条纹闪烁。光源稳定无频闪，防止眼睛疲劳，需具备开机默认防蓝光功能无需按键调节。</w:t>
            </w:r>
          </w:p>
          <w:p w14:paraId="16F0F8CB">
            <w:pPr>
              <w:widowControl/>
              <w:jc w:val="left"/>
              <w:textAlignment w:val="center"/>
              <w:rPr>
                <w:rFonts w:hint="eastAsia" w:ascii="宋体" w:hAnsi="宋体"/>
                <w:b/>
                <w:bCs/>
                <w:color w:val="auto"/>
                <w:szCs w:val="21"/>
                <w:highlight w:val="none"/>
              </w:rPr>
            </w:pPr>
            <w:r>
              <w:rPr>
                <w:rFonts w:hint="eastAsia" w:ascii="宋体" w:hAnsi="宋体"/>
                <w:b/>
                <w:bCs/>
                <w:color w:val="auto"/>
                <w:szCs w:val="21"/>
                <w:highlight w:val="none"/>
              </w:rPr>
              <w:t>二、触控部分要求</w:t>
            </w:r>
          </w:p>
          <w:p w14:paraId="35855100">
            <w:pPr>
              <w:widowControl/>
              <w:numPr>
                <w:ilvl w:val="2"/>
                <w:numId w:val="183"/>
              </w:numPr>
              <w:jc w:val="left"/>
              <w:textAlignment w:val="center"/>
              <w:rPr>
                <w:rFonts w:hint="eastAsia" w:ascii="宋体" w:hAnsi="宋体"/>
                <w:color w:val="auto"/>
                <w:szCs w:val="21"/>
                <w:highlight w:val="none"/>
              </w:rPr>
            </w:pPr>
            <w:r>
              <w:rPr>
                <w:rFonts w:hint="eastAsia" w:ascii="宋体" w:hAnsi="宋体"/>
                <w:color w:val="auto"/>
                <w:szCs w:val="21"/>
                <w:highlight w:val="none"/>
              </w:rPr>
              <w:t>采用多点触控技术，在安卓和WINDOWS双系统下需支持≥40点触控和书写；</w:t>
            </w:r>
          </w:p>
          <w:p w14:paraId="56812AE4">
            <w:pPr>
              <w:widowControl/>
              <w:jc w:val="left"/>
              <w:textAlignment w:val="center"/>
              <w:rPr>
                <w:rFonts w:hint="eastAsia" w:ascii="宋体" w:hAnsi="宋体"/>
                <w:b/>
                <w:bCs/>
                <w:color w:val="auto"/>
                <w:szCs w:val="21"/>
                <w:highlight w:val="none"/>
              </w:rPr>
            </w:pPr>
            <w:r>
              <w:rPr>
                <w:rFonts w:hint="eastAsia" w:ascii="宋体" w:hAnsi="宋体"/>
                <w:b/>
                <w:bCs/>
                <w:color w:val="auto"/>
                <w:szCs w:val="21"/>
                <w:highlight w:val="none"/>
              </w:rPr>
              <w:t>三、整机安全性要求</w:t>
            </w:r>
          </w:p>
          <w:p w14:paraId="34574804">
            <w:pPr>
              <w:widowControl/>
              <w:numPr>
                <w:ilvl w:val="2"/>
                <w:numId w:val="184"/>
              </w:numPr>
              <w:jc w:val="left"/>
              <w:textAlignment w:val="center"/>
              <w:rPr>
                <w:rFonts w:hint="eastAsia" w:ascii="宋体" w:hAnsi="宋体"/>
                <w:color w:val="auto"/>
                <w:szCs w:val="21"/>
                <w:highlight w:val="none"/>
              </w:rPr>
            </w:pPr>
            <w:r>
              <w:rPr>
                <w:rFonts w:hint="eastAsia" w:ascii="宋体" w:hAnsi="宋体"/>
                <w:color w:val="auto"/>
                <w:szCs w:val="21"/>
                <w:highlight w:val="none"/>
              </w:rPr>
              <w:t>整机需支持硬件自检，包括对系统内存、存储、触控系统、光感系统、内置电脑、屏体信息、主板型号、CPU型号、CPU使用率、设备名称等进行状态提示及故障提示。</w:t>
            </w:r>
          </w:p>
          <w:p w14:paraId="13729D78">
            <w:pPr>
              <w:widowControl/>
              <w:numPr>
                <w:ilvl w:val="2"/>
                <w:numId w:val="184"/>
              </w:numPr>
              <w:jc w:val="left"/>
              <w:textAlignment w:val="center"/>
              <w:rPr>
                <w:rFonts w:hint="eastAsia" w:ascii="宋体" w:hAnsi="宋体"/>
                <w:color w:val="auto"/>
                <w:szCs w:val="21"/>
                <w:highlight w:val="none"/>
              </w:rPr>
            </w:pPr>
            <w:r>
              <w:rPr>
                <w:rFonts w:hint="eastAsia" w:ascii="宋体" w:hAnsi="宋体"/>
                <w:color w:val="auto"/>
                <w:szCs w:val="21"/>
                <w:highlight w:val="none"/>
              </w:rPr>
              <w:t>智慧黑板需支持纸质护眼模式，可实现画面纹理的实时调整；支持透明度调节与色温调节。</w:t>
            </w:r>
          </w:p>
          <w:p w14:paraId="2F0FBA2B">
            <w:pPr>
              <w:widowControl/>
              <w:numPr>
                <w:ilvl w:val="2"/>
                <w:numId w:val="184"/>
              </w:numPr>
              <w:jc w:val="left"/>
              <w:textAlignment w:val="center"/>
              <w:rPr>
                <w:rFonts w:hint="eastAsia" w:ascii="宋体" w:hAnsi="宋体"/>
                <w:color w:val="auto"/>
                <w:szCs w:val="21"/>
                <w:highlight w:val="none"/>
              </w:rPr>
            </w:pPr>
            <w:r>
              <w:rPr>
                <w:rFonts w:hint="eastAsia" w:ascii="宋体" w:hAnsi="宋体"/>
                <w:color w:val="auto"/>
                <w:szCs w:val="21"/>
                <w:highlight w:val="none"/>
              </w:rPr>
              <w:t>智慧黑板需具备屏体温度实时监控、高温预警及断电保护等功能。</w:t>
            </w:r>
          </w:p>
          <w:p w14:paraId="0965D898">
            <w:pPr>
              <w:widowControl/>
              <w:jc w:val="left"/>
              <w:textAlignment w:val="center"/>
              <w:rPr>
                <w:rFonts w:hint="eastAsia" w:ascii="宋体" w:hAnsi="宋体"/>
                <w:b/>
                <w:bCs/>
                <w:color w:val="auto"/>
                <w:szCs w:val="21"/>
                <w:highlight w:val="none"/>
              </w:rPr>
            </w:pPr>
            <w:r>
              <w:rPr>
                <w:rFonts w:hint="eastAsia" w:ascii="宋体" w:hAnsi="宋体"/>
                <w:b/>
                <w:bCs/>
                <w:color w:val="auto"/>
                <w:szCs w:val="21"/>
                <w:highlight w:val="none"/>
              </w:rPr>
              <w:t>四、整机接口按键要求</w:t>
            </w:r>
          </w:p>
          <w:p w14:paraId="2332F1F3">
            <w:pPr>
              <w:widowControl/>
              <w:numPr>
                <w:ilvl w:val="2"/>
                <w:numId w:val="185"/>
              </w:numPr>
              <w:jc w:val="left"/>
              <w:textAlignment w:val="center"/>
              <w:rPr>
                <w:rFonts w:hint="eastAsia" w:ascii="宋体" w:hAnsi="宋体"/>
                <w:color w:val="auto"/>
                <w:szCs w:val="21"/>
                <w:highlight w:val="none"/>
              </w:rPr>
            </w:pPr>
            <w:r>
              <w:rPr>
                <w:rFonts w:hint="eastAsia" w:ascii="宋体" w:hAnsi="宋体"/>
                <w:color w:val="auto"/>
                <w:szCs w:val="21"/>
                <w:highlight w:val="none"/>
              </w:rPr>
              <w:t>为方便外接拓展设备，智慧黑板前面板需具备带中文标识的接口，≥1路标准HDMI接口、≥2路USB3.0接口、≥1路Type-C接口。后置标配非扩展接口≥2路HDMI输入，≥1路HDMI输出。</w:t>
            </w:r>
          </w:p>
          <w:p w14:paraId="7478A9A0">
            <w:pPr>
              <w:widowControl/>
              <w:numPr>
                <w:ilvl w:val="2"/>
                <w:numId w:val="185"/>
              </w:numPr>
              <w:jc w:val="left"/>
              <w:textAlignment w:val="center"/>
              <w:rPr>
                <w:rFonts w:hint="eastAsia" w:ascii="宋体" w:hAnsi="宋体"/>
                <w:color w:val="auto"/>
                <w:szCs w:val="21"/>
                <w:highlight w:val="none"/>
              </w:rPr>
            </w:pPr>
            <w:r>
              <w:rPr>
                <w:rFonts w:hint="eastAsia" w:ascii="宋体" w:hAnsi="宋体"/>
                <w:color w:val="auto"/>
                <w:szCs w:val="21"/>
                <w:highlight w:val="none"/>
              </w:rPr>
              <w:t>智慧黑板前置按键需实现音量加减、窗口关闭、触控开关、电脑还原按键等六个以上具有中文标识的常用按键</w:t>
            </w:r>
          </w:p>
          <w:p w14:paraId="541061B9">
            <w:pPr>
              <w:widowControl/>
              <w:jc w:val="left"/>
              <w:textAlignment w:val="center"/>
              <w:rPr>
                <w:rFonts w:hint="eastAsia" w:ascii="宋体" w:hAnsi="宋体"/>
                <w:b/>
                <w:bCs/>
                <w:color w:val="auto"/>
                <w:szCs w:val="21"/>
                <w:highlight w:val="none"/>
              </w:rPr>
            </w:pPr>
            <w:r>
              <w:rPr>
                <w:rFonts w:hint="eastAsia" w:ascii="宋体" w:hAnsi="宋体"/>
                <w:b/>
                <w:bCs/>
                <w:color w:val="auto"/>
                <w:szCs w:val="21"/>
                <w:highlight w:val="none"/>
              </w:rPr>
              <w:t>五、安卓系统要求</w:t>
            </w:r>
          </w:p>
          <w:p w14:paraId="1381E721">
            <w:pPr>
              <w:widowControl/>
              <w:numPr>
                <w:ilvl w:val="2"/>
                <w:numId w:val="186"/>
              </w:numPr>
              <w:jc w:val="left"/>
              <w:textAlignment w:val="center"/>
              <w:rPr>
                <w:rFonts w:hint="eastAsia" w:ascii="宋体" w:hAnsi="宋体"/>
                <w:color w:val="auto"/>
                <w:szCs w:val="21"/>
                <w:highlight w:val="none"/>
              </w:rPr>
            </w:pPr>
            <w:r>
              <w:rPr>
                <w:rFonts w:hint="eastAsia" w:ascii="宋体" w:hAnsi="宋体"/>
                <w:color w:val="auto"/>
                <w:szCs w:val="21"/>
                <w:highlight w:val="none"/>
              </w:rPr>
              <w:t>智慧黑板需具备国产化芯片驱动，≥8核CPU、≥4核GPU。安卓系统版本≥14.0，内存≥4G，存储≥32G。</w:t>
            </w:r>
          </w:p>
          <w:p w14:paraId="798C8632">
            <w:pPr>
              <w:widowControl/>
              <w:jc w:val="left"/>
              <w:textAlignment w:val="center"/>
              <w:rPr>
                <w:rFonts w:hint="eastAsia" w:ascii="宋体" w:hAnsi="宋体"/>
                <w:b/>
                <w:bCs/>
                <w:color w:val="auto"/>
                <w:szCs w:val="21"/>
                <w:highlight w:val="none"/>
              </w:rPr>
            </w:pPr>
            <w:r>
              <w:rPr>
                <w:rFonts w:hint="eastAsia" w:ascii="宋体" w:hAnsi="宋体"/>
                <w:b/>
                <w:bCs/>
                <w:color w:val="auto"/>
                <w:szCs w:val="21"/>
                <w:highlight w:val="none"/>
              </w:rPr>
              <w:t>六、整机音视频要求</w:t>
            </w:r>
          </w:p>
          <w:p w14:paraId="1F05289F">
            <w:pPr>
              <w:widowControl/>
              <w:numPr>
                <w:ilvl w:val="2"/>
                <w:numId w:val="187"/>
              </w:numPr>
              <w:jc w:val="left"/>
              <w:textAlignment w:val="center"/>
              <w:rPr>
                <w:rFonts w:hint="eastAsia" w:ascii="宋体" w:hAnsi="宋体"/>
                <w:color w:val="auto"/>
                <w:szCs w:val="21"/>
                <w:highlight w:val="none"/>
              </w:rPr>
            </w:pPr>
            <w:r>
              <w:rPr>
                <w:rFonts w:hint="eastAsia" w:ascii="宋体" w:hAnsi="宋体"/>
                <w:color w:val="auto"/>
                <w:szCs w:val="21"/>
                <w:highlight w:val="none"/>
              </w:rPr>
              <w:t>需采用2.2声道，≥6个发声单元，功率≥60W。</w:t>
            </w:r>
          </w:p>
          <w:p w14:paraId="23F42A5D">
            <w:pPr>
              <w:widowControl/>
              <w:numPr>
                <w:ilvl w:val="2"/>
                <w:numId w:val="187"/>
              </w:numPr>
              <w:jc w:val="left"/>
              <w:textAlignment w:val="center"/>
              <w:rPr>
                <w:rFonts w:hint="eastAsia" w:ascii="宋体" w:hAnsi="宋体"/>
                <w:color w:val="auto"/>
                <w:szCs w:val="21"/>
                <w:highlight w:val="none"/>
              </w:rPr>
            </w:pPr>
            <w:r>
              <w:rPr>
                <w:rFonts w:hint="eastAsia" w:ascii="宋体" w:hAnsi="宋体"/>
                <w:color w:val="auto"/>
                <w:szCs w:val="21"/>
                <w:highlight w:val="none"/>
              </w:rPr>
              <w:t>需内置一体化超高清摄像头，摄像头≥1800W像素,镜头能向下倾斜。</w:t>
            </w:r>
          </w:p>
          <w:p w14:paraId="6909FA04">
            <w:pPr>
              <w:widowControl/>
              <w:numPr>
                <w:ilvl w:val="2"/>
                <w:numId w:val="187"/>
              </w:numPr>
              <w:jc w:val="left"/>
              <w:textAlignment w:val="center"/>
              <w:rPr>
                <w:rFonts w:hint="eastAsia" w:ascii="宋体" w:hAnsi="宋体"/>
                <w:color w:val="auto"/>
                <w:szCs w:val="21"/>
                <w:highlight w:val="none"/>
              </w:rPr>
            </w:pPr>
            <w:r>
              <w:rPr>
                <w:rFonts w:hint="eastAsia" w:ascii="宋体" w:hAnsi="宋体"/>
                <w:color w:val="auto"/>
                <w:szCs w:val="21"/>
                <w:highlight w:val="none"/>
              </w:rPr>
              <w:t>内置摄像头需支持AI软件实现自动点名点数功能，支持远程巡课功能，具备指示灯工作状态提示。</w:t>
            </w:r>
          </w:p>
          <w:p w14:paraId="3EC94930">
            <w:pPr>
              <w:widowControl/>
              <w:jc w:val="left"/>
              <w:textAlignment w:val="center"/>
              <w:rPr>
                <w:rFonts w:hint="eastAsia" w:ascii="宋体" w:hAnsi="宋体"/>
                <w:b/>
                <w:bCs/>
                <w:color w:val="auto"/>
                <w:szCs w:val="21"/>
                <w:highlight w:val="none"/>
              </w:rPr>
            </w:pPr>
            <w:r>
              <w:rPr>
                <w:rFonts w:hint="eastAsia" w:ascii="宋体" w:hAnsi="宋体"/>
                <w:b/>
                <w:bCs/>
                <w:color w:val="auto"/>
                <w:szCs w:val="21"/>
                <w:highlight w:val="none"/>
              </w:rPr>
              <w:t>七、其他与教学相关的常用功能</w:t>
            </w:r>
          </w:p>
          <w:p w14:paraId="4B099931">
            <w:pPr>
              <w:widowControl/>
              <w:numPr>
                <w:ilvl w:val="2"/>
                <w:numId w:val="188"/>
              </w:numPr>
              <w:jc w:val="left"/>
              <w:textAlignment w:val="center"/>
              <w:rPr>
                <w:rFonts w:hint="eastAsia" w:ascii="宋体" w:hAnsi="宋体"/>
                <w:color w:val="auto"/>
                <w:szCs w:val="21"/>
                <w:highlight w:val="none"/>
              </w:rPr>
            </w:pPr>
            <w:r>
              <w:rPr>
                <w:rFonts w:hint="eastAsia" w:ascii="宋体" w:hAnsi="宋体"/>
                <w:color w:val="auto"/>
                <w:szCs w:val="21"/>
                <w:highlight w:val="none"/>
              </w:rPr>
              <w:t>智慧黑板需具有可放置书写笔、粉笔、水性笔的笔槽，笔槽具有漏灰孔设计。</w:t>
            </w:r>
          </w:p>
          <w:p w14:paraId="4A46D613">
            <w:pPr>
              <w:widowControl/>
              <w:numPr>
                <w:ilvl w:val="2"/>
                <w:numId w:val="188"/>
              </w:numPr>
              <w:jc w:val="left"/>
              <w:textAlignment w:val="center"/>
              <w:rPr>
                <w:rFonts w:hint="eastAsia" w:ascii="宋体" w:hAnsi="宋体"/>
                <w:color w:val="auto"/>
                <w:szCs w:val="21"/>
                <w:highlight w:val="none"/>
              </w:rPr>
            </w:pPr>
            <w:r>
              <w:rPr>
                <w:rFonts w:hint="eastAsia" w:ascii="宋体" w:hAnsi="宋体"/>
                <w:color w:val="auto"/>
                <w:szCs w:val="21"/>
                <w:highlight w:val="none"/>
              </w:rPr>
              <w:t>在任意信号源下向上滑动，可调用快捷设置菜单；无需切换系统可快速调节Windows和安卓的设置，如声音、亮度、网络等常用功能。</w:t>
            </w:r>
          </w:p>
          <w:p w14:paraId="1A8F789D">
            <w:pPr>
              <w:widowControl/>
              <w:numPr>
                <w:ilvl w:val="2"/>
                <w:numId w:val="188"/>
              </w:numPr>
              <w:jc w:val="left"/>
              <w:textAlignment w:val="center"/>
              <w:rPr>
                <w:rFonts w:hint="eastAsia" w:ascii="宋体" w:hAnsi="宋体"/>
                <w:color w:val="auto"/>
                <w:szCs w:val="21"/>
                <w:highlight w:val="none"/>
              </w:rPr>
            </w:pPr>
            <w:r>
              <w:rPr>
                <w:rFonts w:hint="eastAsia" w:ascii="宋体" w:hAnsi="宋体"/>
                <w:color w:val="auto"/>
                <w:szCs w:val="21"/>
                <w:highlight w:val="none"/>
              </w:rPr>
              <w:t>智慧黑板左右两侧需各具备≥10个与教学应用密切相关的快捷键，支持自定义设置时间、显示模式，单侧显示、双侧同时显示，快捷键至少需具备关闭窗口、展台、桌面、多屏互动等教学常用功能。</w:t>
            </w:r>
          </w:p>
          <w:p w14:paraId="0D12CD1F">
            <w:pPr>
              <w:widowControl/>
              <w:numPr>
                <w:ilvl w:val="2"/>
                <w:numId w:val="188"/>
              </w:numPr>
              <w:jc w:val="left"/>
              <w:textAlignment w:val="center"/>
              <w:rPr>
                <w:rFonts w:hint="eastAsia" w:ascii="宋体" w:hAnsi="宋体"/>
                <w:color w:val="auto"/>
                <w:szCs w:val="21"/>
                <w:highlight w:val="none"/>
              </w:rPr>
            </w:pPr>
            <w:r>
              <w:rPr>
                <w:rFonts w:hint="eastAsia" w:ascii="宋体" w:hAnsi="宋体"/>
                <w:color w:val="auto"/>
                <w:szCs w:val="21"/>
                <w:highlight w:val="none"/>
              </w:rPr>
              <w:t>智慧黑板具有快捷悬浮菜单，通过两指长按能快速移动悬浮菜单至按压位置，悬浮菜单能进行自定义分组，能够添加不少于三十个应用。</w:t>
            </w:r>
          </w:p>
          <w:p w14:paraId="2553C693">
            <w:pPr>
              <w:widowControl/>
              <w:numPr>
                <w:ilvl w:val="2"/>
                <w:numId w:val="188"/>
              </w:numPr>
              <w:jc w:val="left"/>
              <w:textAlignment w:val="center"/>
              <w:rPr>
                <w:rFonts w:hint="eastAsia" w:ascii="宋体" w:hAnsi="宋体"/>
                <w:color w:val="auto"/>
                <w:szCs w:val="21"/>
                <w:highlight w:val="none"/>
              </w:rPr>
            </w:pPr>
            <w:r>
              <w:rPr>
                <w:rFonts w:hint="eastAsia" w:ascii="宋体" w:hAnsi="宋体"/>
                <w:color w:val="auto"/>
                <w:szCs w:val="21"/>
                <w:highlight w:val="none"/>
              </w:rPr>
              <w:t>需支持手势实现悬浮窗快速调用、屏幕息屏或亮屏、屏幕下移、多任务等功能，方便课堂操作。</w:t>
            </w:r>
          </w:p>
          <w:p w14:paraId="19F5C49B">
            <w:pPr>
              <w:widowControl/>
              <w:numPr>
                <w:ilvl w:val="2"/>
                <w:numId w:val="188"/>
              </w:numPr>
              <w:jc w:val="left"/>
              <w:textAlignment w:val="center"/>
              <w:rPr>
                <w:rFonts w:hint="eastAsia" w:ascii="宋体" w:hAnsi="宋体"/>
                <w:color w:val="auto"/>
                <w:szCs w:val="21"/>
                <w:highlight w:val="none"/>
              </w:rPr>
            </w:pPr>
            <w:r>
              <w:rPr>
                <w:rFonts w:hint="eastAsia" w:ascii="宋体" w:hAnsi="宋体"/>
                <w:color w:val="auto"/>
                <w:szCs w:val="21"/>
                <w:highlight w:val="none"/>
              </w:rPr>
              <w:t>智慧黑板支持远程升级，及时给用户推送新版应用。</w:t>
            </w:r>
          </w:p>
          <w:p w14:paraId="04842190">
            <w:pPr>
              <w:widowControl/>
              <w:jc w:val="left"/>
              <w:textAlignment w:val="center"/>
              <w:rPr>
                <w:rFonts w:hint="eastAsia" w:ascii="宋体" w:hAnsi="宋体"/>
                <w:b/>
                <w:bCs/>
                <w:color w:val="auto"/>
                <w:szCs w:val="21"/>
                <w:highlight w:val="none"/>
              </w:rPr>
            </w:pPr>
            <w:r>
              <w:rPr>
                <w:rFonts w:hint="eastAsia" w:ascii="宋体" w:hAnsi="宋体"/>
                <w:b/>
                <w:bCs/>
                <w:color w:val="auto"/>
                <w:szCs w:val="21"/>
                <w:highlight w:val="none"/>
              </w:rPr>
              <w:t>八、书写侧板要求</w:t>
            </w:r>
          </w:p>
          <w:p w14:paraId="5C084E14">
            <w:pPr>
              <w:widowControl/>
              <w:numPr>
                <w:ilvl w:val="2"/>
                <w:numId w:val="189"/>
              </w:numPr>
              <w:jc w:val="left"/>
              <w:textAlignment w:val="center"/>
              <w:rPr>
                <w:rFonts w:hint="eastAsia" w:ascii="宋体" w:hAnsi="宋体"/>
                <w:color w:val="auto"/>
                <w:szCs w:val="21"/>
                <w:highlight w:val="none"/>
              </w:rPr>
            </w:pPr>
            <w:r>
              <w:rPr>
                <w:rFonts w:hint="eastAsia" w:ascii="宋体" w:hAnsi="宋体"/>
                <w:color w:val="auto"/>
                <w:szCs w:val="21"/>
                <w:highlight w:val="none"/>
              </w:rPr>
              <w:t>书写侧板板面支持磁性材质教具吸附。</w:t>
            </w:r>
          </w:p>
          <w:p w14:paraId="45A83B05">
            <w:pPr>
              <w:widowControl/>
              <w:numPr>
                <w:ilvl w:val="2"/>
                <w:numId w:val="189"/>
              </w:numPr>
              <w:jc w:val="left"/>
              <w:textAlignment w:val="center"/>
              <w:rPr>
                <w:rFonts w:hint="eastAsia" w:ascii="宋体" w:hAnsi="宋体"/>
                <w:color w:val="auto"/>
                <w:szCs w:val="21"/>
                <w:highlight w:val="none"/>
              </w:rPr>
            </w:pPr>
            <w:r>
              <w:rPr>
                <w:rFonts w:hint="eastAsia" w:ascii="宋体" w:hAnsi="宋体"/>
                <w:color w:val="auto"/>
                <w:szCs w:val="21"/>
                <w:highlight w:val="none"/>
              </w:rPr>
              <w:t>书写侧板板面光泽度需符合 GB28231-2011 标准，不高于8光泽度以免产生眩光。</w:t>
            </w:r>
          </w:p>
          <w:p w14:paraId="61ECFBEA">
            <w:pPr>
              <w:widowControl/>
              <w:numPr>
                <w:ilvl w:val="2"/>
                <w:numId w:val="189"/>
              </w:numPr>
              <w:jc w:val="left"/>
              <w:textAlignment w:val="center"/>
              <w:rPr>
                <w:rFonts w:hint="eastAsia" w:ascii="宋体" w:hAnsi="宋体"/>
                <w:color w:val="auto"/>
                <w:szCs w:val="21"/>
                <w:highlight w:val="none"/>
              </w:rPr>
            </w:pPr>
            <w:r>
              <w:rPr>
                <w:rFonts w:hint="eastAsia" w:ascii="宋体" w:hAnsi="宋体"/>
                <w:color w:val="auto"/>
                <w:szCs w:val="21"/>
                <w:highlight w:val="none"/>
              </w:rPr>
              <w:t>书写侧板板面符合 GB/T9286-2021标准，支持色漆和清漆漆膜的划格试验，脱漆面积不明显大于 5%达到0级标准。</w:t>
            </w:r>
          </w:p>
          <w:p w14:paraId="5B893CB0">
            <w:pPr>
              <w:widowControl/>
              <w:numPr>
                <w:ilvl w:val="2"/>
                <w:numId w:val="189"/>
              </w:numPr>
              <w:jc w:val="left"/>
              <w:textAlignment w:val="center"/>
              <w:rPr>
                <w:rFonts w:hint="eastAsia" w:ascii="宋体" w:hAnsi="宋体"/>
                <w:color w:val="auto"/>
                <w:szCs w:val="21"/>
                <w:highlight w:val="none"/>
              </w:rPr>
            </w:pPr>
            <w:r>
              <w:rPr>
                <w:rFonts w:hint="eastAsia" w:ascii="宋体" w:hAnsi="宋体"/>
                <w:color w:val="auto"/>
                <w:szCs w:val="21"/>
                <w:highlight w:val="none"/>
              </w:rPr>
              <w:t>书写侧板板面抗冲击性需符合GB/T 1732-2020标准，漆膜耐冲击无裂纹现象。</w:t>
            </w:r>
          </w:p>
          <w:p w14:paraId="3AEA0F5E">
            <w:pPr>
              <w:widowControl/>
              <w:numPr>
                <w:ilvl w:val="2"/>
                <w:numId w:val="189"/>
              </w:numPr>
              <w:jc w:val="left"/>
              <w:textAlignment w:val="center"/>
              <w:rPr>
                <w:rFonts w:hint="eastAsia" w:ascii="宋体" w:hAnsi="宋体"/>
                <w:color w:val="auto"/>
                <w:szCs w:val="21"/>
                <w:highlight w:val="none"/>
              </w:rPr>
            </w:pPr>
            <w:r>
              <w:rPr>
                <w:rFonts w:hint="eastAsia" w:ascii="宋体" w:hAnsi="宋体"/>
                <w:color w:val="auto"/>
                <w:szCs w:val="21"/>
                <w:highlight w:val="none"/>
              </w:rPr>
              <w:t>书写侧板与显示触摸屏为同品牌一体化设计，整体长度不小于4200mm。</w:t>
            </w:r>
          </w:p>
          <w:p w14:paraId="405C6469">
            <w:pPr>
              <w:widowControl/>
              <w:jc w:val="left"/>
              <w:textAlignment w:val="center"/>
              <w:rPr>
                <w:rFonts w:hint="eastAsia" w:ascii="宋体" w:hAnsi="宋体"/>
                <w:b/>
                <w:bCs/>
                <w:color w:val="auto"/>
                <w:szCs w:val="21"/>
                <w:highlight w:val="none"/>
              </w:rPr>
            </w:pPr>
            <w:r>
              <w:rPr>
                <w:rFonts w:hint="eastAsia" w:ascii="宋体" w:hAnsi="宋体"/>
                <w:b/>
                <w:bCs/>
                <w:color w:val="auto"/>
                <w:szCs w:val="21"/>
                <w:highlight w:val="none"/>
              </w:rPr>
              <w:t>九、内置电脑配置要求</w:t>
            </w:r>
          </w:p>
          <w:p w14:paraId="3384F320">
            <w:pPr>
              <w:widowControl/>
              <w:numPr>
                <w:ilvl w:val="2"/>
                <w:numId w:val="190"/>
              </w:numPr>
              <w:jc w:val="left"/>
              <w:textAlignment w:val="center"/>
              <w:rPr>
                <w:rFonts w:hint="eastAsia" w:ascii="宋体" w:hAnsi="宋体"/>
                <w:color w:val="auto"/>
                <w:szCs w:val="21"/>
                <w:highlight w:val="none"/>
              </w:rPr>
            </w:pPr>
            <w:r>
              <w:rPr>
                <w:rFonts w:hint="eastAsia" w:ascii="宋体" w:hAnsi="宋体"/>
                <w:color w:val="auto"/>
                <w:szCs w:val="21"/>
                <w:highlight w:val="none"/>
              </w:rPr>
              <w:t>整机需易于维护，满足80pin通用标准接口，卡扣设计。</w:t>
            </w:r>
          </w:p>
          <w:p w14:paraId="0E6FEA72">
            <w:pPr>
              <w:widowControl/>
              <w:numPr>
                <w:ilvl w:val="2"/>
                <w:numId w:val="190"/>
              </w:numPr>
              <w:jc w:val="left"/>
              <w:textAlignment w:val="center"/>
              <w:rPr>
                <w:rFonts w:hint="eastAsia" w:ascii="宋体" w:hAnsi="宋体"/>
                <w:color w:val="auto"/>
                <w:szCs w:val="21"/>
                <w:highlight w:val="none"/>
              </w:rPr>
            </w:pPr>
            <w:r>
              <w:rPr>
                <w:rFonts w:hint="eastAsia" w:ascii="宋体" w:hAnsi="宋体"/>
                <w:color w:val="auto"/>
                <w:szCs w:val="21"/>
                <w:highlight w:val="none"/>
              </w:rPr>
              <w:t>采用≥12代I5芯片，内存≥8G，硬盘≥256G SSD。</w:t>
            </w:r>
          </w:p>
          <w:p w14:paraId="7681C664">
            <w:pPr>
              <w:widowControl/>
              <w:jc w:val="left"/>
              <w:textAlignment w:val="center"/>
              <w:rPr>
                <w:rFonts w:hint="eastAsia" w:ascii="宋体" w:hAnsi="宋体"/>
                <w:b/>
                <w:bCs/>
                <w:color w:val="auto"/>
                <w:szCs w:val="21"/>
                <w:highlight w:val="none"/>
              </w:rPr>
            </w:pPr>
            <w:r>
              <w:rPr>
                <w:rFonts w:hint="eastAsia" w:ascii="宋体" w:hAnsi="宋体"/>
                <w:b/>
                <w:bCs/>
                <w:color w:val="auto"/>
                <w:szCs w:val="21"/>
                <w:highlight w:val="none"/>
              </w:rPr>
              <w:t>十、教学软件功能要求</w:t>
            </w:r>
          </w:p>
          <w:p w14:paraId="6BA4E642">
            <w:pPr>
              <w:widowControl/>
              <w:jc w:val="left"/>
              <w:textAlignment w:val="center"/>
              <w:rPr>
                <w:rFonts w:hint="eastAsia" w:ascii="宋体" w:hAnsi="宋体"/>
                <w:color w:val="auto"/>
                <w:szCs w:val="21"/>
                <w:highlight w:val="none"/>
              </w:rPr>
            </w:pPr>
            <w:r>
              <w:rPr>
                <w:rFonts w:hint="eastAsia" w:ascii="宋体" w:hAnsi="宋体"/>
                <w:color w:val="auto"/>
                <w:szCs w:val="21"/>
                <w:highlight w:val="none"/>
              </w:rPr>
              <w:t>备课模式</w:t>
            </w:r>
          </w:p>
          <w:p w14:paraId="30225C9A">
            <w:pPr>
              <w:widowControl/>
              <w:numPr>
                <w:ilvl w:val="1"/>
                <w:numId w:val="191"/>
              </w:numPr>
              <w:jc w:val="left"/>
              <w:textAlignment w:val="center"/>
              <w:rPr>
                <w:rFonts w:hint="eastAsia" w:ascii="宋体" w:hAnsi="宋体"/>
                <w:color w:val="auto"/>
                <w:szCs w:val="21"/>
                <w:highlight w:val="none"/>
              </w:rPr>
            </w:pPr>
            <w:r>
              <w:rPr>
                <w:rFonts w:hint="eastAsia" w:ascii="宋体" w:hAnsi="宋体"/>
                <w:color w:val="auto"/>
                <w:szCs w:val="21"/>
                <w:highlight w:val="none"/>
              </w:rPr>
              <w:t>教师个人账号无需完成特定任务，即可获取≥200GB云端存储空间，可扩展至≥3TB或以上云存储空间。</w:t>
            </w:r>
          </w:p>
          <w:p w14:paraId="314745B4">
            <w:pPr>
              <w:widowControl/>
              <w:numPr>
                <w:ilvl w:val="1"/>
                <w:numId w:val="191"/>
              </w:numPr>
              <w:jc w:val="left"/>
              <w:textAlignment w:val="center"/>
              <w:rPr>
                <w:rFonts w:hint="eastAsia" w:ascii="宋体" w:hAnsi="宋体"/>
                <w:color w:val="auto"/>
                <w:szCs w:val="21"/>
                <w:highlight w:val="none"/>
              </w:rPr>
            </w:pPr>
            <w:r>
              <w:rPr>
                <w:rFonts w:hint="eastAsia" w:ascii="宋体" w:hAnsi="宋体"/>
                <w:color w:val="auto"/>
                <w:szCs w:val="21"/>
                <w:highlight w:val="none"/>
              </w:rPr>
              <w:t>需提供预置的课件素材，允许教师在网页端、移动端、电脑端进行内容的选择与组合，快速生成课件并浏览，所有制作的课件均实时保存至云端，登录即可查看。</w:t>
            </w:r>
          </w:p>
          <w:p w14:paraId="1649E85B">
            <w:pPr>
              <w:widowControl/>
              <w:numPr>
                <w:ilvl w:val="1"/>
                <w:numId w:val="191"/>
              </w:numPr>
              <w:jc w:val="left"/>
              <w:textAlignment w:val="center"/>
              <w:rPr>
                <w:rFonts w:hint="eastAsia" w:ascii="宋体" w:hAnsi="宋体"/>
                <w:color w:val="auto"/>
                <w:szCs w:val="21"/>
                <w:highlight w:val="none"/>
              </w:rPr>
            </w:pPr>
            <w:r>
              <w:rPr>
                <w:rFonts w:hint="eastAsia" w:ascii="宋体" w:hAnsi="宋体"/>
                <w:color w:val="auto"/>
                <w:szCs w:val="21"/>
                <w:highlight w:val="none"/>
              </w:rPr>
              <w:t>需支持教师根据教材章节目录、知识点选择对应的教学内容。教师仅需要按每个教学环节选择所需的教学模块即可快速生成一份课件。每个课时均提供过量的教学内容模块，满足教师的个性化需求。</w:t>
            </w:r>
          </w:p>
          <w:p w14:paraId="2C6395FE">
            <w:pPr>
              <w:widowControl/>
              <w:numPr>
                <w:ilvl w:val="1"/>
                <w:numId w:val="191"/>
              </w:numPr>
              <w:jc w:val="left"/>
              <w:textAlignment w:val="center"/>
              <w:rPr>
                <w:rFonts w:hint="eastAsia" w:ascii="宋体" w:hAnsi="宋体"/>
                <w:color w:val="auto"/>
                <w:szCs w:val="21"/>
                <w:highlight w:val="none"/>
              </w:rPr>
            </w:pPr>
            <w:r>
              <w:rPr>
                <w:rFonts w:hint="eastAsia" w:ascii="宋体" w:hAnsi="宋体"/>
                <w:color w:val="auto"/>
                <w:szCs w:val="21"/>
                <w:highlight w:val="none"/>
              </w:rPr>
              <w:t>需提供模块化的课件素材和教案，课件支持组选：课堂导入，知识讲解，例题与变式，拓展延伸，课外活动等。</w:t>
            </w:r>
          </w:p>
          <w:p w14:paraId="037E0E30">
            <w:pPr>
              <w:widowControl/>
              <w:numPr>
                <w:ilvl w:val="1"/>
                <w:numId w:val="191"/>
              </w:numPr>
              <w:jc w:val="left"/>
              <w:textAlignment w:val="center"/>
              <w:rPr>
                <w:rFonts w:hint="eastAsia" w:ascii="宋体" w:hAnsi="宋体"/>
                <w:color w:val="auto"/>
                <w:szCs w:val="21"/>
                <w:highlight w:val="none"/>
              </w:rPr>
            </w:pPr>
            <w:r>
              <w:rPr>
                <w:rFonts w:hint="eastAsia" w:ascii="宋体" w:hAnsi="宋体"/>
                <w:color w:val="auto"/>
                <w:szCs w:val="21"/>
                <w:highlight w:val="none"/>
              </w:rPr>
              <w:t>需支持插入音频，对音频的剪辑，可拖动或输入音频的开始和结束位置。插入表格，表格支持设置行列数，在表格上可以进行行列的添加、删除、合并和拆分，可编辑文字格式和表格格式。插入思维导图，包括逻辑图、鱼骨图和组织结构图，思维导图可添加同级节点、下级节点、上级节点，可编辑文字格式和思维导图格式。</w:t>
            </w:r>
          </w:p>
          <w:p w14:paraId="15F303E8">
            <w:pPr>
              <w:widowControl/>
              <w:jc w:val="left"/>
              <w:textAlignment w:val="center"/>
              <w:rPr>
                <w:rFonts w:hint="eastAsia" w:ascii="宋体" w:hAnsi="宋体"/>
                <w:color w:val="auto"/>
                <w:szCs w:val="21"/>
                <w:highlight w:val="none"/>
              </w:rPr>
            </w:pPr>
            <w:r>
              <w:rPr>
                <w:rFonts w:hint="eastAsia" w:ascii="宋体" w:hAnsi="宋体"/>
                <w:color w:val="auto"/>
                <w:szCs w:val="21"/>
                <w:highlight w:val="none"/>
              </w:rPr>
              <w:t>授课模式</w:t>
            </w:r>
          </w:p>
          <w:p w14:paraId="26E9A52A">
            <w:pPr>
              <w:widowControl/>
              <w:numPr>
                <w:ilvl w:val="1"/>
                <w:numId w:val="191"/>
              </w:numPr>
              <w:jc w:val="left"/>
              <w:textAlignment w:val="center"/>
              <w:rPr>
                <w:rFonts w:hint="eastAsia" w:ascii="宋体" w:hAnsi="宋体"/>
                <w:color w:val="auto"/>
                <w:szCs w:val="21"/>
                <w:highlight w:val="none"/>
              </w:rPr>
            </w:pPr>
            <w:r>
              <w:rPr>
                <w:rFonts w:hint="eastAsia" w:ascii="宋体" w:hAnsi="宋体"/>
                <w:color w:val="auto"/>
                <w:szCs w:val="21"/>
                <w:highlight w:val="none"/>
              </w:rPr>
              <w:t>需支持显示文件、工具和应用的便捷入口，当开始批注且有笔迹时，自动隐藏便捷入口，清除笔迹时，自动恢复显示便捷入口。</w:t>
            </w:r>
          </w:p>
          <w:p w14:paraId="6C71F37A">
            <w:pPr>
              <w:widowControl/>
              <w:numPr>
                <w:ilvl w:val="1"/>
                <w:numId w:val="191"/>
              </w:numPr>
              <w:jc w:val="left"/>
              <w:textAlignment w:val="center"/>
              <w:rPr>
                <w:rFonts w:hint="eastAsia" w:ascii="宋体" w:hAnsi="宋体"/>
                <w:color w:val="auto"/>
                <w:szCs w:val="21"/>
                <w:highlight w:val="none"/>
              </w:rPr>
            </w:pPr>
            <w:r>
              <w:rPr>
                <w:rFonts w:hint="eastAsia" w:ascii="宋体" w:hAnsi="宋体"/>
                <w:color w:val="auto"/>
                <w:szCs w:val="21"/>
                <w:highlight w:val="none"/>
              </w:rPr>
              <w:t>需支持多种教辅工具，包含截图、时钟、放大镜、聚光灯、黑屏、随机数、骰子和大转盘等。</w:t>
            </w:r>
          </w:p>
          <w:p w14:paraId="6A968A80">
            <w:pPr>
              <w:widowControl/>
              <w:numPr>
                <w:ilvl w:val="1"/>
                <w:numId w:val="191"/>
              </w:numPr>
              <w:jc w:val="left"/>
              <w:textAlignment w:val="center"/>
              <w:rPr>
                <w:rFonts w:hint="eastAsia" w:ascii="宋体" w:hAnsi="宋体"/>
                <w:color w:val="auto"/>
                <w:szCs w:val="21"/>
                <w:highlight w:val="none"/>
              </w:rPr>
            </w:pPr>
            <w:r>
              <w:rPr>
                <w:rFonts w:hint="eastAsia" w:ascii="宋体" w:hAnsi="宋体"/>
                <w:color w:val="auto"/>
                <w:szCs w:val="21"/>
                <w:highlight w:val="none"/>
              </w:rPr>
              <w:t>需支持打开本机文件、U盘文件等本地文件；不需导入，可直接打开本地视频、音频、图片、离线教学课件、PPT、PPTX、PDF文件、DOC、DOCX文件及swf文件等；需支持多个文件窗口同屏播放显示，满足多素材授课需求。支持批注的文件类型包含PPT、PPTX、图片、PDF、DOC、DOCX。</w:t>
            </w:r>
          </w:p>
          <w:p w14:paraId="2C4C4205">
            <w:pPr>
              <w:widowControl/>
              <w:jc w:val="left"/>
              <w:textAlignment w:val="center"/>
              <w:rPr>
                <w:rFonts w:hint="eastAsia" w:ascii="宋体" w:hAnsi="宋体"/>
                <w:color w:val="auto"/>
                <w:szCs w:val="21"/>
                <w:highlight w:val="none"/>
              </w:rPr>
            </w:pPr>
            <w:r>
              <w:rPr>
                <w:rFonts w:hint="eastAsia" w:ascii="宋体" w:hAnsi="宋体"/>
                <w:color w:val="auto"/>
                <w:szCs w:val="21"/>
                <w:highlight w:val="none"/>
              </w:rPr>
              <w:t>录课助手</w:t>
            </w:r>
          </w:p>
          <w:p w14:paraId="048D746A">
            <w:pPr>
              <w:widowControl/>
              <w:numPr>
                <w:ilvl w:val="1"/>
                <w:numId w:val="191"/>
              </w:numPr>
              <w:jc w:val="left"/>
              <w:textAlignment w:val="center"/>
              <w:rPr>
                <w:rFonts w:hint="eastAsia" w:ascii="宋体" w:hAnsi="宋体"/>
                <w:color w:val="auto"/>
                <w:szCs w:val="21"/>
                <w:highlight w:val="none"/>
              </w:rPr>
            </w:pPr>
            <w:r>
              <w:rPr>
                <w:rFonts w:hint="eastAsia" w:ascii="宋体" w:hAnsi="宋体"/>
                <w:color w:val="auto"/>
                <w:szCs w:val="21"/>
                <w:highlight w:val="none"/>
              </w:rPr>
              <w:t>需支持屏幕、屏幕+摄像头等多种形式的录制，也可结合录播系统进行全景录制。需支持对视频清晰度的调整，提供高清、超清、超高清的切换，方便在手机、电脑或者大屏上观看。</w:t>
            </w:r>
          </w:p>
          <w:p w14:paraId="41B7BBA2">
            <w:pPr>
              <w:widowControl/>
              <w:numPr>
                <w:ilvl w:val="1"/>
                <w:numId w:val="191"/>
              </w:numPr>
              <w:jc w:val="left"/>
              <w:textAlignment w:val="center"/>
              <w:rPr>
                <w:rFonts w:hint="eastAsia" w:ascii="宋体" w:hAnsi="宋体"/>
                <w:color w:val="auto"/>
                <w:szCs w:val="21"/>
                <w:highlight w:val="none"/>
              </w:rPr>
            </w:pPr>
            <w:r>
              <w:rPr>
                <w:rFonts w:hint="eastAsia" w:ascii="宋体" w:hAnsi="宋体"/>
                <w:color w:val="auto"/>
                <w:szCs w:val="21"/>
                <w:highlight w:val="none"/>
              </w:rPr>
              <w:t>需支持快速录制，可移动，三秒无操作即变为半透明；可实时查看录制进度，进行暂停、 开始、结束操作。</w:t>
            </w:r>
          </w:p>
          <w:p w14:paraId="40A60760">
            <w:pPr>
              <w:widowControl/>
              <w:numPr>
                <w:ilvl w:val="1"/>
                <w:numId w:val="191"/>
              </w:numPr>
              <w:jc w:val="left"/>
              <w:textAlignment w:val="center"/>
              <w:rPr>
                <w:rFonts w:hint="eastAsia" w:ascii="宋体" w:hAnsi="宋体"/>
                <w:color w:val="auto"/>
                <w:szCs w:val="21"/>
                <w:highlight w:val="none"/>
              </w:rPr>
            </w:pPr>
            <w:r>
              <w:rPr>
                <w:rFonts w:hint="eastAsia" w:ascii="宋体" w:hAnsi="宋体"/>
                <w:color w:val="auto"/>
                <w:szCs w:val="21"/>
                <w:highlight w:val="none"/>
              </w:rPr>
              <w:t>需支持随时开启分享功能，实现即时直播，听课端无需下载软件，扫描二维码即可进入直播课堂并进行互动。开通直播后生成直播海报、直播码，易于分享，多人观看无压力，且支持手机端、PC端观看直播，可实现课堂实时评论。</w:t>
            </w:r>
          </w:p>
          <w:p w14:paraId="3C75B954">
            <w:pPr>
              <w:widowControl/>
              <w:numPr>
                <w:ilvl w:val="1"/>
                <w:numId w:val="191"/>
              </w:numPr>
              <w:jc w:val="left"/>
              <w:textAlignment w:val="center"/>
              <w:rPr>
                <w:rFonts w:hint="eastAsia" w:ascii="宋体" w:hAnsi="宋体"/>
                <w:color w:val="auto"/>
                <w:szCs w:val="21"/>
                <w:highlight w:val="none"/>
              </w:rPr>
            </w:pPr>
            <w:r>
              <w:rPr>
                <w:rFonts w:hint="eastAsia" w:ascii="宋体" w:hAnsi="宋体"/>
                <w:color w:val="auto"/>
                <w:szCs w:val="21"/>
                <w:highlight w:val="none"/>
              </w:rPr>
              <w:t>在桌面及摄像头录制场景下，能自动侦测摄像头，可识别出展台摄像头，同时支持摄像头 画面的切换、移动及大小的调整。录制视频可自动保存在本地，也可上传至云端教师空间，结束录制即生成回看视频，可快速浏览录制情况。</w:t>
            </w:r>
          </w:p>
          <w:p w14:paraId="0B53A1FD">
            <w:pPr>
              <w:widowControl/>
              <w:numPr>
                <w:ilvl w:val="1"/>
                <w:numId w:val="191"/>
              </w:numPr>
              <w:jc w:val="left"/>
              <w:textAlignment w:val="center"/>
              <w:rPr>
                <w:rFonts w:hint="eastAsia" w:ascii="宋体" w:hAnsi="宋体"/>
                <w:color w:val="auto"/>
                <w:szCs w:val="21"/>
                <w:highlight w:val="none"/>
              </w:rPr>
            </w:pPr>
            <w:r>
              <w:rPr>
                <w:rFonts w:hint="eastAsia" w:ascii="宋体" w:hAnsi="宋体"/>
                <w:color w:val="auto"/>
                <w:szCs w:val="21"/>
                <w:highlight w:val="none"/>
              </w:rPr>
              <w:t>录制列表支持按时间查找所有已录制视频并可查看录制详情，包括录制日期、文件大小、 上传状态，同时可扫码回看所有已上传视频。录制视频支持点播、分享、编辑等功能，也可将视频共享到学校空间，方便校本资源的建设和管理。</w:t>
            </w:r>
          </w:p>
          <w:p w14:paraId="227A0B8D">
            <w:pPr>
              <w:widowControl/>
              <w:jc w:val="left"/>
              <w:textAlignment w:val="center"/>
              <w:rPr>
                <w:rFonts w:hint="eastAsia" w:ascii="宋体" w:hAnsi="宋体"/>
                <w:b/>
                <w:bCs/>
                <w:color w:val="auto"/>
                <w:szCs w:val="21"/>
                <w:highlight w:val="none"/>
              </w:rPr>
            </w:pPr>
            <w:r>
              <w:rPr>
                <w:rFonts w:hint="eastAsia" w:ascii="宋体" w:hAnsi="宋体"/>
                <w:b/>
                <w:bCs/>
                <w:color w:val="auto"/>
                <w:szCs w:val="21"/>
                <w:highlight w:val="none"/>
              </w:rPr>
              <w:t>十一、AI教学功能</w:t>
            </w:r>
          </w:p>
          <w:p w14:paraId="3F19F33E">
            <w:pPr>
              <w:widowControl/>
              <w:numPr>
                <w:ilvl w:val="0"/>
                <w:numId w:val="192"/>
              </w:numPr>
              <w:jc w:val="left"/>
              <w:textAlignment w:val="center"/>
              <w:rPr>
                <w:rFonts w:hint="eastAsia" w:ascii="宋体" w:hAnsi="宋体"/>
                <w:color w:val="auto"/>
                <w:szCs w:val="21"/>
                <w:highlight w:val="none"/>
              </w:rPr>
            </w:pPr>
            <w:r>
              <w:rPr>
                <w:rFonts w:hint="eastAsia" w:ascii="宋体" w:hAnsi="宋体"/>
                <w:color w:val="auto"/>
                <w:szCs w:val="21"/>
                <w:highlight w:val="none"/>
              </w:rPr>
              <w:t>提供符合教师授课场景的教学桌面系统。</w:t>
            </w:r>
          </w:p>
          <w:p w14:paraId="61957540">
            <w:pPr>
              <w:widowControl/>
              <w:numPr>
                <w:ilvl w:val="0"/>
                <w:numId w:val="192"/>
              </w:numPr>
              <w:jc w:val="left"/>
              <w:textAlignment w:val="center"/>
              <w:rPr>
                <w:rFonts w:hint="eastAsia" w:ascii="宋体" w:hAnsi="宋体"/>
                <w:color w:val="auto"/>
                <w:szCs w:val="21"/>
                <w:highlight w:val="none"/>
              </w:rPr>
            </w:pPr>
            <w:r>
              <w:rPr>
                <w:rFonts w:hint="eastAsia" w:ascii="宋体" w:hAnsi="宋体"/>
                <w:color w:val="auto"/>
                <w:szCs w:val="21"/>
                <w:highlight w:val="none"/>
              </w:rPr>
              <w:t>教师授课常用应用放至主页，单击即可打开应用，方便教师快捷调用软件，支持根据个人使用习惯，自定义主页应用。</w:t>
            </w:r>
          </w:p>
          <w:p w14:paraId="3DC00F63">
            <w:pPr>
              <w:widowControl/>
              <w:numPr>
                <w:ilvl w:val="0"/>
                <w:numId w:val="192"/>
              </w:numPr>
              <w:jc w:val="left"/>
              <w:textAlignment w:val="center"/>
              <w:rPr>
                <w:rFonts w:hint="eastAsia" w:ascii="宋体" w:hAnsi="宋体"/>
                <w:color w:val="auto"/>
                <w:szCs w:val="21"/>
                <w:highlight w:val="none"/>
              </w:rPr>
            </w:pPr>
            <w:r>
              <w:rPr>
                <w:rFonts w:hint="eastAsia" w:ascii="宋体" w:hAnsi="宋体"/>
                <w:color w:val="auto"/>
                <w:szCs w:val="21"/>
                <w:highlight w:val="none"/>
              </w:rPr>
              <w:t>开机进入教学桌面，教师可按照自己使用习惯，更换常用软件、背景，形成教师的定制化桌面。可通过登录账户，在其他设备上同步展示教师定制化教学桌面，可添加常用教学互动AI小组件，包括班里挑一、击鼓传花、自动点名、时钟、计算器、文件管理器等。</w:t>
            </w:r>
          </w:p>
          <w:p w14:paraId="0C1B1B77">
            <w:pPr>
              <w:widowControl/>
              <w:numPr>
                <w:ilvl w:val="0"/>
                <w:numId w:val="192"/>
              </w:numPr>
              <w:jc w:val="left"/>
              <w:textAlignment w:val="center"/>
              <w:rPr>
                <w:rFonts w:hint="eastAsia" w:ascii="宋体" w:hAnsi="宋体"/>
                <w:color w:val="auto"/>
                <w:szCs w:val="21"/>
                <w:highlight w:val="none"/>
              </w:rPr>
            </w:pPr>
            <w:r>
              <w:rPr>
                <w:rFonts w:hint="eastAsia" w:ascii="宋体" w:hAnsi="宋体"/>
                <w:color w:val="auto"/>
                <w:szCs w:val="21"/>
                <w:highlight w:val="none"/>
              </w:rPr>
              <w:t>不少于4种登录方式，包括账号密码登录、验证码登录、人脸登录、声纹登录等，教师登录系统后打开其他应用及空间，可进行快捷登录，无需再次输入账户密码。</w:t>
            </w:r>
          </w:p>
          <w:p w14:paraId="06F9572F">
            <w:pPr>
              <w:widowControl/>
              <w:numPr>
                <w:ilvl w:val="0"/>
                <w:numId w:val="192"/>
              </w:numPr>
              <w:jc w:val="left"/>
              <w:textAlignment w:val="center"/>
              <w:rPr>
                <w:rFonts w:hint="eastAsia" w:ascii="宋体" w:hAnsi="宋体"/>
                <w:color w:val="auto"/>
                <w:szCs w:val="21"/>
                <w:highlight w:val="none"/>
              </w:rPr>
            </w:pPr>
            <w:r>
              <w:rPr>
                <w:rFonts w:hint="eastAsia" w:ascii="宋体" w:hAnsi="宋体"/>
                <w:color w:val="auto"/>
                <w:szCs w:val="21"/>
                <w:highlight w:val="none"/>
              </w:rPr>
              <w:t>具备AI教学管理功能模块，包括AI一键备课、教学资源、课程设计、我的资源等常用教学功能模块。</w:t>
            </w:r>
          </w:p>
          <w:p w14:paraId="26926D55">
            <w:pPr>
              <w:widowControl/>
              <w:numPr>
                <w:ilvl w:val="0"/>
                <w:numId w:val="192"/>
              </w:numPr>
              <w:jc w:val="left"/>
              <w:textAlignment w:val="center"/>
              <w:rPr>
                <w:rFonts w:hint="eastAsia" w:ascii="宋体" w:hAnsi="宋体"/>
                <w:color w:val="auto"/>
                <w:szCs w:val="21"/>
                <w:highlight w:val="none"/>
              </w:rPr>
            </w:pPr>
            <w:r>
              <w:rPr>
                <w:rFonts w:hint="eastAsia" w:ascii="宋体" w:hAnsi="宋体"/>
                <w:color w:val="auto"/>
                <w:szCs w:val="21"/>
                <w:highlight w:val="none"/>
              </w:rPr>
              <w:t>用户可以通过学段、年级、学科/专业、页数的筛选设置，实现AI一键备课；具备AI一键生成教学大纲的功能，教学大纲具备简洁、标准、丰富等不少于三种样式可选；课件内容支持内容AI重写，可实现对文字内容进行文案重写、丰富内容、精简内容、改写语气、文本翻译等，图片AI优化功能，支持图片AI优化，可实现AI重新生成图片、AI智能抠图、提取图片内文字内容等。</w:t>
            </w:r>
          </w:p>
          <w:p w14:paraId="5A7925C0">
            <w:pPr>
              <w:widowControl/>
              <w:numPr>
                <w:ilvl w:val="0"/>
                <w:numId w:val="192"/>
              </w:numPr>
              <w:jc w:val="left"/>
              <w:textAlignment w:val="center"/>
              <w:rPr>
                <w:rFonts w:hint="eastAsia" w:ascii="宋体" w:hAnsi="宋体"/>
                <w:color w:val="auto"/>
                <w:szCs w:val="21"/>
                <w:highlight w:val="none"/>
              </w:rPr>
            </w:pPr>
            <w:r>
              <w:rPr>
                <w:rFonts w:hint="eastAsia" w:ascii="宋体" w:hAnsi="宋体"/>
                <w:color w:val="auto"/>
                <w:szCs w:val="21"/>
                <w:highlight w:val="none"/>
              </w:rPr>
              <w:t>用户可以通过输入关键词筛选学科资源，也可以通过设置教育类型、学段、年级、学科、教材版本等信息条件筛选学科资源，可通过窗口化预览学科资源（图片、文档、视频）。</w:t>
            </w:r>
          </w:p>
          <w:p w14:paraId="74AA28B7">
            <w:pPr>
              <w:widowControl/>
              <w:numPr>
                <w:ilvl w:val="0"/>
                <w:numId w:val="192"/>
              </w:numPr>
              <w:jc w:val="left"/>
              <w:textAlignment w:val="center"/>
              <w:rPr>
                <w:rFonts w:hint="eastAsia" w:ascii="宋体" w:hAnsi="宋体"/>
                <w:color w:val="auto"/>
                <w:szCs w:val="21"/>
                <w:highlight w:val="none"/>
              </w:rPr>
            </w:pPr>
            <w:r>
              <w:rPr>
                <w:rFonts w:hint="eastAsia" w:ascii="宋体" w:hAnsi="宋体"/>
                <w:color w:val="auto"/>
                <w:szCs w:val="21"/>
                <w:highlight w:val="none"/>
              </w:rPr>
              <w:t>具备课程管理管理功能，可创建、修改课程信息，可设置课程日期、地点、开始时间、结束时间、重复周期，支持上传多种格式文档，文档格式包括txt、pdf、doc、docx、xls、xlsx、cvs、xml、ppt、pptx等，可通过日、周、月等不同时间维度查看课表信息。</w:t>
            </w:r>
          </w:p>
          <w:p w14:paraId="3EE8D8E3">
            <w:pPr>
              <w:widowControl/>
              <w:numPr>
                <w:ilvl w:val="0"/>
                <w:numId w:val="192"/>
              </w:numPr>
              <w:jc w:val="left"/>
              <w:textAlignment w:val="center"/>
              <w:rPr>
                <w:rFonts w:hint="eastAsia" w:ascii="宋体" w:hAnsi="宋体"/>
                <w:color w:val="auto"/>
                <w:szCs w:val="21"/>
                <w:highlight w:val="none"/>
              </w:rPr>
            </w:pPr>
            <w:r>
              <w:rPr>
                <w:rFonts w:hint="eastAsia" w:ascii="宋体" w:hAnsi="宋体"/>
                <w:color w:val="auto"/>
                <w:szCs w:val="21"/>
                <w:highlight w:val="none"/>
              </w:rPr>
              <w:t>具备个人教学管理功能，可对个人资源进行预览、下载、删除、编辑、修改、重命名等操作，可查看历史生成课件记录、历史浏览课件记录。</w:t>
            </w:r>
          </w:p>
          <w:p w14:paraId="05D53F3B">
            <w:pPr>
              <w:widowControl/>
              <w:numPr>
                <w:ilvl w:val="0"/>
                <w:numId w:val="192"/>
              </w:numPr>
              <w:jc w:val="left"/>
              <w:textAlignment w:val="center"/>
              <w:rPr>
                <w:rFonts w:hint="eastAsia" w:ascii="宋体" w:hAnsi="宋体"/>
                <w:color w:val="auto"/>
                <w:szCs w:val="21"/>
                <w:highlight w:val="none"/>
              </w:rPr>
            </w:pPr>
            <w:r>
              <w:rPr>
                <w:rFonts w:hint="eastAsia" w:ascii="宋体" w:hAnsi="宋体"/>
                <w:color w:val="auto"/>
                <w:szCs w:val="21"/>
                <w:highlight w:val="none"/>
              </w:rPr>
              <w:t>具备AI口语对练功能模块，支持跟读训练、场景对话、自由对话等≥3种口语对练方式。</w:t>
            </w:r>
          </w:p>
          <w:p w14:paraId="60E767D7">
            <w:pPr>
              <w:widowControl/>
              <w:numPr>
                <w:ilvl w:val="0"/>
                <w:numId w:val="192"/>
              </w:numPr>
              <w:jc w:val="left"/>
              <w:textAlignment w:val="center"/>
              <w:rPr>
                <w:rFonts w:hint="eastAsia" w:ascii="宋体" w:hAnsi="宋体"/>
                <w:color w:val="auto"/>
                <w:szCs w:val="21"/>
                <w:highlight w:val="none"/>
              </w:rPr>
            </w:pPr>
            <w:r>
              <w:rPr>
                <w:rFonts w:hint="eastAsia" w:ascii="宋体" w:hAnsi="宋体"/>
                <w:color w:val="auto"/>
                <w:szCs w:val="21"/>
                <w:highlight w:val="none"/>
              </w:rPr>
              <w:t>支持AI语音对话，支持语音资源检索，并可一键将获取的文本内容、图片、视频等资源插入白板，提高教学效率。</w:t>
            </w:r>
          </w:p>
          <w:p w14:paraId="28877FCB">
            <w:pPr>
              <w:widowControl/>
              <w:numPr>
                <w:ilvl w:val="0"/>
                <w:numId w:val="192"/>
              </w:numPr>
              <w:jc w:val="left"/>
              <w:textAlignment w:val="center"/>
              <w:rPr>
                <w:rFonts w:hint="eastAsia" w:ascii="宋体" w:hAnsi="宋体"/>
                <w:color w:val="auto"/>
                <w:szCs w:val="21"/>
                <w:highlight w:val="none"/>
              </w:rPr>
            </w:pPr>
            <w:r>
              <w:rPr>
                <w:rFonts w:hint="eastAsia" w:ascii="宋体" w:hAnsi="宋体"/>
                <w:color w:val="auto"/>
                <w:szCs w:val="21"/>
                <w:highlight w:val="none"/>
              </w:rPr>
              <w:t>AI语音对话具备大模型对话功能，最大支持50轮对话；具备查看历史对话的功能。</w:t>
            </w:r>
          </w:p>
          <w:p w14:paraId="713E5CAB">
            <w:pPr>
              <w:widowControl/>
              <w:numPr>
                <w:ilvl w:val="0"/>
                <w:numId w:val="192"/>
              </w:numPr>
              <w:jc w:val="left"/>
              <w:textAlignment w:val="center"/>
              <w:rPr>
                <w:rFonts w:hint="eastAsia" w:ascii="宋体" w:hAnsi="宋体"/>
                <w:color w:val="auto"/>
                <w:szCs w:val="21"/>
                <w:highlight w:val="none"/>
              </w:rPr>
            </w:pPr>
            <w:r>
              <w:rPr>
                <w:rFonts w:hint="eastAsia" w:ascii="宋体" w:hAnsi="宋体"/>
                <w:color w:val="auto"/>
                <w:szCs w:val="21"/>
                <w:highlight w:val="none"/>
              </w:rPr>
              <w:t>可通过手动唤醒和语音唤醒两种方式唤醒悬浮窗AI助教的功能，支持通过语音控制设备的控制，例如音量、亮度、信号源设置等，可通过语音一键进入备课界面、资源界面、课程设计界面、我的资源界面。</w:t>
            </w:r>
          </w:p>
          <w:p w14:paraId="007608BB">
            <w:pPr>
              <w:widowControl/>
              <w:numPr>
                <w:ilvl w:val="0"/>
                <w:numId w:val="192"/>
              </w:numPr>
              <w:jc w:val="left"/>
              <w:textAlignment w:val="center"/>
              <w:rPr>
                <w:rFonts w:hint="eastAsia" w:ascii="宋体" w:hAnsi="宋体"/>
                <w:color w:val="auto"/>
                <w:szCs w:val="21"/>
                <w:highlight w:val="none"/>
              </w:rPr>
            </w:pPr>
            <w:r>
              <w:rPr>
                <w:rFonts w:hint="eastAsia" w:ascii="宋体" w:hAnsi="宋体"/>
                <w:color w:val="auto"/>
                <w:szCs w:val="21"/>
                <w:highlight w:val="none"/>
              </w:rPr>
              <w:t>可在大屏端和电脑端实现教师空间功能，个人电脑端也支持账号密码登录、验证码登录、人脸登录、声纹登录等不少于四种登录方式，可通过教师空间一键启动AI教学管理、课堂评价、班里挑一、击鼓传花、自动点名、时钟、计算器、文件管理器等功能。</w:t>
            </w:r>
          </w:p>
        </w:tc>
        <w:tc>
          <w:tcPr>
            <w:tcW w:w="863" w:type="dxa"/>
            <w:gridSpan w:val="4"/>
            <w:vAlign w:val="center"/>
          </w:tcPr>
          <w:p w14:paraId="4B39A41B">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套</w:t>
            </w:r>
          </w:p>
        </w:tc>
        <w:tc>
          <w:tcPr>
            <w:tcW w:w="925" w:type="dxa"/>
            <w:gridSpan w:val="3"/>
            <w:vAlign w:val="center"/>
          </w:tcPr>
          <w:p w14:paraId="7D59862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10</w:t>
            </w:r>
          </w:p>
        </w:tc>
      </w:tr>
      <w:tr w14:paraId="6397CF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42657E50">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w:t>
            </w:r>
          </w:p>
        </w:tc>
        <w:tc>
          <w:tcPr>
            <w:tcW w:w="1227" w:type="dxa"/>
            <w:shd w:val="clear" w:color="auto" w:fill="FFFFFF"/>
            <w:vAlign w:val="center"/>
          </w:tcPr>
          <w:p w14:paraId="4AABA6CB">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展台</w:t>
            </w:r>
          </w:p>
        </w:tc>
        <w:tc>
          <w:tcPr>
            <w:tcW w:w="6167" w:type="dxa"/>
            <w:vAlign w:val="center"/>
          </w:tcPr>
          <w:p w14:paraId="362A8A85">
            <w:pPr>
              <w:widowControl/>
              <w:numPr>
                <w:ilvl w:val="0"/>
                <w:numId w:val="193"/>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整机采用高清摄像头设计，</w:t>
            </w:r>
            <w:r>
              <w:rPr>
                <w:rFonts w:hint="eastAsia" w:ascii="宋体" w:hAnsi="宋体"/>
                <w:color w:val="auto"/>
                <w:szCs w:val="21"/>
                <w:highlight w:val="none"/>
              </w:rPr>
              <w:t>≥</w:t>
            </w:r>
            <w:r>
              <w:rPr>
                <w:rFonts w:hint="eastAsia" w:ascii="宋体" w:hAnsi="宋体"/>
                <w:color w:val="auto"/>
                <w:kern w:val="0"/>
                <w:szCs w:val="21"/>
                <w:highlight w:val="none"/>
                <w:lang w:bidi="ar"/>
              </w:rPr>
              <w:t>1600万像素定焦镜头，解析度</w:t>
            </w:r>
            <w:r>
              <w:rPr>
                <w:rFonts w:hint="eastAsia" w:ascii="宋体" w:hAnsi="宋体"/>
                <w:color w:val="auto"/>
                <w:szCs w:val="21"/>
                <w:highlight w:val="none"/>
              </w:rPr>
              <w:t>≥</w:t>
            </w:r>
            <w:r>
              <w:rPr>
                <w:rFonts w:hint="eastAsia" w:ascii="宋体" w:hAnsi="宋体"/>
                <w:color w:val="auto"/>
                <w:kern w:val="0"/>
                <w:szCs w:val="21"/>
                <w:highlight w:val="none"/>
                <w:lang w:bidi="ar"/>
              </w:rPr>
              <w:t>1400TV线，使画面展示更加清晰。</w:t>
            </w:r>
          </w:p>
          <w:p w14:paraId="1910E2D1">
            <w:pPr>
              <w:widowControl/>
              <w:numPr>
                <w:ilvl w:val="0"/>
                <w:numId w:val="193"/>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光源补偿：LED五级光源补偿。</w:t>
            </w:r>
          </w:p>
          <w:p w14:paraId="37DA1EE1">
            <w:pPr>
              <w:widowControl/>
              <w:numPr>
                <w:ilvl w:val="0"/>
                <w:numId w:val="193"/>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支持六张图片及以上同屏对比，每张图片独立批注，不可跨区域批注，并可对单张图片进行旋转、全屏、缩放、删除等操作。</w:t>
            </w:r>
          </w:p>
          <w:p w14:paraId="45DF64FF">
            <w:pPr>
              <w:widowControl/>
              <w:numPr>
                <w:ilvl w:val="0"/>
                <w:numId w:val="193"/>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为增强文字显示对比度，具备AI拍照的功能，并可根据的实际使用需求开启或关闭。</w:t>
            </w:r>
          </w:p>
          <w:p w14:paraId="26325A83">
            <w:pPr>
              <w:widowControl/>
              <w:numPr>
                <w:ilvl w:val="0"/>
                <w:numId w:val="193"/>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可通过屏幕左下画面缩略图，在展示画面放大的情况下，快速移动到达画面任意位置，实现鸟瞰功能。</w:t>
            </w:r>
          </w:p>
          <w:p w14:paraId="74C71F31">
            <w:pPr>
              <w:widowControl/>
              <w:numPr>
                <w:ilvl w:val="0"/>
                <w:numId w:val="193"/>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支持多指长按屏幕实现漫游，手背擦除，两指捏合放大缩小等多种手势操作，方便使用。</w:t>
            </w:r>
          </w:p>
          <w:p w14:paraId="16047F35">
            <w:pPr>
              <w:widowControl/>
              <w:numPr>
                <w:ilvl w:val="0"/>
                <w:numId w:val="193"/>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需支持对展台性能进行检测，包含但不限于硬件连线连接情况与摄像头占用情况。</w:t>
            </w:r>
          </w:p>
        </w:tc>
        <w:tc>
          <w:tcPr>
            <w:tcW w:w="863" w:type="dxa"/>
            <w:gridSpan w:val="4"/>
            <w:vAlign w:val="center"/>
          </w:tcPr>
          <w:p w14:paraId="4590D704">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套</w:t>
            </w:r>
          </w:p>
        </w:tc>
        <w:tc>
          <w:tcPr>
            <w:tcW w:w="925" w:type="dxa"/>
            <w:gridSpan w:val="3"/>
            <w:vAlign w:val="center"/>
          </w:tcPr>
          <w:p w14:paraId="6095883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10</w:t>
            </w:r>
          </w:p>
        </w:tc>
      </w:tr>
      <w:tr w14:paraId="46F684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51FC239E">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3</w:t>
            </w:r>
          </w:p>
        </w:tc>
        <w:tc>
          <w:tcPr>
            <w:tcW w:w="1227" w:type="dxa"/>
            <w:shd w:val="clear" w:color="auto" w:fill="FFFFFF"/>
            <w:vAlign w:val="center"/>
          </w:tcPr>
          <w:p w14:paraId="50EF3AA4">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连接软件</w:t>
            </w:r>
          </w:p>
        </w:tc>
        <w:tc>
          <w:tcPr>
            <w:tcW w:w="6167" w:type="dxa"/>
            <w:vAlign w:val="center"/>
          </w:tcPr>
          <w:p w14:paraId="04A9820B">
            <w:pPr>
              <w:widowControl/>
              <w:jc w:val="left"/>
              <w:textAlignment w:val="center"/>
              <w:rPr>
                <w:rFonts w:hint="eastAsia" w:ascii="宋体" w:hAnsi="宋体"/>
                <w:color w:val="auto"/>
                <w:szCs w:val="21"/>
                <w:highlight w:val="none"/>
              </w:rPr>
            </w:pPr>
            <w:r>
              <w:rPr>
                <w:rFonts w:hint="eastAsia" w:ascii="宋体" w:hAnsi="宋体"/>
                <w:color w:val="auto"/>
                <w:szCs w:val="21"/>
                <w:highlight w:val="none"/>
              </w:rPr>
              <w:t>一、基础平台</w:t>
            </w:r>
          </w:p>
          <w:p w14:paraId="75EE9903">
            <w:pPr>
              <w:widowControl/>
              <w:numPr>
                <w:ilvl w:val="2"/>
                <w:numId w:val="194"/>
              </w:numPr>
              <w:jc w:val="left"/>
              <w:textAlignment w:val="center"/>
              <w:rPr>
                <w:rFonts w:hint="eastAsia" w:ascii="宋体" w:hAnsi="宋体"/>
                <w:color w:val="auto"/>
                <w:szCs w:val="21"/>
                <w:highlight w:val="none"/>
              </w:rPr>
            </w:pPr>
            <w:r>
              <w:rPr>
                <w:rFonts w:hint="eastAsia" w:ascii="宋体" w:hAnsi="宋体"/>
                <w:color w:val="auto"/>
                <w:szCs w:val="21"/>
                <w:highlight w:val="none"/>
              </w:rPr>
              <w:t>基础平台支持账号密码、扫码登录用户基础平台。</w:t>
            </w:r>
          </w:p>
          <w:p w14:paraId="5D71110F">
            <w:pPr>
              <w:widowControl/>
              <w:numPr>
                <w:ilvl w:val="2"/>
                <w:numId w:val="194"/>
              </w:numPr>
              <w:jc w:val="left"/>
              <w:textAlignment w:val="center"/>
              <w:rPr>
                <w:rFonts w:hint="eastAsia" w:ascii="宋体" w:hAnsi="宋体"/>
                <w:color w:val="auto"/>
                <w:szCs w:val="21"/>
                <w:highlight w:val="none"/>
              </w:rPr>
            </w:pPr>
            <w:r>
              <w:rPr>
                <w:rFonts w:hint="eastAsia" w:ascii="宋体" w:hAnsi="宋体"/>
                <w:color w:val="auto"/>
                <w:szCs w:val="21"/>
                <w:highlight w:val="none"/>
              </w:rPr>
              <w:t>权限应用，基础平台设置模块管理员，模块管理员设置使用人员，并为使用人员设置权限，使用人员只能使用授权部分的功能。</w:t>
            </w:r>
          </w:p>
          <w:p w14:paraId="55A847C9">
            <w:pPr>
              <w:widowControl/>
              <w:numPr>
                <w:ilvl w:val="2"/>
                <w:numId w:val="194"/>
              </w:numPr>
              <w:jc w:val="left"/>
              <w:textAlignment w:val="center"/>
              <w:rPr>
                <w:rFonts w:hint="eastAsia" w:ascii="宋体" w:hAnsi="宋体"/>
                <w:color w:val="auto"/>
                <w:szCs w:val="21"/>
                <w:highlight w:val="none"/>
              </w:rPr>
            </w:pPr>
            <w:r>
              <w:rPr>
                <w:rFonts w:hint="eastAsia" w:ascii="宋体" w:hAnsi="宋体"/>
                <w:color w:val="auto"/>
                <w:szCs w:val="21"/>
                <w:highlight w:val="none"/>
              </w:rPr>
              <w:t>支持移动端、PC网页同时操作，包含用户管理、单位管理、基础设置、应用管理、日志管理等。</w:t>
            </w:r>
          </w:p>
          <w:p w14:paraId="33D6D3F8">
            <w:pPr>
              <w:widowControl/>
              <w:jc w:val="left"/>
              <w:textAlignment w:val="center"/>
              <w:rPr>
                <w:rFonts w:hint="eastAsia" w:ascii="宋体" w:hAnsi="宋体"/>
                <w:color w:val="auto"/>
                <w:szCs w:val="21"/>
                <w:highlight w:val="none"/>
              </w:rPr>
            </w:pPr>
            <w:r>
              <w:rPr>
                <w:rFonts w:hint="eastAsia" w:ascii="宋体" w:hAnsi="宋体"/>
                <w:color w:val="auto"/>
                <w:szCs w:val="21"/>
                <w:highlight w:val="none"/>
              </w:rPr>
              <w:t>二、教师工作台</w:t>
            </w:r>
          </w:p>
          <w:p w14:paraId="538EA4CA">
            <w:pPr>
              <w:widowControl/>
              <w:numPr>
                <w:ilvl w:val="0"/>
                <w:numId w:val="195"/>
              </w:numPr>
              <w:jc w:val="left"/>
              <w:textAlignment w:val="center"/>
              <w:rPr>
                <w:rFonts w:hint="eastAsia" w:ascii="宋体" w:hAnsi="宋体"/>
                <w:color w:val="auto"/>
                <w:szCs w:val="21"/>
                <w:highlight w:val="none"/>
              </w:rPr>
            </w:pPr>
            <w:r>
              <w:rPr>
                <w:rFonts w:hint="eastAsia" w:ascii="宋体" w:hAnsi="宋体"/>
                <w:color w:val="auto"/>
                <w:szCs w:val="21"/>
                <w:highlight w:val="none"/>
              </w:rPr>
              <w:t>通过教师工作台客户端使用。</w:t>
            </w:r>
          </w:p>
          <w:p w14:paraId="2254AF1A">
            <w:pPr>
              <w:widowControl/>
              <w:numPr>
                <w:ilvl w:val="0"/>
                <w:numId w:val="195"/>
              </w:numPr>
              <w:jc w:val="left"/>
              <w:textAlignment w:val="center"/>
              <w:rPr>
                <w:rFonts w:hint="eastAsia" w:ascii="宋体" w:hAnsi="宋体"/>
                <w:color w:val="auto"/>
                <w:szCs w:val="21"/>
                <w:highlight w:val="none"/>
              </w:rPr>
            </w:pPr>
            <w:r>
              <w:rPr>
                <w:rFonts w:hint="eastAsia" w:ascii="宋体" w:hAnsi="宋体"/>
                <w:color w:val="auto"/>
                <w:szCs w:val="21"/>
                <w:highlight w:val="none"/>
              </w:rPr>
              <w:t xml:space="preserve">教师工作台客户端包含备课、授课、听评课、教研、阅卷、培训。 </w:t>
            </w:r>
          </w:p>
          <w:p w14:paraId="25CE4A7E">
            <w:pPr>
              <w:widowControl/>
              <w:numPr>
                <w:ilvl w:val="0"/>
                <w:numId w:val="195"/>
              </w:numPr>
              <w:jc w:val="left"/>
              <w:textAlignment w:val="center"/>
              <w:rPr>
                <w:rFonts w:hint="eastAsia" w:ascii="宋体" w:hAnsi="宋体"/>
                <w:color w:val="auto"/>
                <w:szCs w:val="21"/>
                <w:highlight w:val="none"/>
              </w:rPr>
            </w:pPr>
            <w:r>
              <w:rPr>
                <w:rFonts w:hint="eastAsia" w:ascii="宋体" w:hAnsi="宋体"/>
                <w:color w:val="auto"/>
                <w:szCs w:val="21"/>
                <w:highlight w:val="none"/>
              </w:rPr>
              <w:t>备课：包含备课、备课记录。依据教师工作台－教务教导－教务的分班和教师分工，自动生成备课目录。①备课支持点击未备课去备课；支持模拟授课；支持查看备课预览；支持编辑已备课内容；支持云端保存备课内容；支持教案预览；支持授课模拟；支持备课设置；支持编辑教学环节；支持删除教学环节；支持备课列表、资源列表、题库等线上资源的引用；支持本地资源上传PPT、文档、图片、视频、音频资源。②备课记录支持展示已备课列表；支持选择学期查看备课记录；支持引用备课；支持授课。</w:t>
            </w:r>
          </w:p>
          <w:p w14:paraId="760C99A3">
            <w:pPr>
              <w:widowControl/>
              <w:numPr>
                <w:ilvl w:val="0"/>
                <w:numId w:val="195"/>
              </w:numPr>
              <w:jc w:val="left"/>
              <w:textAlignment w:val="center"/>
              <w:rPr>
                <w:rFonts w:hint="eastAsia" w:ascii="宋体" w:hAnsi="宋体"/>
                <w:color w:val="auto"/>
                <w:szCs w:val="21"/>
                <w:highlight w:val="none"/>
              </w:rPr>
            </w:pPr>
            <w:r>
              <w:rPr>
                <w:rFonts w:hint="eastAsia" w:ascii="宋体" w:hAnsi="宋体"/>
                <w:color w:val="auto"/>
                <w:szCs w:val="21"/>
                <w:highlight w:val="none"/>
              </w:rPr>
              <w:t>授课：包含授课、授课记录。①授课支持点击授课、选择班级进入授课页面。授课页面包含资源、鼠标、画笔、板擦、撤销、应用、退出。授课资源支持大屏展示PPT、文档、图片、视频、音频等资源。鼠标支持点击鼠标播放功能。画笔支持选择颜色在大屏进行标记操作。板擦支持点击擦线对标记内容擦拭；支持点击清屏清空标记内容；支持点击撤销标记操作；支持点击恢复标记操作。撤销支持撤销之前操作。应用包含通用（包含设置、手机、展台、文本、计时、截图、框选、网络、听评码）、工具（包含考勤、点名）、学科（包含作图、计算器）。通用－设置支持查看/选择默认展台设置、绿板颜色设置；设置－手机支持教师在APP端输入码用手机控制大屏操作；设置－文本支持编辑文字内容；设置－计时支持开始计时/倒计时；支持重置计时；设置－截图支持对屏幕进行截图；设置－框选支持框选内容；设置－网络支持输入内容直接在网页版查询；设置－听评码支持在APP端扫码或输入听评码进行听评课。工具－考勤支持导入班级学生名单；支持显示班级人数。工具－点名支持抽取随机点名；支持评价。学科－作图支持线条、颜色等进行作图；学科－计算器支持使用计算器功能。②授课记录支持展示已授课列表；支持选择学期查看授课记录；支持教师直接授课。</w:t>
            </w:r>
          </w:p>
          <w:p w14:paraId="5C6F088F">
            <w:pPr>
              <w:widowControl/>
              <w:numPr>
                <w:ilvl w:val="0"/>
                <w:numId w:val="195"/>
              </w:numPr>
              <w:jc w:val="left"/>
              <w:textAlignment w:val="center"/>
              <w:rPr>
                <w:rFonts w:hint="eastAsia" w:ascii="宋体" w:hAnsi="宋体"/>
                <w:color w:val="auto"/>
                <w:szCs w:val="21"/>
                <w:highlight w:val="none"/>
              </w:rPr>
            </w:pPr>
            <w:r>
              <w:rPr>
                <w:rFonts w:hint="eastAsia" w:ascii="宋体" w:hAnsi="宋体"/>
                <w:color w:val="auto"/>
                <w:szCs w:val="21"/>
                <w:highlight w:val="none"/>
              </w:rPr>
              <w:t xml:space="preserve">听评课：包含听课、听课记录。①听课支持教师进入课堂听课；支持签到；支持查看教师备课素材和备课教案；支持添加课堂笔记；支持教师互动；支持教师对听课内容进行评价。②听课记录支持查看听课记录列表，包含序号、授课学校、授课班级、授课教师、授课标题、操作。 </w:t>
            </w:r>
          </w:p>
          <w:p w14:paraId="2AA84A04">
            <w:pPr>
              <w:widowControl/>
              <w:numPr>
                <w:ilvl w:val="0"/>
                <w:numId w:val="195"/>
              </w:numPr>
              <w:jc w:val="left"/>
              <w:textAlignment w:val="center"/>
              <w:rPr>
                <w:rFonts w:hint="eastAsia" w:ascii="宋体" w:hAnsi="宋体"/>
                <w:color w:val="auto"/>
                <w:szCs w:val="21"/>
                <w:highlight w:val="none"/>
              </w:rPr>
            </w:pPr>
            <w:r>
              <w:rPr>
                <w:rFonts w:hint="eastAsia" w:ascii="宋体" w:hAnsi="宋体"/>
                <w:color w:val="auto"/>
                <w:szCs w:val="21"/>
                <w:highlight w:val="none"/>
              </w:rPr>
              <w:t xml:space="preserve">教研：包含教研动态、优秀资源、优秀授课、优秀课例。教研动态支持学校工作台－教务教导－教研管理－教研文章发布的文章在教研动态展示。优秀资源支持查看推优的资源列表，列表包含序号、资源名称、学校、教师、日期。优秀授课支持查看优秀授课列表，列表包含序号、课题、学校、授课教师、日期。优秀课例支持查看优秀课例列表，列表包含序号、课题、学校、备课教师、日期。 </w:t>
            </w:r>
          </w:p>
          <w:p w14:paraId="152C3CCB">
            <w:pPr>
              <w:widowControl/>
              <w:numPr>
                <w:ilvl w:val="0"/>
                <w:numId w:val="195"/>
              </w:numPr>
              <w:jc w:val="left"/>
              <w:textAlignment w:val="center"/>
              <w:rPr>
                <w:rFonts w:hint="eastAsia" w:ascii="宋体" w:hAnsi="宋体"/>
                <w:color w:val="auto"/>
                <w:szCs w:val="21"/>
                <w:highlight w:val="none"/>
              </w:rPr>
            </w:pPr>
            <w:r>
              <w:rPr>
                <w:rFonts w:hint="eastAsia" w:ascii="宋体" w:hAnsi="宋体"/>
                <w:color w:val="auto"/>
                <w:szCs w:val="21"/>
                <w:highlight w:val="none"/>
              </w:rPr>
              <w:t xml:space="preserve">阅卷：支持展示教师工作台创建的考试项目列表；支持对考试项目进行评卷进度查询、评卷质量监控；支持教师阅卷；支持查看教师阅卷进度。 </w:t>
            </w:r>
          </w:p>
          <w:p w14:paraId="5D24FA35">
            <w:pPr>
              <w:widowControl/>
              <w:numPr>
                <w:ilvl w:val="0"/>
                <w:numId w:val="195"/>
              </w:numPr>
              <w:jc w:val="left"/>
              <w:textAlignment w:val="center"/>
              <w:rPr>
                <w:rFonts w:hint="eastAsia" w:ascii="宋体" w:hAnsi="宋体"/>
                <w:color w:val="auto"/>
                <w:szCs w:val="21"/>
                <w:highlight w:val="none"/>
              </w:rPr>
            </w:pPr>
            <w:r>
              <w:rPr>
                <w:rFonts w:hint="eastAsia" w:ascii="宋体" w:hAnsi="宋体"/>
                <w:color w:val="auto"/>
                <w:szCs w:val="21"/>
                <w:highlight w:val="none"/>
              </w:rPr>
              <w:t>培训：包含学习、继续教育。①学习包含未学习、已学习。未学习支持查看教师工作台－行政－学习管理发布的文章/视频列表。已学习支持查看已经完成学习的文章/视频列表；支持查看文章/视频详情。②继续教育自动获取教师工作台－个人－继续教育的数据，包含选课中心、学习记录。选课中心支持选择年度、科目查看课程。学习记录支持选择时间查询学习情况，包含序号、名称、开始学习时间、是否完成、累计学习时间、学时、操作。</w:t>
            </w:r>
          </w:p>
          <w:p w14:paraId="6E9FA183">
            <w:pPr>
              <w:widowControl/>
              <w:jc w:val="left"/>
              <w:textAlignment w:val="center"/>
              <w:rPr>
                <w:rFonts w:hint="eastAsia" w:ascii="宋体" w:hAnsi="宋体"/>
                <w:color w:val="auto"/>
                <w:szCs w:val="21"/>
                <w:highlight w:val="none"/>
              </w:rPr>
            </w:pPr>
            <w:r>
              <w:rPr>
                <w:rFonts w:hint="eastAsia" w:ascii="宋体" w:hAnsi="宋体"/>
                <w:color w:val="auto"/>
                <w:szCs w:val="21"/>
                <w:highlight w:val="none"/>
              </w:rPr>
              <w:t>三、教育活动管理平台</w:t>
            </w:r>
          </w:p>
          <w:p w14:paraId="7D040BC2">
            <w:pPr>
              <w:widowControl/>
              <w:numPr>
                <w:ilvl w:val="0"/>
                <w:numId w:val="196"/>
              </w:numPr>
              <w:jc w:val="left"/>
              <w:textAlignment w:val="center"/>
              <w:rPr>
                <w:rFonts w:hint="eastAsia" w:ascii="宋体" w:hAnsi="宋体"/>
                <w:color w:val="auto"/>
                <w:szCs w:val="21"/>
                <w:highlight w:val="none"/>
              </w:rPr>
            </w:pPr>
            <w:r>
              <w:rPr>
                <w:rFonts w:hint="eastAsia" w:ascii="宋体" w:hAnsi="宋体"/>
                <w:color w:val="auto"/>
                <w:szCs w:val="21"/>
                <w:highlight w:val="none"/>
              </w:rPr>
              <w:t>通过学校工作台使用该模块，支持移动端、PC网页同时操作，包含赛事管理、证书管理等。</w:t>
            </w:r>
          </w:p>
          <w:p w14:paraId="1F440458">
            <w:pPr>
              <w:widowControl/>
              <w:numPr>
                <w:ilvl w:val="0"/>
                <w:numId w:val="196"/>
              </w:numPr>
              <w:jc w:val="left"/>
              <w:textAlignment w:val="center"/>
              <w:rPr>
                <w:rFonts w:hint="eastAsia" w:ascii="宋体" w:hAnsi="宋体"/>
                <w:color w:val="auto"/>
                <w:szCs w:val="21"/>
                <w:highlight w:val="none"/>
              </w:rPr>
            </w:pPr>
            <w:r>
              <w:rPr>
                <w:rFonts w:hint="eastAsia" w:ascii="宋体" w:hAnsi="宋体"/>
                <w:color w:val="auto"/>
                <w:szCs w:val="21"/>
                <w:highlight w:val="none"/>
              </w:rPr>
              <w:t xml:space="preserve">赛事管理包含赛事列表、设置。①赛事列表：支持输入项目标题搜索相应赛事项目；支持查看赛事项目列表，列表包含序号、项目标题、发布单位、报名时间；支持点击作品列表查看上传信息，包含序号、用户名称、学校名称、参赛学段、学科、课题名称、上传作品、上传时间；支持推优和回退；支持查看作品详情；支持选择学段、学科、推优、输入关键字进行搜索；支持导出报名列表； ②设置：权限管理支持添加/删除权限用户；支持输入姓名搜索权限用户；支持勾选授权权限用户全部/部分功能。 </w:t>
            </w:r>
          </w:p>
          <w:p w14:paraId="0F6768FB">
            <w:pPr>
              <w:widowControl/>
              <w:numPr>
                <w:ilvl w:val="0"/>
                <w:numId w:val="196"/>
              </w:numPr>
              <w:jc w:val="left"/>
              <w:textAlignment w:val="center"/>
              <w:rPr>
                <w:rFonts w:hint="eastAsia" w:ascii="宋体" w:hAnsi="宋体"/>
                <w:color w:val="auto"/>
                <w:szCs w:val="21"/>
                <w:highlight w:val="none"/>
              </w:rPr>
            </w:pPr>
            <w:r>
              <w:rPr>
                <w:rFonts w:hint="eastAsia" w:ascii="宋体" w:hAnsi="宋体"/>
                <w:color w:val="auto"/>
                <w:szCs w:val="21"/>
                <w:highlight w:val="none"/>
              </w:rPr>
              <w:t>证书管理包含证书管理、证书发布、证书审核、模板制作和设置。 ①证书管理：包含办理中、审核中、已办结。办理中支持新建证书事项，支持查看证书列表，支持查看证书、编辑、排版生成、提交审核、删除等操作；审核中支持输入标题进行搜索，支持查看证书审核列表，包含标题、印证材料&amp;证书名单、制作情况等；已办结支持输入标题进行搜索，支持查看证书办结记录；支持查看证书；支持查看审核信息。 ②证书发布：包含未发布、已发布。未发布支持输入标题进行搜索，支持查看证书列表，支持查看证书、申请盖章、发布和退回等操作；已发布支持输入标题进行搜索，支持已发布的证书列表，支持查看证书、提交作废证书、查看审核信息等操作。 ③证书审核：包含待审核、已审核。待审核支持输入标题进行搜索，支持查看待审核的证书列表；已审核支持查看已审核的证书列表，支持查看证书和审核信息等操作。 ④模板制作：支持新建证书模板，支持证书背景设置，支持选择模板版式、模板类型、模板名称等维度进行搜索。⑤设置：权限管理支持添加/删除权限用户；支持输入姓名搜索权限用户；支持勾选授权权限用户全部/部分功能。</w:t>
            </w:r>
          </w:p>
          <w:p w14:paraId="0D3323D4">
            <w:pPr>
              <w:widowControl/>
              <w:jc w:val="left"/>
              <w:textAlignment w:val="center"/>
              <w:rPr>
                <w:rFonts w:hint="eastAsia" w:ascii="宋体" w:hAnsi="宋体"/>
                <w:color w:val="auto"/>
                <w:szCs w:val="21"/>
                <w:highlight w:val="none"/>
              </w:rPr>
            </w:pPr>
            <w:r>
              <w:rPr>
                <w:rFonts w:hint="eastAsia" w:ascii="宋体" w:hAnsi="宋体"/>
                <w:color w:val="auto"/>
                <w:szCs w:val="21"/>
                <w:highlight w:val="none"/>
              </w:rPr>
              <w:t>四、资产管理与报修</w:t>
            </w:r>
          </w:p>
          <w:p w14:paraId="7DF229CB">
            <w:pPr>
              <w:widowControl/>
              <w:numPr>
                <w:ilvl w:val="0"/>
                <w:numId w:val="197"/>
              </w:numPr>
              <w:jc w:val="left"/>
              <w:textAlignment w:val="center"/>
              <w:rPr>
                <w:rFonts w:hint="eastAsia" w:ascii="宋体" w:hAnsi="宋体"/>
                <w:color w:val="auto"/>
                <w:szCs w:val="21"/>
                <w:highlight w:val="none"/>
              </w:rPr>
            </w:pPr>
            <w:r>
              <w:rPr>
                <w:rFonts w:hint="eastAsia" w:ascii="宋体" w:hAnsi="宋体"/>
                <w:color w:val="auto"/>
                <w:szCs w:val="21"/>
                <w:highlight w:val="none"/>
              </w:rPr>
              <w:t>通过学校工作台使用该模块，支持移动端、PC网页同时操作，包含电教项目、电教经费、电教资产、电教维修等。</w:t>
            </w:r>
          </w:p>
          <w:p w14:paraId="4E3A5046">
            <w:pPr>
              <w:widowControl/>
              <w:numPr>
                <w:ilvl w:val="0"/>
                <w:numId w:val="197"/>
              </w:numPr>
              <w:jc w:val="left"/>
              <w:textAlignment w:val="center"/>
              <w:rPr>
                <w:rFonts w:hint="eastAsia" w:ascii="宋体" w:hAnsi="宋体"/>
                <w:color w:val="auto"/>
                <w:szCs w:val="21"/>
                <w:highlight w:val="none"/>
              </w:rPr>
            </w:pPr>
            <w:r>
              <w:rPr>
                <w:rFonts w:hint="eastAsia" w:ascii="宋体" w:hAnsi="宋体"/>
                <w:color w:val="auto"/>
                <w:szCs w:val="21"/>
                <w:highlight w:val="none"/>
              </w:rPr>
              <w:t>电教项目包含项目审核、项目管理、设置等。①项目审核：支持采购单位、采购类型、审核状态、项目名称筛选搜索；支持查看电教项目详情。②项目管理：支持审核状态、项目名称筛选搜索；支持新增项目，包含立项日期、项目名称、项目编号、项目预算、资金来源、自己文件；支持项目列表查看、包含项目名称、立项日期、项目编号、项目预算和审核状态；支持详情查看，包含合同上传、项目信息查询。③设置：审核人员、权限管理。审核设置支持审核级数设置，指定审核人；权限管理：支持添加/删除权限用户；支持输入姓名搜索权限用户；支持勾选授权权限用户全部/部分功能。</w:t>
            </w:r>
          </w:p>
          <w:p w14:paraId="2E266D44">
            <w:pPr>
              <w:widowControl/>
              <w:numPr>
                <w:ilvl w:val="0"/>
                <w:numId w:val="197"/>
              </w:numPr>
              <w:jc w:val="left"/>
              <w:textAlignment w:val="center"/>
              <w:rPr>
                <w:rFonts w:hint="eastAsia" w:ascii="宋体" w:hAnsi="宋体"/>
                <w:color w:val="auto"/>
                <w:szCs w:val="21"/>
                <w:highlight w:val="none"/>
              </w:rPr>
            </w:pPr>
            <w:r>
              <w:rPr>
                <w:rFonts w:hint="eastAsia" w:ascii="宋体" w:hAnsi="宋体"/>
                <w:color w:val="auto"/>
                <w:szCs w:val="21"/>
                <w:highlight w:val="none"/>
              </w:rPr>
              <w:t>电教经费包含审核管理、经费上报、报表、设置。 ①审核管理：支持查看审核管理列表，包含序号、标题、上报时间、经费类别、上报金额、剩余金额、上报人、审核状态。 ②经费上报：支持上报电教经费；支持输入标题/选择项目类别/选择上报时间搜索；支持查看经费上报列表，包含序号、标题、上报时间、经费类别、上报金额、剩余金额、审核状态、操作列；支持修改上报内容。 ③报表：支持选择年度搜索；支持查看经费合计、已上报合计、经费剩余数；支持查看经费报表列表，包含序号、经费类别、上报合计。④设置：包含审核人员、权限管理。审核人员支持设置每级审核人员；支持添加/删除审核层级；支持保存；权限管理支持添加/删除权限用户；支持输入姓名搜索权限用户；支持勾选授权权限用户全部/部分功能。</w:t>
            </w:r>
          </w:p>
          <w:p w14:paraId="133A8965">
            <w:pPr>
              <w:widowControl/>
              <w:numPr>
                <w:ilvl w:val="0"/>
                <w:numId w:val="197"/>
              </w:numPr>
              <w:jc w:val="left"/>
              <w:textAlignment w:val="center"/>
              <w:rPr>
                <w:rFonts w:hint="eastAsia" w:ascii="宋体" w:hAnsi="宋体"/>
                <w:color w:val="auto"/>
                <w:szCs w:val="21"/>
                <w:highlight w:val="none"/>
              </w:rPr>
            </w:pPr>
            <w:r>
              <w:rPr>
                <w:rFonts w:hint="eastAsia" w:ascii="宋体" w:hAnsi="宋体"/>
                <w:color w:val="auto"/>
                <w:szCs w:val="21"/>
                <w:highlight w:val="none"/>
              </w:rPr>
              <w:t>电教资产包含资产管理、资产登记、资产报废、审核管理、设置。①资产管理：支持查看资产总数、脱保总计数、在保总计数、资产总计数；支持查看资产管理列表，包含序号、资产类别、数量、在保数量、脱保数量、资产合计；支持点击数量查看资产详情。②资产登记：支持添加资产；支持删除资产。 ③资产报废：支持申请资产报废；支持选择申请日期/输入资产名称/选择审核状态搜索；支持查看资产报废列表，包含序号、资产名称、品牌型号、资产类别、申请日期、报废数量、供货商、备注、经手人、审核状态。④审核管理：支持查看资产审核列表；支持选择审核状态搜索。 ⑤设置：包含审核人员、权限管理。审核人员支持设置每级审核人员；支持添加/删除审核层级；支持保存；权限管理支持添加/删除权限用户；支持输入姓名搜索权限用户；支持勾选授权权限用户全部/部分功能。</w:t>
            </w:r>
          </w:p>
          <w:p w14:paraId="47B5AA4D">
            <w:pPr>
              <w:widowControl/>
              <w:numPr>
                <w:ilvl w:val="0"/>
                <w:numId w:val="197"/>
              </w:numPr>
              <w:jc w:val="left"/>
              <w:textAlignment w:val="center"/>
              <w:rPr>
                <w:rFonts w:hint="eastAsia" w:ascii="宋体" w:hAnsi="宋体"/>
                <w:color w:val="auto"/>
                <w:szCs w:val="21"/>
                <w:highlight w:val="none"/>
              </w:rPr>
            </w:pPr>
            <w:r>
              <w:rPr>
                <w:rFonts w:hint="eastAsia" w:ascii="宋体" w:hAnsi="宋体"/>
                <w:color w:val="auto"/>
                <w:szCs w:val="21"/>
                <w:highlight w:val="none"/>
              </w:rPr>
              <w:t>电教维修包含保修管理、项目管理、设置等。 ①报修管理：包含报修列表、图表统计、设置公章、人员设置、企业设置。报修列表支持时间筛选搜索；支持查看、打印、导出数据表格；支持查看报修详情、维修处理情况、查看详情、查看打印维修方案；图表统计支持时间筛选，总金额查询及年度金额图表展示；设置公章支持维修公章生成及保存上传；人员设置支持指定审核员；企业设置支持指定维修企业设置。②项目管理：项目列表支持项目添加及维修清单上传、查看、下载、打印功能；支持下载合同清单模板。③设置：权限管理支持添加/删除权限用户；支持输入姓名搜索权限用户；支持勾选授权权限用户全部/部分功能。</w:t>
            </w:r>
          </w:p>
          <w:p w14:paraId="1F53382C">
            <w:pPr>
              <w:widowControl/>
              <w:jc w:val="left"/>
              <w:textAlignment w:val="center"/>
              <w:rPr>
                <w:rFonts w:hint="eastAsia" w:ascii="宋体" w:hAnsi="宋体"/>
                <w:color w:val="auto"/>
                <w:szCs w:val="21"/>
                <w:highlight w:val="none"/>
              </w:rPr>
            </w:pPr>
            <w:r>
              <w:rPr>
                <w:rFonts w:hint="eastAsia" w:ascii="宋体" w:hAnsi="宋体"/>
                <w:color w:val="auto"/>
                <w:szCs w:val="21"/>
                <w:highlight w:val="none"/>
              </w:rPr>
              <w:t>五、校园安全</w:t>
            </w:r>
          </w:p>
          <w:p w14:paraId="569EAE8C">
            <w:pPr>
              <w:widowControl/>
              <w:numPr>
                <w:ilvl w:val="0"/>
                <w:numId w:val="198"/>
              </w:numPr>
              <w:jc w:val="left"/>
              <w:textAlignment w:val="center"/>
              <w:rPr>
                <w:rFonts w:hint="eastAsia" w:ascii="宋体" w:hAnsi="宋体"/>
                <w:color w:val="auto"/>
                <w:szCs w:val="21"/>
                <w:highlight w:val="none"/>
              </w:rPr>
            </w:pPr>
            <w:r>
              <w:rPr>
                <w:rFonts w:hint="eastAsia" w:ascii="宋体" w:hAnsi="宋体"/>
                <w:color w:val="auto"/>
                <w:szCs w:val="21"/>
                <w:highlight w:val="none"/>
              </w:rPr>
              <w:t>通过学校工作台使用该模块，支持移动端、PC网页同时操作，包含访客管理、双预防、安全台账、心理健康等。</w:t>
            </w:r>
          </w:p>
          <w:p w14:paraId="209B2467">
            <w:pPr>
              <w:widowControl/>
              <w:numPr>
                <w:ilvl w:val="0"/>
                <w:numId w:val="198"/>
              </w:numPr>
              <w:jc w:val="left"/>
              <w:textAlignment w:val="center"/>
              <w:rPr>
                <w:rFonts w:hint="eastAsia" w:ascii="宋体" w:hAnsi="宋体"/>
                <w:color w:val="auto"/>
                <w:szCs w:val="21"/>
                <w:highlight w:val="none"/>
              </w:rPr>
            </w:pPr>
            <w:r>
              <w:rPr>
                <w:rFonts w:hint="eastAsia" w:ascii="宋体" w:hAnsi="宋体"/>
                <w:color w:val="auto"/>
                <w:szCs w:val="21"/>
                <w:highlight w:val="none"/>
              </w:rPr>
              <w:t>访客管理包含访客设置、访客档案、访客黑名单、设置。①访客设置：支持来访者扫码登记信息，包含姓名、身份证号、联系电话等信息，支持二维码打印。②访客档案：展示来访登记信息列表，支持查询登记详情，支持按单位、日期、关键字筛选数据，支持数据导出与打印。③访客黑名单：支持添加黑名单，禁止登记；支持查看黑名单列表；支持按单位、关键字筛选数据；支持导出表格。④设置：权限管理支持添加/删除权限用户；支持输入姓名搜索权限用户；支持勾选授权权限用户全部/部分功能。</w:t>
            </w:r>
          </w:p>
          <w:p w14:paraId="7AD03A56">
            <w:pPr>
              <w:widowControl/>
              <w:numPr>
                <w:ilvl w:val="0"/>
                <w:numId w:val="198"/>
              </w:numPr>
              <w:jc w:val="left"/>
              <w:textAlignment w:val="center"/>
              <w:rPr>
                <w:rFonts w:hint="eastAsia" w:ascii="宋体" w:hAnsi="宋体"/>
                <w:color w:val="auto"/>
                <w:szCs w:val="21"/>
                <w:highlight w:val="none"/>
              </w:rPr>
            </w:pPr>
            <w:r>
              <w:rPr>
                <w:rFonts w:hint="eastAsia" w:ascii="宋体" w:hAnsi="宋体"/>
                <w:color w:val="auto"/>
                <w:szCs w:val="21"/>
                <w:highlight w:val="none"/>
              </w:rPr>
              <w:t>双预防包含双预防管理、双预防设置、设置。①双预防管理：包含添加隐患类别、隐患类别巡查、隐患类别上报、隐患记录、报表、数据大屏。添加隐患类别支持添加该类别的风险点，包含风险点名称、等级、巡查人和巡查时间；支持查看已添加的风险点；隐患类别巡查支持按时间展示隐患列表，包含序号、隐患类别、主管负责人、风险等级、巡查周期、巡查图片、巡查状态；支持打印；隐患类别上报支持按时间展示隐患上报列表，包含序、隐患类别、上报人、上报时间、上报内容、上报图片、上报状态、风险等级、巡查周期；隐患记录支持展示隐患排查整改情况工作台账，包含上周已整改、上周未整改和本周新增；支持导出表格；报表支持查看隐患巡查统计列表，包含隐患类别、今日、本周、本月的隐患点合计、已巡查、未巡查数量统计；支持点击数字查看巡查详情，包含学校名称、风险点、风险等级、排查计划、排查员、排查进度、排查图片；支持打印报表；数据大屏：支持查看双预防风险等级；支持以柱状图形式展示风险等级图；支持以饼状图形式展示每日、每周、每月的双预防数据，包含已巡查和未巡查数量、隐患点合计数量；支持展示设置的四色图；支持查看日常隐患数据，包含巡查人、隐患内容、时间。 ②双预防设置：包含设置安全专管和四色结构图。设置安全专管支持选择人员姓名设置安全专管；四色/结构图支持设置四色图和结构图展示到数据大屏。③设置：权限管理支持添加/删除pc和app权限用户；支持输入姓名搜索权限用户；支持勾选授权权限用户全部/部分功能。</w:t>
            </w:r>
          </w:p>
          <w:p w14:paraId="215AFAEB">
            <w:pPr>
              <w:widowControl/>
              <w:numPr>
                <w:ilvl w:val="0"/>
                <w:numId w:val="198"/>
              </w:numPr>
              <w:jc w:val="left"/>
              <w:textAlignment w:val="center"/>
              <w:rPr>
                <w:rFonts w:hint="eastAsia" w:ascii="宋体" w:hAnsi="宋体"/>
                <w:color w:val="auto"/>
                <w:szCs w:val="21"/>
                <w:highlight w:val="none"/>
              </w:rPr>
            </w:pPr>
            <w:r>
              <w:rPr>
                <w:rFonts w:hint="eastAsia" w:ascii="宋体" w:hAnsi="宋体"/>
                <w:color w:val="auto"/>
                <w:szCs w:val="21"/>
                <w:highlight w:val="none"/>
              </w:rPr>
              <w:t>安全台账包含安全台账上报、安全台账设置、设置。 ①安全台账上报：支持选择日期/输入标题搜索；支持查看上报列表，列表包含序号、日期、标题、发布人、状态、操作列；支持去上报/继续上报/查看操作；支持查看时下载。 ②安全台账设置：包含公章设置、台账。公章设置支持上传公章图片；支持删除已上传的公章图片。台账支持输入标题搜索相应内容；支持查看台账列表，列表包含序号、学校名称、学校负责人、主管负责人、监督人、整改人、验收人、操作列；支持去修改已设置人员。③设置：权限管理支持添加/删除权限用户；支持输入姓名搜索权限用户；支持勾选授权权限用户全部/部分功能。</w:t>
            </w:r>
          </w:p>
          <w:p w14:paraId="3A58BEA5">
            <w:pPr>
              <w:widowControl/>
              <w:numPr>
                <w:ilvl w:val="0"/>
                <w:numId w:val="198"/>
              </w:numPr>
              <w:jc w:val="left"/>
              <w:textAlignment w:val="center"/>
              <w:rPr>
                <w:rFonts w:hint="eastAsia" w:ascii="宋体" w:hAnsi="宋体"/>
                <w:color w:val="auto"/>
                <w:szCs w:val="21"/>
                <w:highlight w:val="none"/>
              </w:rPr>
            </w:pPr>
            <w:r>
              <w:rPr>
                <w:rFonts w:hint="eastAsia" w:ascii="宋体" w:hAnsi="宋体"/>
                <w:color w:val="auto"/>
                <w:szCs w:val="21"/>
                <w:highlight w:val="none"/>
              </w:rPr>
              <w:t>心理健康包含测评量表、量表任务、测评报告、测评档案、云测评、设置。①测评量表：支持添加量表，包含名称、标签、分析类型、整体分析、分数区间、状态及建议；支持量表分类、标签、名称筛选检索；支持查看量表名称、标签、分类、题目数量、量表总分发布状态等信息；支持查看量表发布、详情查看、内容编辑、删除量表操作。②量表任务：支持添加测评任务，包含名称、选择量表、测评类型；支持任务名称筛选检索；支持查看测评任务详情；支持线上任务发布、编辑、删除操作；支持线下任务发布、查看学生、统计成绩、编辑、删除操作。③测评报告：支持任务名称筛选检索；支持查看线上测评任务，包含测评信息、个体报告、团体报告；支持查看线下测评任务，包含测评信息、个体报告、团体报告；支持查看云测评详情、个体报告、团体报告。④测评档案：支持学段、年级、班级、学生姓名筛选检索；支持查看学生档案。⑤云测评：支持查看量表名称、介绍、创建时间、测评次数；支持查看详情，添加云测评任务，包含名称、测评人数、密码设置；支持任务名称筛选检索；支持云测评任务发布、导出测评账号、获取测评链接、个体报告、团体报告、删除操作。 ⑥设置：权限管理支持添加/删除权限用户；支持输入姓名搜索权限用户；支持勾选授权权限用户全部/部分功能。</w:t>
            </w:r>
          </w:p>
          <w:p w14:paraId="79969F66">
            <w:pPr>
              <w:widowControl/>
              <w:jc w:val="left"/>
              <w:textAlignment w:val="center"/>
              <w:rPr>
                <w:rFonts w:hint="eastAsia" w:ascii="宋体" w:hAnsi="宋体"/>
                <w:color w:val="auto"/>
                <w:szCs w:val="21"/>
                <w:highlight w:val="none"/>
              </w:rPr>
            </w:pPr>
            <w:r>
              <w:rPr>
                <w:rFonts w:hint="eastAsia" w:ascii="宋体" w:hAnsi="宋体"/>
                <w:color w:val="auto"/>
                <w:szCs w:val="21"/>
                <w:highlight w:val="none"/>
              </w:rPr>
              <w:t>六、党建</w:t>
            </w:r>
          </w:p>
          <w:p w14:paraId="226DF5A1">
            <w:pPr>
              <w:widowControl/>
              <w:numPr>
                <w:ilvl w:val="0"/>
                <w:numId w:val="199"/>
              </w:numPr>
              <w:jc w:val="left"/>
              <w:textAlignment w:val="center"/>
              <w:rPr>
                <w:rFonts w:hint="eastAsia" w:ascii="宋体" w:hAnsi="宋体"/>
                <w:color w:val="auto"/>
                <w:szCs w:val="21"/>
                <w:highlight w:val="none"/>
              </w:rPr>
            </w:pPr>
            <w:r>
              <w:rPr>
                <w:rFonts w:hint="eastAsia" w:ascii="宋体" w:hAnsi="宋体"/>
                <w:color w:val="auto"/>
                <w:szCs w:val="21"/>
                <w:highlight w:val="none"/>
              </w:rPr>
              <w:t>通过学校工作台使用该模块，支持移动端、PC网页同时操作，包含内容管理、党建课程、党建板报、党员管理、数据报表、党建中台。</w:t>
            </w:r>
          </w:p>
          <w:p w14:paraId="6F74F8C7">
            <w:pPr>
              <w:widowControl/>
              <w:numPr>
                <w:ilvl w:val="0"/>
                <w:numId w:val="199"/>
              </w:numPr>
              <w:jc w:val="left"/>
              <w:textAlignment w:val="center"/>
              <w:rPr>
                <w:rFonts w:hint="eastAsia" w:ascii="宋体" w:hAnsi="宋体"/>
                <w:color w:val="auto"/>
                <w:szCs w:val="21"/>
                <w:highlight w:val="none"/>
              </w:rPr>
            </w:pPr>
            <w:r>
              <w:rPr>
                <w:rFonts w:hint="eastAsia" w:ascii="宋体" w:hAnsi="宋体"/>
                <w:color w:val="auto"/>
                <w:szCs w:val="21"/>
                <w:highlight w:val="none"/>
              </w:rPr>
              <w:t>内容管理：①主题党日内容；支持查看内容列表，包含标题、备注、封面图地址、编辑、删除等操作；支持添加党日内容，包含标题、选择分类、封面图及备注；②指数看板内容；支持查看内容列表，包含标题、备注、类型、封面图地址及编辑操作；支持添加内容，包含标题、选择分类、封面图、描述③支部风采内容；可支持查看内容列表，包含标题、备注、封面图地址、编辑、删除等操作；</w:t>
            </w:r>
          </w:p>
          <w:p w14:paraId="7578DB95">
            <w:pPr>
              <w:widowControl/>
              <w:numPr>
                <w:ilvl w:val="0"/>
                <w:numId w:val="199"/>
              </w:numPr>
              <w:jc w:val="left"/>
              <w:textAlignment w:val="center"/>
              <w:rPr>
                <w:rFonts w:hint="eastAsia" w:ascii="宋体" w:hAnsi="宋体"/>
                <w:color w:val="auto"/>
                <w:szCs w:val="21"/>
                <w:highlight w:val="none"/>
              </w:rPr>
            </w:pPr>
            <w:r>
              <w:rPr>
                <w:rFonts w:hint="eastAsia" w:ascii="宋体" w:hAnsi="宋体"/>
                <w:color w:val="auto"/>
                <w:szCs w:val="21"/>
                <w:highlight w:val="none"/>
              </w:rPr>
              <w:t>党建课程：①课程列表：支持查看所有课程列表，支持选择分类、输入标题进行搜索，支持查看课程的标题、分类、学时、支持查看课程的详情，支持编辑，支持是否启用课程，支持删除课程；②课程资源；支持添加的课程会显示在课程资源内，支持查看资源列表，包含课程标题、课程描述、学习时长、文章类型；③课程添加；支持添加视频课程与文章课程，视频课程包含课程标题、选择分类、课程封面图、课程视频、课程描述、课程学时，文章课程包含课程标题、选择分类、课程封面图、课程描述、课程学时、学习时限、课程内容。</w:t>
            </w:r>
          </w:p>
          <w:p w14:paraId="388CD58C">
            <w:pPr>
              <w:widowControl/>
              <w:numPr>
                <w:ilvl w:val="0"/>
                <w:numId w:val="199"/>
              </w:numPr>
              <w:jc w:val="left"/>
              <w:textAlignment w:val="center"/>
              <w:rPr>
                <w:rFonts w:hint="eastAsia" w:ascii="宋体" w:hAnsi="宋体"/>
                <w:color w:val="auto"/>
                <w:szCs w:val="21"/>
                <w:highlight w:val="none"/>
              </w:rPr>
            </w:pPr>
            <w:r>
              <w:rPr>
                <w:rFonts w:hint="eastAsia" w:ascii="宋体" w:hAnsi="宋体"/>
                <w:color w:val="auto"/>
                <w:szCs w:val="21"/>
                <w:highlight w:val="none"/>
              </w:rPr>
              <w:t>党建板报：①党建板报；支持编辑板报的展示顺序以及删除板报②添加板报；支持添加板报标题、图片以及图片排序。</w:t>
            </w:r>
          </w:p>
          <w:p w14:paraId="0DE91D6D">
            <w:pPr>
              <w:widowControl/>
              <w:numPr>
                <w:ilvl w:val="0"/>
                <w:numId w:val="199"/>
              </w:numPr>
              <w:jc w:val="left"/>
              <w:textAlignment w:val="center"/>
              <w:rPr>
                <w:rFonts w:hint="eastAsia" w:ascii="宋体" w:hAnsi="宋体"/>
                <w:color w:val="auto"/>
                <w:szCs w:val="21"/>
                <w:highlight w:val="none"/>
              </w:rPr>
            </w:pPr>
            <w:r>
              <w:rPr>
                <w:rFonts w:hint="eastAsia" w:ascii="宋体" w:hAnsi="宋体"/>
                <w:color w:val="auto"/>
                <w:szCs w:val="21"/>
                <w:highlight w:val="none"/>
              </w:rPr>
              <w:t>党员管理：支持添加党员、上传头像。支持查看、编辑、删除党员信息。</w:t>
            </w:r>
          </w:p>
          <w:p w14:paraId="431A8F9A">
            <w:pPr>
              <w:widowControl/>
              <w:numPr>
                <w:ilvl w:val="0"/>
                <w:numId w:val="199"/>
              </w:numPr>
              <w:jc w:val="left"/>
              <w:textAlignment w:val="center"/>
              <w:rPr>
                <w:rFonts w:hint="eastAsia" w:ascii="宋体" w:hAnsi="宋体"/>
                <w:color w:val="auto"/>
                <w:szCs w:val="21"/>
                <w:highlight w:val="none"/>
              </w:rPr>
            </w:pPr>
            <w:r>
              <w:rPr>
                <w:rFonts w:hint="eastAsia" w:ascii="宋体" w:hAnsi="宋体"/>
                <w:color w:val="auto"/>
                <w:szCs w:val="21"/>
                <w:highlight w:val="none"/>
              </w:rPr>
              <w:t xml:space="preserve">数据报表：支持输入姓名、选择职务进行搜索，支持打印，支持导出表格，支持查看党员的学习列表，包含姓名、职位、学习总时长、已学课程数、上传心得总数。 </w:t>
            </w:r>
          </w:p>
          <w:p w14:paraId="6D03D8D7">
            <w:pPr>
              <w:widowControl/>
              <w:numPr>
                <w:ilvl w:val="0"/>
                <w:numId w:val="199"/>
              </w:numPr>
              <w:jc w:val="left"/>
              <w:textAlignment w:val="center"/>
              <w:rPr>
                <w:rFonts w:hint="eastAsia" w:ascii="宋体" w:hAnsi="宋体"/>
                <w:color w:val="auto"/>
                <w:szCs w:val="21"/>
                <w:highlight w:val="none"/>
              </w:rPr>
            </w:pPr>
            <w:r>
              <w:rPr>
                <w:rFonts w:hint="eastAsia" w:ascii="宋体" w:hAnsi="宋体"/>
                <w:color w:val="auto"/>
                <w:szCs w:val="21"/>
                <w:highlight w:val="none"/>
              </w:rPr>
              <w:t>党建中台：支持查看党建板报、党建课程、数据展示和支部信息。</w:t>
            </w:r>
          </w:p>
          <w:p w14:paraId="47A29E66">
            <w:pPr>
              <w:widowControl/>
              <w:numPr>
                <w:ilvl w:val="0"/>
                <w:numId w:val="199"/>
              </w:numPr>
              <w:jc w:val="left"/>
              <w:textAlignment w:val="center"/>
              <w:rPr>
                <w:rFonts w:hint="eastAsia" w:ascii="宋体" w:hAnsi="宋体"/>
                <w:color w:val="auto"/>
                <w:szCs w:val="21"/>
                <w:highlight w:val="none"/>
              </w:rPr>
            </w:pPr>
            <w:r>
              <w:rPr>
                <w:rFonts w:hint="eastAsia" w:ascii="宋体" w:hAnsi="宋体"/>
                <w:color w:val="auto"/>
                <w:szCs w:val="21"/>
                <w:highlight w:val="none"/>
              </w:rPr>
              <w:t>设置：①党建设置；进行设置支部信息、分类设置②权限管理：支持添加/删除权限用户；支持输入姓名搜索权限用户；支持勾选授权权限用户全部/部分功能。</w:t>
            </w:r>
          </w:p>
        </w:tc>
        <w:tc>
          <w:tcPr>
            <w:tcW w:w="863" w:type="dxa"/>
            <w:gridSpan w:val="4"/>
            <w:vAlign w:val="center"/>
          </w:tcPr>
          <w:p w14:paraId="44A39748">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套</w:t>
            </w:r>
          </w:p>
        </w:tc>
        <w:tc>
          <w:tcPr>
            <w:tcW w:w="925" w:type="dxa"/>
            <w:gridSpan w:val="3"/>
            <w:vAlign w:val="center"/>
          </w:tcPr>
          <w:p w14:paraId="52EF7208">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10</w:t>
            </w:r>
          </w:p>
        </w:tc>
      </w:tr>
      <w:tr w14:paraId="75ACBB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9931" w:type="dxa"/>
            <w:gridSpan w:val="10"/>
            <w:noWrap/>
            <w:vAlign w:val="center"/>
          </w:tcPr>
          <w:p w14:paraId="7A4CF700">
            <w:pPr>
              <w:widowControl/>
              <w:jc w:val="center"/>
              <w:textAlignment w:val="center"/>
              <w:rPr>
                <w:rFonts w:hint="eastAsia" w:ascii="宋体" w:hAnsi="宋体"/>
                <w:b/>
                <w:bCs/>
                <w:color w:val="auto"/>
                <w:szCs w:val="21"/>
                <w:highlight w:val="none"/>
              </w:rPr>
            </w:pPr>
            <w:r>
              <w:rPr>
                <w:rFonts w:ascii="Times New Roman" w:hAnsi="Times New Roman" w:cs="Times New Roman"/>
                <w:color w:val="auto"/>
                <w:highlight w:val="none"/>
              </w:rPr>
              <w:br w:type="page"/>
            </w:r>
            <w:r>
              <w:rPr>
                <w:rFonts w:hint="eastAsia" w:ascii="宋体" w:hAnsi="宋体"/>
                <w:b/>
                <w:bCs/>
                <w:color w:val="auto"/>
                <w:kern w:val="0"/>
                <w:szCs w:val="21"/>
                <w:highlight w:val="none"/>
                <w:lang w:bidi="ar"/>
              </w:rPr>
              <w:t>三、物理实验室1</w:t>
            </w:r>
          </w:p>
        </w:tc>
      </w:tr>
      <w:tr w14:paraId="7275FB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noWrap/>
            <w:vAlign w:val="center"/>
          </w:tcPr>
          <w:p w14:paraId="7EA20B1E">
            <w:pPr>
              <w:rPr>
                <w:rFonts w:hint="eastAsia" w:ascii="宋体" w:hAnsi="宋体"/>
                <w:b/>
                <w:bCs/>
                <w:color w:val="auto"/>
                <w:szCs w:val="21"/>
                <w:highlight w:val="none"/>
              </w:rPr>
            </w:pPr>
            <w:r>
              <w:rPr>
                <w:rFonts w:hint="eastAsia" w:ascii="宋体" w:hAnsi="宋体"/>
                <w:b/>
                <w:bCs/>
                <w:color w:val="auto"/>
                <w:szCs w:val="21"/>
                <w:highlight w:val="none"/>
              </w:rPr>
              <w:t>(一)</w:t>
            </w:r>
          </w:p>
        </w:tc>
        <w:tc>
          <w:tcPr>
            <w:tcW w:w="1227" w:type="dxa"/>
            <w:noWrap/>
            <w:vAlign w:val="center"/>
          </w:tcPr>
          <w:p w14:paraId="29917436">
            <w:pPr>
              <w:widowControl/>
              <w:jc w:val="center"/>
              <w:textAlignment w:val="center"/>
              <w:rPr>
                <w:rFonts w:hint="eastAsia" w:ascii="宋体" w:hAnsi="宋体"/>
                <w:b/>
                <w:bCs/>
                <w:color w:val="auto"/>
                <w:szCs w:val="21"/>
                <w:highlight w:val="none"/>
              </w:rPr>
            </w:pPr>
            <w:r>
              <w:rPr>
                <w:rFonts w:hint="eastAsia" w:ascii="宋体" w:hAnsi="宋体"/>
                <w:b/>
                <w:bCs/>
                <w:color w:val="auto"/>
                <w:kern w:val="0"/>
                <w:szCs w:val="21"/>
                <w:highlight w:val="none"/>
                <w:lang w:bidi="ar"/>
              </w:rPr>
              <w:t>物理力学实验室</w:t>
            </w:r>
          </w:p>
        </w:tc>
        <w:tc>
          <w:tcPr>
            <w:tcW w:w="6167" w:type="dxa"/>
            <w:noWrap/>
            <w:vAlign w:val="center"/>
          </w:tcPr>
          <w:p w14:paraId="4C240E43">
            <w:pPr>
              <w:widowControl/>
              <w:jc w:val="left"/>
              <w:textAlignment w:val="center"/>
              <w:rPr>
                <w:rFonts w:hint="eastAsia" w:ascii="宋体" w:hAnsi="宋体"/>
                <w:b/>
                <w:bCs/>
                <w:color w:val="auto"/>
                <w:szCs w:val="21"/>
                <w:highlight w:val="none"/>
              </w:rPr>
            </w:pPr>
            <w:r>
              <w:rPr>
                <w:rFonts w:hint="eastAsia" w:ascii="宋体" w:hAnsi="宋体"/>
                <w:b/>
                <w:bCs/>
                <w:color w:val="auto"/>
                <w:kern w:val="0"/>
                <w:szCs w:val="21"/>
                <w:highlight w:val="none"/>
                <w:lang w:bidi="ar"/>
              </w:rPr>
              <w:t>64座（每室设备配置标准详见以下具体配置）</w:t>
            </w:r>
          </w:p>
        </w:tc>
        <w:tc>
          <w:tcPr>
            <w:tcW w:w="863" w:type="dxa"/>
            <w:gridSpan w:val="4"/>
            <w:vAlign w:val="center"/>
          </w:tcPr>
          <w:p w14:paraId="1E440798">
            <w:pPr>
              <w:jc w:val="center"/>
              <w:rPr>
                <w:rFonts w:hint="eastAsia" w:ascii="宋体" w:hAnsi="宋体"/>
                <w:b/>
                <w:bCs/>
                <w:color w:val="auto"/>
                <w:szCs w:val="21"/>
                <w:highlight w:val="none"/>
              </w:rPr>
            </w:pPr>
          </w:p>
        </w:tc>
        <w:tc>
          <w:tcPr>
            <w:tcW w:w="925" w:type="dxa"/>
            <w:gridSpan w:val="3"/>
            <w:vAlign w:val="center"/>
          </w:tcPr>
          <w:p w14:paraId="32E4113C">
            <w:pPr>
              <w:jc w:val="center"/>
              <w:rPr>
                <w:rFonts w:hint="eastAsia" w:ascii="宋体" w:hAnsi="宋体"/>
                <w:color w:val="auto"/>
                <w:szCs w:val="21"/>
                <w:highlight w:val="none"/>
              </w:rPr>
            </w:pPr>
          </w:p>
        </w:tc>
      </w:tr>
      <w:tr w14:paraId="4499F4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333B22CB">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c>
          <w:tcPr>
            <w:tcW w:w="1227" w:type="dxa"/>
            <w:vAlign w:val="center"/>
          </w:tcPr>
          <w:p w14:paraId="7EB2A760">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教师演示台</w:t>
            </w:r>
          </w:p>
        </w:tc>
        <w:tc>
          <w:tcPr>
            <w:tcW w:w="6167" w:type="dxa"/>
            <w:vAlign w:val="center"/>
          </w:tcPr>
          <w:p w14:paraId="26CC01B7">
            <w:pPr>
              <w:widowControl/>
              <w:spacing w:line="276" w:lineRule="auto"/>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1、规格：≥2800mm×700mm×850mm</w:t>
            </w:r>
          </w:p>
          <w:p w14:paraId="7B6A9C6C">
            <w:pPr>
              <w:widowControl/>
              <w:spacing w:line="276" w:lineRule="auto"/>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2、台面：采用≥12.7mm厚实芯理化板倍边加工，四周边缘总厚度为≥25.4mm；台面易清洁、耐磨、耐腐蚀、耐辐射、耐高温、耐冲击；甲醛释放量达到E1级标准；</w:t>
            </w:r>
          </w:p>
          <w:p w14:paraId="43FFDE5C">
            <w:pPr>
              <w:widowControl/>
              <w:spacing w:line="276" w:lineRule="auto"/>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3、台体：喷塑铝合金框架结构，框架内镶嵌≥18mm 厚环保E1级浸渍胶膜纸饰面刨花板，立柱规格≥33mm*60 mmD型管，壁厚≥1.5 mm；横梁规格≥32mm*35mm*1.5 mm，卡锁式连接件组装；立柱下部镶嵌ABS地脚座，预埋铜质螺母，安装高强度可调地脚；要求组合严密、牢固、稳定；台体一侧设水箱，按上部抽屉下部板式门设计，抽屉和柜门的材质采用≥18mm厚环保E1级浸渍胶膜纸饰面刨花板，板截面采用≥1.5mm厚塑制封边条机械封边。</w:t>
            </w:r>
          </w:p>
          <w:p w14:paraId="4A024477">
            <w:pPr>
              <w:widowControl/>
              <w:spacing w:line="276" w:lineRule="auto"/>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4、五金件：抽屉导轨选用消声三节滑轨，合金钢板一次性成型，壁厚≥1.0mm；自卸门铰链，壁厚≥1.0mm，防腐，承重耐用；铝合金一字型扣手；配置铝合金置物架。</w:t>
            </w:r>
          </w:p>
        </w:tc>
        <w:tc>
          <w:tcPr>
            <w:tcW w:w="863" w:type="dxa"/>
            <w:gridSpan w:val="4"/>
            <w:vAlign w:val="center"/>
          </w:tcPr>
          <w:p w14:paraId="5409694A">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台</w:t>
            </w:r>
          </w:p>
        </w:tc>
        <w:tc>
          <w:tcPr>
            <w:tcW w:w="925" w:type="dxa"/>
            <w:gridSpan w:val="3"/>
            <w:vAlign w:val="center"/>
          </w:tcPr>
          <w:p w14:paraId="0819107B">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38E9C3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61563BC8">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w:t>
            </w:r>
          </w:p>
        </w:tc>
        <w:tc>
          <w:tcPr>
            <w:tcW w:w="1227" w:type="dxa"/>
            <w:vAlign w:val="center"/>
          </w:tcPr>
          <w:p w14:paraId="44404205">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教师办公椅</w:t>
            </w:r>
          </w:p>
        </w:tc>
        <w:tc>
          <w:tcPr>
            <w:tcW w:w="6167" w:type="dxa"/>
            <w:vAlign w:val="center"/>
          </w:tcPr>
          <w:p w14:paraId="703195E7">
            <w:pPr>
              <w:widowControl/>
              <w:spacing w:line="276" w:lineRule="auto"/>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工字型网布面料五金配件，美观大方。</w:t>
            </w:r>
          </w:p>
        </w:tc>
        <w:tc>
          <w:tcPr>
            <w:tcW w:w="863" w:type="dxa"/>
            <w:gridSpan w:val="4"/>
            <w:vAlign w:val="center"/>
          </w:tcPr>
          <w:p w14:paraId="3950A1D3">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把</w:t>
            </w:r>
          </w:p>
        </w:tc>
        <w:tc>
          <w:tcPr>
            <w:tcW w:w="925" w:type="dxa"/>
            <w:gridSpan w:val="3"/>
            <w:vAlign w:val="center"/>
          </w:tcPr>
          <w:p w14:paraId="655CEC7F">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4EBFCA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7B0FAFEC">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3</w:t>
            </w:r>
          </w:p>
        </w:tc>
        <w:tc>
          <w:tcPr>
            <w:tcW w:w="1227" w:type="dxa"/>
            <w:vAlign w:val="center"/>
          </w:tcPr>
          <w:p w14:paraId="23DCDEBB">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学生台</w:t>
            </w:r>
          </w:p>
        </w:tc>
        <w:tc>
          <w:tcPr>
            <w:tcW w:w="6167" w:type="dxa"/>
            <w:vAlign w:val="center"/>
          </w:tcPr>
          <w:p w14:paraId="6B597849">
            <w:pPr>
              <w:widowControl/>
              <w:spacing w:line="276" w:lineRule="auto"/>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1、规格：≥2300mm×1400mm×760mm（根据教室长度适当增加或减少台面长度）</w:t>
            </w:r>
          </w:p>
          <w:p w14:paraId="626865E1">
            <w:pPr>
              <w:widowControl/>
              <w:spacing w:line="276" w:lineRule="auto"/>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2、台面：采用≥12.7mm厚实芯理化板倍边加工，四周边缘总厚度≥25.4mm；台面易清洁、耐磨、耐腐蚀、耐辐射、耐高温、耐冲击；甲醛释放量达到E1级标准。</w:t>
            </w:r>
          </w:p>
          <w:p w14:paraId="5A194F2A">
            <w:pPr>
              <w:widowControl/>
              <w:spacing w:line="276" w:lineRule="auto"/>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3、台体：采用喷塑铝合金方管框架结构；立柱采用≥33mm*60mmD型管，壁厚≥1.5 mm，横梁采用≥32mm*35mm方管，壁厚≥1.5 mm，卡锁式连接件组装，立柱下部安装高强度可调节地脚，要求组合严密、牢固、稳定；框架内镶嵌≥16mm厚环保E1级浸渍胶膜纸饰面刨花板，要求组合严密、牢固、稳定；台体按八人座设计，上部书斗，两端设水箱柜，带门方便维修；材料选用≥18mm厚环保E1级浸渍胶膜纸饰面刨花板，板截面≥1.5mm厚塑制封边条机械封边，台面设置铝合金置物架。</w:t>
            </w:r>
          </w:p>
        </w:tc>
        <w:tc>
          <w:tcPr>
            <w:tcW w:w="863" w:type="dxa"/>
            <w:gridSpan w:val="4"/>
            <w:vAlign w:val="center"/>
          </w:tcPr>
          <w:p w14:paraId="17FEE3B7">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张</w:t>
            </w:r>
          </w:p>
        </w:tc>
        <w:tc>
          <w:tcPr>
            <w:tcW w:w="925" w:type="dxa"/>
            <w:gridSpan w:val="3"/>
            <w:vAlign w:val="center"/>
          </w:tcPr>
          <w:p w14:paraId="287294B6">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8</w:t>
            </w:r>
          </w:p>
        </w:tc>
      </w:tr>
      <w:tr w14:paraId="571186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2ECA8B85">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4</w:t>
            </w:r>
          </w:p>
        </w:tc>
        <w:tc>
          <w:tcPr>
            <w:tcW w:w="1227" w:type="dxa"/>
            <w:vAlign w:val="center"/>
          </w:tcPr>
          <w:p w14:paraId="2B57304E">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学生凳</w:t>
            </w:r>
          </w:p>
        </w:tc>
        <w:tc>
          <w:tcPr>
            <w:tcW w:w="6167" w:type="dxa"/>
            <w:vAlign w:val="center"/>
          </w:tcPr>
          <w:p w14:paraId="4AE4E2A6">
            <w:pPr>
              <w:widowControl/>
              <w:spacing w:line="276" w:lineRule="auto"/>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1、座高：≥450mm。</w:t>
            </w:r>
          </w:p>
          <w:p w14:paraId="49D7CAA1">
            <w:pPr>
              <w:widowControl/>
              <w:spacing w:line="276" w:lineRule="auto"/>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2、坐板：采用全新PP一次注塑成三角型，坐垫下自生加强筋及塑制背盖。</w:t>
            </w:r>
          </w:p>
          <w:p w14:paraId="76855189">
            <w:pPr>
              <w:widowControl/>
              <w:spacing w:line="276" w:lineRule="auto"/>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3、脚架：采用≥22mm*32mm*2.0mm枣弧管。经数控弯管机弯曲成型。</w:t>
            </w:r>
          </w:p>
          <w:p w14:paraId="7395E6CF">
            <w:pPr>
              <w:widowControl/>
              <w:spacing w:line="276" w:lineRule="auto"/>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4、钢管架焊接完成后，表面经大型抛丸机抛丸除锈。静电喷塑，附着力强。涂层需无漏喷、锈蚀；涂层需光滑均匀，色泽一致，长时间使用也不会产生表面漆剥落现象。</w:t>
            </w:r>
          </w:p>
          <w:p w14:paraId="58C47EB8">
            <w:pPr>
              <w:widowControl/>
              <w:spacing w:line="276" w:lineRule="auto"/>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5、脚垫：材质采用PA塑料。</w:t>
            </w:r>
          </w:p>
        </w:tc>
        <w:tc>
          <w:tcPr>
            <w:tcW w:w="863" w:type="dxa"/>
            <w:gridSpan w:val="4"/>
            <w:vAlign w:val="center"/>
          </w:tcPr>
          <w:p w14:paraId="053E4BDD">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把</w:t>
            </w:r>
          </w:p>
        </w:tc>
        <w:tc>
          <w:tcPr>
            <w:tcW w:w="925" w:type="dxa"/>
            <w:gridSpan w:val="3"/>
            <w:vAlign w:val="center"/>
          </w:tcPr>
          <w:p w14:paraId="41F109CB">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64</w:t>
            </w:r>
          </w:p>
        </w:tc>
      </w:tr>
      <w:tr w14:paraId="70614A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56633526">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5</w:t>
            </w:r>
          </w:p>
        </w:tc>
        <w:tc>
          <w:tcPr>
            <w:tcW w:w="1227" w:type="dxa"/>
            <w:vAlign w:val="center"/>
          </w:tcPr>
          <w:p w14:paraId="36FAC48D">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物理教师总控电源</w:t>
            </w:r>
          </w:p>
        </w:tc>
        <w:tc>
          <w:tcPr>
            <w:tcW w:w="6167" w:type="dxa"/>
            <w:vAlign w:val="center"/>
          </w:tcPr>
          <w:p w14:paraId="4D533594">
            <w:pPr>
              <w:widowControl/>
              <w:spacing w:line="276" w:lineRule="auto"/>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1、总控台设置电源总开关，内置指示灯显示；</w:t>
            </w:r>
          </w:p>
          <w:p w14:paraId="0C3B5F3D">
            <w:pPr>
              <w:widowControl/>
              <w:spacing w:line="276" w:lineRule="auto"/>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2、交流220V，采用多功能五孔10A带防护插座。</w:t>
            </w:r>
          </w:p>
          <w:p w14:paraId="5CC14CEC">
            <w:pPr>
              <w:widowControl/>
              <w:spacing w:line="276" w:lineRule="auto"/>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3、学生用交流220V分四路输出，分别用按钮开关操作，工作时由内置指示灯显示，每路设有过载短路保护；</w:t>
            </w:r>
          </w:p>
          <w:p w14:paraId="7EB0E88D">
            <w:pPr>
              <w:widowControl/>
              <w:spacing w:line="276" w:lineRule="auto"/>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4、教师用电源：</w:t>
            </w:r>
          </w:p>
          <w:p w14:paraId="63D65BDC">
            <w:pPr>
              <w:widowControl/>
              <w:spacing w:line="276" w:lineRule="auto"/>
              <w:ind w:firstLine="420" w:firstLineChars="200"/>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（1）交流输出电压2-30V连续可调或分档连续可调，（2-18V）额定输出电流≥8A、（18-30V）额定输出电流≥4A；</w:t>
            </w:r>
          </w:p>
          <w:p w14:paraId="318F03D4">
            <w:pPr>
              <w:widowControl/>
              <w:spacing w:line="276" w:lineRule="auto"/>
              <w:ind w:firstLine="420" w:firstLineChars="200"/>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（2）直流稳压输出1.5-30V连续可调或分档连续可调，（1.5-18V）的额定输出电流≥6A，（18-30V）额定输出电流≥3A；</w:t>
            </w:r>
          </w:p>
          <w:p w14:paraId="5692ADFC">
            <w:pPr>
              <w:widowControl/>
              <w:spacing w:line="276" w:lineRule="auto"/>
              <w:ind w:firstLine="420" w:firstLineChars="200"/>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（3）直流大电流短时输出40A，输出电流大于10A时20S±2S自动关断。</w:t>
            </w:r>
          </w:p>
          <w:p w14:paraId="542991CF">
            <w:pPr>
              <w:widowControl/>
              <w:spacing w:line="276" w:lineRule="auto"/>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5、交、直流根据使用电压高低进行步进或连续可调调整，并有电压表显示；显示电表精度不低于2.5级。</w:t>
            </w:r>
          </w:p>
          <w:p w14:paraId="59CB964D">
            <w:pPr>
              <w:widowControl/>
              <w:spacing w:line="276" w:lineRule="auto"/>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6、教师演示台电源总控制台配套提供8根（一端插、一端夹）专用电源线，红色、黑色各4根。</w:t>
            </w:r>
          </w:p>
          <w:p w14:paraId="7251FB96">
            <w:pPr>
              <w:widowControl/>
              <w:spacing w:line="276" w:lineRule="auto"/>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7、低压输出接线柱采用可插可旋两种接线方式，导电部分采用全铜（本色），旋帽应有防脱功能，旋转行程不小于6㎜。</w:t>
            </w:r>
          </w:p>
          <w:p w14:paraId="4E2D8DBF">
            <w:pPr>
              <w:widowControl/>
              <w:spacing w:line="276" w:lineRule="auto"/>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8、教师电源系统的性能应符合《 JY0374-2004》中的相关要求</w:t>
            </w:r>
          </w:p>
          <w:p w14:paraId="44A3B3B9">
            <w:pPr>
              <w:widowControl/>
              <w:spacing w:line="276" w:lineRule="auto"/>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9、主控电源箱体与控制抽屉均用金属材料制成，表面磷化喷塑防护。</w:t>
            </w:r>
          </w:p>
        </w:tc>
        <w:tc>
          <w:tcPr>
            <w:tcW w:w="863" w:type="dxa"/>
            <w:gridSpan w:val="4"/>
            <w:vAlign w:val="center"/>
          </w:tcPr>
          <w:p w14:paraId="5732AA28">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台</w:t>
            </w:r>
          </w:p>
        </w:tc>
        <w:tc>
          <w:tcPr>
            <w:tcW w:w="925" w:type="dxa"/>
            <w:gridSpan w:val="3"/>
            <w:vAlign w:val="center"/>
          </w:tcPr>
          <w:p w14:paraId="4DB6943A">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75A99B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5F7EF96D">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6</w:t>
            </w:r>
          </w:p>
        </w:tc>
        <w:tc>
          <w:tcPr>
            <w:tcW w:w="1227" w:type="dxa"/>
            <w:vAlign w:val="center"/>
          </w:tcPr>
          <w:p w14:paraId="2533C6E8">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实验电源</w:t>
            </w:r>
          </w:p>
        </w:tc>
        <w:tc>
          <w:tcPr>
            <w:tcW w:w="6167" w:type="dxa"/>
            <w:vAlign w:val="center"/>
          </w:tcPr>
          <w:p w14:paraId="4E6272DE">
            <w:pPr>
              <w:widowControl/>
              <w:spacing w:line="276" w:lineRule="auto"/>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1、采用防尘型弹压式设计，镶嵌在实验台面上；</w:t>
            </w:r>
            <w:r>
              <w:rPr>
                <w:rFonts w:hint="eastAsia" w:ascii="宋体" w:hAnsi="宋体"/>
                <w:color w:val="auto"/>
                <w:kern w:val="0"/>
                <w:szCs w:val="21"/>
                <w:highlight w:val="none"/>
                <w:lang w:bidi="ar"/>
              </w:rPr>
              <w:br w:type="textWrapping"/>
            </w:r>
            <w:r>
              <w:rPr>
                <w:rFonts w:hint="eastAsia" w:ascii="宋体" w:hAnsi="宋体"/>
                <w:color w:val="auto"/>
                <w:kern w:val="0"/>
                <w:szCs w:val="21"/>
                <w:highlight w:val="none"/>
                <w:lang w:bidi="ar"/>
              </w:rPr>
              <w:t>2、控制面板采用PVC覆膜膜触式，受控学生电源交流低压输出标称电压2V～18V额定电流≥3A、18V～24V额定电流≥1A；直流稳压输出1.5～16V额定电流≥2A，16～30V额定电流≥1A；交流220V/10A插座1个。</w:t>
            </w:r>
            <w:r>
              <w:rPr>
                <w:rFonts w:hint="eastAsia" w:ascii="宋体" w:hAnsi="宋体"/>
                <w:color w:val="auto"/>
                <w:kern w:val="0"/>
                <w:szCs w:val="21"/>
                <w:highlight w:val="none"/>
                <w:lang w:bidi="ar"/>
              </w:rPr>
              <w:br w:type="textWrapping"/>
            </w:r>
            <w:r>
              <w:rPr>
                <w:rFonts w:hint="eastAsia" w:ascii="宋体" w:hAnsi="宋体"/>
                <w:color w:val="auto"/>
                <w:kern w:val="0"/>
                <w:szCs w:val="21"/>
                <w:highlight w:val="none"/>
                <w:lang w:bidi="ar"/>
              </w:rPr>
              <w:t>3、设过载短路保护，手动复位，插针式接线输出</w:t>
            </w:r>
          </w:p>
        </w:tc>
        <w:tc>
          <w:tcPr>
            <w:tcW w:w="863" w:type="dxa"/>
            <w:gridSpan w:val="4"/>
            <w:vAlign w:val="center"/>
          </w:tcPr>
          <w:p w14:paraId="31DD9E84">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25" w:type="dxa"/>
            <w:gridSpan w:val="3"/>
            <w:vAlign w:val="center"/>
          </w:tcPr>
          <w:p w14:paraId="1E170F10">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32</w:t>
            </w:r>
          </w:p>
        </w:tc>
      </w:tr>
      <w:tr w14:paraId="53EDAA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06CDA9A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7</w:t>
            </w:r>
          </w:p>
        </w:tc>
        <w:tc>
          <w:tcPr>
            <w:tcW w:w="1227" w:type="dxa"/>
            <w:vAlign w:val="center"/>
          </w:tcPr>
          <w:p w14:paraId="1AF25E63">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配电系统安装</w:t>
            </w:r>
          </w:p>
        </w:tc>
        <w:tc>
          <w:tcPr>
            <w:tcW w:w="6167" w:type="dxa"/>
            <w:vAlign w:val="center"/>
          </w:tcPr>
          <w:p w14:paraId="5F1BB2F6">
            <w:pPr>
              <w:widowControl/>
              <w:spacing w:line="276" w:lineRule="auto"/>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地面结构层内敷设安装Ø20mmPVC阻燃塑料管(或根据现场的实际情况在地面上安装半圆型过线管)，主干电源线采用4 mm</w:t>
            </w:r>
            <w:r>
              <w:rPr>
                <w:rFonts w:hint="eastAsia" w:ascii="宋体" w:hAnsi="宋体"/>
                <w:color w:val="auto"/>
                <w:kern w:val="0"/>
                <w:szCs w:val="21"/>
                <w:highlight w:val="none"/>
                <w:vertAlign w:val="superscript"/>
                <w:lang w:bidi="ar"/>
              </w:rPr>
              <w:t>2</w:t>
            </w:r>
            <w:r>
              <w:rPr>
                <w:rFonts w:hint="eastAsia" w:ascii="宋体" w:hAnsi="宋体"/>
                <w:color w:val="auto"/>
                <w:kern w:val="0"/>
                <w:szCs w:val="21"/>
                <w:highlight w:val="none"/>
                <w:lang w:bidi="ar"/>
              </w:rPr>
              <w:t xml:space="preserve"> BV塑铜线，支干电源线采用2.5 mm</w:t>
            </w:r>
            <w:r>
              <w:rPr>
                <w:rFonts w:hint="eastAsia" w:ascii="宋体" w:hAnsi="宋体"/>
                <w:color w:val="auto"/>
                <w:kern w:val="0"/>
                <w:szCs w:val="21"/>
                <w:highlight w:val="none"/>
                <w:vertAlign w:val="superscript"/>
                <w:lang w:bidi="ar"/>
              </w:rPr>
              <w:t>2</w:t>
            </w:r>
            <w:r>
              <w:rPr>
                <w:rFonts w:hint="eastAsia" w:ascii="宋体" w:hAnsi="宋体"/>
                <w:color w:val="auto"/>
                <w:kern w:val="0"/>
                <w:szCs w:val="21"/>
                <w:highlight w:val="none"/>
                <w:lang w:bidi="ar"/>
              </w:rPr>
              <w:t>、1.5 mm</w:t>
            </w:r>
            <w:r>
              <w:rPr>
                <w:rFonts w:hint="eastAsia" w:ascii="宋体" w:hAnsi="宋体"/>
                <w:color w:val="auto"/>
                <w:kern w:val="0"/>
                <w:szCs w:val="21"/>
                <w:highlight w:val="none"/>
                <w:vertAlign w:val="superscript"/>
                <w:lang w:bidi="ar"/>
              </w:rPr>
              <w:t>2</w:t>
            </w:r>
            <w:r>
              <w:rPr>
                <w:rFonts w:hint="eastAsia" w:ascii="宋体" w:hAnsi="宋体"/>
                <w:color w:val="auto"/>
                <w:kern w:val="0"/>
                <w:szCs w:val="21"/>
                <w:highlight w:val="none"/>
                <w:lang w:bidi="ar"/>
              </w:rPr>
              <w:t xml:space="preserve"> BV塑铜线；支干电源线于插座电源线采用1.5 mm</w:t>
            </w:r>
            <w:r>
              <w:rPr>
                <w:rFonts w:hint="eastAsia" w:ascii="宋体" w:hAnsi="宋体"/>
                <w:color w:val="auto"/>
                <w:kern w:val="0"/>
                <w:szCs w:val="21"/>
                <w:highlight w:val="none"/>
                <w:vertAlign w:val="superscript"/>
                <w:lang w:bidi="ar"/>
              </w:rPr>
              <w:t>2</w:t>
            </w:r>
            <w:r>
              <w:rPr>
                <w:rFonts w:hint="eastAsia" w:ascii="宋体" w:hAnsi="宋体"/>
                <w:color w:val="auto"/>
                <w:kern w:val="0"/>
                <w:szCs w:val="21"/>
                <w:highlight w:val="none"/>
                <w:lang w:bidi="ar"/>
              </w:rPr>
              <w:t xml:space="preserve"> 多芯塑铜线，保证线路安全，安装符合现行国家专业规范。</w:t>
            </w:r>
          </w:p>
        </w:tc>
        <w:tc>
          <w:tcPr>
            <w:tcW w:w="863" w:type="dxa"/>
            <w:gridSpan w:val="4"/>
            <w:vAlign w:val="center"/>
          </w:tcPr>
          <w:p w14:paraId="44AD6DA5">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套</w:t>
            </w:r>
          </w:p>
        </w:tc>
        <w:tc>
          <w:tcPr>
            <w:tcW w:w="925" w:type="dxa"/>
            <w:gridSpan w:val="3"/>
            <w:vAlign w:val="center"/>
          </w:tcPr>
          <w:p w14:paraId="4C542A75">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6BC3A1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5FAC8B4B">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8</w:t>
            </w:r>
          </w:p>
        </w:tc>
        <w:tc>
          <w:tcPr>
            <w:tcW w:w="1227" w:type="dxa"/>
            <w:vAlign w:val="center"/>
          </w:tcPr>
          <w:p w14:paraId="7968A538">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环境布置</w:t>
            </w:r>
          </w:p>
        </w:tc>
        <w:tc>
          <w:tcPr>
            <w:tcW w:w="6167" w:type="dxa"/>
          </w:tcPr>
          <w:p w14:paraId="3E97418A">
            <w:pPr>
              <w:widowControl/>
              <w:spacing w:line="276" w:lineRule="auto"/>
              <w:jc w:val="left"/>
              <w:textAlignment w:val="top"/>
              <w:rPr>
                <w:rFonts w:hint="eastAsia" w:ascii="宋体" w:hAnsi="宋体"/>
                <w:color w:val="auto"/>
                <w:szCs w:val="21"/>
                <w:highlight w:val="none"/>
              </w:rPr>
            </w:pPr>
            <w:r>
              <w:rPr>
                <w:rFonts w:hint="eastAsia" w:ascii="宋体" w:hAnsi="宋体"/>
                <w:color w:val="auto"/>
                <w:kern w:val="0"/>
                <w:szCs w:val="21"/>
                <w:highlight w:val="none"/>
                <w:lang w:bidi="ar"/>
              </w:rPr>
              <w:t>需满足项目学校功能室基本环境需求：包含基础装修、垃圾清运、设备安装、货物搬运等</w:t>
            </w:r>
          </w:p>
        </w:tc>
        <w:tc>
          <w:tcPr>
            <w:tcW w:w="863" w:type="dxa"/>
            <w:gridSpan w:val="4"/>
            <w:vAlign w:val="center"/>
          </w:tcPr>
          <w:p w14:paraId="4BBA3010">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室</w:t>
            </w:r>
          </w:p>
        </w:tc>
        <w:tc>
          <w:tcPr>
            <w:tcW w:w="925" w:type="dxa"/>
            <w:gridSpan w:val="3"/>
            <w:vAlign w:val="center"/>
          </w:tcPr>
          <w:p w14:paraId="40D2A2FD">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3493F7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noWrap/>
            <w:vAlign w:val="center"/>
          </w:tcPr>
          <w:p w14:paraId="4B0BDA79">
            <w:pPr>
              <w:rPr>
                <w:rFonts w:hint="eastAsia" w:ascii="宋体" w:hAnsi="宋体"/>
                <w:b/>
                <w:bCs/>
                <w:color w:val="auto"/>
                <w:szCs w:val="21"/>
                <w:highlight w:val="none"/>
              </w:rPr>
            </w:pPr>
            <w:r>
              <w:rPr>
                <w:rFonts w:hint="eastAsia" w:ascii="宋体" w:hAnsi="宋体"/>
                <w:b/>
                <w:bCs/>
                <w:color w:val="auto"/>
                <w:szCs w:val="21"/>
                <w:highlight w:val="none"/>
              </w:rPr>
              <w:t>（二</w:t>
            </w:r>
            <w:r>
              <w:rPr>
                <w:rFonts w:ascii="宋体" w:hAnsi="宋体"/>
                <w:b/>
                <w:bCs/>
                <w:color w:val="auto"/>
                <w:szCs w:val="21"/>
                <w:highlight w:val="none"/>
              </w:rPr>
              <w:t>）</w:t>
            </w:r>
          </w:p>
        </w:tc>
        <w:tc>
          <w:tcPr>
            <w:tcW w:w="1227" w:type="dxa"/>
            <w:noWrap/>
            <w:vAlign w:val="center"/>
          </w:tcPr>
          <w:p w14:paraId="20C92F99">
            <w:pPr>
              <w:widowControl/>
              <w:jc w:val="center"/>
              <w:textAlignment w:val="center"/>
              <w:rPr>
                <w:rFonts w:hint="eastAsia" w:ascii="宋体" w:hAnsi="宋体"/>
                <w:b/>
                <w:bCs/>
                <w:color w:val="auto"/>
                <w:szCs w:val="21"/>
                <w:highlight w:val="none"/>
              </w:rPr>
            </w:pPr>
            <w:r>
              <w:rPr>
                <w:rFonts w:hint="eastAsia" w:ascii="宋体" w:hAnsi="宋体"/>
                <w:b/>
                <w:bCs/>
                <w:color w:val="auto"/>
                <w:kern w:val="0"/>
                <w:szCs w:val="21"/>
                <w:highlight w:val="none"/>
                <w:lang w:bidi="ar"/>
              </w:rPr>
              <w:t>物理准备室</w:t>
            </w:r>
          </w:p>
        </w:tc>
        <w:tc>
          <w:tcPr>
            <w:tcW w:w="6167" w:type="dxa"/>
            <w:noWrap/>
            <w:vAlign w:val="center"/>
          </w:tcPr>
          <w:p w14:paraId="6133B9AD">
            <w:pPr>
              <w:jc w:val="left"/>
              <w:rPr>
                <w:rFonts w:hint="eastAsia" w:ascii="宋体" w:hAnsi="宋体"/>
                <w:b/>
                <w:bCs/>
                <w:color w:val="auto"/>
                <w:szCs w:val="21"/>
                <w:highlight w:val="none"/>
              </w:rPr>
            </w:pPr>
          </w:p>
        </w:tc>
        <w:tc>
          <w:tcPr>
            <w:tcW w:w="863" w:type="dxa"/>
            <w:gridSpan w:val="4"/>
            <w:vAlign w:val="center"/>
          </w:tcPr>
          <w:p w14:paraId="18670B6D">
            <w:pPr>
              <w:jc w:val="center"/>
              <w:rPr>
                <w:rFonts w:hint="eastAsia" w:ascii="宋体" w:hAnsi="宋体"/>
                <w:b/>
                <w:bCs/>
                <w:color w:val="auto"/>
                <w:szCs w:val="21"/>
                <w:highlight w:val="none"/>
              </w:rPr>
            </w:pPr>
          </w:p>
        </w:tc>
        <w:tc>
          <w:tcPr>
            <w:tcW w:w="925" w:type="dxa"/>
            <w:gridSpan w:val="3"/>
            <w:vAlign w:val="center"/>
          </w:tcPr>
          <w:p w14:paraId="442E0573">
            <w:pPr>
              <w:jc w:val="center"/>
              <w:rPr>
                <w:rFonts w:hint="eastAsia" w:ascii="宋体" w:hAnsi="宋体"/>
                <w:color w:val="auto"/>
                <w:szCs w:val="21"/>
                <w:highlight w:val="none"/>
              </w:rPr>
            </w:pPr>
          </w:p>
        </w:tc>
      </w:tr>
      <w:tr w14:paraId="097178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2B7B709F">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c>
          <w:tcPr>
            <w:tcW w:w="1227" w:type="dxa"/>
            <w:vAlign w:val="center"/>
          </w:tcPr>
          <w:p w14:paraId="399C44E0">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准备台</w:t>
            </w:r>
          </w:p>
        </w:tc>
        <w:tc>
          <w:tcPr>
            <w:tcW w:w="6167" w:type="dxa"/>
            <w:vAlign w:val="center"/>
          </w:tcPr>
          <w:p w14:paraId="3B0B194C">
            <w:pPr>
              <w:widowControl/>
              <w:spacing w:line="276" w:lineRule="auto"/>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1、规格：≥2800mm×700mm×850mm</w:t>
            </w:r>
          </w:p>
          <w:p w14:paraId="33D63CDF">
            <w:pPr>
              <w:widowControl/>
              <w:spacing w:line="276" w:lineRule="auto"/>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2、台面：采用≥12.7mm厚实芯理化板倍边加工，四周边缘总厚度为≥25.4mm；台面易清洁、耐磨、耐腐蚀、耐辐射、耐高温、耐冲击；甲醛释放量达到E1级标准；</w:t>
            </w:r>
          </w:p>
          <w:p w14:paraId="3CE9FCB2">
            <w:pPr>
              <w:widowControl/>
              <w:spacing w:line="276" w:lineRule="auto"/>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3、台体：喷塑铝合金框架结构，框架内镶嵌≥18mm 厚环保E1级浸渍胶膜纸饰面刨花板，立柱规格≥33mm*60 mmD型管，壁厚≥1.5 mm；横梁规格≥32mm*35mm*1.5 mm，卡锁式连接件组装；立柱下部镶嵌ABS地脚座，预埋铜质螺母，安装高强度可调地脚；要求组合严密、牢固、稳定；台体一侧设水箱，按上部抽屉下部板式门设计，抽屉和柜门的材质采用≥18mm厚环保E1级浸渍胶膜纸饰面刨花板，板截面采用≥1.5mm厚塑制封边条机械封边。</w:t>
            </w:r>
          </w:p>
          <w:p w14:paraId="77900FA7">
            <w:pPr>
              <w:widowControl/>
              <w:spacing w:line="276" w:lineRule="auto"/>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4、五金件：抽屉导轨选用消声三节滑轨，合金钢板一次性成型，壁厚≥1.0mm；自卸门铰链，壁厚≥1.0mm，防腐，承重耐用；铝合金一字型扣手；配置铝合金置物架。</w:t>
            </w:r>
          </w:p>
        </w:tc>
        <w:tc>
          <w:tcPr>
            <w:tcW w:w="863" w:type="dxa"/>
            <w:gridSpan w:val="4"/>
            <w:vAlign w:val="center"/>
          </w:tcPr>
          <w:p w14:paraId="6CB57572">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台</w:t>
            </w:r>
          </w:p>
        </w:tc>
        <w:tc>
          <w:tcPr>
            <w:tcW w:w="925" w:type="dxa"/>
            <w:gridSpan w:val="3"/>
            <w:vAlign w:val="center"/>
          </w:tcPr>
          <w:p w14:paraId="08679951">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33287E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612838DD">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w:t>
            </w:r>
          </w:p>
        </w:tc>
        <w:tc>
          <w:tcPr>
            <w:tcW w:w="1227" w:type="dxa"/>
            <w:vAlign w:val="center"/>
          </w:tcPr>
          <w:p w14:paraId="5F1A4DE0">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仪器柜</w:t>
            </w:r>
          </w:p>
        </w:tc>
        <w:tc>
          <w:tcPr>
            <w:tcW w:w="6167" w:type="dxa"/>
            <w:vAlign w:val="center"/>
          </w:tcPr>
          <w:p w14:paraId="0F2A712E">
            <w:pPr>
              <w:widowControl/>
              <w:spacing w:line="276" w:lineRule="auto"/>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1、柜体尺寸（宽深高）≥1000 mm×500 mm×2000mm，铝木结构：</w:t>
            </w:r>
          </w:p>
          <w:p w14:paraId="6A44AD47">
            <w:pPr>
              <w:widowControl/>
              <w:spacing w:line="276" w:lineRule="auto"/>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2、柜体框架：采用模具成型的专用铝合金方管制作，通过ABS专用连接件组装而成，保证连接牢固。前立柱、前横梁外径为≥30mm×44mm（误差±1mm），后立柱、后横梁外径为≥44mm×44mm（误差±1mm），铝合金管材的壁厚≥1.5 mm（误差±0.15 mm）。铝合金型材带凹槽，凹槽的宽度与柜体衬板相匹配，凹槽的深度≥14mm（误差±0.15 mm），保证柜体衬板与铝型材之间接缝严密，无晃动现象，不发生脱落。铝合金型材表面经静电粉沫喷涂处理，整体耐腐蚀、防火、防潮、稳固耐用。柜体衬板：用厚度为≥16mm±0.3 mm、彩色和灰白色双面三聚氰胺板（即双饰面板）作为台体衬板，外漏截面采用1.5mm厚塑制优质封边条机械封边。</w:t>
            </w:r>
          </w:p>
          <w:p w14:paraId="67B86624">
            <w:pPr>
              <w:widowControl/>
              <w:spacing w:line="276" w:lineRule="auto"/>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3、柜门：上部为专用铝型材对开玻璃门，玻璃门边框规格为≥52mm*18mm*1.2mm，预留4mm螺丝孔，上下框规格为≥18mm*18mm*5mm，下部为对开木门。柜门采用优质定位铰链，*铰链下垫≥56mm*49mm*13mmABS胶垫并预留螺丝孔，铰链的壁厚≥1.5mm，安全、牢固、防腐、耐用。铝合金通体一字型扣手。</w:t>
            </w:r>
          </w:p>
          <w:p w14:paraId="28335BC1">
            <w:pPr>
              <w:widowControl/>
              <w:spacing w:line="276" w:lineRule="auto"/>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4、隔板：上柜设置2块活动隔板，下柜设置1块固定隔板。隔板所用的板材与柜体板材相同。隔板的长边采用铝合金山形槽包边，铝合金正面预留标签卡槽，表面进行喷塑处理。</w:t>
            </w:r>
          </w:p>
          <w:p w14:paraId="5553CB6F">
            <w:pPr>
              <w:widowControl/>
              <w:spacing w:line="276" w:lineRule="auto"/>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5、高度升降条：上部柜体内侧安装高度升降条（≥1.0 mm冷轧钢板制作），每侧2根，带12个活动支撑座（位置可调）。高度升降条和支撑座表面采用纯环氧树脂静电喷涂高温固化，具有较高耐蚀性能。</w:t>
            </w:r>
          </w:p>
          <w:p w14:paraId="0AB056BE">
            <w:pPr>
              <w:widowControl/>
              <w:spacing w:line="276" w:lineRule="auto"/>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6、支脚：采用直径≥12mm的镀锌螺杆与ABS工程塑料一次注塑成型的脚垫，高度可调节。</w:t>
            </w:r>
          </w:p>
        </w:tc>
        <w:tc>
          <w:tcPr>
            <w:tcW w:w="863" w:type="dxa"/>
            <w:gridSpan w:val="4"/>
            <w:vAlign w:val="center"/>
          </w:tcPr>
          <w:p w14:paraId="29FC5C57">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25" w:type="dxa"/>
            <w:gridSpan w:val="3"/>
            <w:vAlign w:val="center"/>
          </w:tcPr>
          <w:p w14:paraId="516F3A9D">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15</w:t>
            </w:r>
          </w:p>
        </w:tc>
      </w:tr>
      <w:tr w14:paraId="599017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337819C7">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3</w:t>
            </w:r>
          </w:p>
        </w:tc>
        <w:tc>
          <w:tcPr>
            <w:tcW w:w="1227" w:type="dxa"/>
            <w:vAlign w:val="center"/>
          </w:tcPr>
          <w:p w14:paraId="2181C076">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实验插座</w:t>
            </w:r>
          </w:p>
        </w:tc>
        <w:tc>
          <w:tcPr>
            <w:tcW w:w="6167" w:type="dxa"/>
            <w:vAlign w:val="center"/>
          </w:tcPr>
          <w:p w14:paraId="09C12831">
            <w:pPr>
              <w:widowControl/>
              <w:spacing w:line="276" w:lineRule="auto"/>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多用插座220V/2A要求带防尘盒。</w:t>
            </w:r>
          </w:p>
        </w:tc>
        <w:tc>
          <w:tcPr>
            <w:tcW w:w="863" w:type="dxa"/>
            <w:gridSpan w:val="4"/>
            <w:vAlign w:val="center"/>
          </w:tcPr>
          <w:p w14:paraId="522F918D">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套</w:t>
            </w:r>
          </w:p>
        </w:tc>
        <w:tc>
          <w:tcPr>
            <w:tcW w:w="925" w:type="dxa"/>
            <w:gridSpan w:val="3"/>
            <w:vAlign w:val="center"/>
          </w:tcPr>
          <w:p w14:paraId="05EFBF71">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4CD710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07D45F54">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4</w:t>
            </w:r>
          </w:p>
        </w:tc>
        <w:tc>
          <w:tcPr>
            <w:tcW w:w="1227" w:type="dxa"/>
            <w:vAlign w:val="center"/>
          </w:tcPr>
          <w:p w14:paraId="7959C32C">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室内配电管线</w:t>
            </w:r>
          </w:p>
        </w:tc>
        <w:tc>
          <w:tcPr>
            <w:tcW w:w="6167" w:type="dxa"/>
            <w:vAlign w:val="center"/>
          </w:tcPr>
          <w:p w14:paraId="03A16EE4">
            <w:pPr>
              <w:widowControl/>
              <w:spacing w:line="276" w:lineRule="auto"/>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铺设直径20mmPVC阻燃管，知名品牌电线，保证线路安全，安装符合现行国家电气施工规范。</w:t>
            </w:r>
          </w:p>
        </w:tc>
        <w:tc>
          <w:tcPr>
            <w:tcW w:w="863" w:type="dxa"/>
            <w:gridSpan w:val="4"/>
            <w:vAlign w:val="center"/>
          </w:tcPr>
          <w:p w14:paraId="6327D6B3">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套</w:t>
            </w:r>
          </w:p>
        </w:tc>
        <w:tc>
          <w:tcPr>
            <w:tcW w:w="925" w:type="dxa"/>
            <w:gridSpan w:val="3"/>
            <w:vAlign w:val="center"/>
          </w:tcPr>
          <w:p w14:paraId="0A6481DF">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23868D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71A5579C">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5</w:t>
            </w:r>
          </w:p>
        </w:tc>
        <w:tc>
          <w:tcPr>
            <w:tcW w:w="1227" w:type="dxa"/>
            <w:vAlign w:val="center"/>
          </w:tcPr>
          <w:p w14:paraId="6F1EF02F">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环境布置</w:t>
            </w:r>
          </w:p>
        </w:tc>
        <w:tc>
          <w:tcPr>
            <w:tcW w:w="6167" w:type="dxa"/>
          </w:tcPr>
          <w:p w14:paraId="10F1264D">
            <w:pPr>
              <w:widowControl/>
              <w:spacing w:line="276" w:lineRule="auto"/>
              <w:jc w:val="left"/>
              <w:textAlignment w:val="top"/>
              <w:rPr>
                <w:rFonts w:hint="eastAsia" w:ascii="宋体" w:hAnsi="宋体"/>
                <w:color w:val="auto"/>
                <w:szCs w:val="21"/>
                <w:highlight w:val="none"/>
              </w:rPr>
            </w:pPr>
            <w:r>
              <w:rPr>
                <w:rFonts w:hint="eastAsia" w:ascii="宋体" w:hAnsi="宋体"/>
                <w:color w:val="auto"/>
                <w:kern w:val="0"/>
                <w:szCs w:val="21"/>
                <w:highlight w:val="none"/>
                <w:lang w:bidi="ar"/>
              </w:rPr>
              <w:t>需满足项目学校功能室基本环境需求：包含基础装修、垃圾清运、设备安装、货物搬运等</w:t>
            </w:r>
          </w:p>
        </w:tc>
        <w:tc>
          <w:tcPr>
            <w:tcW w:w="863" w:type="dxa"/>
            <w:gridSpan w:val="4"/>
            <w:vAlign w:val="center"/>
          </w:tcPr>
          <w:p w14:paraId="0E5708C1">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室</w:t>
            </w:r>
          </w:p>
        </w:tc>
        <w:tc>
          <w:tcPr>
            <w:tcW w:w="925" w:type="dxa"/>
            <w:gridSpan w:val="3"/>
            <w:vAlign w:val="center"/>
          </w:tcPr>
          <w:p w14:paraId="3BF7911B">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62A8FF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noWrap/>
            <w:vAlign w:val="center"/>
          </w:tcPr>
          <w:p w14:paraId="7BE0058B">
            <w:pPr>
              <w:rPr>
                <w:rFonts w:hint="eastAsia" w:ascii="宋体" w:hAnsi="宋体"/>
                <w:b/>
                <w:bCs/>
                <w:color w:val="auto"/>
                <w:szCs w:val="21"/>
                <w:highlight w:val="none"/>
              </w:rPr>
            </w:pPr>
            <w:r>
              <w:rPr>
                <w:rFonts w:hint="eastAsia" w:ascii="宋体" w:hAnsi="宋体"/>
                <w:b/>
                <w:bCs/>
                <w:color w:val="auto"/>
                <w:szCs w:val="21"/>
                <w:highlight w:val="none"/>
              </w:rPr>
              <w:t>（三）</w:t>
            </w:r>
          </w:p>
        </w:tc>
        <w:tc>
          <w:tcPr>
            <w:tcW w:w="1227" w:type="dxa"/>
            <w:noWrap/>
            <w:vAlign w:val="center"/>
          </w:tcPr>
          <w:p w14:paraId="5C41A34D">
            <w:pPr>
              <w:widowControl/>
              <w:jc w:val="center"/>
              <w:textAlignment w:val="center"/>
              <w:rPr>
                <w:rFonts w:hint="eastAsia" w:ascii="宋体" w:hAnsi="宋体"/>
                <w:b/>
                <w:bCs/>
                <w:color w:val="auto"/>
                <w:szCs w:val="21"/>
                <w:highlight w:val="none"/>
              </w:rPr>
            </w:pPr>
            <w:r>
              <w:rPr>
                <w:rFonts w:hint="eastAsia" w:ascii="宋体" w:hAnsi="宋体"/>
                <w:b/>
                <w:bCs/>
                <w:color w:val="auto"/>
                <w:kern w:val="0"/>
                <w:szCs w:val="21"/>
                <w:highlight w:val="none"/>
                <w:lang w:bidi="ar"/>
              </w:rPr>
              <w:t>物理仪器</w:t>
            </w:r>
          </w:p>
        </w:tc>
        <w:tc>
          <w:tcPr>
            <w:tcW w:w="6167" w:type="dxa"/>
            <w:noWrap/>
            <w:vAlign w:val="center"/>
          </w:tcPr>
          <w:p w14:paraId="5D2299E9">
            <w:pPr>
              <w:jc w:val="left"/>
              <w:rPr>
                <w:rFonts w:hint="eastAsia" w:ascii="宋体" w:hAnsi="宋体"/>
                <w:b/>
                <w:bCs/>
                <w:color w:val="auto"/>
                <w:szCs w:val="21"/>
                <w:highlight w:val="none"/>
              </w:rPr>
            </w:pPr>
          </w:p>
        </w:tc>
        <w:tc>
          <w:tcPr>
            <w:tcW w:w="863" w:type="dxa"/>
            <w:gridSpan w:val="4"/>
            <w:vAlign w:val="center"/>
          </w:tcPr>
          <w:p w14:paraId="137770CA">
            <w:pPr>
              <w:jc w:val="center"/>
              <w:rPr>
                <w:rFonts w:hint="eastAsia" w:ascii="宋体" w:hAnsi="宋体"/>
                <w:b/>
                <w:bCs/>
                <w:color w:val="auto"/>
                <w:szCs w:val="21"/>
                <w:highlight w:val="none"/>
              </w:rPr>
            </w:pPr>
          </w:p>
        </w:tc>
        <w:tc>
          <w:tcPr>
            <w:tcW w:w="925" w:type="dxa"/>
            <w:gridSpan w:val="3"/>
            <w:vAlign w:val="center"/>
          </w:tcPr>
          <w:p w14:paraId="682EB37F">
            <w:pPr>
              <w:jc w:val="center"/>
              <w:rPr>
                <w:rFonts w:hint="eastAsia" w:ascii="宋体" w:hAnsi="宋体"/>
                <w:b/>
                <w:bCs/>
                <w:color w:val="auto"/>
                <w:szCs w:val="21"/>
                <w:highlight w:val="none"/>
              </w:rPr>
            </w:pPr>
          </w:p>
        </w:tc>
      </w:tr>
      <w:tr w14:paraId="369E37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08544A16">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c>
          <w:tcPr>
            <w:tcW w:w="1227" w:type="dxa"/>
            <w:vAlign w:val="center"/>
          </w:tcPr>
          <w:p w14:paraId="24AAE4B1">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物理计算机数据采集处理系统</w:t>
            </w:r>
          </w:p>
        </w:tc>
        <w:tc>
          <w:tcPr>
            <w:tcW w:w="6167" w:type="dxa"/>
            <w:vAlign w:val="center"/>
          </w:tcPr>
          <w:p w14:paraId="4B1424B4">
            <w:pPr>
              <w:widowControl/>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有计算机采集处理分析软件，图形数据采集分析仪，传感器，可配套专用实验仪器，详细配置如下：</w:t>
            </w:r>
          </w:p>
          <w:p w14:paraId="5ED0F564">
            <w:pPr>
              <w:widowControl/>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一、图形数据采集分析仪：</w:t>
            </w:r>
          </w:p>
          <w:p w14:paraId="1162DBAA">
            <w:pPr>
              <w:widowControl/>
              <w:numPr>
                <w:ilvl w:val="1"/>
                <w:numId w:val="200"/>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支持≥6通道TYPEC接口并行采集，单通道最高采样率≥200kHz；采集器模拟采样分辨率12-bits，数字采样分辨率≥0.1μs；</w:t>
            </w:r>
          </w:p>
          <w:p w14:paraId="1891D689">
            <w:pPr>
              <w:widowControl/>
              <w:numPr>
                <w:ilvl w:val="1"/>
                <w:numId w:val="200"/>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具备1路USB-A 2.0型接口，可以外接USB设备，也可以再接一个数据采集器之用，最多可以连接18路传感器同时实验；具备1路usb-A 3.0型接口，可以当普通usb接口使用，也可以传输高速数据；</w:t>
            </w:r>
          </w:p>
          <w:p w14:paraId="2DE00E14">
            <w:pPr>
              <w:widowControl/>
              <w:numPr>
                <w:ilvl w:val="1"/>
                <w:numId w:val="200"/>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具备一个micro接口，在分析仪耗尽储电时作为普通采集器使用；</w:t>
            </w:r>
          </w:p>
          <w:p w14:paraId="0788D39C">
            <w:pPr>
              <w:widowControl/>
              <w:numPr>
                <w:ilvl w:val="1"/>
                <w:numId w:val="200"/>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采用英特尔双核处理器，CPU主频≥1.44GHz，≥4GB DDR4内存，≥64GB SSD存储器；</w:t>
            </w:r>
          </w:p>
          <w:p w14:paraId="272ABFF2">
            <w:pPr>
              <w:widowControl/>
              <w:numPr>
                <w:ilvl w:val="1"/>
                <w:numId w:val="200"/>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屏幕≥10.1寸液晶屏，支持电容多点触控，预装Win10操作系统；</w:t>
            </w:r>
          </w:p>
          <w:p w14:paraId="2E126A33">
            <w:pPr>
              <w:widowControl/>
              <w:numPr>
                <w:ilvl w:val="1"/>
                <w:numId w:val="200"/>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具备≥1路HDMI接口，可以连接外部显示设备；</w:t>
            </w:r>
          </w:p>
          <w:p w14:paraId="138104B7">
            <w:pPr>
              <w:widowControl/>
              <w:numPr>
                <w:ilvl w:val="1"/>
                <w:numId w:val="200"/>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具备≥1个RJ45接口，可以连接有线网络，内置wifi，可以连接无线网络；</w:t>
            </w:r>
          </w:p>
          <w:p w14:paraId="579EA051">
            <w:pPr>
              <w:widowControl/>
              <w:numPr>
                <w:ilvl w:val="1"/>
                <w:numId w:val="200"/>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具备≥1个mini-sd卡槽，作为扩展存储之用；</w:t>
            </w:r>
          </w:p>
          <w:p w14:paraId="7B793A55">
            <w:pPr>
              <w:widowControl/>
              <w:numPr>
                <w:ilvl w:val="1"/>
                <w:numId w:val="200"/>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具备≥1个PJ-327型耳机插孔，，可以外接耳机，内置2路立体声扬声器；</w:t>
            </w:r>
          </w:p>
          <w:p w14:paraId="74BFD932">
            <w:pPr>
              <w:widowControl/>
              <w:numPr>
                <w:ilvl w:val="1"/>
                <w:numId w:val="200"/>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具备≥1个开机实体按键，≥2个音量控制按键，可以调整系统声音。</w:t>
            </w:r>
          </w:p>
          <w:p w14:paraId="7EFC38FD">
            <w:pPr>
              <w:widowControl/>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二、传感器：</w:t>
            </w:r>
          </w:p>
          <w:p w14:paraId="2D233C6B">
            <w:pPr>
              <w:widowControl/>
              <w:numPr>
                <w:ilvl w:val="0"/>
                <w:numId w:val="201"/>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力传感器（2只）：量程1：-20N～+20N 分辨率：≥0.01N；量程2：-100N～+100N，分辨率：≥0.1N；软件切换量程，接口为TYPEC接口，连接传感器无需辨认方向。</w:t>
            </w:r>
          </w:p>
          <w:p w14:paraId="3BD1AE1C">
            <w:pPr>
              <w:widowControl/>
              <w:numPr>
                <w:ilvl w:val="0"/>
                <w:numId w:val="201"/>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电流传感器：量程1：-0.2～0.2A，分辨率≥0.1mA；量程2：-1～1A，分辨率≥1mA；量程3：-5～5A，分辨率≥0.01A；软件切换量程，接口为TYPEC接口，连接传感器无需辨认方向。</w:t>
            </w:r>
          </w:p>
          <w:p w14:paraId="76114ED2">
            <w:pPr>
              <w:widowControl/>
              <w:numPr>
                <w:ilvl w:val="0"/>
                <w:numId w:val="201"/>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电压传感器：量程1：-1～1V，分辨率≥0.001V；量程2：-5～5V，分辨率≥0.01V；量程3：-10～10V，分辨率≥0.02V；量程4：-25～25V，分辨率≥0.05V；软件切换量程，接口为TYPEC接口，连接传感器无需辨认方向。</w:t>
            </w:r>
          </w:p>
          <w:p w14:paraId="1109C8A6">
            <w:pPr>
              <w:widowControl/>
              <w:numPr>
                <w:ilvl w:val="0"/>
                <w:numId w:val="201"/>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微电流传感器：量程1：-20μA～+20μA，分辨率:≥0.01μA；量程2：-100μA～+100μA/分辨率:≥0.1μA；量程3：-500μA～+500μA/分辨率:≥1μA；软件切换量程，接口为TYPEC接口，连接传感器无需辨认方向。</w:t>
            </w:r>
          </w:p>
          <w:p w14:paraId="3F63539C">
            <w:pPr>
              <w:widowControl/>
              <w:numPr>
                <w:ilvl w:val="0"/>
                <w:numId w:val="201"/>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磁感应强度传感器：量程1：-2mT～+2mT ；分辨率：≥0.001mT；量程2：-10mT～+10mT；分辨率：≥0.01mT； 量程3：-50mT～+50mT；分辨率：≥0.01mT；量程4：-100mT～+100mT；分辨率：≥0.1mT；软件切换量程，接口为TYPEC接口，连接传感器无需辨认方向。</w:t>
            </w:r>
          </w:p>
          <w:p w14:paraId="608B5033">
            <w:pPr>
              <w:widowControl/>
              <w:numPr>
                <w:ilvl w:val="0"/>
                <w:numId w:val="201"/>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气体压强传感器：量程： 0～700kPa，分辨率≥0.1kPa；接口为TYPEC接口，连接传感器无需辨认方向。</w:t>
            </w:r>
          </w:p>
          <w:p w14:paraId="5B90AE22">
            <w:pPr>
              <w:widowControl/>
              <w:numPr>
                <w:ilvl w:val="0"/>
                <w:numId w:val="201"/>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声音传感器：音频量程：20～20KHz的声音，分辨率:≥0.1 Hz；声强量程：30～140dB，分辨率：≥0.1dB；接口为TYPEC接口，连接传感器无需辨认方向。</w:t>
            </w:r>
          </w:p>
          <w:p w14:paraId="587546FC">
            <w:pPr>
              <w:widowControl/>
              <w:numPr>
                <w:ilvl w:val="0"/>
                <w:numId w:val="201"/>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温度传感器：量程：-80℃～+200℃；分辨率：≥0.1℃；接口为TYPEC接口，连接传感器无需辨认方向。</w:t>
            </w:r>
          </w:p>
          <w:p w14:paraId="26311C52">
            <w:pPr>
              <w:widowControl/>
              <w:numPr>
                <w:ilvl w:val="0"/>
                <w:numId w:val="201"/>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光电门传感器（2只）：≥分辨率1μS，支持多种工作模式：I、U型挡光；运动计时模式；单摆计时方式等，接口为TYPEC接口，连接传感器无需辨认方向。</w:t>
            </w:r>
          </w:p>
          <w:p w14:paraId="45184969">
            <w:pPr>
              <w:widowControl/>
              <w:numPr>
                <w:ilvl w:val="0"/>
                <w:numId w:val="201"/>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分体式位移传感器（发射与接收）：量程：0m～3m  分辨率：≥1mm；接口为TYPEC接口，连接传感器无需辨认方向。</w:t>
            </w:r>
          </w:p>
          <w:p w14:paraId="4FC50FE5">
            <w:pPr>
              <w:widowControl/>
              <w:numPr>
                <w:ilvl w:val="0"/>
                <w:numId w:val="201"/>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光照度传感器：量程1：0～600Lux，分辨率≥0.01Lux；量程2：0～1300Lux，分辨率≥0.02Lux；量程3：0～8000Lux，分辨率≥0.1Lux；量程4：0～16000Lux，分辨率≥0.2Lux；量程5：0～64000Lux，分辨率≥1Lux；软件切换量程，接口为TYPEC接口，连接传感器无需辨认方向。</w:t>
            </w:r>
          </w:p>
          <w:p w14:paraId="55FF9A5C">
            <w:pPr>
              <w:widowControl/>
              <w:numPr>
                <w:ilvl w:val="0"/>
                <w:numId w:val="201"/>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高强度铝合金箱：TF铝板冷压成型表面氧化，高强度铝合金型材框架，内部缓冲海绵传感器定位嵌槽装置，USB数据线1根，TYPEC传感器数据线6根，用户手册。</w:t>
            </w:r>
          </w:p>
        </w:tc>
        <w:tc>
          <w:tcPr>
            <w:tcW w:w="863" w:type="dxa"/>
            <w:gridSpan w:val="4"/>
            <w:vAlign w:val="center"/>
          </w:tcPr>
          <w:p w14:paraId="49D190EA">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台</w:t>
            </w:r>
          </w:p>
        </w:tc>
        <w:tc>
          <w:tcPr>
            <w:tcW w:w="925" w:type="dxa"/>
            <w:gridSpan w:val="3"/>
            <w:vAlign w:val="center"/>
          </w:tcPr>
          <w:p w14:paraId="07B14484">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30556B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6ED05225">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w:t>
            </w:r>
          </w:p>
        </w:tc>
        <w:tc>
          <w:tcPr>
            <w:tcW w:w="1227" w:type="dxa"/>
            <w:vAlign w:val="center"/>
          </w:tcPr>
          <w:p w14:paraId="48EC53FF">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工作服</w:t>
            </w:r>
          </w:p>
        </w:tc>
        <w:tc>
          <w:tcPr>
            <w:tcW w:w="6167" w:type="dxa"/>
            <w:vAlign w:val="center"/>
          </w:tcPr>
          <w:p w14:paraId="2D5F2F89">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棉</w:t>
            </w:r>
          </w:p>
        </w:tc>
        <w:tc>
          <w:tcPr>
            <w:tcW w:w="863" w:type="dxa"/>
            <w:gridSpan w:val="4"/>
            <w:vAlign w:val="center"/>
          </w:tcPr>
          <w:p w14:paraId="37AF62B4">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件</w:t>
            </w:r>
          </w:p>
        </w:tc>
        <w:tc>
          <w:tcPr>
            <w:tcW w:w="925" w:type="dxa"/>
            <w:gridSpan w:val="3"/>
            <w:vAlign w:val="center"/>
          </w:tcPr>
          <w:p w14:paraId="5E6A5540">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15</w:t>
            </w:r>
          </w:p>
        </w:tc>
      </w:tr>
      <w:tr w14:paraId="1B8E9A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5809822F">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3</w:t>
            </w:r>
          </w:p>
        </w:tc>
        <w:tc>
          <w:tcPr>
            <w:tcW w:w="1227" w:type="dxa"/>
            <w:vAlign w:val="center"/>
          </w:tcPr>
          <w:p w14:paraId="7FD434DD">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机械危害防护手套</w:t>
            </w:r>
          </w:p>
        </w:tc>
        <w:tc>
          <w:tcPr>
            <w:tcW w:w="6167" w:type="dxa"/>
            <w:vAlign w:val="center"/>
          </w:tcPr>
          <w:p w14:paraId="0AFD02CA">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≥3 级</w:t>
            </w:r>
          </w:p>
        </w:tc>
        <w:tc>
          <w:tcPr>
            <w:tcW w:w="863" w:type="dxa"/>
            <w:gridSpan w:val="4"/>
            <w:vAlign w:val="center"/>
          </w:tcPr>
          <w:p w14:paraId="2760C6A4">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双</w:t>
            </w:r>
          </w:p>
        </w:tc>
        <w:tc>
          <w:tcPr>
            <w:tcW w:w="925" w:type="dxa"/>
            <w:gridSpan w:val="3"/>
            <w:vAlign w:val="center"/>
          </w:tcPr>
          <w:p w14:paraId="46B15174">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15</w:t>
            </w:r>
          </w:p>
        </w:tc>
      </w:tr>
      <w:tr w14:paraId="179D8F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48D34F6D">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4</w:t>
            </w:r>
          </w:p>
        </w:tc>
        <w:tc>
          <w:tcPr>
            <w:tcW w:w="1227" w:type="dxa"/>
            <w:vAlign w:val="center"/>
          </w:tcPr>
          <w:p w14:paraId="6D9AF1B8">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套袖</w:t>
            </w:r>
          </w:p>
        </w:tc>
        <w:tc>
          <w:tcPr>
            <w:tcW w:w="6167" w:type="dxa"/>
            <w:vAlign w:val="center"/>
          </w:tcPr>
          <w:p w14:paraId="6C3819F9">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棉</w:t>
            </w:r>
          </w:p>
        </w:tc>
        <w:tc>
          <w:tcPr>
            <w:tcW w:w="863" w:type="dxa"/>
            <w:gridSpan w:val="4"/>
            <w:vAlign w:val="center"/>
          </w:tcPr>
          <w:p w14:paraId="3F4968A8">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套</w:t>
            </w:r>
          </w:p>
        </w:tc>
        <w:tc>
          <w:tcPr>
            <w:tcW w:w="925" w:type="dxa"/>
            <w:gridSpan w:val="3"/>
            <w:vAlign w:val="center"/>
          </w:tcPr>
          <w:p w14:paraId="7E40D0F7">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15</w:t>
            </w:r>
          </w:p>
        </w:tc>
      </w:tr>
      <w:tr w14:paraId="221B66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1286320E">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5</w:t>
            </w:r>
          </w:p>
        </w:tc>
        <w:tc>
          <w:tcPr>
            <w:tcW w:w="1227" w:type="dxa"/>
            <w:vAlign w:val="center"/>
          </w:tcPr>
          <w:p w14:paraId="413B0360">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激光防护镜</w:t>
            </w:r>
          </w:p>
        </w:tc>
        <w:tc>
          <w:tcPr>
            <w:tcW w:w="6167" w:type="dxa"/>
            <w:vAlign w:val="center"/>
          </w:tcPr>
          <w:p w14:paraId="0FFD4DDF">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激光类实验用</w:t>
            </w:r>
          </w:p>
        </w:tc>
        <w:tc>
          <w:tcPr>
            <w:tcW w:w="863" w:type="dxa"/>
            <w:gridSpan w:val="4"/>
            <w:vAlign w:val="center"/>
          </w:tcPr>
          <w:p w14:paraId="03A12F3E">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25" w:type="dxa"/>
            <w:gridSpan w:val="3"/>
            <w:vAlign w:val="center"/>
          </w:tcPr>
          <w:p w14:paraId="599E1F16">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15</w:t>
            </w:r>
          </w:p>
        </w:tc>
      </w:tr>
      <w:tr w14:paraId="1E1C08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1032A952">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6</w:t>
            </w:r>
          </w:p>
        </w:tc>
        <w:tc>
          <w:tcPr>
            <w:tcW w:w="1227" w:type="dxa"/>
            <w:vAlign w:val="center"/>
          </w:tcPr>
          <w:p w14:paraId="029676B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护目镜</w:t>
            </w:r>
          </w:p>
        </w:tc>
        <w:tc>
          <w:tcPr>
            <w:tcW w:w="6167" w:type="dxa"/>
            <w:vAlign w:val="center"/>
          </w:tcPr>
          <w:p w14:paraId="61555911">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防机械冲击</w:t>
            </w:r>
          </w:p>
        </w:tc>
        <w:tc>
          <w:tcPr>
            <w:tcW w:w="863" w:type="dxa"/>
            <w:gridSpan w:val="4"/>
            <w:vAlign w:val="center"/>
          </w:tcPr>
          <w:p w14:paraId="2246D46C">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25" w:type="dxa"/>
            <w:gridSpan w:val="3"/>
            <w:vAlign w:val="center"/>
          </w:tcPr>
          <w:p w14:paraId="124FE54A">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15</w:t>
            </w:r>
          </w:p>
        </w:tc>
      </w:tr>
      <w:tr w14:paraId="71894E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347533DA">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7</w:t>
            </w:r>
          </w:p>
        </w:tc>
        <w:tc>
          <w:tcPr>
            <w:tcW w:w="1227" w:type="dxa"/>
            <w:vAlign w:val="center"/>
          </w:tcPr>
          <w:p w14:paraId="0F52F94E">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简易急救箱</w:t>
            </w:r>
          </w:p>
        </w:tc>
        <w:tc>
          <w:tcPr>
            <w:tcW w:w="6167" w:type="dxa"/>
            <w:vAlign w:val="center"/>
          </w:tcPr>
          <w:p w14:paraId="7D32E745">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箱内包括：烧伤药膏，医用酒精，碘伏，创 可贴，胶布，绷带，卫生棉签，剪刀，镊子， 止血带（长度≥30 cm）等</w:t>
            </w:r>
          </w:p>
        </w:tc>
        <w:tc>
          <w:tcPr>
            <w:tcW w:w="863" w:type="dxa"/>
            <w:gridSpan w:val="4"/>
            <w:vAlign w:val="center"/>
          </w:tcPr>
          <w:p w14:paraId="24DF3C47">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25" w:type="dxa"/>
            <w:gridSpan w:val="3"/>
            <w:vAlign w:val="center"/>
          </w:tcPr>
          <w:p w14:paraId="23182D2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18063E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3B9BC89E">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8</w:t>
            </w:r>
          </w:p>
        </w:tc>
        <w:tc>
          <w:tcPr>
            <w:tcW w:w="1227" w:type="dxa"/>
            <w:vAlign w:val="center"/>
          </w:tcPr>
          <w:p w14:paraId="626C2EC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吹风机</w:t>
            </w:r>
          </w:p>
        </w:tc>
        <w:tc>
          <w:tcPr>
            <w:tcW w:w="6167" w:type="dxa"/>
            <w:vAlign w:val="center"/>
          </w:tcPr>
          <w:p w14:paraId="6B4BC99B">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功率≥1000 W</w:t>
            </w:r>
          </w:p>
        </w:tc>
        <w:tc>
          <w:tcPr>
            <w:tcW w:w="863" w:type="dxa"/>
            <w:gridSpan w:val="4"/>
            <w:vAlign w:val="center"/>
          </w:tcPr>
          <w:p w14:paraId="5582316C">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25" w:type="dxa"/>
            <w:gridSpan w:val="3"/>
            <w:vAlign w:val="center"/>
          </w:tcPr>
          <w:p w14:paraId="7EAEEEA5">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720018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428B5514">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9</w:t>
            </w:r>
          </w:p>
        </w:tc>
        <w:tc>
          <w:tcPr>
            <w:tcW w:w="1227" w:type="dxa"/>
            <w:vAlign w:val="center"/>
          </w:tcPr>
          <w:p w14:paraId="764BC438">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仪器车</w:t>
            </w:r>
          </w:p>
        </w:tc>
        <w:tc>
          <w:tcPr>
            <w:tcW w:w="6167" w:type="dxa"/>
            <w:vAlign w:val="center"/>
          </w:tcPr>
          <w:p w14:paraId="53B37E05">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≥600 mm×400 mm×800 mm，车轮≥</w:t>
            </w:r>
            <w:r>
              <w:rPr>
                <w:rFonts w:hint="eastAsia" w:ascii="宋体" w:hAnsi="宋体"/>
                <w:i/>
                <w:iCs/>
                <w:color w:val="auto"/>
                <w:kern w:val="0"/>
                <w:szCs w:val="21"/>
                <w:highlight w:val="none"/>
                <w:lang w:bidi="ar"/>
              </w:rPr>
              <w:t>Φ</w:t>
            </w:r>
            <w:r>
              <w:rPr>
                <w:rFonts w:hint="eastAsia" w:ascii="宋体" w:hAnsi="宋体"/>
                <w:color w:val="auto"/>
                <w:kern w:val="0"/>
                <w:szCs w:val="21"/>
                <w:highlight w:val="none"/>
                <w:lang w:bidi="ar"/>
              </w:rPr>
              <w:t>75 mm，厚≥25 mm；一轮带刹车，车轮固定，车架扭动量 （上部）≤20 mm；钢材制作，载重≥60 kg</w:t>
            </w:r>
          </w:p>
        </w:tc>
        <w:tc>
          <w:tcPr>
            <w:tcW w:w="863" w:type="dxa"/>
            <w:gridSpan w:val="4"/>
            <w:vAlign w:val="center"/>
          </w:tcPr>
          <w:p w14:paraId="27F67264">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辆</w:t>
            </w:r>
          </w:p>
        </w:tc>
        <w:tc>
          <w:tcPr>
            <w:tcW w:w="925" w:type="dxa"/>
            <w:gridSpan w:val="3"/>
            <w:vAlign w:val="center"/>
          </w:tcPr>
          <w:p w14:paraId="348F215F">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6214C5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08B6AC94">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10</w:t>
            </w:r>
          </w:p>
        </w:tc>
        <w:tc>
          <w:tcPr>
            <w:tcW w:w="1227" w:type="dxa"/>
            <w:vAlign w:val="center"/>
          </w:tcPr>
          <w:p w14:paraId="63075140">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小托盘</w:t>
            </w:r>
          </w:p>
        </w:tc>
        <w:tc>
          <w:tcPr>
            <w:tcW w:w="6167" w:type="dxa"/>
            <w:vAlign w:val="center"/>
          </w:tcPr>
          <w:p w14:paraId="2AC4F9E4">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≥200 mm×300 mm×60 mm</w:t>
            </w:r>
          </w:p>
        </w:tc>
        <w:tc>
          <w:tcPr>
            <w:tcW w:w="863" w:type="dxa"/>
            <w:gridSpan w:val="4"/>
            <w:vAlign w:val="center"/>
          </w:tcPr>
          <w:p w14:paraId="61B35A0C">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套</w:t>
            </w:r>
          </w:p>
        </w:tc>
        <w:tc>
          <w:tcPr>
            <w:tcW w:w="925" w:type="dxa"/>
            <w:gridSpan w:val="3"/>
            <w:vAlign w:val="center"/>
          </w:tcPr>
          <w:p w14:paraId="38925D5F">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3</w:t>
            </w:r>
          </w:p>
        </w:tc>
      </w:tr>
      <w:tr w14:paraId="26E2C2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51E0FE5F">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11</w:t>
            </w:r>
          </w:p>
        </w:tc>
        <w:tc>
          <w:tcPr>
            <w:tcW w:w="1227" w:type="dxa"/>
            <w:vAlign w:val="center"/>
          </w:tcPr>
          <w:p w14:paraId="3F8B6A96">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大托盘</w:t>
            </w:r>
          </w:p>
        </w:tc>
        <w:tc>
          <w:tcPr>
            <w:tcW w:w="6167" w:type="dxa"/>
            <w:vAlign w:val="center"/>
          </w:tcPr>
          <w:p w14:paraId="6284E1CB">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≥250 mm×400 mm×80 mm</w:t>
            </w:r>
          </w:p>
        </w:tc>
        <w:tc>
          <w:tcPr>
            <w:tcW w:w="863" w:type="dxa"/>
            <w:gridSpan w:val="4"/>
            <w:vAlign w:val="center"/>
          </w:tcPr>
          <w:p w14:paraId="1ED718C4">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套</w:t>
            </w:r>
          </w:p>
        </w:tc>
        <w:tc>
          <w:tcPr>
            <w:tcW w:w="925" w:type="dxa"/>
            <w:gridSpan w:val="3"/>
            <w:vAlign w:val="center"/>
          </w:tcPr>
          <w:p w14:paraId="3CDDDFE2">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3</w:t>
            </w:r>
          </w:p>
        </w:tc>
      </w:tr>
      <w:tr w14:paraId="7901A8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6444348C">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12</w:t>
            </w:r>
          </w:p>
        </w:tc>
        <w:tc>
          <w:tcPr>
            <w:tcW w:w="1227" w:type="dxa"/>
            <w:vAlign w:val="center"/>
          </w:tcPr>
          <w:p w14:paraId="27A0CA62">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提盒</w:t>
            </w:r>
          </w:p>
        </w:tc>
        <w:tc>
          <w:tcPr>
            <w:tcW w:w="6167" w:type="dxa"/>
            <w:vAlign w:val="center"/>
          </w:tcPr>
          <w:p w14:paraId="5E80DE2D">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承重大于3kg</w:t>
            </w:r>
          </w:p>
        </w:tc>
        <w:tc>
          <w:tcPr>
            <w:tcW w:w="863" w:type="dxa"/>
            <w:gridSpan w:val="4"/>
            <w:vAlign w:val="center"/>
          </w:tcPr>
          <w:p w14:paraId="10D8569E">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25" w:type="dxa"/>
            <w:gridSpan w:val="3"/>
            <w:vAlign w:val="center"/>
          </w:tcPr>
          <w:p w14:paraId="567F9EF3">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3</w:t>
            </w:r>
          </w:p>
        </w:tc>
      </w:tr>
      <w:tr w14:paraId="7CC0B1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4FBA14A4">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13</w:t>
            </w:r>
          </w:p>
        </w:tc>
        <w:tc>
          <w:tcPr>
            <w:tcW w:w="1227" w:type="dxa"/>
            <w:vAlign w:val="center"/>
          </w:tcPr>
          <w:p w14:paraId="30B6A654">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一字螺丝刀</w:t>
            </w:r>
          </w:p>
        </w:tc>
        <w:tc>
          <w:tcPr>
            <w:tcW w:w="6167" w:type="dxa"/>
            <w:vMerge w:val="restart"/>
            <w:vAlign w:val="center"/>
          </w:tcPr>
          <w:p w14:paraId="6A17BAAE">
            <w:pPr>
              <w:widowControl/>
              <w:jc w:val="left"/>
              <w:textAlignment w:val="center"/>
              <w:rPr>
                <w:rFonts w:hint="eastAsia" w:ascii="宋体" w:hAnsi="宋体"/>
                <w:i/>
                <w:iCs/>
                <w:color w:val="auto"/>
                <w:szCs w:val="21"/>
                <w:highlight w:val="none"/>
              </w:rPr>
            </w:pPr>
            <w:r>
              <w:rPr>
                <w:rFonts w:hint="eastAsia" w:ascii="宋体" w:hAnsi="宋体"/>
                <w:color w:val="auto"/>
                <w:kern w:val="0"/>
                <w:szCs w:val="21"/>
                <w:highlight w:val="none"/>
                <w:lang w:bidi="ar"/>
              </w:rPr>
              <w:t>≥</w:t>
            </w:r>
            <w:r>
              <w:rPr>
                <w:rFonts w:hint="eastAsia" w:ascii="宋体" w:hAnsi="宋体"/>
                <w:i/>
                <w:iCs/>
                <w:color w:val="auto"/>
                <w:kern w:val="0"/>
                <w:szCs w:val="21"/>
                <w:highlight w:val="none"/>
                <w:lang w:bidi="ar"/>
              </w:rPr>
              <w:t>Φ</w:t>
            </w:r>
            <w:r>
              <w:rPr>
                <w:rFonts w:hint="eastAsia" w:ascii="宋体" w:hAnsi="宋体"/>
                <w:color w:val="auto"/>
                <w:kern w:val="0"/>
                <w:szCs w:val="21"/>
                <w:highlight w:val="none"/>
                <w:lang w:bidi="ar"/>
              </w:rPr>
              <w:t>6mm，长≥150mm；≥</w:t>
            </w:r>
            <w:r>
              <w:rPr>
                <w:rFonts w:hint="eastAsia" w:ascii="宋体" w:hAnsi="宋体"/>
                <w:i/>
                <w:iCs/>
                <w:color w:val="auto"/>
                <w:kern w:val="0"/>
                <w:szCs w:val="21"/>
                <w:highlight w:val="none"/>
                <w:lang w:bidi="ar"/>
              </w:rPr>
              <w:t>Φ</w:t>
            </w:r>
            <w:r>
              <w:rPr>
                <w:rFonts w:hint="eastAsia" w:ascii="宋体" w:hAnsi="宋体"/>
                <w:color w:val="auto"/>
                <w:kern w:val="0"/>
                <w:szCs w:val="21"/>
                <w:highlight w:val="none"/>
                <w:lang w:bidi="ar"/>
              </w:rPr>
              <w:t>3mm，长≥75mm；工作部带磁性，硬度不低于 HRC48；旋杆采用 铬钒钢，长度不小于 100 mm，应经镀铬防锈处理；手柄采用高强度 PP+高强性 TPR 注塑 成型</w:t>
            </w:r>
          </w:p>
        </w:tc>
        <w:tc>
          <w:tcPr>
            <w:tcW w:w="863" w:type="dxa"/>
            <w:gridSpan w:val="4"/>
            <w:vAlign w:val="center"/>
          </w:tcPr>
          <w:p w14:paraId="2B61A112">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套</w:t>
            </w:r>
          </w:p>
        </w:tc>
        <w:tc>
          <w:tcPr>
            <w:tcW w:w="925" w:type="dxa"/>
            <w:gridSpan w:val="3"/>
            <w:vAlign w:val="center"/>
          </w:tcPr>
          <w:p w14:paraId="5B6CECAE">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7A14DA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07641AEA">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14</w:t>
            </w:r>
          </w:p>
        </w:tc>
        <w:tc>
          <w:tcPr>
            <w:tcW w:w="1227" w:type="dxa"/>
            <w:vAlign w:val="center"/>
          </w:tcPr>
          <w:p w14:paraId="266934FD">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十字螺丝刀</w:t>
            </w:r>
          </w:p>
        </w:tc>
        <w:tc>
          <w:tcPr>
            <w:tcW w:w="6167" w:type="dxa"/>
            <w:vMerge w:val="continue"/>
          </w:tcPr>
          <w:p w14:paraId="2D22874F">
            <w:pPr>
              <w:widowControl/>
              <w:jc w:val="center"/>
              <w:textAlignment w:val="center"/>
              <w:rPr>
                <w:rFonts w:hint="eastAsia" w:ascii="宋体" w:hAnsi="宋体"/>
                <w:b/>
                <w:bCs/>
                <w:color w:val="auto"/>
                <w:kern w:val="0"/>
                <w:szCs w:val="21"/>
                <w:highlight w:val="none"/>
                <w:lang w:bidi="ar"/>
              </w:rPr>
            </w:pPr>
          </w:p>
        </w:tc>
        <w:tc>
          <w:tcPr>
            <w:tcW w:w="863" w:type="dxa"/>
            <w:gridSpan w:val="4"/>
            <w:vAlign w:val="center"/>
          </w:tcPr>
          <w:p w14:paraId="20AD9A6C">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套</w:t>
            </w:r>
          </w:p>
        </w:tc>
        <w:tc>
          <w:tcPr>
            <w:tcW w:w="925" w:type="dxa"/>
            <w:gridSpan w:val="3"/>
            <w:vAlign w:val="center"/>
          </w:tcPr>
          <w:p w14:paraId="3F09E7F8">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776112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0D113BAD">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15</w:t>
            </w:r>
          </w:p>
        </w:tc>
        <w:tc>
          <w:tcPr>
            <w:tcW w:w="1227" w:type="dxa"/>
            <w:vAlign w:val="center"/>
          </w:tcPr>
          <w:p w14:paraId="692B176A">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剥线钳</w:t>
            </w:r>
          </w:p>
        </w:tc>
        <w:tc>
          <w:tcPr>
            <w:tcW w:w="6167" w:type="dxa"/>
            <w:vAlign w:val="center"/>
          </w:tcPr>
          <w:p w14:paraId="352E26DC">
            <w:pPr>
              <w:widowControl/>
              <w:jc w:val="left"/>
              <w:textAlignment w:val="center"/>
              <w:rPr>
                <w:rFonts w:hint="eastAsia" w:ascii="宋体" w:hAnsi="宋体"/>
                <w:i/>
                <w:iCs/>
                <w:color w:val="auto"/>
                <w:szCs w:val="21"/>
                <w:highlight w:val="none"/>
              </w:rPr>
            </w:pPr>
            <w:r>
              <w:rPr>
                <w:rFonts w:hint="eastAsia" w:ascii="宋体" w:hAnsi="宋体"/>
                <w:i/>
                <w:iCs/>
                <w:color w:val="auto"/>
                <w:kern w:val="0"/>
                <w:szCs w:val="21"/>
                <w:highlight w:val="none"/>
                <w:lang w:bidi="ar"/>
              </w:rPr>
              <w:t>Φ</w:t>
            </w:r>
            <w:r>
              <w:rPr>
                <w:rFonts w:hint="eastAsia" w:ascii="宋体" w:hAnsi="宋体"/>
                <w:color w:val="auto"/>
                <w:kern w:val="0"/>
                <w:szCs w:val="21"/>
                <w:highlight w:val="none"/>
                <w:lang w:bidi="ar"/>
              </w:rPr>
              <w:t>0.5 mm～2.5 mm；刃口闭合状态间隙应不大于0.3 mm，刃口错位应不大于0.2mm；钳 口硬度不低于HRA65或HRC30</w:t>
            </w:r>
          </w:p>
        </w:tc>
        <w:tc>
          <w:tcPr>
            <w:tcW w:w="863" w:type="dxa"/>
            <w:gridSpan w:val="4"/>
            <w:vAlign w:val="center"/>
          </w:tcPr>
          <w:p w14:paraId="4695883C">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把</w:t>
            </w:r>
          </w:p>
        </w:tc>
        <w:tc>
          <w:tcPr>
            <w:tcW w:w="925" w:type="dxa"/>
            <w:gridSpan w:val="3"/>
            <w:vAlign w:val="center"/>
          </w:tcPr>
          <w:p w14:paraId="7198361E">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025DD7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620852D0">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16</w:t>
            </w:r>
          </w:p>
        </w:tc>
        <w:tc>
          <w:tcPr>
            <w:tcW w:w="1227" w:type="dxa"/>
            <w:vAlign w:val="center"/>
          </w:tcPr>
          <w:p w14:paraId="745DE7FA">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钢丝钳</w:t>
            </w:r>
          </w:p>
        </w:tc>
        <w:tc>
          <w:tcPr>
            <w:tcW w:w="6167" w:type="dxa"/>
            <w:vAlign w:val="center"/>
          </w:tcPr>
          <w:p w14:paraId="519949AC">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≥160mm，抗弯强度≥1120 N，扭力矩≥15 N·m，≥15 °，剪切性能≥</w:t>
            </w:r>
            <w:r>
              <w:rPr>
                <w:rFonts w:hint="eastAsia" w:ascii="宋体" w:hAnsi="宋体"/>
                <w:i/>
                <w:iCs/>
                <w:color w:val="auto"/>
                <w:kern w:val="0"/>
                <w:szCs w:val="21"/>
                <w:highlight w:val="none"/>
                <w:lang w:bidi="ar"/>
              </w:rPr>
              <w:t>Φ</w:t>
            </w:r>
            <w:r>
              <w:rPr>
                <w:rFonts w:hint="eastAsia" w:ascii="宋体" w:hAnsi="宋体"/>
                <w:color w:val="auto"/>
                <w:kern w:val="0"/>
                <w:szCs w:val="21"/>
                <w:highlight w:val="none"/>
                <w:lang w:bidi="ar"/>
              </w:rPr>
              <w:t>16 mm 钢丝，≥580 N；夹持面硬度不低于 44HRC；PVC 环保手柄，在不大于18 N 的力作用下撑开角度不小于22 °</w:t>
            </w:r>
          </w:p>
        </w:tc>
        <w:tc>
          <w:tcPr>
            <w:tcW w:w="863" w:type="dxa"/>
            <w:gridSpan w:val="4"/>
            <w:vAlign w:val="center"/>
          </w:tcPr>
          <w:p w14:paraId="00AC1C0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把</w:t>
            </w:r>
          </w:p>
        </w:tc>
        <w:tc>
          <w:tcPr>
            <w:tcW w:w="925" w:type="dxa"/>
            <w:gridSpan w:val="3"/>
            <w:vAlign w:val="center"/>
          </w:tcPr>
          <w:p w14:paraId="65BC42DC">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0D4A21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6525008A">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17</w:t>
            </w:r>
          </w:p>
        </w:tc>
        <w:tc>
          <w:tcPr>
            <w:tcW w:w="1227" w:type="dxa"/>
            <w:vAlign w:val="center"/>
          </w:tcPr>
          <w:p w14:paraId="5792A6EB">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尖嘴钳</w:t>
            </w:r>
          </w:p>
        </w:tc>
        <w:tc>
          <w:tcPr>
            <w:tcW w:w="6167" w:type="dxa"/>
            <w:vAlign w:val="center"/>
          </w:tcPr>
          <w:p w14:paraId="301A6EB9">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≥160mm，抗弯强度≥710N，剪切性能≥</w:t>
            </w:r>
            <w:r>
              <w:rPr>
                <w:rFonts w:hint="eastAsia" w:ascii="宋体" w:hAnsi="宋体"/>
                <w:i/>
                <w:iCs/>
                <w:color w:val="auto"/>
                <w:kern w:val="0"/>
                <w:szCs w:val="21"/>
                <w:highlight w:val="none"/>
                <w:lang w:bidi="ar"/>
              </w:rPr>
              <w:t>Φ</w:t>
            </w:r>
            <w:r>
              <w:rPr>
                <w:rFonts w:hint="eastAsia" w:ascii="宋体" w:hAnsi="宋体"/>
                <w:color w:val="auto"/>
                <w:kern w:val="0"/>
                <w:szCs w:val="21"/>
                <w:highlight w:val="none"/>
                <w:lang w:bidi="ar"/>
              </w:rPr>
              <w:t>1.6mm钢丝，≥570N；在不大于18N的力作用下撑开角度不小于22°,硬度不低于 44HRC，PVC手柄</w:t>
            </w:r>
          </w:p>
        </w:tc>
        <w:tc>
          <w:tcPr>
            <w:tcW w:w="863" w:type="dxa"/>
            <w:gridSpan w:val="4"/>
            <w:vAlign w:val="center"/>
          </w:tcPr>
          <w:p w14:paraId="01167186">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把</w:t>
            </w:r>
          </w:p>
        </w:tc>
        <w:tc>
          <w:tcPr>
            <w:tcW w:w="925" w:type="dxa"/>
            <w:gridSpan w:val="3"/>
            <w:vAlign w:val="center"/>
          </w:tcPr>
          <w:p w14:paraId="550DCBA3">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23C9D5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6FF8F4A1">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18</w:t>
            </w:r>
          </w:p>
        </w:tc>
        <w:tc>
          <w:tcPr>
            <w:tcW w:w="1227" w:type="dxa"/>
            <w:vAlign w:val="center"/>
          </w:tcPr>
          <w:p w14:paraId="3CCDA7D8">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平口钳</w:t>
            </w:r>
          </w:p>
        </w:tc>
        <w:tc>
          <w:tcPr>
            <w:tcW w:w="6167" w:type="dxa"/>
            <w:vAlign w:val="center"/>
          </w:tcPr>
          <w:p w14:paraId="38ACDDEA">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普通机用平口钳；钳口宽度≥100 mm，最大张开度≥100 mm</w:t>
            </w:r>
          </w:p>
        </w:tc>
        <w:tc>
          <w:tcPr>
            <w:tcW w:w="863" w:type="dxa"/>
            <w:gridSpan w:val="4"/>
            <w:vAlign w:val="center"/>
          </w:tcPr>
          <w:p w14:paraId="5ACA28AE">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把</w:t>
            </w:r>
          </w:p>
        </w:tc>
        <w:tc>
          <w:tcPr>
            <w:tcW w:w="925" w:type="dxa"/>
            <w:gridSpan w:val="3"/>
            <w:vAlign w:val="center"/>
          </w:tcPr>
          <w:p w14:paraId="188790C7">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309A21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111218A1">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19</w:t>
            </w:r>
          </w:p>
        </w:tc>
        <w:tc>
          <w:tcPr>
            <w:tcW w:w="1227" w:type="dxa"/>
            <w:vAlign w:val="center"/>
          </w:tcPr>
          <w:p w14:paraId="7E4797E0">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斜口钳</w:t>
            </w:r>
          </w:p>
        </w:tc>
        <w:tc>
          <w:tcPr>
            <w:tcW w:w="6167" w:type="dxa"/>
            <w:vAlign w:val="center"/>
          </w:tcPr>
          <w:p w14:paraId="1B9A5FD8">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≥125 mm，双刃刀</w:t>
            </w:r>
          </w:p>
        </w:tc>
        <w:tc>
          <w:tcPr>
            <w:tcW w:w="863" w:type="dxa"/>
            <w:gridSpan w:val="4"/>
            <w:vAlign w:val="center"/>
          </w:tcPr>
          <w:p w14:paraId="0C5B9180">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把</w:t>
            </w:r>
          </w:p>
        </w:tc>
        <w:tc>
          <w:tcPr>
            <w:tcW w:w="925" w:type="dxa"/>
            <w:gridSpan w:val="3"/>
            <w:vAlign w:val="center"/>
          </w:tcPr>
          <w:p w14:paraId="2FE99F8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2EC055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2413CB00">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20</w:t>
            </w:r>
          </w:p>
        </w:tc>
        <w:tc>
          <w:tcPr>
            <w:tcW w:w="1227" w:type="dxa"/>
            <w:vAlign w:val="center"/>
          </w:tcPr>
          <w:p w14:paraId="265F934C">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砂纸</w:t>
            </w:r>
          </w:p>
        </w:tc>
        <w:tc>
          <w:tcPr>
            <w:tcW w:w="6167" w:type="dxa"/>
            <w:vAlign w:val="center"/>
          </w:tcPr>
          <w:p w14:paraId="3BA28B59">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干磨砂纸，P36～P50、P150～P220、P1000~ P2000</w:t>
            </w:r>
          </w:p>
        </w:tc>
        <w:tc>
          <w:tcPr>
            <w:tcW w:w="863" w:type="dxa"/>
            <w:gridSpan w:val="4"/>
            <w:vAlign w:val="center"/>
          </w:tcPr>
          <w:p w14:paraId="65C8ACC5">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张</w:t>
            </w:r>
          </w:p>
        </w:tc>
        <w:tc>
          <w:tcPr>
            <w:tcW w:w="925" w:type="dxa"/>
            <w:gridSpan w:val="3"/>
            <w:vAlign w:val="center"/>
          </w:tcPr>
          <w:p w14:paraId="5E9900CB">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50</w:t>
            </w:r>
          </w:p>
        </w:tc>
      </w:tr>
      <w:tr w14:paraId="73BD55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23AD00F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21</w:t>
            </w:r>
          </w:p>
        </w:tc>
        <w:tc>
          <w:tcPr>
            <w:tcW w:w="1227" w:type="dxa"/>
            <w:vAlign w:val="center"/>
          </w:tcPr>
          <w:p w14:paraId="3F0B19D0">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民用剪刀</w:t>
            </w:r>
          </w:p>
        </w:tc>
        <w:tc>
          <w:tcPr>
            <w:tcW w:w="6167" w:type="dxa"/>
            <w:vAlign w:val="center"/>
          </w:tcPr>
          <w:p w14:paraId="27EA13BC">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长≥170 mm，用于剪布</w:t>
            </w:r>
          </w:p>
        </w:tc>
        <w:tc>
          <w:tcPr>
            <w:tcW w:w="863" w:type="dxa"/>
            <w:gridSpan w:val="4"/>
            <w:vAlign w:val="center"/>
          </w:tcPr>
          <w:p w14:paraId="5A03DE9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把</w:t>
            </w:r>
          </w:p>
        </w:tc>
        <w:tc>
          <w:tcPr>
            <w:tcW w:w="925" w:type="dxa"/>
            <w:gridSpan w:val="3"/>
            <w:vAlign w:val="center"/>
          </w:tcPr>
          <w:p w14:paraId="617F827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30D278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41886DF3">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22</w:t>
            </w:r>
          </w:p>
        </w:tc>
        <w:tc>
          <w:tcPr>
            <w:tcW w:w="1227" w:type="dxa"/>
            <w:vAlign w:val="center"/>
          </w:tcPr>
          <w:p w14:paraId="29EEC7D7">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电烙铁套装</w:t>
            </w:r>
          </w:p>
        </w:tc>
        <w:tc>
          <w:tcPr>
            <w:tcW w:w="6167" w:type="dxa"/>
            <w:vAlign w:val="center"/>
          </w:tcPr>
          <w:p w14:paraId="48753E4C">
            <w:pPr>
              <w:widowControl/>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≥20 W</w:t>
            </w:r>
          </w:p>
          <w:p w14:paraId="54E3D67B">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内热式，橡胶线，含烙铁架</w:t>
            </w:r>
          </w:p>
        </w:tc>
        <w:tc>
          <w:tcPr>
            <w:tcW w:w="863" w:type="dxa"/>
            <w:gridSpan w:val="4"/>
            <w:vAlign w:val="center"/>
          </w:tcPr>
          <w:p w14:paraId="43A8039A">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套</w:t>
            </w:r>
          </w:p>
        </w:tc>
        <w:tc>
          <w:tcPr>
            <w:tcW w:w="925" w:type="dxa"/>
            <w:gridSpan w:val="3"/>
            <w:vAlign w:val="center"/>
          </w:tcPr>
          <w:p w14:paraId="1F9EF966">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08A6EC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155FD450">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23</w:t>
            </w:r>
          </w:p>
        </w:tc>
        <w:tc>
          <w:tcPr>
            <w:tcW w:w="1227" w:type="dxa"/>
            <w:vAlign w:val="center"/>
          </w:tcPr>
          <w:p w14:paraId="1860BCB5">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焊锡膏</w:t>
            </w:r>
          </w:p>
        </w:tc>
        <w:tc>
          <w:tcPr>
            <w:tcW w:w="6167" w:type="dxa"/>
            <w:vAlign w:val="center"/>
          </w:tcPr>
          <w:p w14:paraId="523435B5">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中性</w:t>
            </w:r>
          </w:p>
        </w:tc>
        <w:tc>
          <w:tcPr>
            <w:tcW w:w="863" w:type="dxa"/>
            <w:gridSpan w:val="4"/>
            <w:vAlign w:val="center"/>
          </w:tcPr>
          <w:p w14:paraId="37FD454F">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盒</w:t>
            </w:r>
          </w:p>
        </w:tc>
        <w:tc>
          <w:tcPr>
            <w:tcW w:w="925" w:type="dxa"/>
            <w:gridSpan w:val="3"/>
            <w:vAlign w:val="center"/>
          </w:tcPr>
          <w:p w14:paraId="0A58B867">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30793B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06CEED91">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24</w:t>
            </w:r>
          </w:p>
        </w:tc>
        <w:tc>
          <w:tcPr>
            <w:tcW w:w="1227" w:type="dxa"/>
            <w:vAlign w:val="center"/>
          </w:tcPr>
          <w:p w14:paraId="4B7C9A8F">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焊锡丝</w:t>
            </w:r>
          </w:p>
        </w:tc>
        <w:tc>
          <w:tcPr>
            <w:tcW w:w="6167" w:type="dxa"/>
            <w:vAlign w:val="center"/>
          </w:tcPr>
          <w:p w14:paraId="06423359">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无铅</w:t>
            </w:r>
          </w:p>
        </w:tc>
        <w:tc>
          <w:tcPr>
            <w:tcW w:w="863" w:type="dxa"/>
            <w:gridSpan w:val="4"/>
            <w:vAlign w:val="center"/>
          </w:tcPr>
          <w:p w14:paraId="34B8972D">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g</w:t>
            </w:r>
          </w:p>
        </w:tc>
        <w:tc>
          <w:tcPr>
            <w:tcW w:w="925" w:type="dxa"/>
            <w:gridSpan w:val="3"/>
            <w:vAlign w:val="center"/>
          </w:tcPr>
          <w:p w14:paraId="288C7BE1">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450</w:t>
            </w:r>
          </w:p>
        </w:tc>
      </w:tr>
      <w:tr w14:paraId="501BCB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35DD68E1">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25</w:t>
            </w:r>
          </w:p>
        </w:tc>
        <w:tc>
          <w:tcPr>
            <w:tcW w:w="1227" w:type="dxa"/>
            <w:vAlign w:val="center"/>
          </w:tcPr>
          <w:p w14:paraId="0A0D5310">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松香</w:t>
            </w:r>
          </w:p>
        </w:tc>
        <w:tc>
          <w:tcPr>
            <w:tcW w:w="6167" w:type="dxa"/>
            <w:vAlign w:val="center"/>
          </w:tcPr>
          <w:p w14:paraId="3C383FB0">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助焊</w:t>
            </w:r>
          </w:p>
        </w:tc>
        <w:tc>
          <w:tcPr>
            <w:tcW w:w="863" w:type="dxa"/>
            <w:gridSpan w:val="4"/>
            <w:vAlign w:val="center"/>
          </w:tcPr>
          <w:p w14:paraId="54F02997">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g</w:t>
            </w:r>
          </w:p>
        </w:tc>
        <w:tc>
          <w:tcPr>
            <w:tcW w:w="925" w:type="dxa"/>
            <w:gridSpan w:val="3"/>
            <w:vAlign w:val="center"/>
          </w:tcPr>
          <w:p w14:paraId="1C7859DA">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100</w:t>
            </w:r>
          </w:p>
        </w:tc>
      </w:tr>
      <w:tr w14:paraId="519145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5557D62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26</w:t>
            </w:r>
          </w:p>
        </w:tc>
        <w:tc>
          <w:tcPr>
            <w:tcW w:w="1227" w:type="dxa"/>
            <w:vAlign w:val="center"/>
          </w:tcPr>
          <w:p w14:paraId="25BFBA43">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打孔器</w:t>
            </w:r>
          </w:p>
        </w:tc>
        <w:tc>
          <w:tcPr>
            <w:tcW w:w="6167" w:type="dxa"/>
            <w:vAlign w:val="center"/>
          </w:tcPr>
          <w:p w14:paraId="47596E3D">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齿口式，不锈钢材质，每组 4 支，外径分别 为 5.0 mm、6.5 mm、8 mm、9.5 mm；附通棒</w:t>
            </w:r>
          </w:p>
        </w:tc>
        <w:tc>
          <w:tcPr>
            <w:tcW w:w="863" w:type="dxa"/>
            <w:gridSpan w:val="4"/>
            <w:vAlign w:val="center"/>
          </w:tcPr>
          <w:p w14:paraId="4CE6E217">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套</w:t>
            </w:r>
          </w:p>
        </w:tc>
        <w:tc>
          <w:tcPr>
            <w:tcW w:w="925" w:type="dxa"/>
            <w:gridSpan w:val="3"/>
            <w:vAlign w:val="center"/>
          </w:tcPr>
          <w:p w14:paraId="507C7494">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3E756E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4D111F23">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27</w:t>
            </w:r>
          </w:p>
        </w:tc>
        <w:tc>
          <w:tcPr>
            <w:tcW w:w="1227" w:type="dxa"/>
            <w:vAlign w:val="center"/>
          </w:tcPr>
          <w:p w14:paraId="24E47183">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打孔夹板</w:t>
            </w:r>
          </w:p>
        </w:tc>
        <w:tc>
          <w:tcPr>
            <w:tcW w:w="6167" w:type="dxa"/>
            <w:vAlign w:val="center"/>
          </w:tcPr>
          <w:p w14:paraId="6AE3625D">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硬木或硬塑料</w:t>
            </w:r>
          </w:p>
        </w:tc>
        <w:tc>
          <w:tcPr>
            <w:tcW w:w="863" w:type="dxa"/>
            <w:gridSpan w:val="4"/>
            <w:vAlign w:val="center"/>
          </w:tcPr>
          <w:p w14:paraId="30417755">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25" w:type="dxa"/>
            <w:gridSpan w:val="3"/>
            <w:vAlign w:val="center"/>
          </w:tcPr>
          <w:p w14:paraId="5A8BC0EF">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01AF44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3A1C66D6">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28</w:t>
            </w:r>
          </w:p>
        </w:tc>
        <w:tc>
          <w:tcPr>
            <w:tcW w:w="1227" w:type="dxa"/>
            <w:vAlign w:val="center"/>
          </w:tcPr>
          <w:p w14:paraId="6EA1E6C6">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锥子</w:t>
            </w:r>
          </w:p>
        </w:tc>
        <w:tc>
          <w:tcPr>
            <w:tcW w:w="6167" w:type="dxa"/>
            <w:vAlign w:val="center"/>
          </w:tcPr>
          <w:p w14:paraId="541F1B43">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锥头长≥77 mm，锥杆直径渐变</w:t>
            </w:r>
          </w:p>
        </w:tc>
        <w:tc>
          <w:tcPr>
            <w:tcW w:w="863" w:type="dxa"/>
            <w:gridSpan w:val="4"/>
            <w:vAlign w:val="center"/>
          </w:tcPr>
          <w:p w14:paraId="4865B161">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25" w:type="dxa"/>
            <w:gridSpan w:val="3"/>
            <w:vAlign w:val="center"/>
          </w:tcPr>
          <w:p w14:paraId="0052C07E">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0B8458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3BE826A2">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29</w:t>
            </w:r>
          </w:p>
        </w:tc>
        <w:tc>
          <w:tcPr>
            <w:tcW w:w="1227" w:type="dxa"/>
            <w:vAlign w:val="center"/>
          </w:tcPr>
          <w:p w14:paraId="541EF6C5">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镊子</w:t>
            </w:r>
          </w:p>
        </w:tc>
        <w:tc>
          <w:tcPr>
            <w:tcW w:w="6167" w:type="dxa"/>
            <w:vAlign w:val="center"/>
          </w:tcPr>
          <w:p w14:paraId="42EDCCFE">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304不锈钢，平头，长≥125 mm，钢板厚≥1.2 mm， 镊子前部应有防滑脱锯齿状</w:t>
            </w:r>
          </w:p>
        </w:tc>
        <w:tc>
          <w:tcPr>
            <w:tcW w:w="863" w:type="dxa"/>
            <w:gridSpan w:val="4"/>
            <w:vAlign w:val="center"/>
          </w:tcPr>
          <w:p w14:paraId="37DDF58E">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25" w:type="dxa"/>
            <w:gridSpan w:val="3"/>
            <w:vAlign w:val="center"/>
          </w:tcPr>
          <w:p w14:paraId="592214C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075053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6F4FC55A">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30</w:t>
            </w:r>
          </w:p>
        </w:tc>
        <w:tc>
          <w:tcPr>
            <w:tcW w:w="1227" w:type="dxa"/>
            <w:vAlign w:val="center"/>
          </w:tcPr>
          <w:p w14:paraId="62530AD3">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水准器</w:t>
            </w:r>
          </w:p>
        </w:tc>
        <w:tc>
          <w:tcPr>
            <w:tcW w:w="6167" w:type="dxa"/>
            <w:vAlign w:val="center"/>
          </w:tcPr>
          <w:p w14:paraId="26D327AE">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气泡水准器</w:t>
            </w:r>
          </w:p>
        </w:tc>
        <w:tc>
          <w:tcPr>
            <w:tcW w:w="863" w:type="dxa"/>
            <w:gridSpan w:val="4"/>
            <w:vAlign w:val="center"/>
          </w:tcPr>
          <w:p w14:paraId="0DA60EB0">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25" w:type="dxa"/>
            <w:gridSpan w:val="3"/>
            <w:vAlign w:val="center"/>
          </w:tcPr>
          <w:p w14:paraId="368E2C90">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31F3A7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2FA9B282">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31</w:t>
            </w:r>
          </w:p>
        </w:tc>
        <w:tc>
          <w:tcPr>
            <w:tcW w:w="1227" w:type="dxa"/>
            <w:vAlign w:val="center"/>
          </w:tcPr>
          <w:p w14:paraId="1C320330">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红液温度计</w:t>
            </w:r>
          </w:p>
        </w:tc>
        <w:tc>
          <w:tcPr>
            <w:tcW w:w="6167" w:type="dxa"/>
            <w:vAlign w:val="center"/>
          </w:tcPr>
          <w:p w14:paraId="45B119BC">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量程-20 ℃～100 ℃ , 分度值 1 ℃ , 示值误 差＜±1.5 ℃</w:t>
            </w:r>
          </w:p>
        </w:tc>
        <w:tc>
          <w:tcPr>
            <w:tcW w:w="863" w:type="dxa"/>
            <w:gridSpan w:val="4"/>
            <w:vAlign w:val="center"/>
          </w:tcPr>
          <w:p w14:paraId="36351E35">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支</w:t>
            </w:r>
          </w:p>
        </w:tc>
        <w:tc>
          <w:tcPr>
            <w:tcW w:w="925" w:type="dxa"/>
            <w:gridSpan w:val="3"/>
            <w:vAlign w:val="center"/>
          </w:tcPr>
          <w:p w14:paraId="2ED4BA16">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40</w:t>
            </w:r>
          </w:p>
        </w:tc>
      </w:tr>
      <w:tr w14:paraId="6767EA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6B7BF398">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32</w:t>
            </w:r>
          </w:p>
        </w:tc>
        <w:tc>
          <w:tcPr>
            <w:tcW w:w="1227" w:type="dxa"/>
            <w:vAlign w:val="center"/>
          </w:tcPr>
          <w:p w14:paraId="0D3D0967">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数字温度计</w:t>
            </w:r>
          </w:p>
        </w:tc>
        <w:tc>
          <w:tcPr>
            <w:tcW w:w="6167" w:type="dxa"/>
            <w:vAlign w:val="center"/>
          </w:tcPr>
          <w:p w14:paraId="799E7F91">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量程-30 ℃～200 ℃ , 分辨力 0.1 ℃ , 误差 ＜±1.5 ℃; 不接电脑，可独立运行，自带显 示屏，表盘尺寸≥180 mm×90 mm</w:t>
            </w:r>
          </w:p>
        </w:tc>
        <w:tc>
          <w:tcPr>
            <w:tcW w:w="863" w:type="dxa"/>
            <w:gridSpan w:val="4"/>
            <w:vAlign w:val="center"/>
          </w:tcPr>
          <w:p w14:paraId="5090E4FF">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支</w:t>
            </w:r>
          </w:p>
        </w:tc>
        <w:tc>
          <w:tcPr>
            <w:tcW w:w="925" w:type="dxa"/>
            <w:gridSpan w:val="3"/>
            <w:vAlign w:val="center"/>
          </w:tcPr>
          <w:p w14:paraId="61ADE646">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457431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18AAF00B">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33</w:t>
            </w:r>
          </w:p>
        </w:tc>
        <w:tc>
          <w:tcPr>
            <w:tcW w:w="1227" w:type="dxa"/>
            <w:vAlign w:val="center"/>
          </w:tcPr>
          <w:p w14:paraId="70C786D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湿度计</w:t>
            </w:r>
          </w:p>
        </w:tc>
        <w:tc>
          <w:tcPr>
            <w:tcW w:w="6167" w:type="dxa"/>
            <w:vAlign w:val="center"/>
          </w:tcPr>
          <w:p w14:paraId="318D1D28">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指针式</w:t>
            </w:r>
          </w:p>
        </w:tc>
        <w:tc>
          <w:tcPr>
            <w:tcW w:w="863" w:type="dxa"/>
            <w:gridSpan w:val="4"/>
            <w:vAlign w:val="center"/>
          </w:tcPr>
          <w:p w14:paraId="0DA457C8">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25" w:type="dxa"/>
            <w:gridSpan w:val="3"/>
            <w:vAlign w:val="center"/>
          </w:tcPr>
          <w:p w14:paraId="74C85BBC">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298E85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159A4094">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34</w:t>
            </w:r>
          </w:p>
        </w:tc>
        <w:tc>
          <w:tcPr>
            <w:tcW w:w="1227" w:type="dxa"/>
            <w:vAlign w:val="center"/>
          </w:tcPr>
          <w:p w14:paraId="59AC36E5">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蒸发皿</w:t>
            </w:r>
          </w:p>
        </w:tc>
        <w:tc>
          <w:tcPr>
            <w:tcW w:w="6167" w:type="dxa"/>
            <w:vAlign w:val="center"/>
          </w:tcPr>
          <w:p w14:paraId="3EC2D3D2">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瓷，≥</w:t>
            </w:r>
            <w:r>
              <w:rPr>
                <w:rFonts w:hint="eastAsia" w:ascii="宋体" w:hAnsi="宋体"/>
                <w:i/>
                <w:iCs/>
                <w:color w:val="auto"/>
                <w:kern w:val="0"/>
                <w:szCs w:val="21"/>
                <w:highlight w:val="none"/>
                <w:lang w:bidi="ar"/>
              </w:rPr>
              <w:t>Φ</w:t>
            </w:r>
            <w:r>
              <w:rPr>
                <w:rFonts w:hint="eastAsia" w:ascii="宋体" w:hAnsi="宋体"/>
                <w:color w:val="auto"/>
                <w:kern w:val="0"/>
                <w:szCs w:val="21"/>
                <w:highlight w:val="none"/>
                <w:lang w:bidi="ar"/>
              </w:rPr>
              <w:t>60 mm</w:t>
            </w:r>
          </w:p>
        </w:tc>
        <w:tc>
          <w:tcPr>
            <w:tcW w:w="863" w:type="dxa"/>
            <w:gridSpan w:val="4"/>
            <w:vAlign w:val="center"/>
          </w:tcPr>
          <w:p w14:paraId="5344F6F4">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25" w:type="dxa"/>
            <w:gridSpan w:val="3"/>
            <w:vAlign w:val="center"/>
          </w:tcPr>
          <w:p w14:paraId="17C2DC6A">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579242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5BB5CB5D">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35</w:t>
            </w:r>
          </w:p>
        </w:tc>
        <w:tc>
          <w:tcPr>
            <w:tcW w:w="1227" w:type="dxa"/>
            <w:vAlign w:val="center"/>
          </w:tcPr>
          <w:p w14:paraId="684793F0">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橡胶塞</w:t>
            </w:r>
          </w:p>
        </w:tc>
        <w:tc>
          <w:tcPr>
            <w:tcW w:w="6167" w:type="dxa"/>
            <w:vAlign w:val="center"/>
          </w:tcPr>
          <w:p w14:paraId="1D034045">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0～4 号，应选用白色胶塞，质地均匀</w:t>
            </w:r>
          </w:p>
        </w:tc>
        <w:tc>
          <w:tcPr>
            <w:tcW w:w="863" w:type="dxa"/>
            <w:gridSpan w:val="4"/>
            <w:vAlign w:val="center"/>
          </w:tcPr>
          <w:p w14:paraId="20C567FE">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套</w:t>
            </w:r>
          </w:p>
        </w:tc>
        <w:tc>
          <w:tcPr>
            <w:tcW w:w="925" w:type="dxa"/>
            <w:gridSpan w:val="3"/>
            <w:vAlign w:val="center"/>
          </w:tcPr>
          <w:p w14:paraId="50333558">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13</w:t>
            </w:r>
          </w:p>
        </w:tc>
      </w:tr>
      <w:tr w14:paraId="26F3B4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20FC6801">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36</w:t>
            </w:r>
          </w:p>
        </w:tc>
        <w:tc>
          <w:tcPr>
            <w:tcW w:w="1227" w:type="dxa"/>
            <w:vAlign w:val="center"/>
          </w:tcPr>
          <w:p w14:paraId="0E2EB732">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试管</w:t>
            </w:r>
          </w:p>
        </w:tc>
        <w:tc>
          <w:tcPr>
            <w:tcW w:w="6167" w:type="dxa"/>
            <w:vAlign w:val="center"/>
          </w:tcPr>
          <w:p w14:paraId="3136C1EC">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≥Φ15 mm×150 mm，透明，硼硅酸盐玻璃制</w:t>
            </w:r>
          </w:p>
        </w:tc>
        <w:tc>
          <w:tcPr>
            <w:tcW w:w="863" w:type="dxa"/>
            <w:gridSpan w:val="4"/>
            <w:vAlign w:val="center"/>
          </w:tcPr>
          <w:p w14:paraId="1CBA3C86">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支</w:t>
            </w:r>
          </w:p>
        </w:tc>
        <w:tc>
          <w:tcPr>
            <w:tcW w:w="925" w:type="dxa"/>
            <w:gridSpan w:val="3"/>
            <w:vAlign w:val="center"/>
          </w:tcPr>
          <w:p w14:paraId="2FB0A697">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60</w:t>
            </w:r>
          </w:p>
        </w:tc>
      </w:tr>
      <w:tr w14:paraId="64CD78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6E5C2961">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37</w:t>
            </w:r>
          </w:p>
        </w:tc>
        <w:tc>
          <w:tcPr>
            <w:tcW w:w="1227" w:type="dxa"/>
            <w:vAlign w:val="center"/>
          </w:tcPr>
          <w:p w14:paraId="60AC7243">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电池盒</w:t>
            </w:r>
          </w:p>
        </w:tc>
        <w:tc>
          <w:tcPr>
            <w:tcW w:w="6167" w:type="dxa"/>
            <w:vAlign w:val="center"/>
          </w:tcPr>
          <w:p w14:paraId="52A85047">
            <w:pPr>
              <w:widowControl/>
              <w:jc w:val="left"/>
              <w:textAlignment w:val="center"/>
              <w:rPr>
                <w:rFonts w:hint="eastAsia" w:ascii="宋体" w:hAnsi="宋体"/>
                <w:i/>
                <w:iCs/>
                <w:color w:val="auto"/>
                <w:szCs w:val="21"/>
                <w:highlight w:val="none"/>
              </w:rPr>
            </w:pPr>
            <w:r>
              <w:rPr>
                <w:rFonts w:hint="eastAsia" w:ascii="宋体" w:hAnsi="宋体"/>
                <w:i/>
                <w:iCs/>
                <w:color w:val="auto"/>
                <w:kern w:val="0"/>
                <w:szCs w:val="21"/>
                <w:highlight w:val="none"/>
                <w:lang w:bidi="ar"/>
              </w:rPr>
              <w:t>≥Φ</w:t>
            </w:r>
            <w:r>
              <w:rPr>
                <w:rFonts w:hint="eastAsia" w:ascii="宋体" w:hAnsi="宋体"/>
                <w:color w:val="auto"/>
                <w:kern w:val="0"/>
                <w:szCs w:val="21"/>
                <w:highlight w:val="none"/>
                <w:lang w:bidi="ar"/>
              </w:rPr>
              <w:t>30 mm×200 mm</w:t>
            </w:r>
            <w:r>
              <w:rPr>
                <w:rFonts w:hint="eastAsia" w:ascii="宋体" w:hAnsi="宋体"/>
                <w:i/>
                <w:iCs/>
                <w:color w:val="auto"/>
                <w:kern w:val="0"/>
                <w:szCs w:val="21"/>
                <w:highlight w:val="none"/>
                <w:lang w:bidi="ar"/>
              </w:rPr>
              <w:t>，</w:t>
            </w:r>
            <w:r>
              <w:rPr>
                <w:rFonts w:hint="eastAsia" w:ascii="宋体" w:hAnsi="宋体"/>
                <w:color w:val="auto"/>
                <w:kern w:val="0"/>
                <w:szCs w:val="21"/>
                <w:highlight w:val="none"/>
                <w:lang w:bidi="ar"/>
              </w:rPr>
              <w:t>套</w:t>
            </w:r>
          </w:p>
        </w:tc>
        <w:tc>
          <w:tcPr>
            <w:tcW w:w="863" w:type="dxa"/>
            <w:gridSpan w:val="4"/>
            <w:vAlign w:val="center"/>
          </w:tcPr>
          <w:p w14:paraId="1E1C88C4">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支</w:t>
            </w:r>
          </w:p>
        </w:tc>
        <w:tc>
          <w:tcPr>
            <w:tcW w:w="925" w:type="dxa"/>
            <w:gridSpan w:val="3"/>
            <w:vAlign w:val="center"/>
          </w:tcPr>
          <w:p w14:paraId="47B779EE">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5</w:t>
            </w:r>
          </w:p>
        </w:tc>
      </w:tr>
      <w:tr w14:paraId="213C2E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39883296">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38</w:t>
            </w:r>
          </w:p>
        </w:tc>
        <w:tc>
          <w:tcPr>
            <w:tcW w:w="1227" w:type="dxa"/>
            <w:vAlign w:val="center"/>
          </w:tcPr>
          <w:p w14:paraId="39096EF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烧瓶</w:t>
            </w:r>
          </w:p>
        </w:tc>
        <w:tc>
          <w:tcPr>
            <w:tcW w:w="6167" w:type="dxa"/>
            <w:vAlign w:val="center"/>
          </w:tcPr>
          <w:p w14:paraId="39F30F10">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圆、长，≥500 mL，透明，硼硅酸盐玻璃制</w:t>
            </w:r>
          </w:p>
        </w:tc>
        <w:tc>
          <w:tcPr>
            <w:tcW w:w="863" w:type="dxa"/>
            <w:gridSpan w:val="4"/>
            <w:vAlign w:val="center"/>
          </w:tcPr>
          <w:p w14:paraId="3C95B307">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25" w:type="dxa"/>
            <w:gridSpan w:val="3"/>
            <w:vAlign w:val="center"/>
          </w:tcPr>
          <w:p w14:paraId="5601E1B1">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5</w:t>
            </w:r>
          </w:p>
        </w:tc>
      </w:tr>
      <w:tr w14:paraId="25CC84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1CCEC1E1">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39</w:t>
            </w:r>
          </w:p>
        </w:tc>
        <w:tc>
          <w:tcPr>
            <w:tcW w:w="1227" w:type="dxa"/>
            <w:vAlign w:val="center"/>
          </w:tcPr>
          <w:p w14:paraId="42F08EE2">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演示直尺</w:t>
            </w:r>
          </w:p>
        </w:tc>
        <w:tc>
          <w:tcPr>
            <w:tcW w:w="6167" w:type="dxa"/>
            <w:vAlign w:val="center"/>
          </w:tcPr>
          <w:p w14:paraId="21A64C25">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平、长，≥250 mL，只</w:t>
            </w:r>
          </w:p>
        </w:tc>
        <w:tc>
          <w:tcPr>
            <w:tcW w:w="863" w:type="dxa"/>
            <w:gridSpan w:val="4"/>
            <w:vAlign w:val="center"/>
          </w:tcPr>
          <w:p w14:paraId="03C3EB55">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25" w:type="dxa"/>
            <w:gridSpan w:val="3"/>
            <w:vAlign w:val="center"/>
          </w:tcPr>
          <w:p w14:paraId="0E27BEB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5</w:t>
            </w:r>
          </w:p>
        </w:tc>
      </w:tr>
      <w:tr w14:paraId="671F8D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3201B69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40</w:t>
            </w:r>
          </w:p>
        </w:tc>
        <w:tc>
          <w:tcPr>
            <w:tcW w:w="1227" w:type="dxa"/>
            <w:vAlign w:val="center"/>
          </w:tcPr>
          <w:p w14:paraId="06C6D35E">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烧杯</w:t>
            </w:r>
          </w:p>
        </w:tc>
        <w:tc>
          <w:tcPr>
            <w:tcW w:w="6167" w:type="dxa"/>
            <w:vAlign w:val="center"/>
          </w:tcPr>
          <w:p w14:paraId="14A77114">
            <w:pPr>
              <w:widowControl/>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≥100 mL</w:t>
            </w:r>
          </w:p>
          <w:p w14:paraId="76A9BB05">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透明，硼硅酸盐玻璃制，刻度应清晰耐久，应在容量标 志下有记号面积</w:t>
            </w:r>
          </w:p>
        </w:tc>
        <w:tc>
          <w:tcPr>
            <w:tcW w:w="863" w:type="dxa"/>
            <w:gridSpan w:val="4"/>
            <w:vAlign w:val="center"/>
          </w:tcPr>
          <w:p w14:paraId="687895D7">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25" w:type="dxa"/>
            <w:gridSpan w:val="3"/>
            <w:vAlign w:val="center"/>
          </w:tcPr>
          <w:p w14:paraId="75195004">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30</w:t>
            </w:r>
          </w:p>
        </w:tc>
      </w:tr>
      <w:tr w14:paraId="4B48A5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4080B49C">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41</w:t>
            </w:r>
          </w:p>
        </w:tc>
        <w:tc>
          <w:tcPr>
            <w:tcW w:w="1227" w:type="dxa"/>
            <w:vAlign w:val="center"/>
          </w:tcPr>
          <w:p w14:paraId="249D98BE">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酒精灯</w:t>
            </w:r>
          </w:p>
        </w:tc>
        <w:tc>
          <w:tcPr>
            <w:tcW w:w="6167" w:type="dxa"/>
            <w:vAlign w:val="center"/>
          </w:tcPr>
          <w:p w14:paraId="4CF98338">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≥150mL，采用透明钠钙玻璃制造，无明显黄绿色，灯口应平整，瓷灯头与灯口平面间隙不应超过1.5 mm，玻璃灯罩应磨口，瓷灯头 应为白色，表面无气泡，无疵点，无裂纹， 无碰损缺口，酒精灯应配置与灯口孔径相适 应的整齐完整的棉线灯芯</w:t>
            </w:r>
          </w:p>
        </w:tc>
        <w:tc>
          <w:tcPr>
            <w:tcW w:w="863" w:type="dxa"/>
            <w:gridSpan w:val="4"/>
            <w:vAlign w:val="center"/>
          </w:tcPr>
          <w:p w14:paraId="1B2BDF27">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25" w:type="dxa"/>
            <w:gridSpan w:val="3"/>
            <w:vAlign w:val="center"/>
          </w:tcPr>
          <w:p w14:paraId="7D1C8C8B">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25</w:t>
            </w:r>
          </w:p>
        </w:tc>
      </w:tr>
      <w:tr w14:paraId="07E267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3CF7C8A3">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42</w:t>
            </w:r>
          </w:p>
        </w:tc>
        <w:tc>
          <w:tcPr>
            <w:tcW w:w="1227" w:type="dxa"/>
            <w:vAlign w:val="center"/>
          </w:tcPr>
          <w:p w14:paraId="08D8E6E4">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漏斗</w:t>
            </w:r>
          </w:p>
        </w:tc>
        <w:tc>
          <w:tcPr>
            <w:tcW w:w="6167" w:type="dxa"/>
            <w:vAlign w:val="center"/>
          </w:tcPr>
          <w:p w14:paraId="041E6BDC">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漏斗口径≥90 mm，斗颈长≥90 mm，下口磨成 45º角，斜口边口倒角或熔光，耐水性 HGB3 级</w:t>
            </w:r>
          </w:p>
        </w:tc>
        <w:tc>
          <w:tcPr>
            <w:tcW w:w="863" w:type="dxa"/>
            <w:gridSpan w:val="4"/>
            <w:vAlign w:val="center"/>
          </w:tcPr>
          <w:p w14:paraId="1E1C7EC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25" w:type="dxa"/>
            <w:gridSpan w:val="3"/>
            <w:vAlign w:val="center"/>
          </w:tcPr>
          <w:p w14:paraId="4638B0C6">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5</w:t>
            </w:r>
          </w:p>
        </w:tc>
      </w:tr>
      <w:tr w14:paraId="29FABB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13B9102B">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43</w:t>
            </w:r>
          </w:p>
        </w:tc>
        <w:tc>
          <w:tcPr>
            <w:tcW w:w="1227" w:type="dxa"/>
            <w:vAlign w:val="center"/>
          </w:tcPr>
          <w:p w14:paraId="3DADEFC7">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烧杯用电加热器</w:t>
            </w:r>
          </w:p>
        </w:tc>
        <w:tc>
          <w:tcPr>
            <w:tcW w:w="6167" w:type="dxa"/>
            <w:vAlign w:val="center"/>
          </w:tcPr>
          <w:p w14:paraId="54D47AEF">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0 W～250 W，可调；密封式</w:t>
            </w:r>
          </w:p>
        </w:tc>
        <w:tc>
          <w:tcPr>
            <w:tcW w:w="863" w:type="dxa"/>
            <w:gridSpan w:val="4"/>
            <w:vAlign w:val="center"/>
          </w:tcPr>
          <w:p w14:paraId="767D1443">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台</w:t>
            </w:r>
          </w:p>
        </w:tc>
        <w:tc>
          <w:tcPr>
            <w:tcW w:w="925" w:type="dxa"/>
            <w:gridSpan w:val="3"/>
            <w:vAlign w:val="center"/>
          </w:tcPr>
          <w:p w14:paraId="377F4EB1">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4A529D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130A8AAA">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44</w:t>
            </w:r>
          </w:p>
        </w:tc>
        <w:tc>
          <w:tcPr>
            <w:tcW w:w="1227" w:type="dxa"/>
            <w:vAlign w:val="center"/>
          </w:tcPr>
          <w:p w14:paraId="1676669D">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注射器</w:t>
            </w:r>
          </w:p>
        </w:tc>
        <w:tc>
          <w:tcPr>
            <w:tcW w:w="6167" w:type="dxa"/>
            <w:vAlign w:val="center"/>
          </w:tcPr>
          <w:p w14:paraId="574B5A1E">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≥100 mL，分度值≥10 mL，刻度清晰。加帽或 塞，密闭性好，防止液体泄漏，清晰度高</w:t>
            </w:r>
          </w:p>
        </w:tc>
        <w:tc>
          <w:tcPr>
            <w:tcW w:w="863" w:type="dxa"/>
            <w:gridSpan w:val="4"/>
            <w:vAlign w:val="center"/>
          </w:tcPr>
          <w:p w14:paraId="00CD1CE0">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25" w:type="dxa"/>
            <w:gridSpan w:val="3"/>
            <w:vAlign w:val="center"/>
          </w:tcPr>
          <w:p w14:paraId="57D9670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13</w:t>
            </w:r>
          </w:p>
        </w:tc>
      </w:tr>
      <w:tr w14:paraId="49F89E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5E7CF5D3">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45</w:t>
            </w:r>
          </w:p>
        </w:tc>
        <w:tc>
          <w:tcPr>
            <w:tcW w:w="1227" w:type="dxa"/>
            <w:vAlign w:val="center"/>
          </w:tcPr>
          <w:p w14:paraId="7AEF8181">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三通连接管</w:t>
            </w:r>
          </w:p>
        </w:tc>
        <w:tc>
          <w:tcPr>
            <w:tcW w:w="6167" w:type="dxa"/>
            <w:vAlign w:val="center"/>
          </w:tcPr>
          <w:p w14:paraId="51483A9B">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T 形</w:t>
            </w:r>
          </w:p>
        </w:tc>
        <w:tc>
          <w:tcPr>
            <w:tcW w:w="863" w:type="dxa"/>
            <w:gridSpan w:val="4"/>
            <w:vAlign w:val="center"/>
          </w:tcPr>
          <w:p w14:paraId="5AFD392E">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25" w:type="dxa"/>
            <w:gridSpan w:val="3"/>
            <w:vAlign w:val="center"/>
          </w:tcPr>
          <w:p w14:paraId="3F8770A1">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13</w:t>
            </w:r>
          </w:p>
        </w:tc>
      </w:tr>
      <w:tr w14:paraId="48D4B2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61F63DD8">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46</w:t>
            </w:r>
          </w:p>
        </w:tc>
        <w:tc>
          <w:tcPr>
            <w:tcW w:w="1227" w:type="dxa"/>
            <w:vAlign w:val="center"/>
          </w:tcPr>
          <w:p w14:paraId="3EAF6D72">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陶土网</w:t>
            </w:r>
          </w:p>
        </w:tc>
        <w:tc>
          <w:tcPr>
            <w:tcW w:w="6167" w:type="dxa"/>
            <w:vAlign w:val="center"/>
          </w:tcPr>
          <w:p w14:paraId="6B06906B">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功能同石棉网，陶土材质，尺寸不小于 125 mm ×125 mm，≥0.8 mm 钢丝制成</w:t>
            </w:r>
          </w:p>
        </w:tc>
        <w:tc>
          <w:tcPr>
            <w:tcW w:w="863" w:type="dxa"/>
            <w:gridSpan w:val="4"/>
            <w:vAlign w:val="center"/>
          </w:tcPr>
          <w:p w14:paraId="75DF4930">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25" w:type="dxa"/>
            <w:gridSpan w:val="3"/>
            <w:vAlign w:val="center"/>
          </w:tcPr>
          <w:p w14:paraId="12079B12">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13</w:t>
            </w:r>
          </w:p>
        </w:tc>
      </w:tr>
      <w:tr w14:paraId="607DD1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22E0AFC0">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47</w:t>
            </w:r>
          </w:p>
        </w:tc>
        <w:tc>
          <w:tcPr>
            <w:tcW w:w="1227" w:type="dxa"/>
            <w:vAlign w:val="center"/>
          </w:tcPr>
          <w:p w14:paraId="20C30C14">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两用气筒</w:t>
            </w:r>
          </w:p>
        </w:tc>
        <w:tc>
          <w:tcPr>
            <w:tcW w:w="6167" w:type="dxa"/>
            <w:vAlign w:val="center"/>
          </w:tcPr>
          <w:p w14:paraId="75B31EFF">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活塞胶垫，气嘴外径8 mm±0.1 mm，长度≥15 mm，台阶口；抽气压强达到6.7kPa 时，放置 30 s，漏气引起的压强变化应≤2.6 kPa； 充气压强达到 290 kPa 时，放置 30 s，漏气引起的压强变化应≤9.8 kPa</w:t>
            </w:r>
          </w:p>
        </w:tc>
        <w:tc>
          <w:tcPr>
            <w:tcW w:w="863" w:type="dxa"/>
            <w:gridSpan w:val="4"/>
            <w:vAlign w:val="center"/>
          </w:tcPr>
          <w:p w14:paraId="73B924A1">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25" w:type="dxa"/>
            <w:gridSpan w:val="3"/>
            <w:vAlign w:val="center"/>
          </w:tcPr>
          <w:p w14:paraId="20BF2868">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216C17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55D1A2A6">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48</w:t>
            </w:r>
          </w:p>
        </w:tc>
        <w:tc>
          <w:tcPr>
            <w:tcW w:w="1227" w:type="dxa"/>
            <w:vAlign w:val="center"/>
          </w:tcPr>
          <w:p w14:paraId="665993B1">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方座支架</w:t>
            </w:r>
          </w:p>
        </w:tc>
        <w:tc>
          <w:tcPr>
            <w:tcW w:w="6167" w:type="dxa"/>
            <w:vAlign w:val="center"/>
          </w:tcPr>
          <w:p w14:paraId="1583E1E4">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由方形座、立杆、烧瓶夹、大小铁环、垂直 夹（2 只）、平行夹、吊杆等组成；立杆长≥600 mm，方形座长≥210 mm，宽≥135 mm，烧瓶 夹夹口内壁有耐热不低于 120 ℃的缓压层</w:t>
            </w:r>
          </w:p>
        </w:tc>
        <w:tc>
          <w:tcPr>
            <w:tcW w:w="863" w:type="dxa"/>
            <w:gridSpan w:val="4"/>
            <w:vAlign w:val="center"/>
          </w:tcPr>
          <w:p w14:paraId="7F7DB394">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套</w:t>
            </w:r>
          </w:p>
        </w:tc>
        <w:tc>
          <w:tcPr>
            <w:tcW w:w="925" w:type="dxa"/>
            <w:gridSpan w:val="3"/>
            <w:vAlign w:val="center"/>
          </w:tcPr>
          <w:p w14:paraId="145F271C">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13</w:t>
            </w:r>
          </w:p>
        </w:tc>
      </w:tr>
      <w:tr w14:paraId="52ED97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4ADB7590">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49</w:t>
            </w:r>
          </w:p>
        </w:tc>
        <w:tc>
          <w:tcPr>
            <w:tcW w:w="1227" w:type="dxa"/>
            <w:vAlign w:val="center"/>
          </w:tcPr>
          <w:p w14:paraId="6039E2B6">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多功能实验支架</w:t>
            </w:r>
          </w:p>
        </w:tc>
        <w:tc>
          <w:tcPr>
            <w:tcW w:w="6167" w:type="dxa"/>
            <w:vAlign w:val="center"/>
          </w:tcPr>
          <w:p w14:paraId="27BB524F">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组合座架 1 个，最小组合支承面积应不小于 560 mm×10 mm；滑块式垂直夹 5 个、烧瓶夹 1 个、万向夹 1 个、大铁环 1 个、方托盘 1 个、绝缘环 2 个、吊钩 4 个</w:t>
            </w:r>
          </w:p>
        </w:tc>
        <w:tc>
          <w:tcPr>
            <w:tcW w:w="863" w:type="dxa"/>
            <w:gridSpan w:val="4"/>
            <w:vAlign w:val="center"/>
          </w:tcPr>
          <w:p w14:paraId="585173A5">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套</w:t>
            </w:r>
          </w:p>
        </w:tc>
        <w:tc>
          <w:tcPr>
            <w:tcW w:w="925" w:type="dxa"/>
            <w:gridSpan w:val="3"/>
            <w:vAlign w:val="center"/>
          </w:tcPr>
          <w:p w14:paraId="47CE5DB4">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4A9100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7FD19DA3">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50</w:t>
            </w:r>
          </w:p>
        </w:tc>
        <w:tc>
          <w:tcPr>
            <w:tcW w:w="1227" w:type="dxa"/>
            <w:vAlign w:val="center"/>
          </w:tcPr>
          <w:p w14:paraId="2799796B">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升降台</w:t>
            </w:r>
          </w:p>
        </w:tc>
        <w:tc>
          <w:tcPr>
            <w:tcW w:w="6167" w:type="dxa"/>
            <w:vAlign w:val="center"/>
          </w:tcPr>
          <w:p w14:paraId="45D3B372">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不锈钢台面，上台面有效面积不小于 140 mm ×140 mm，下台面有效面积不小于 160 mm× 160 mm，厚度不低于 1 mm；升降范围 85 mm～235 mm，连续可调；上下台面的平面度误差 应≤2 mm，升降过程中任一位置的平行度误 差≤3 mm；额定载重量≥10 kg</w:t>
            </w:r>
          </w:p>
        </w:tc>
        <w:tc>
          <w:tcPr>
            <w:tcW w:w="863" w:type="dxa"/>
            <w:gridSpan w:val="4"/>
            <w:vAlign w:val="center"/>
          </w:tcPr>
          <w:p w14:paraId="6597F161">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台</w:t>
            </w:r>
          </w:p>
        </w:tc>
        <w:tc>
          <w:tcPr>
            <w:tcW w:w="925" w:type="dxa"/>
            <w:gridSpan w:val="3"/>
            <w:vAlign w:val="center"/>
          </w:tcPr>
          <w:p w14:paraId="111415B2">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566639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37BA75B1">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51</w:t>
            </w:r>
          </w:p>
        </w:tc>
        <w:tc>
          <w:tcPr>
            <w:tcW w:w="1227" w:type="dxa"/>
            <w:vAlign w:val="center"/>
          </w:tcPr>
          <w:p w14:paraId="0741D1C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碘升华凝华管</w:t>
            </w:r>
          </w:p>
        </w:tc>
        <w:tc>
          <w:tcPr>
            <w:tcW w:w="6167" w:type="dxa"/>
            <w:vAlign w:val="center"/>
          </w:tcPr>
          <w:p w14:paraId="0319AE44">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碘密封于碘锤内，无色透明硼硅酸盐玻璃制 管</w:t>
            </w:r>
            <w:r>
              <w:rPr>
                <w:rFonts w:hint="eastAsia" w:ascii="宋体" w:hAnsi="宋体"/>
                <w:i/>
                <w:iCs/>
                <w:color w:val="auto"/>
                <w:kern w:val="0"/>
                <w:szCs w:val="21"/>
                <w:highlight w:val="none"/>
                <w:lang w:bidi="ar"/>
              </w:rPr>
              <w:t>Φ</w:t>
            </w:r>
            <w:r>
              <w:rPr>
                <w:rFonts w:hint="eastAsia" w:ascii="宋体" w:hAnsi="宋体"/>
                <w:color w:val="auto"/>
                <w:kern w:val="0"/>
                <w:szCs w:val="21"/>
                <w:highlight w:val="none"/>
                <w:lang w:bidi="ar"/>
              </w:rPr>
              <w:t>28 mm×34 mm，两端面应为凹面，热冲 击应不低于 200 ℃</w:t>
            </w:r>
          </w:p>
        </w:tc>
        <w:tc>
          <w:tcPr>
            <w:tcW w:w="863" w:type="dxa"/>
            <w:gridSpan w:val="4"/>
            <w:vAlign w:val="center"/>
          </w:tcPr>
          <w:p w14:paraId="0B3F1A8F">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25" w:type="dxa"/>
            <w:gridSpan w:val="3"/>
            <w:vAlign w:val="center"/>
          </w:tcPr>
          <w:p w14:paraId="0EEA87BE">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5B7C93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2AB65BD6">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52</w:t>
            </w:r>
          </w:p>
        </w:tc>
        <w:tc>
          <w:tcPr>
            <w:tcW w:w="1227" w:type="dxa"/>
            <w:vAlign w:val="center"/>
          </w:tcPr>
          <w:p w14:paraId="30EDF051">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磁悬浮原理实验器</w:t>
            </w:r>
          </w:p>
        </w:tc>
        <w:tc>
          <w:tcPr>
            <w:tcW w:w="6167" w:type="dxa"/>
            <w:vAlign w:val="center"/>
          </w:tcPr>
          <w:p w14:paraId="33292985">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包括 2 个小圆柱形磁体、配套试管等</w:t>
            </w:r>
          </w:p>
        </w:tc>
        <w:tc>
          <w:tcPr>
            <w:tcW w:w="863" w:type="dxa"/>
            <w:gridSpan w:val="4"/>
            <w:vAlign w:val="center"/>
          </w:tcPr>
          <w:p w14:paraId="4D2AA1D7">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套</w:t>
            </w:r>
          </w:p>
        </w:tc>
        <w:tc>
          <w:tcPr>
            <w:tcW w:w="925" w:type="dxa"/>
            <w:gridSpan w:val="3"/>
            <w:vAlign w:val="center"/>
          </w:tcPr>
          <w:p w14:paraId="778F9CBA">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3</w:t>
            </w:r>
          </w:p>
        </w:tc>
      </w:tr>
      <w:tr w14:paraId="390085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553E8EEA">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53</w:t>
            </w:r>
          </w:p>
        </w:tc>
        <w:tc>
          <w:tcPr>
            <w:tcW w:w="1227" w:type="dxa"/>
            <w:vAlign w:val="center"/>
          </w:tcPr>
          <w:p w14:paraId="5BFD7B60">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托盘天平</w:t>
            </w:r>
          </w:p>
        </w:tc>
        <w:tc>
          <w:tcPr>
            <w:tcW w:w="6167" w:type="dxa"/>
            <w:vAlign w:val="center"/>
          </w:tcPr>
          <w:p w14:paraId="2672FFF2">
            <w:pPr>
              <w:widowControl/>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200 g，0.2 g</w:t>
            </w:r>
          </w:p>
          <w:p w14:paraId="24D1BA3C">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单杠杆等臂式双盘天平，配 6 级（M2 级）砝码：100 g、 50 g、10 g、5 g 各 1 个， 20 g 2 个，钢制镊子</w:t>
            </w:r>
          </w:p>
        </w:tc>
        <w:tc>
          <w:tcPr>
            <w:tcW w:w="863" w:type="dxa"/>
            <w:gridSpan w:val="4"/>
            <w:vAlign w:val="center"/>
          </w:tcPr>
          <w:p w14:paraId="1CE2690A">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台</w:t>
            </w:r>
          </w:p>
        </w:tc>
        <w:tc>
          <w:tcPr>
            <w:tcW w:w="925" w:type="dxa"/>
            <w:gridSpan w:val="3"/>
            <w:vAlign w:val="center"/>
          </w:tcPr>
          <w:p w14:paraId="34E464EC">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13</w:t>
            </w:r>
          </w:p>
        </w:tc>
      </w:tr>
      <w:tr w14:paraId="55548D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6417222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54</w:t>
            </w:r>
          </w:p>
        </w:tc>
        <w:tc>
          <w:tcPr>
            <w:tcW w:w="1227" w:type="dxa"/>
            <w:vAlign w:val="center"/>
          </w:tcPr>
          <w:p w14:paraId="668666D1">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电子天平</w:t>
            </w:r>
          </w:p>
        </w:tc>
        <w:tc>
          <w:tcPr>
            <w:tcW w:w="6167" w:type="dxa"/>
            <w:vAlign w:val="center"/>
          </w:tcPr>
          <w:p w14:paraId="4D235DA8">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量程 0 g～1 kg，分辨力 0.1 g，带标准砝码</w:t>
            </w:r>
          </w:p>
        </w:tc>
        <w:tc>
          <w:tcPr>
            <w:tcW w:w="863" w:type="dxa"/>
            <w:gridSpan w:val="4"/>
            <w:vAlign w:val="center"/>
          </w:tcPr>
          <w:p w14:paraId="60CCC7ED">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台</w:t>
            </w:r>
          </w:p>
        </w:tc>
        <w:tc>
          <w:tcPr>
            <w:tcW w:w="925" w:type="dxa"/>
            <w:gridSpan w:val="3"/>
            <w:vAlign w:val="center"/>
          </w:tcPr>
          <w:p w14:paraId="2B1EBD65">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4D4D81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27C74D77">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55</w:t>
            </w:r>
          </w:p>
        </w:tc>
        <w:tc>
          <w:tcPr>
            <w:tcW w:w="1227" w:type="dxa"/>
            <w:vAlign w:val="center"/>
          </w:tcPr>
          <w:p w14:paraId="23F38FA5">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圆柱体组</w:t>
            </w:r>
          </w:p>
        </w:tc>
        <w:tc>
          <w:tcPr>
            <w:tcW w:w="6167" w:type="dxa"/>
            <w:vAlign w:val="center"/>
          </w:tcPr>
          <w:p w14:paraId="51DA765F">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包括纯铜、铝（或铝合金）和铁（钢）等 3 种材质圆柱体；圆柱体直径 20 mm，高 32 mm； 每个圆柱体配网兜（质量小于 0.01 g）</w:t>
            </w:r>
          </w:p>
        </w:tc>
        <w:tc>
          <w:tcPr>
            <w:tcW w:w="863" w:type="dxa"/>
            <w:gridSpan w:val="4"/>
            <w:vAlign w:val="center"/>
          </w:tcPr>
          <w:p w14:paraId="44FBF4A7">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套</w:t>
            </w:r>
          </w:p>
        </w:tc>
        <w:tc>
          <w:tcPr>
            <w:tcW w:w="925" w:type="dxa"/>
            <w:gridSpan w:val="3"/>
            <w:vAlign w:val="center"/>
          </w:tcPr>
          <w:p w14:paraId="10E571DA">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13</w:t>
            </w:r>
          </w:p>
        </w:tc>
      </w:tr>
      <w:tr w14:paraId="2168F8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315E922C">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56</w:t>
            </w:r>
          </w:p>
        </w:tc>
        <w:tc>
          <w:tcPr>
            <w:tcW w:w="1227" w:type="dxa"/>
            <w:vAlign w:val="center"/>
          </w:tcPr>
          <w:p w14:paraId="141A5FA7">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立方体组</w:t>
            </w:r>
          </w:p>
        </w:tc>
        <w:tc>
          <w:tcPr>
            <w:tcW w:w="6167" w:type="dxa"/>
            <w:vAlign w:val="center"/>
          </w:tcPr>
          <w:p w14:paraId="52D44FF3">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包括黄铜、铁、铝、木 4 种材料的 5 个立方 体，其中铝材 2 个，黄铜（边长≥20 mm）、 铁（边长≥20 mm）、铝（边长≥25 mm）、铝（边 长≥30 mm）、木材（边长≥50 mm）各 1 个，带 不锈钢挂钩</w:t>
            </w:r>
          </w:p>
        </w:tc>
        <w:tc>
          <w:tcPr>
            <w:tcW w:w="863" w:type="dxa"/>
            <w:gridSpan w:val="4"/>
            <w:vAlign w:val="center"/>
          </w:tcPr>
          <w:p w14:paraId="360C05A7">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套</w:t>
            </w:r>
          </w:p>
        </w:tc>
        <w:tc>
          <w:tcPr>
            <w:tcW w:w="925" w:type="dxa"/>
            <w:gridSpan w:val="3"/>
            <w:vAlign w:val="center"/>
          </w:tcPr>
          <w:p w14:paraId="0641B27C">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13</w:t>
            </w:r>
          </w:p>
        </w:tc>
      </w:tr>
      <w:tr w14:paraId="05E6A3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53074686">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57</w:t>
            </w:r>
          </w:p>
        </w:tc>
        <w:tc>
          <w:tcPr>
            <w:tcW w:w="1227" w:type="dxa"/>
            <w:vAlign w:val="center"/>
          </w:tcPr>
          <w:p w14:paraId="592955C6">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量筒</w:t>
            </w:r>
          </w:p>
        </w:tc>
        <w:tc>
          <w:tcPr>
            <w:tcW w:w="6167" w:type="dxa"/>
            <w:vAlign w:val="center"/>
          </w:tcPr>
          <w:p w14:paraId="21CC77A1">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≥100 mL，1 mL</w:t>
            </w:r>
          </w:p>
        </w:tc>
        <w:tc>
          <w:tcPr>
            <w:tcW w:w="863" w:type="dxa"/>
            <w:gridSpan w:val="4"/>
            <w:vAlign w:val="center"/>
          </w:tcPr>
          <w:p w14:paraId="3C162824">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25" w:type="dxa"/>
            <w:gridSpan w:val="3"/>
            <w:vAlign w:val="center"/>
          </w:tcPr>
          <w:p w14:paraId="390EBFF3">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50</w:t>
            </w:r>
          </w:p>
        </w:tc>
      </w:tr>
      <w:tr w14:paraId="6EA382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7C0AC28D">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58</w:t>
            </w:r>
          </w:p>
        </w:tc>
        <w:tc>
          <w:tcPr>
            <w:tcW w:w="1227" w:type="dxa"/>
            <w:vAlign w:val="center"/>
          </w:tcPr>
          <w:p w14:paraId="43D69355">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放大镜</w:t>
            </w:r>
          </w:p>
        </w:tc>
        <w:tc>
          <w:tcPr>
            <w:tcW w:w="6167" w:type="dxa"/>
            <w:vAlign w:val="center"/>
          </w:tcPr>
          <w:p w14:paraId="19DF0450">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手持式，5× , 焦距≥50 mm</w:t>
            </w:r>
          </w:p>
        </w:tc>
        <w:tc>
          <w:tcPr>
            <w:tcW w:w="863" w:type="dxa"/>
            <w:gridSpan w:val="4"/>
            <w:vAlign w:val="center"/>
          </w:tcPr>
          <w:p w14:paraId="1BB54223">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25" w:type="dxa"/>
            <w:gridSpan w:val="3"/>
            <w:vAlign w:val="center"/>
          </w:tcPr>
          <w:p w14:paraId="13B700B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13</w:t>
            </w:r>
          </w:p>
        </w:tc>
      </w:tr>
      <w:tr w14:paraId="39BC98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11C08264">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59</w:t>
            </w:r>
          </w:p>
        </w:tc>
        <w:tc>
          <w:tcPr>
            <w:tcW w:w="1227" w:type="dxa"/>
            <w:vAlign w:val="center"/>
          </w:tcPr>
          <w:p w14:paraId="2156F831">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望远镜</w:t>
            </w:r>
          </w:p>
        </w:tc>
        <w:tc>
          <w:tcPr>
            <w:tcW w:w="6167" w:type="dxa"/>
            <w:vAlign w:val="center"/>
          </w:tcPr>
          <w:p w14:paraId="207C3CAE">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双筒，7×35</w:t>
            </w:r>
          </w:p>
        </w:tc>
        <w:tc>
          <w:tcPr>
            <w:tcW w:w="863" w:type="dxa"/>
            <w:gridSpan w:val="4"/>
            <w:vAlign w:val="center"/>
          </w:tcPr>
          <w:p w14:paraId="5930A09F">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25" w:type="dxa"/>
            <w:gridSpan w:val="3"/>
            <w:vAlign w:val="center"/>
          </w:tcPr>
          <w:p w14:paraId="398EE38E">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040A7B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133BDEC1">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60</w:t>
            </w:r>
          </w:p>
        </w:tc>
        <w:tc>
          <w:tcPr>
            <w:tcW w:w="1227" w:type="dxa"/>
            <w:vAlign w:val="center"/>
          </w:tcPr>
          <w:p w14:paraId="7ADD5B04">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内聚力演示器</w:t>
            </w:r>
          </w:p>
        </w:tc>
        <w:tc>
          <w:tcPr>
            <w:tcW w:w="6167" w:type="dxa"/>
            <w:vAlign w:val="center"/>
          </w:tcPr>
          <w:p w14:paraId="18F99E8B">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由 2 个铅圆柱体、旋转式刮削器、挤压器和  2 根扳杆组成；圆柱体尺寸约</w:t>
            </w:r>
            <w:r>
              <w:rPr>
                <w:rFonts w:hint="eastAsia" w:ascii="宋体" w:hAnsi="宋体"/>
                <w:i/>
                <w:iCs/>
                <w:color w:val="auto"/>
                <w:kern w:val="0"/>
                <w:szCs w:val="21"/>
                <w:highlight w:val="none"/>
                <w:lang w:bidi="ar"/>
              </w:rPr>
              <w:t>Φ</w:t>
            </w:r>
            <w:r>
              <w:rPr>
                <w:rFonts w:hint="eastAsia" w:ascii="宋体" w:hAnsi="宋体"/>
                <w:color w:val="auto"/>
                <w:kern w:val="0"/>
                <w:szCs w:val="21"/>
                <w:highlight w:val="none"/>
                <w:lang w:bidi="ar"/>
              </w:rPr>
              <w:t>20 mm×50 mm， 铅柱镶铁部分长度约为铅圆柱长度的 1/2， 挤压架应采用铁质结构，2 个铅圆柱体应能 装入挤压器中，通过螺旋实现挤压；挤压器 螺旋挤压的最大和最小距离差应≥35 mm，挤 压器装入铅圆柱挤压至人力不能继续挤压 时，在挤压方向的形变应≤0.25 mm；刮削器 由转柄、刀片和刀轴组成，削平的两铅圆柱 体端面压在一起后，承受轴向拉力应≥60 N</w:t>
            </w:r>
          </w:p>
        </w:tc>
        <w:tc>
          <w:tcPr>
            <w:tcW w:w="863" w:type="dxa"/>
            <w:gridSpan w:val="4"/>
            <w:vAlign w:val="center"/>
          </w:tcPr>
          <w:p w14:paraId="3B43F82A">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25" w:type="dxa"/>
            <w:gridSpan w:val="3"/>
            <w:vAlign w:val="center"/>
          </w:tcPr>
          <w:p w14:paraId="3994298B">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35056E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2131050B">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61</w:t>
            </w:r>
          </w:p>
        </w:tc>
        <w:tc>
          <w:tcPr>
            <w:tcW w:w="1227" w:type="dxa"/>
            <w:vAlign w:val="center"/>
          </w:tcPr>
          <w:p w14:paraId="709B302A">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食用色素</w:t>
            </w:r>
          </w:p>
        </w:tc>
        <w:tc>
          <w:tcPr>
            <w:tcW w:w="6167" w:type="dxa"/>
            <w:vAlign w:val="center"/>
          </w:tcPr>
          <w:p w14:paraId="0C93ABCE">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红色</w:t>
            </w:r>
          </w:p>
        </w:tc>
        <w:tc>
          <w:tcPr>
            <w:tcW w:w="863" w:type="dxa"/>
            <w:gridSpan w:val="4"/>
            <w:vAlign w:val="center"/>
          </w:tcPr>
          <w:p w14:paraId="1832AAB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mL</w:t>
            </w:r>
          </w:p>
        </w:tc>
        <w:tc>
          <w:tcPr>
            <w:tcW w:w="925" w:type="dxa"/>
            <w:gridSpan w:val="3"/>
            <w:vAlign w:val="center"/>
          </w:tcPr>
          <w:p w14:paraId="6ACC271D">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10</w:t>
            </w:r>
          </w:p>
        </w:tc>
      </w:tr>
      <w:tr w14:paraId="2A1CDF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2C65A065">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62</w:t>
            </w:r>
          </w:p>
        </w:tc>
        <w:tc>
          <w:tcPr>
            <w:tcW w:w="1227" w:type="dxa"/>
            <w:vAlign w:val="center"/>
          </w:tcPr>
          <w:p w14:paraId="51C7186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钢直尺</w:t>
            </w:r>
          </w:p>
        </w:tc>
        <w:tc>
          <w:tcPr>
            <w:tcW w:w="6167" w:type="dxa"/>
            <w:vAlign w:val="center"/>
          </w:tcPr>
          <w:p w14:paraId="5E004631">
            <w:pPr>
              <w:widowControl/>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≥1000 mm，1 mm</w:t>
            </w:r>
          </w:p>
          <w:p w14:paraId="4B919BAB">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0 mm～50 mm 分度值 0.5 mm， 其余分度值为 1 mm；材料为 1Cr18Ni9、1Cr13 或其他类 似性能材料，硬度应不低于 342HV；刻度面平面度误差 应≤0.25 mm，允许误差应 ≤±0.15 mm；需有计量器 具制造许可证标志</w:t>
            </w:r>
          </w:p>
        </w:tc>
        <w:tc>
          <w:tcPr>
            <w:tcW w:w="863" w:type="dxa"/>
            <w:gridSpan w:val="4"/>
            <w:vAlign w:val="center"/>
          </w:tcPr>
          <w:p w14:paraId="2C0DCF1B">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把</w:t>
            </w:r>
          </w:p>
        </w:tc>
        <w:tc>
          <w:tcPr>
            <w:tcW w:w="925" w:type="dxa"/>
            <w:gridSpan w:val="3"/>
            <w:vAlign w:val="center"/>
          </w:tcPr>
          <w:p w14:paraId="28CF0C70">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13</w:t>
            </w:r>
          </w:p>
        </w:tc>
      </w:tr>
      <w:tr w14:paraId="398D52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30A60908">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63</w:t>
            </w:r>
          </w:p>
        </w:tc>
        <w:tc>
          <w:tcPr>
            <w:tcW w:w="1227" w:type="dxa"/>
            <w:vAlign w:val="center"/>
          </w:tcPr>
          <w:p w14:paraId="6CB555CA">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机械秒表</w:t>
            </w:r>
          </w:p>
        </w:tc>
        <w:tc>
          <w:tcPr>
            <w:tcW w:w="6167" w:type="dxa"/>
            <w:vAlign w:val="center"/>
          </w:tcPr>
          <w:p w14:paraId="03A91714">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分度值 0.1 s，一等</w:t>
            </w:r>
          </w:p>
        </w:tc>
        <w:tc>
          <w:tcPr>
            <w:tcW w:w="863" w:type="dxa"/>
            <w:gridSpan w:val="4"/>
            <w:vAlign w:val="center"/>
          </w:tcPr>
          <w:p w14:paraId="08E714F0">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块</w:t>
            </w:r>
          </w:p>
        </w:tc>
        <w:tc>
          <w:tcPr>
            <w:tcW w:w="925" w:type="dxa"/>
            <w:gridSpan w:val="3"/>
            <w:vAlign w:val="center"/>
          </w:tcPr>
          <w:p w14:paraId="241AF748">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13</w:t>
            </w:r>
          </w:p>
        </w:tc>
      </w:tr>
      <w:tr w14:paraId="6A2335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7DA503C6">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64</w:t>
            </w:r>
          </w:p>
        </w:tc>
        <w:tc>
          <w:tcPr>
            <w:tcW w:w="1227" w:type="dxa"/>
            <w:vAlign w:val="center"/>
          </w:tcPr>
          <w:p w14:paraId="3E8EBC3D">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电子秒表</w:t>
            </w:r>
          </w:p>
        </w:tc>
        <w:tc>
          <w:tcPr>
            <w:tcW w:w="6167" w:type="dxa"/>
            <w:vAlign w:val="center"/>
          </w:tcPr>
          <w:p w14:paraId="04D84D00">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专用型，全时段分辨力 0.01 s；有防震、防 水功能，电池更换周期不小于 1.5 年</w:t>
            </w:r>
          </w:p>
        </w:tc>
        <w:tc>
          <w:tcPr>
            <w:tcW w:w="863" w:type="dxa"/>
            <w:gridSpan w:val="4"/>
            <w:vAlign w:val="center"/>
          </w:tcPr>
          <w:p w14:paraId="790EAE7F">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块</w:t>
            </w:r>
          </w:p>
        </w:tc>
        <w:tc>
          <w:tcPr>
            <w:tcW w:w="925" w:type="dxa"/>
            <w:gridSpan w:val="3"/>
            <w:vAlign w:val="center"/>
          </w:tcPr>
          <w:p w14:paraId="43493280">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3B1729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63D33F54">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65</w:t>
            </w:r>
          </w:p>
        </w:tc>
        <w:tc>
          <w:tcPr>
            <w:tcW w:w="1227" w:type="dxa"/>
            <w:vAlign w:val="center"/>
          </w:tcPr>
          <w:p w14:paraId="3A315527">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斜面小车</w:t>
            </w:r>
          </w:p>
        </w:tc>
        <w:tc>
          <w:tcPr>
            <w:tcW w:w="6167" w:type="dxa"/>
            <w:vAlign w:val="center"/>
          </w:tcPr>
          <w:p w14:paraId="119C98A1">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包括斜面、小车、摩擦块、支撑杆、砝码桶和摩擦材料等，与教学支架配套使用；斜面 板≥915 mm×100 mm×20 mm，一端应有滑轮、 缓冲或捕获小车的装置；斜面板工作面平面 度误差应小于 2 mm；附摩擦材料丁晴橡胶、 砂纸、棉布等，有摩擦材料的固定夹</w:t>
            </w:r>
          </w:p>
        </w:tc>
        <w:tc>
          <w:tcPr>
            <w:tcW w:w="863" w:type="dxa"/>
            <w:gridSpan w:val="4"/>
            <w:vAlign w:val="center"/>
          </w:tcPr>
          <w:p w14:paraId="3F981BB3">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套</w:t>
            </w:r>
          </w:p>
        </w:tc>
        <w:tc>
          <w:tcPr>
            <w:tcW w:w="925" w:type="dxa"/>
            <w:gridSpan w:val="3"/>
            <w:vAlign w:val="center"/>
          </w:tcPr>
          <w:p w14:paraId="496B793E">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13</w:t>
            </w:r>
          </w:p>
        </w:tc>
      </w:tr>
      <w:tr w14:paraId="034730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02AD3A02">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66</w:t>
            </w:r>
          </w:p>
        </w:tc>
        <w:tc>
          <w:tcPr>
            <w:tcW w:w="1227" w:type="dxa"/>
            <w:vAlign w:val="center"/>
          </w:tcPr>
          <w:p w14:paraId="4A971FD7">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螺旋弹簧组</w:t>
            </w:r>
          </w:p>
        </w:tc>
        <w:tc>
          <w:tcPr>
            <w:tcW w:w="6167" w:type="dxa"/>
            <w:vAlign w:val="center"/>
          </w:tcPr>
          <w:p w14:paraId="22AD4F08">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由拉力极限分别为 4.9 N、2.94 N、1.96 N、 0.98 N 和 0.49 N 的 5 种弹簧构成；各弹簧 带长 50 mm 挂钩（有指针），两端应为圆拉 环，附标度板</w:t>
            </w:r>
          </w:p>
        </w:tc>
        <w:tc>
          <w:tcPr>
            <w:tcW w:w="863" w:type="dxa"/>
            <w:gridSpan w:val="4"/>
            <w:vAlign w:val="center"/>
          </w:tcPr>
          <w:p w14:paraId="6DBD9ACE">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组</w:t>
            </w:r>
          </w:p>
        </w:tc>
        <w:tc>
          <w:tcPr>
            <w:tcW w:w="925" w:type="dxa"/>
            <w:gridSpan w:val="3"/>
            <w:vAlign w:val="center"/>
          </w:tcPr>
          <w:p w14:paraId="1DE8B3D2">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13</w:t>
            </w:r>
          </w:p>
        </w:tc>
      </w:tr>
      <w:tr w14:paraId="498951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5D289E3C">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67</w:t>
            </w:r>
          </w:p>
        </w:tc>
        <w:tc>
          <w:tcPr>
            <w:tcW w:w="1227" w:type="dxa"/>
            <w:vAlign w:val="center"/>
          </w:tcPr>
          <w:p w14:paraId="7A4B5B9B">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演示测力计</w:t>
            </w:r>
          </w:p>
        </w:tc>
        <w:tc>
          <w:tcPr>
            <w:tcW w:w="6167" w:type="dxa"/>
            <w:vAlign w:val="center"/>
          </w:tcPr>
          <w:p w14:paraId="38064B29">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平板式；量程 0 N〜2 N，分度值 0.1 N；示 值误差≤1/4 分度，升降示差≤1/2 分度，重 复性偏差≤1/4 分度</w:t>
            </w:r>
          </w:p>
        </w:tc>
        <w:tc>
          <w:tcPr>
            <w:tcW w:w="863" w:type="dxa"/>
            <w:gridSpan w:val="4"/>
            <w:vAlign w:val="center"/>
          </w:tcPr>
          <w:p w14:paraId="647E357D">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25" w:type="dxa"/>
            <w:gridSpan w:val="3"/>
            <w:vAlign w:val="center"/>
          </w:tcPr>
          <w:p w14:paraId="58D6F532">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67F779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3408D9F8">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68</w:t>
            </w:r>
          </w:p>
        </w:tc>
        <w:tc>
          <w:tcPr>
            <w:tcW w:w="1227" w:type="dxa"/>
            <w:vAlign w:val="center"/>
          </w:tcPr>
          <w:p w14:paraId="529ECE98">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条形盒测力计</w:t>
            </w:r>
          </w:p>
        </w:tc>
        <w:tc>
          <w:tcPr>
            <w:tcW w:w="6167" w:type="dxa"/>
            <w:vAlign w:val="center"/>
          </w:tcPr>
          <w:p w14:paraId="31686C58">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量程 0 N〜1 N，分度值 0.02 N；示值误差  ≤1/2 分度，升降示差≤1/2 分度，重复性偏 差≤1/4 分度</w:t>
            </w:r>
          </w:p>
        </w:tc>
        <w:tc>
          <w:tcPr>
            <w:tcW w:w="863" w:type="dxa"/>
            <w:gridSpan w:val="4"/>
            <w:vAlign w:val="center"/>
          </w:tcPr>
          <w:p w14:paraId="0E113E9E">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25" w:type="dxa"/>
            <w:gridSpan w:val="3"/>
            <w:vAlign w:val="center"/>
          </w:tcPr>
          <w:p w14:paraId="469BF44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13</w:t>
            </w:r>
          </w:p>
        </w:tc>
      </w:tr>
      <w:tr w14:paraId="0CF206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1C0C3D2E">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69</w:t>
            </w:r>
          </w:p>
        </w:tc>
        <w:tc>
          <w:tcPr>
            <w:tcW w:w="1227" w:type="dxa"/>
            <w:vAlign w:val="center"/>
          </w:tcPr>
          <w:p w14:paraId="1C93D246">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寒暑表</w:t>
            </w:r>
          </w:p>
        </w:tc>
        <w:tc>
          <w:tcPr>
            <w:tcW w:w="6167" w:type="dxa"/>
            <w:vAlign w:val="center"/>
          </w:tcPr>
          <w:p w14:paraId="6DF6829F">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量程 0 N〜2.5 N，分度值 0.05 N；示值误差 ≤1/4 分度，升降示差≤1/2 分度，重复性偏 差≤1/4 分度</w:t>
            </w:r>
          </w:p>
        </w:tc>
        <w:tc>
          <w:tcPr>
            <w:tcW w:w="863" w:type="dxa"/>
            <w:gridSpan w:val="4"/>
            <w:vAlign w:val="center"/>
          </w:tcPr>
          <w:p w14:paraId="24FDFAA2">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只</w:t>
            </w:r>
          </w:p>
        </w:tc>
        <w:tc>
          <w:tcPr>
            <w:tcW w:w="925" w:type="dxa"/>
            <w:gridSpan w:val="3"/>
            <w:vAlign w:val="center"/>
          </w:tcPr>
          <w:p w14:paraId="3E84EFD8">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13</w:t>
            </w:r>
          </w:p>
        </w:tc>
      </w:tr>
      <w:tr w14:paraId="0EE909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3BFF0F00">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70</w:t>
            </w:r>
          </w:p>
        </w:tc>
        <w:tc>
          <w:tcPr>
            <w:tcW w:w="1227" w:type="dxa"/>
            <w:vAlign w:val="center"/>
          </w:tcPr>
          <w:p w14:paraId="42EF595A">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条形盒测力计</w:t>
            </w:r>
          </w:p>
        </w:tc>
        <w:tc>
          <w:tcPr>
            <w:tcW w:w="6167" w:type="dxa"/>
            <w:vAlign w:val="center"/>
          </w:tcPr>
          <w:p w14:paraId="7343B02D">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量程 0 N〜5 N，分度值 0.1 N；示值误差≤1/4 分度，升降示差≤1/2 分度，重复性偏 差≤1/4 分度</w:t>
            </w:r>
          </w:p>
        </w:tc>
        <w:tc>
          <w:tcPr>
            <w:tcW w:w="863" w:type="dxa"/>
            <w:gridSpan w:val="4"/>
            <w:vAlign w:val="center"/>
          </w:tcPr>
          <w:p w14:paraId="06CAB06D">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25" w:type="dxa"/>
            <w:gridSpan w:val="3"/>
            <w:vAlign w:val="center"/>
          </w:tcPr>
          <w:p w14:paraId="28DF05AA">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13</w:t>
            </w:r>
          </w:p>
        </w:tc>
      </w:tr>
      <w:tr w14:paraId="59E10B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1D2BA16D">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71</w:t>
            </w:r>
          </w:p>
        </w:tc>
        <w:tc>
          <w:tcPr>
            <w:tcW w:w="1227" w:type="dxa"/>
            <w:vAlign w:val="center"/>
          </w:tcPr>
          <w:p w14:paraId="2DDC930A">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条形盒测力计</w:t>
            </w:r>
          </w:p>
        </w:tc>
        <w:tc>
          <w:tcPr>
            <w:tcW w:w="6167" w:type="dxa"/>
            <w:vAlign w:val="center"/>
          </w:tcPr>
          <w:p w14:paraId="0201A234">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量程 0 N〜10 N，分度值 0.2 N；示值误差  ≤1/4 分度，升降示差≤1/2 分度，重复性偏 差≤1/4 分度</w:t>
            </w:r>
          </w:p>
        </w:tc>
        <w:tc>
          <w:tcPr>
            <w:tcW w:w="863" w:type="dxa"/>
            <w:gridSpan w:val="4"/>
            <w:vAlign w:val="center"/>
          </w:tcPr>
          <w:p w14:paraId="13B867E1">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25" w:type="dxa"/>
            <w:gridSpan w:val="3"/>
            <w:vAlign w:val="center"/>
          </w:tcPr>
          <w:p w14:paraId="2475E50E">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13</w:t>
            </w:r>
          </w:p>
        </w:tc>
      </w:tr>
      <w:tr w14:paraId="473AC6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2971B7B5">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72</w:t>
            </w:r>
          </w:p>
        </w:tc>
        <w:tc>
          <w:tcPr>
            <w:tcW w:w="1227" w:type="dxa"/>
            <w:vAlign w:val="center"/>
          </w:tcPr>
          <w:p w14:paraId="0AA16742">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数字测力计</w:t>
            </w:r>
          </w:p>
        </w:tc>
        <w:tc>
          <w:tcPr>
            <w:tcW w:w="6167" w:type="dxa"/>
            <w:vAlign w:val="center"/>
          </w:tcPr>
          <w:p w14:paraId="6D0313E8">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量程 0 N～20 N，误差≤±1.0%FS±1 字，采 样频率应不低于 100 次/秒，可测拉力和压 力，不接电脑能独立运行，显示屏尺寸不小 于 30 mm×40 mm</w:t>
            </w:r>
          </w:p>
        </w:tc>
        <w:tc>
          <w:tcPr>
            <w:tcW w:w="863" w:type="dxa"/>
            <w:gridSpan w:val="4"/>
            <w:vAlign w:val="center"/>
          </w:tcPr>
          <w:p w14:paraId="2A1FAFAE">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25" w:type="dxa"/>
            <w:gridSpan w:val="3"/>
            <w:vAlign w:val="center"/>
          </w:tcPr>
          <w:p w14:paraId="1CA37E8E">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66242F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34F06A45">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73</w:t>
            </w:r>
          </w:p>
        </w:tc>
        <w:tc>
          <w:tcPr>
            <w:tcW w:w="1227" w:type="dxa"/>
            <w:vAlign w:val="center"/>
          </w:tcPr>
          <w:p w14:paraId="06299FCD">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重锤</w:t>
            </w:r>
          </w:p>
        </w:tc>
        <w:tc>
          <w:tcPr>
            <w:tcW w:w="6167" w:type="dxa"/>
            <w:vAlign w:val="center"/>
          </w:tcPr>
          <w:p w14:paraId="05E440EF">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300 g</w:t>
            </w:r>
          </w:p>
        </w:tc>
        <w:tc>
          <w:tcPr>
            <w:tcW w:w="863" w:type="dxa"/>
            <w:gridSpan w:val="4"/>
            <w:vAlign w:val="center"/>
          </w:tcPr>
          <w:p w14:paraId="209BD2EA">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25" w:type="dxa"/>
            <w:gridSpan w:val="3"/>
            <w:vAlign w:val="center"/>
          </w:tcPr>
          <w:p w14:paraId="14F7166E">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7E2A3B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152C50A5">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74</w:t>
            </w:r>
          </w:p>
        </w:tc>
        <w:tc>
          <w:tcPr>
            <w:tcW w:w="1227" w:type="dxa"/>
            <w:vAlign w:val="center"/>
          </w:tcPr>
          <w:p w14:paraId="601E9983">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金属钩码</w:t>
            </w:r>
          </w:p>
        </w:tc>
        <w:tc>
          <w:tcPr>
            <w:tcW w:w="6167" w:type="dxa"/>
            <w:vAlign w:val="center"/>
          </w:tcPr>
          <w:p w14:paraId="10F4330D">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10 g (</w:t>
            </w:r>
            <w:r>
              <w:rPr>
                <w:rFonts w:hint="eastAsia" w:ascii="宋体" w:hAnsi="宋体"/>
                <w:i/>
                <w:iCs/>
                <w:color w:val="auto"/>
                <w:kern w:val="0"/>
                <w:szCs w:val="21"/>
                <w:highlight w:val="none"/>
                <w:lang w:bidi="ar"/>
              </w:rPr>
              <w:t>Φ</w:t>
            </w:r>
            <w:r>
              <w:rPr>
                <w:rFonts w:hint="eastAsia" w:ascii="宋体" w:hAnsi="宋体"/>
                <w:color w:val="auto"/>
                <w:kern w:val="0"/>
                <w:szCs w:val="21"/>
                <w:highlight w:val="none"/>
                <w:lang w:bidi="ar"/>
              </w:rPr>
              <w:t>22 mm） ×l，20 g (</w:t>
            </w:r>
            <w:r>
              <w:rPr>
                <w:rFonts w:hint="eastAsia" w:ascii="宋体" w:hAnsi="宋体"/>
                <w:i/>
                <w:iCs/>
                <w:color w:val="auto"/>
                <w:kern w:val="0"/>
                <w:szCs w:val="21"/>
                <w:highlight w:val="none"/>
                <w:lang w:bidi="ar"/>
              </w:rPr>
              <w:t>Φ</w:t>
            </w:r>
            <w:r>
              <w:rPr>
                <w:rFonts w:hint="eastAsia" w:ascii="宋体" w:hAnsi="宋体"/>
                <w:color w:val="auto"/>
                <w:kern w:val="0"/>
                <w:szCs w:val="21"/>
                <w:highlight w:val="none"/>
                <w:lang w:bidi="ar"/>
              </w:rPr>
              <w:t>26 mm） ×2， 50 g (</w:t>
            </w:r>
            <w:r>
              <w:rPr>
                <w:rFonts w:hint="eastAsia" w:ascii="宋体" w:hAnsi="宋体"/>
                <w:i/>
                <w:iCs/>
                <w:color w:val="auto"/>
                <w:kern w:val="0"/>
                <w:szCs w:val="21"/>
                <w:highlight w:val="none"/>
                <w:lang w:bidi="ar"/>
              </w:rPr>
              <w:t>Φ</w:t>
            </w:r>
            <w:r>
              <w:rPr>
                <w:rFonts w:hint="eastAsia" w:ascii="宋体" w:hAnsi="宋体"/>
                <w:color w:val="auto"/>
                <w:kern w:val="0"/>
                <w:szCs w:val="21"/>
                <w:highlight w:val="none"/>
                <w:lang w:bidi="ar"/>
              </w:rPr>
              <w:t>30 mm） ×2，200 g (</w:t>
            </w:r>
            <w:r>
              <w:rPr>
                <w:rFonts w:hint="eastAsia" w:ascii="宋体" w:hAnsi="宋体"/>
                <w:i/>
                <w:iCs/>
                <w:color w:val="auto"/>
                <w:kern w:val="0"/>
                <w:szCs w:val="21"/>
                <w:highlight w:val="none"/>
                <w:lang w:bidi="ar"/>
              </w:rPr>
              <w:t>Φ</w:t>
            </w:r>
            <w:r>
              <w:rPr>
                <w:rFonts w:hint="eastAsia" w:ascii="宋体" w:hAnsi="宋体"/>
                <w:color w:val="auto"/>
                <w:kern w:val="0"/>
                <w:szCs w:val="21"/>
                <w:highlight w:val="none"/>
                <w:lang w:bidi="ar"/>
              </w:rPr>
              <w:t>48 mm） ×1， 允许误差：10 g±0.1 g，20 g±0.2 g，50 g ±0.5 g，200 g ±2.0 g</w:t>
            </w:r>
          </w:p>
        </w:tc>
        <w:tc>
          <w:tcPr>
            <w:tcW w:w="863" w:type="dxa"/>
            <w:gridSpan w:val="4"/>
            <w:vAlign w:val="center"/>
          </w:tcPr>
          <w:p w14:paraId="035721E3">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套</w:t>
            </w:r>
          </w:p>
        </w:tc>
        <w:tc>
          <w:tcPr>
            <w:tcW w:w="925" w:type="dxa"/>
            <w:gridSpan w:val="3"/>
            <w:vAlign w:val="center"/>
          </w:tcPr>
          <w:p w14:paraId="40BBC2BA">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13</w:t>
            </w:r>
          </w:p>
        </w:tc>
      </w:tr>
      <w:tr w14:paraId="219465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3536A6FB">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75</w:t>
            </w:r>
          </w:p>
        </w:tc>
        <w:tc>
          <w:tcPr>
            <w:tcW w:w="1227" w:type="dxa"/>
            <w:vAlign w:val="center"/>
          </w:tcPr>
          <w:p w14:paraId="0CB0B1B2">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摩擦力实验器</w:t>
            </w:r>
          </w:p>
        </w:tc>
        <w:tc>
          <w:tcPr>
            <w:tcW w:w="6167" w:type="dxa"/>
            <w:vAlign w:val="center"/>
          </w:tcPr>
          <w:p w14:paraId="719DAA37">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由摩擦板、摩擦块、摩擦材料、匀速电机、 定滑轮、测力计、测力计支架、细绳、钩码 等组成。提供同一种材料 3 种不同粗糙程度 的摩擦面，同种材料、相同粗糙程度的不同 面积的摩擦面。摩擦板不小于 800 mm×100 mm ×10 mm，平面度误差不大于 0.6 mm，质地 坚硬，表面均匀。摩擦块尺寸不小于 110 mm ×50 mm×35 mm，两摩擦面平面度误差应不 大于 0.1 mm，侧面有挂钩。电机拉动速度 0~ 5 cm/s，可调节，可显示。匀速运动速度误 差≤±5%</w:t>
            </w:r>
          </w:p>
        </w:tc>
        <w:tc>
          <w:tcPr>
            <w:tcW w:w="863" w:type="dxa"/>
            <w:gridSpan w:val="4"/>
            <w:vAlign w:val="center"/>
          </w:tcPr>
          <w:p w14:paraId="4897F4CB">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套</w:t>
            </w:r>
          </w:p>
        </w:tc>
        <w:tc>
          <w:tcPr>
            <w:tcW w:w="925" w:type="dxa"/>
            <w:gridSpan w:val="3"/>
            <w:vAlign w:val="center"/>
          </w:tcPr>
          <w:p w14:paraId="0896F07B">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13</w:t>
            </w:r>
          </w:p>
        </w:tc>
      </w:tr>
      <w:tr w14:paraId="6B08C5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54FDBF96">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76</w:t>
            </w:r>
          </w:p>
        </w:tc>
        <w:tc>
          <w:tcPr>
            <w:tcW w:w="1227" w:type="dxa"/>
            <w:vAlign w:val="center"/>
          </w:tcPr>
          <w:p w14:paraId="25ABCE30">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运动和力实验器</w:t>
            </w:r>
          </w:p>
        </w:tc>
        <w:tc>
          <w:tcPr>
            <w:tcW w:w="6167" w:type="dxa"/>
            <w:vAlign w:val="center"/>
          </w:tcPr>
          <w:p w14:paraId="4B11C21B">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包括小车（车轮直径≥2 cm）、平面板、过 渡片、斜面板、挡板、支架、3 个小球及空 盒、3 种不同阻力的平面等；平面板长度不 小于 800 mm，宽度不小于 120 mm；斜面与平 面连接平滑，不铺摩擦材料与铺摩擦材料的 情况下，小车运动距离相差应不小于 80 mm； 铺两种不同的摩擦材料，小车运动距离相差 应不小于 40 mm</w:t>
            </w:r>
          </w:p>
        </w:tc>
        <w:tc>
          <w:tcPr>
            <w:tcW w:w="863" w:type="dxa"/>
            <w:gridSpan w:val="4"/>
            <w:vAlign w:val="center"/>
          </w:tcPr>
          <w:p w14:paraId="03506845">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套</w:t>
            </w:r>
          </w:p>
        </w:tc>
        <w:tc>
          <w:tcPr>
            <w:tcW w:w="925" w:type="dxa"/>
            <w:gridSpan w:val="3"/>
            <w:vAlign w:val="center"/>
          </w:tcPr>
          <w:p w14:paraId="3EBCC61B">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0257ED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4A92E82A">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77</w:t>
            </w:r>
          </w:p>
        </w:tc>
        <w:tc>
          <w:tcPr>
            <w:tcW w:w="1227" w:type="dxa"/>
            <w:vAlign w:val="center"/>
          </w:tcPr>
          <w:p w14:paraId="00E1671B">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惯性演示器</w:t>
            </w:r>
          </w:p>
        </w:tc>
        <w:tc>
          <w:tcPr>
            <w:tcW w:w="6167" w:type="dxa"/>
            <w:vAlign w:val="center"/>
          </w:tcPr>
          <w:p w14:paraId="623D3419">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观察的物体应能收回，成功率不小于 98%</w:t>
            </w:r>
          </w:p>
        </w:tc>
        <w:tc>
          <w:tcPr>
            <w:tcW w:w="863" w:type="dxa"/>
            <w:gridSpan w:val="4"/>
            <w:vAlign w:val="center"/>
          </w:tcPr>
          <w:p w14:paraId="61049340">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套</w:t>
            </w:r>
          </w:p>
        </w:tc>
        <w:tc>
          <w:tcPr>
            <w:tcW w:w="925" w:type="dxa"/>
            <w:gridSpan w:val="3"/>
            <w:vAlign w:val="center"/>
          </w:tcPr>
          <w:p w14:paraId="0791E056">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0221E5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024AB1E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78</w:t>
            </w:r>
          </w:p>
        </w:tc>
        <w:tc>
          <w:tcPr>
            <w:tcW w:w="1227" w:type="dxa"/>
            <w:vAlign w:val="center"/>
          </w:tcPr>
          <w:p w14:paraId="0697E25C">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阿基米德原理实验器</w:t>
            </w:r>
          </w:p>
        </w:tc>
        <w:tc>
          <w:tcPr>
            <w:tcW w:w="6167" w:type="dxa"/>
            <w:vAlign w:val="center"/>
          </w:tcPr>
          <w:p w14:paraId="0BD39C11">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包括筒、圆柱体、溢液杯、低重心浮筒、低 重心浮筒配重等</w:t>
            </w:r>
          </w:p>
        </w:tc>
        <w:tc>
          <w:tcPr>
            <w:tcW w:w="863" w:type="dxa"/>
            <w:gridSpan w:val="4"/>
            <w:vAlign w:val="center"/>
          </w:tcPr>
          <w:p w14:paraId="5016F04F">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套</w:t>
            </w:r>
          </w:p>
        </w:tc>
        <w:tc>
          <w:tcPr>
            <w:tcW w:w="925" w:type="dxa"/>
            <w:gridSpan w:val="3"/>
            <w:vAlign w:val="center"/>
          </w:tcPr>
          <w:p w14:paraId="1B0DF94E">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13</w:t>
            </w:r>
          </w:p>
        </w:tc>
      </w:tr>
      <w:tr w14:paraId="1814BB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695C0027">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79</w:t>
            </w:r>
          </w:p>
        </w:tc>
        <w:tc>
          <w:tcPr>
            <w:tcW w:w="1227" w:type="dxa"/>
            <w:vAlign w:val="center"/>
          </w:tcPr>
          <w:p w14:paraId="097EC45F">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浮力原理演示器</w:t>
            </w:r>
          </w:p>
        </w:tc>
        <w:tc>
          <w:tcPr>
            <w:tcW w:w="6167" w:type="dxa"/>
            <w:vAlign w:val="center"/>
          </w:tcPr>
          <w:p w14:paraId="5F401FB7">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由透明的大水箱、小水箱、排气管、浮体、 连通管（A、B）、控制阀和支架组成。连通 管 A 中部装有阀门，浮体放在小水箱上口， 从周围缓缓加入水，浮体不浮起；打开阀门， 使水面从小水箱中向浮体底部缓缓上升，当 接触浮体底部时浮体上浮</w:t>
            </w:r>
          </w:p>
        </w:tc>
        <w:tc>
          <w:tcPr>
            <w:tcW w:w="863" w:type="dxa"/>
            <w:gridSpan w:val="4"/>
            <w:vAlign w:val="center"/>
          </w:tcPr>
          <w:p w14:paraId="3A0D99F4">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套</w:t>
            </w:r>
          </w:p>
        </w:tc>
        <w:tc>
          <w:tcPr>
            <w:tcW w:w="925" w:type="dxa"/>
            <w:gridSpan w:val="3"/>
            <w:vAlign w:val="center"/>
          </w:tcPr>
          <w:p w14:paraId="36D803C0">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2BC8E8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6E7C8737">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80</w:t>
            </w:r>
          </w:p>
        </w:tc>
        <w:tc>
          <w:tcPr>
            <w:tcW w:w="1227" w:type="dxa"/>
            <w:vAlign w:val="center"/>
          </w:tcPr>
          <w:p w14:paraId="3A5C2C90">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气体浮力演示器</w:t>
            </w:r>
          </w:p>
        </w:tc>
        <w:tc>
          <w:tcPr>
            <w:tcW w:w="6167" w:type="dxa"/>
            <w:vAlign w:val="center"/>
          </w:tcPr>
          <w:p w14:paraId="7D265338">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抽气式</w:t>
            </w:r>
          </w:p>
        </w:tc>
        <w:tc>
          <w:tcPr>
            <w:tcW w:w="863" w:type="dxa"/>
            <w:gridSpan w:val="4"/>
            <w:vAlign w:val="center"/>
          </w:tcPr>
          <w:p w14:paraId="4253936A">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套</w:t>
            </w:r>
          </w:p>
        </w:tc>
        <w:tc>
          <w:tcPr>
            <w:tcW w:w="925" w:type="dxa"/>
            <w:gridSpan w:val="3"/>
            <w:vAlign w:val="center"/>
          </w:tcPr>
          <w:p w14:paraId="1B4B1DF4">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066052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55853AA0">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81</w:t>
            </w:r>
          </w:p>
        </w:tc>
        <w:tc>
          <w:tcPr>
            <w:tcW w:w="1227" w:type="dxa"/>
            <w:vAlign w:val="center"/>
          </w:tcPr>
          <w:p w14:paraId="7326E5BD">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物体浮沉条件演示器</w:t>
            </w:r>
          </w:p>
        </w:tc>
        <w:tc>
          <w:tcPr>
            <w:tcW w:w="6167" w:type="dxa"/>
            <w:vAlign w:val="center"/>
          </w:tcPr>
          <w:p w14:paraId="364866CB">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由透明盛液筒（内径≥95 mm，深度≥285 mm）、 浮体及附件（U 形杯、叉子、注射器、密度 计）组成；悬浮应有微调，浮体可处于漂浮、 悬浮、下沉三种状态</w:t>
            </w:r>
          </w:p>
        </w:tc>
        <w:tc>
          <w:tcPr>
            <w:tcW w:w="863" w:type="dxa"/>
            <w:gridSpan w:val="4"/>
            <w:vAlign w:val="center"/>
          </w:tcPr>
          <w:p w14:paraId="129C3937">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套</w:t>
            </w:r>
          </w:p>
        </w:tc>
        <w:tc>
          <w:tcPr>
            <w:tcW w:w="925" w:type="dxa"/>
            <w:gridSpan w:val="3"/>
            <w:vAlign w:val="center"/>
          </w:tcPr>
          <w:p w14:paraId="0E4BA0B1">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424BEC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383BC628">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82</w:t>
            </w:r>
          </w:p>
        </w:tc>
        <w:tc>
          <w:tcPr>
            <w:tcW w:w="1227" w:type="dxa"/>
            <w:vAlign w:val="center"/>
          </w:tcPr>
          <w:p w14:paraId="682DC445">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潜水艇浮沉演示器</w:t>
            </w:r>
          </w:p>
        </w:tc>
        <w:tc>
          <w:tcPr>
            <w:tcW w:w="6167" w:type="dxa"/>
            <w:vAlign w:val="center"/>
          </w:tcPr>
          <w:p w14:paraId="3ECF7FCE">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由潜水艇模型、注射器、软乳胶管组成；潜 水艇模型中间为透明气室，顶部有吸排气孔， 下端有进水孔，用注射器控制沉浮；能连续 完成下沉、上浮交替动作不小于 2 次，悬浮 时倾斜不超过 10。</w:t>
            </w:r>
          </w:p>
        </w:tc>
        <w:tc>
          <w:tcPr>
            <w:tcW w:w="863" w:type="dxa"/>
            <w:gridSpan w:val="4"/>
            <w:vAlign w:val="center"/>
          </w:tcPr>
          <w:p w14:paraId="3966DB87">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套</w:t>
            </w:r>
          </w:p>
        </w:tc>
        <w:tc>
          <w:tcPr>
            <w:tcW w:w="925" w:type="dxa"/>
            <w:gridSpan w:val="3"/>
            <w:vAlign w:val="center"/>
          </w:tcPr>
          <w:p w14:paraId="3A008DC7">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65FE3D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75CD0D92">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83</w:t>
            </w:r>
          </w:p>
        </w:tc>
        <w:tc>
          <w:tcPr>
            <w:tcW w:w="1227" w:type="dxa"/>
            <w:vAlign w:val="center"/>
          </w:tcPr>
          <w:p w14:paraId="568E9332">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压力和压强演示器</w:t>
            </w:r>
          </w:p>
        </w:tc>
        <w:tc>
          <w:tcPr>
            <w:tcW w:w="6167" w:type="dxa"/>
            <w:vAlign w:val="center"/>
          </w:tcPr>
          <w:p w14:paraId="36B1DA6D">
            <w:pPr>
              <w:widowControl/>
              <w:numPr>
                <w:ilvl w:val="0"/>
                <w:numId w:val="202"/>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产品由海绵块1块，桌面板1块，支撑脚4只组成。</w:t>
            </w:r>
          </w:p>
          <w:p w14:paraId="60156BB3">
            <w:pPr>
              <w:widowControl/>
              <w:numPr>
                <w:ilvl w:val="0"/>
                <w:numId w:val="202"/>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海绵块选用细密度，强弹性海绵，有效尺寸不小于200×100×50mm.</w:t>
            </w:r>
          </w:p>
          <w:p w14:paraId="30D1A5A5">
            <w:pPr>
              <w:widowControl/>
              <w:numPr>
                <w:ilvl w:val="0"/>
                <w:numId w:val="202"/>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桌面板外形尺寸≥200×100×6±0.5mm。ABS工程塑料制作。</w:t>
            </w:r>
          </w:p>
          <w:p w14:paraId="75CC68D4">
            <w:pPr>
              <w:widowControl/>
              <w:numPr>
                <w:ilvl w:val="0"/>
                <w:numId w:val="202"/>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支撑脚最小部位直径≥5±0.2mm，有效高度≥95±0.5mm，ABS工程塑料制作。</w:t>
            </w:r>
          </w:p>
          <w:p w14:paraId="3DDE8E91">
            <w:pPr>
              <w:widowControl/>
              <w:numPr>
                <w:ilvl w:val="0"/>
                <w:numId w:val="202"/>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组合后的小桌有效尺寸≥200×100×100±2mm。摆放平稳，外形美观、大方。</w:t>
            </w:r>
          </w:p>
          <w:p w14:paraId="1E102CC4">
            <w:pPr>
              <w:widowControl/>
              <w:numPr>
                <w:ilvl w:val="0"/>
                <w:numId w:val="202"/>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教学仪器设备产品的外观要造型美观、色彩协调、规整光洁。表面不应有明显的擦伤、划痕和碰撞的坑疤。产品的面板要规整清洁，色调柔和，文字、字母、符号应规范，字迹清晰，标题醒目且不易脱落。表面不应有擦伤、划痕和污渍。塑料件表面应平整清洁，不应有划痕、溶迹、缩迹，不应有气泡、烧粉和夹生，边缘不应有毛刺、变形、破边和凹凸不平，不应有明显的浇口飞边。</w:t>
            </w:r>
          </w:p>
          <w:p w14:paraId="6D9217BE">
            <w:pPr>
              <w:widowControl/>
              <w:numPr>
                <w:ilvl w:val="0"/>
                <w:numId w:val="202"/>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教学仪器设备产品的外观要造型美观、色彩协调、规整光洁。表面不应有明显的擦伤、划痕和碰撞的坑疤。塑料件表面应平整清洁，不应有划痕、溶迹、缩迹，不应有气泡、烧粉和夹生，边缘不应有毛刺、变形、破边和凹凸不平，不应有明显的浇口飞边。产品应符合JY 0001-2003《教学仪器设备产品的一般质量要求》的标准。</w:t>
            </w:r>
          </w:p>
        </w:tc>
        <w:tc>
          <w:tcPr>
            <w:tcW w:w="863" w:type="dxa"/>
            <w:gridSpan w:val="4"/>
            <w:vAlign w:val="center"/>
          </w:tcPr>
          <w:p w14:paraId="18A5CB3D">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套</w:t>
            </w:r>
          </w:p>
        </w:tc>
        <w:tc>
          <w:tcPr>
            <w:tcW w:w="925" w:type="dxa"/>
            <w:gridSpan w:val="3"/>
            <w:vAlign w:val="center"/>
          </w:tcPr>
          <w:p w14:paraId="2B729656">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755A8B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6586824A">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84</w:t>
            </w:r>
          </w:p>
        </w:tc>
        <w:tc>
          <w:tcPr>
            <w:tcW w:w="1227" w:type="dxa"/>
            <w:vAlign w:val="center"/>
          </w:tcPr>
          <w:p w14:paraId="744143F8">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压力作用效果演示器</w:t>
            </w:r>
          </w:p>
        </w:tc>
        <w:tc>
          <w:tcPr>
            <w:tcW w:w="6167" w:type="dxa"/>
            <w:vAlign w:val="center"/>
          </w:tcPr>
          <w:p w14:paraId="06D9814D">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由 3 组规格相同的长方体金属块、带刻度的  透明长方体容器、硬海绵块组成；跟金属块  的 3 个面积对应的 3 块海绵应受力形变均匀； 透明塑料盒带刻度，金属块和海绵方便取出</w:t>
            </w:r>
          </w:p>
        </w:tc>
        <w:tc>
          <w:tcPr>
            <w:tcW w:w="863" w:type="dxa"/>
            <w:gridSpan w:val="4"/>
            <w:vAlign w:val="center"/>
          </w:tcPr>
          <w:p w14:paraId="6142125B">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套</w:t>
            </w:r>
          </w:p>
        </w:tc>
        <w:tc>
          <w:tcPr>
            <w:tcW w:w="925" w:type="dxa"/>
            <w:gridSpan w:val="3"/>
            <w:vAlign w:val="center"/>
          </w:tcPr>
          <w:p w14:paraId="3EC70D6B">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36B87C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2DB8C1F3">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85</w:t>
            </w:r>
          </w:p>
        </w:tc>
        <w:tc>
          <w:tcPr>
            <w:tcW w:w="1227" w:type="dxa"/>
            <w:vAlign w:val="center"/>
          </w:tcPr>
          <w:p w14:paraId="23F54FBC">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液体内部压强实验器</w:t>
            </w:r>
          </w:p>
        </w:tc>
        <w:tc>
          <w:tcPr>
            <w:tcW w:w="6167" w:type="dxa"/>
            <w:vAlign w:val="center"/>
          </w:tcPr>
          <w:p w14:paraId="1500AB94">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由承压盒、支杆、过渡接头、硅橡胶管、硅 橡胶膜组成；承压盒内径</w:t>
            </w:r>
            <w:r>
              <w:rPr>
                <w:rFonts w:hint="eastAsia" w:ascii="宋体" w:hAnsi="宋体"/>
                <w:i/>
                <w:iCs/>
                <w:color w:val="auto"/>
                <w:kern w:val="0"/>
                <w:szCs w:val="21"/>
                <w:highlight w:val="none"/>
                <w:lang w:bidi="ar"/>
              </w:rPr>
              <w:t>Φ</w:t>
            </w:r>
            <w:r>
              <w:rPr>
                <w:rFonts w:hint="eastAsia" w:ascii="宋体" w:hAnsi="宋体"/>
                <w:color w:val="auto"/>
                <w:kern w:val="0"/>
                <w:szCs w:val="21"/>
                <w:highlight w:val="none"/>
                <w:lang w:bidi="ar"/>
              </w:rPr>
              <w:t>36 mm～</w:t>
            </w:r>
            <w:r>
              <w:rPr>
                <w:rFonts w:hint="eastAsia" w:ascii="宋体" w:hAnsi="宋体"/>
                <w:i/>
                <w:iCs/>
                <w:color w:val="auto"/>
                <w:kern w:val="0"/>
                <w:szCs w:val="21"/>
                <w:highlight w:val="none"/>
                <w:lang w:bidi="ar"/>
              </w:rPr>
              <w:t>Φ</w:t>
            </w:r>
            <w:r>
              <w:rPr>
                <w:rFonts w:hint="eastAsia" w:ascii="宋体" w:hAnsi="宋体"/>
                <w:color w:val="auto"/>
                <w:kern w:val="0"/>
                <w:szCs w:val="21"/>
                <w:highlight w:val="none"/>
                <w:lang w:bidi="ar"/>
              </w:rPr>
              <w:t>38 mm， 硅橡胶膜厚≥ 0.5 mm，支杆长度不小于 300 mm， 有手动转动机构，有标尺</w:t>
            </w:r>
          </w:p>
        </w:tc>
        <w:tc>
          <w:tcPr>
            <w:tcW w:w="863" w:type="dxa"/>
            <w:gridSpan w:val="4"/>
            <w:vAlign w:val="center"/>
          </w:tcPr>
          <w:p w14:paraId="55C2FCCB">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套</w:t>
            </w:r>
          </w:p>
        </w:tc>
        <w:tc>
          <w:tcPr>
            <w:tcW w:w="925" w:type="dxa"/>
            <w:gridSpan w:val="3"/>
            <w:vAlign w:val="center"/>
          </w:tcPr>
          <w:p w14:paraId="3468E225">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1CBEF0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5E90437B">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86</w:t>
            </w:r>
          </w:p>
        </w:tc>
        <w:tc>
          <w:tcPr>
            <w:tcW w:w="1227" w:type="dxa"/>
            <w:vAlign w:val="center"/>
          </w:tcPr>
          <w:p w14:paraId="5F79C057">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微小压强计</w:t>
            </w:r>
          </w:p>
        </w:tc>
        <w:tc>
          <w:tcPr>
            <w:tcW w:w="6167" w:type="dxa"/>
            <w:vAlign w:val="center"/>
          </w:tcPr>
          <w:p w14:paraId="5CD4B0B5">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由 U 形管、标度板、三通连接管、硅橡胶管、 弹簧止水夹和连有塑料管的注射器组成；U 形管外径≥6 mm，高不小于 380 mm，能沿标度 方向移动不小于 10 mm，能固定；标尺长≥300 mm，0 分度在中间，最小分度线为 5 mm；系 统气密性好</w:t>
            </w:r>
          </w:p>
        </w:tc>
        <w:tc>
          <w:tcPr>
            <w:tcW w:w="863" w:type="dxa"/>
            <w:gridSpan w:val="4"/>
            <w:vAlign w:val="center"/>
          </w:tcPr>
          <w:p w14:paraId="668BE731">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台</w:t>
            </w:r>
          </w:p>
        </w:tc>
        <w:tc>
          <w:tcPr>
            <w:tcW w:w="925" w:type="dxa"/>
            <w:gridSpan w:val="3"/>
            <w:vAlign w:val="center"/>
          </w:tcPr>
          <w:p w14:paraId="20314208">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0B5C33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64258514">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87</w:t>
            </w:r>
          </w:p>
        </w:tc>
        <w:tc>
          <w:tcPr>
            <w:tcW w:w="1227" w:type="dxa"/>
            <w:vAlign w:val="center"/>
          </w:tcPr>
          <w:p w14:paraId="0E6F3FFD">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透明盛液筒</w:t>
            </w:r>
          </w:p>
        </w:tc>
        <w:tc>
          <w:tcPr>
            <w:tcW w:w="6167" w:type="dxa"/>
            <w:vAlign w:val="center"/>
          </w:tcPr>
          <w:p w14:paraId="5CF679B7">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高≥300 mm±5 mm，筒底外径≥110 mm，壁厚 ≥1.5 mm。筒身有深度标尺，标尺长≥250 mm， 分度值 1 mm，透光率应≥90%</w:t>
            </w:r>
          </w:p>
        </w:tc>
        <w:tc>
          <w:tcPr>
            <w:tcW w:w="863" w:type="dxa"/>
            <w:gridSpan w:val="4"/>
            <w:vAlign w:val="center"/>
          </w:tcPr>
          <w:p w14:paraId="76A85325">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25" w:type="dxa"/>
            <w:gridSpan w:val="3"/>
            <w:vAlign w:val="center"/>
          </w:tcPr>
          <w:p w14:paraId="328AA156">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541906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6B3014AE">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88</w:t>
            </w:r>
          </w:p>
        </w:tc>
        <w:tc>
          <w:tcPr>
            <w:tcW w:w="1227" w:type="dxa"/>
            <w:vAlign w:val="center"/>
          </w:tcPr>
          <w:p w14:paraId="2E9641FC">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液体对器壁压强演示器</w:t>
            </w:r>
          </w:p>
        </w:tc>
        <w:tc>
          <w:tcPr>
            <w:tcW w:w="6167" w:type="dxa"/>
            <w:vAlign w:val="center"/>
          </w:tcPr>
          <w:p w14:paraId="556E343E">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透明圆筒壁同一直线上不同高度处应有 3 个 喷嘴，对面应有 1 个喷嘴；配 4 个喷嘴塞或 盖，有表示深度的标尺</w:t>
            </w:r>
          </w:p>
        </w:tc>
        <w:tc>
          <w:tcPr>
            <w:tcW w:w="863" w:type="dxa"/>
            <w:gridSpan w:val="4"/>
            <w:vAlign w:val="center"/>
          </w:tcPr>
          <w:p w14:paraId="7FD7043D">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台</w:t>
            </w:r>
          </w:p>
        </w:tc>
        <w:tc>
          <w:tcPr>
            <w:tcW w:w="925" w:type="dxa"/>
            <w:gridSpan w:val="3"/>
            <w:vAlign w:val="center"/>
          </w:tcPr>
          <w:p w14:paraId="76CA9091">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64768C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5F2DB235">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89</w:t>
            </w:r>
          </w:p>
        </w:tc>
        <w:tc>
          <w:tcPr>
            <w:tcW w:w="1227" w:type="dxa"/>
            <w:vAlign w:val="center"/>
          </w:tcPr>
          <w:p w14:paraId="771A9216">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连通器</w:t>
            </w:r>
          </w:p>
        </w:tc>
        <w:tc>
          <w:tcPr>
            <w:tcW w:w="6167" w:type="dxa"/>
            <w:vAlign w:val="center"/>
          </w:tcPr>
          <w:p w14:paraId="51635957">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由粗直管、细直管、细弯折管、细带球管等 组成，尺寸 210 mm×210 mm×120 mm，底座 应平稳；粗管外径 30 mm，细管外径 12 mm， 无色透明材料透光率≥90%</w:t>
            </w:r>
          </w:p>
        </w:tc>
        <w:tc>
          <w:tcPr>
            <w:tcW w:w="863" w:type="dxa"/>
            <w:gridSpan w:val="4"/>
            <w:vAlign w:val="center"/>
          </w:tcPr>
          <w:p w14:paraId="6B67487A">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25" w:type="dxa"/>
            <w:gridSpan w:val="3"/>
            <w:vAlign w:val="center"/>
          </w:tcPr>
          <w:p w14:paraId="74546368">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2545CF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330B714B">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90</w:t>
            </w:r>
          </w:p>
        </w:tc>
        <w:tc>
          <w:tcPr>
            <w:tcW w:w="1227" w:type="dxa"/>
            <w:vAlign w:val="center"/>
          </w:tcPr>
          <w:p w14:paraId="59062A9A">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乳胶管</w:t>
            </w:r>
          </w:p>
        </w:tc>
        <w:tc>
          <w:tcPr>
            <w:tcW w:w="6167" w:type="dxa"/>
            <w:vAlign w:val="center"/>
          </w:tcPr>
          <w:p w14:paraId="5C9D4669">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外径≥9 mm、内径≥6 mm，拉伸强度≥21 MPa， 扯断伸长率≥700%</w:t>
            </w:r>
          </w:p>
        </w:tc>
        <w:tc>
          <w:tcPr>
            <w:tcW w:w="863" w:type="dxa"/>
            <w:gridSpan w:val="4"/>
            <w:vAlign w:val="center"/>
          </w:tcPr>
          <w:p w14:paraId="18A31CA3">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m</w:t>
            </w:r>
          </w:p>
        </w:tc>
        <w:tc>
          <w:tcPr>
            <w:tcW w:w="925" w:type="dxa"/>
            <w:gridSpan w:val="3"/>
            <w:vAlign w:val="center"/>
          </w:tcPr>
          <w:p w14:paraId="448E61AC">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w:t>
            </w:r>
          </w:p>
        </w:tc>
      </w:tr>
      <w:tr w14:paraId="6C5D35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0240423C">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91</w:t>
            </w:r>
          </w:p>
        </w:tc>
        <w:tc>
          <w:tcPr>
            <w:tcW w:w="1227" w:type="dxa"/>
            <w:vAlign w:val="center"/>
          </w:tcPr>
          <w:p w14:paraId="7639BBD4">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乳胶管</w:t>
            </w:r>
          </w:p>
        </w:tc>
        <w:tc>
          <w:tcPr>
            <w:tcW w:w="6167" w:type="dxa"/>
            <w:vAlign w:val="center"/>
          </w:tcPr>
          <w:p w14:paraId="1FE7B186">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外径≥6 mm、内径≥4 mm，拉伸强度≥21 MPa， 扯断伸长率≥700%</w:t>
            </w:r>
          </w:p>
        </w:tc>
        <w:tc>
          <w:tcPr>
            <w:tcW w:w="863" w:type="dxa"/>
            <w:gridSpan w:val="4"/>
            <w:vAlign w:val="center"/>
          </w:tcPr>
          <w:p w14:paraId="169235AD">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m</w:t>
            </w:r>
          </w:p>
        </w:tc>
        <w:tc>
          <w:tcPr>
            <w:tcW w:w="925" w:type="dxa"/>
            <w:gridSpan w:val="3"/>
            <w:vAlign w:val="center"/>
          </w:tcPr>
          <w:p w14:paraId="0221F914">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w:t>
            </w:r>
          </w:p>
        </w:tc>
      </w:tr>
      <w:tr w14:paraId="5BAC84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4EE6DD62">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92</w:t>
            </w:r>
          </w:p>
        </w:tc>
        <w:tc>
          <w:tcPr>
            <w:tcW w:w="1227" w:type="dxa"/>
            <w:vAlign w:val="center"/>
          </w:tcPr>
          <w:p w14:paraId="09C7E194">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马德堡半球</w:t>
            </w:r>
          </w:p>
        </w:tc>
        <w:tc>
          <w:tcPr>
            <w:tcW w:w="6167" w:type="dxa"/>
            <w:vAlign w:val="center"/>
          </w:tcPr>
          <w:p w14:paraId="5425B099">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由半球、拉手、气嘴、阀门、橡胶管 2 根以 及底座等组成；球体外径应≥80 mm，气嘴外 径 8 mm</w:t>
            </w:r>
          </w:p>
        </w:tc>
        <w:tc>
          <w:tcPr>
            <w:tcW w:w="863" w:type="dxa"/>
            <w:gridSpan w:val="4"/>
            <w:vAlign w:val="center"/>
          </w:tcPr>
          <w:p w14:paraId="44F4C283">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套</w:t>
            </w:r>
          </w:p>
        </w:tc>
        <w:tc>
          <w:tcPr>
            <w:tcW w:w="925" w:type="dxa"/>
            <w:gridSpan w:val="3"/>
            <w:vAlign w:val="center"/>
          </w:tcPr>
          <w:p w14:paraId="7CD6E8C3">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6BA2C6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04638ECC">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93</w:t>
            </w:r>
          </w:p>
        </w:tc>
        <w:tc>
          <w:tcPr>
            <w:tcW w:w="1227" w:type="dxa"/>
            <w:vAlign w:val="center"/>
          </w:tcPr>
          <w:p w14:paraId="7A69E45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空盒气压计</w:t>
            </w:r>
          </w:p>
        </w:tc>
        <w:tc>
          <w:tcPr>
            <w:tcW w:w="6167" w:type="dxa"/>
            <w:vAlign w:val="center"/>
          </w:tcPr>
          <w:p w14:paraId="4B6A2C08">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DYM3 型，量程 870 hPa～1050 hPa，整 10 hPa 点示值误差不应超过±0.7 hPa</w:t>
            </w:r>
          </w:p>
        </w:tc>
        <w:tc>
          <w:tcPr>
            <w:tcW w:w="863" w:type="dxa"/>
            <w:gridSpan w:val="4"/>
            <w:vAlign w:val="center"/>
          </w:tcPr>
          <w:p w14:paraId="432818EE">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台</w:t>
            </w:r>
          </w:p>
        </w:tc>
        <w:tc>
          <w:tcPr>
            <w:tcW w:w="925" w:type="dxa"/>
            <w:gridSpan w:val="3"/>
            <w:vAlign w:val="center"/>
          </w:tcPr>
          <w:p w14:paraId="74513D1F">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7A696B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5E9B4B34">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94</w:t>
            </w:r>
          </w:p>
        </w:tc>
        <w:tc>
          <w:tcPr>
            <w:tcW w:w="1227" w:type="dxa"/>
            <w:vAlign w:val="center"/>
          </w:tcPr>
          <w:p w14:paraId="06A0E34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流体压强与流速关系演示器</w:t>
            </w:r>
          </w:p>
        </w:tc>
        <w:tc>
          <w:tcPr>
            <w:tcW w:w="6167" w:type="dxa"/>
            <w:vAlign w:val="center"/>
          </w:tcPr>
          <w:p w14:paraId="653C0F61">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液体式，由液体流动管道、液体接入部件、 液体回收部件、压强观测部件 4 部分组成</w:t>
            </w:r>
          </w:p>
        </w:tc>
        <w:tc>
          <w:tcPr>
            <w:tcW w:w="863" w:type="dxa"/>
            <w:gridSpan w:val="4"/>
            <w:vAlign w:val="center"/>
          </w:tcPr>
          <w:p w14:paraId="4C26EE5B">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套</w:t>
            </w:r>
          </w:p>
        </w:tc>
        <w:tc>
          <w:tcPr>
            <w:tcW w:w="925" w:type="dxa"/>
            <w:gridSpan w:val="3"/>
            <w:vAlign w:val="center"/>
          </w:tcPr>
          <w:p w14:paraId="0C92E50A">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222BF1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39408BB0">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95</w:t>
            </w:r>
          </w:p>
        </w:tc>
        <w:tc>
          <w:tcPr>
            <w:tcW w:w="1227" w:type="dxa"/>
            <w:vAlign w:val="center"/>
          </w:tcPr>
          <w:p w14:paraId="7C3BB494">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飞机升力原理演示器</w:t>
            </w:r>
          </w:p>
        </w:tc>
        <w:tc>
          <w:tcPr>
            <w:tcW w:w="6167" w:type="dxa"/>
            <w:vAlign w:val="center"/>
          </w:tcPr>
          <w:p w14:paraId="198B8336">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由机翼模型（或飞机模型，硬质塑料制成）、 平行风源风机、底座、滑杆等组成，机翼下 表面水平；若有调速电位器的Ⅱ类电器，金 属外壳（以及与金属外壳相连的螺母）不应 露在外</w:t>
            </w:r>
          </w:p>
        </w:tc>
        <w:tc>
          <w:tcPr>
            <w:tcW w:w="863" w:type="dxa"/>
            <w:gridSpan w:val="4"/>
            <w:vAlign w:val="center"/>
          </w:tcPr>
          <w:p w14:paraId="18356265">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套</w:t>
            </w:r>
          </w:p>
        </w:tc>
        <w:tc>
          <w:tcPr>
            <w:tcW w:w="925" w:type="dxa"/>
            <w:gridSpan w:val="3"/>
            <w:vAlign w:val="center"/>
          </w:tcPr>
          <w:p w14:paraId="530C83DF">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162D4C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0AD426E2">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96</w:t>
            </w:r>
          </w:p>
        </w:tc>
        <w:tc>
          <w:tcPr>
            <w:tcW w:w="1227" w:type="dxa"/>
            <w:vAlign w:val="center"/>
          </w:tcPr>
          <w:p w14:paraId="07E469C5">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杠杆</w:t>
            </w:r>
          </w:p>
        </w:tc>
        <w:tc>
          <w:tcPr>
            <w:tcW w:w="6167" w:type="dxa"/>
            <w:vAlign w:val="center"/>
          </w:tcPr>
          <w:p w14:paraId="60BA70D9">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由杠杆、轴、调平装置和 6 个挂钩组成，挂 钩在标尺上能连续移动，杠杆长≥500 mm， 木杠杆尺端需包头加固</w:t>
            </w:r>
          </w:p>
        </w:tc>
        <w:tc>
          <w:tcPr>
            <w:tcW w:w="863" w:type="dxa"/>
            <w:gridSpan w:val="4"/>
            <w:vAlign w:val="center"/>
          </w:tcPr>
          <w:p w14:paraId="6B881D34">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套</w:t>
            </w:r>
          </w:p>
        </w:tc>
        <w:tc>
          <w:tcPr>
            <w:tcW w:w="925" w:type="dxa"/>
            <w:gridSpan w:val="3"/>
            <w:vAlign w:val="center"/>
          </w:tcPr>
          <w:p w14:paraId="5FD55511">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13</w:t>
            </w:r>
          </w:p>
        </w:tc>
      </w:tr>
      <w:tr w14:paraId="3BC4C8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62E4AC4B">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97</w:t>
            </w:r>
          </w:p>
        </w:tc>
        <w:tc>
          <w:tcPr>
            <w:tcW w:w="1227" w:type="dxa"/>
            <w:vAlign w:val="center"/>
          </w:tcPr>
          <w:p w14:paraId="79B2B2B4">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演示滑轮组</w:t>
            </w:r>
          </w:p>
        </w:tc>
        <w:tc>
          <w:tcPr>
            <w:tcW w:w="6167" w:type="dxa"/>
            <w:vAlign w:val="center"/>
          </w:tcPr>
          <w:p w14:paraId="577E8E16">
            <w:pPr>
              <w:widowControl/>
              <w:numPr>
                <w:ilvl w:val="0"/>
                <w:numId w:val="203"/>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演示滑轮组由以下配件组成:</w:t>
            </w:r>
          </w:p>
          <w:p w14:paraId="2D1DD502">
            <w:pPr>
              <w:widowControl/>
              <w:ind w:left="440"/>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1.1、单滑轮    2件</w:t>
            </w:r>
          </w:p>
          <w:p w14:paraId="6C818098">
            <w:pPr>
              <w:widowControl/>
              <w:ind w:left="440"/>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1.2、三并滑轮  2件</w:t>
            </w:r>
          </w:p>
          <w:p w14:paraId="3F2F4360">
            <w:pPr>
              <w:widowControl/>
              <w:ind w:left="440"/>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1.3、三串滑轮  2件</w:t>
            </w:r>
          </w:p>
          <w:p w14:paraId="133892F8">
            <w:pPr>
              <w:widowControl/>
              <w:ind w:left="440"/>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1.4、支杆滑轮  2件</w:t>
            </w:r>
          </w:p>
          <w:p w14:paraId="7C6AE671">
            <w:pPr>
              <w:widowControl/>
              <w:ind w:left="440"/>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1.5、塑料绳    1根</w:t>
            </w:r>
          </w:p>
          <w:p w14:paraId="2C177FA7">
            <w:pPr>
              <w:widowControl/>
              <w:numPr>
                <w:ilvl w:val="0"/>
                <w:numId w:val="203"/>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滑轮架：两端有对用的挂钩，滑轮用优质工程塑料ABS制作，有韧性。组合后应转动灵活、平稳。</w:t>
            </w:r>
          </w:p>
          <w:p w14:paraId="1C88F439">
            <w:pPr>
              <w:widowControl/>
              <w:numPr>
                <w:ilvl w:val="0"/>
                <w:numId w:val="203"/>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单滑轮直径75±0.2mm，厚度7±0.2mm，槽深不小于3mm。单个额定负荷不小于9.8N。</w:t>
            </w:r>
          </w:p>
          <w:p w14:paraId="4D0DFE48">
            <w:pPr>
              <w:widowControl/>
              <w:numPr>
                <w:ilvl w:val="0"/>
                <w:numId w:val="203"/>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三并滑轮直径75±0.2mm，厚度7±0.2mm，槽深不小于3mm。滑轮组装后应转动灵活，相应之间无卡死现象。额定负荷不小于19.6N。</w:t>
            </w:r>
          </w:p>
          <w:p w14:paraId="2CE0E640">
            <w:pPr>
              <w:widowControl/>
              <w:numPr>
                <w:ilvl w:val="0"/>
                <w:numId w:val="203"/>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三串滑轮：大滑轮直径75±2mm，中滑轮直径60±0.2mm，小滑轮直径40±0.2mm，滑轮厚度7±0.2mm，槽深均不小于3mm，组装后应转动灵活。相互间无碰擦现象，额定负荷19.6N。</w:t>
            </w:r>
          </w:p>
          <w:p w14:paraId="4AEDF3C6">
            <w:pPr>
              <w:widowControl/>
              <w:numPr>
                <w:ilvl w:val="0"/>
                <w:numId w:val="203"/>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支杆滑轮：滑轮用优质工程塑料ABS制作，有韧性。额定负荷9.8N。</w:t>
            </w:r>
          </w:p>
          <w:p w14:paraId="25ADDA8F">
            <w:pPr>
              <w:widowControl/>
              <w:numPr>
                <w:ilvl w:val="0"/>
                <w:numId w:val="203"/>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教学仪器设备产品的外观要造型美观、色彩协调、规整光洁。表面不应有明显的擦伤、划痕和碰撞的坑疤。电镀层表面应致密、平滑、均匀，不应有气泡、针孔、毛刺、锈点、剥层、水迹和覆盖不严的地方，不应有树枝状和海绵状镀层，不应有斑点和条纹，镀件的边缘和棱角不得有粗糙的结晶烧痕。塑料件表面应平整清洁，不应有划痕、溶迹、缩迹，不应有气泡、烧粉和夹生，边缘不应有毛刺、变形、破边和凹凸不平，不应有明显的浇口飞边。冲压件不得有飞边、尖角和毛刺。应符合JY 0001-2003《教学仪器设备产品的一般质量要求》的标准。</w:t>
            </w:r>
          </w:p>
        </w:tc>
        <w:tc>
          <w:tcPr>
            <w:tcW w:w="863" w:type="dxa"/>
            <w:gridSpan w:val="4"/>
            <w:vAlign w:val="center"/>
          </w:tcPr>
          <w:p w14:paraId="19A65B72">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组</w:t>
            </w:r>
          </w:p>
        </w:tc>
        <w:tc>
          <w:tcPr>
            <w:tcW w:w="925" w:type="dxa"/>
            <w:gridSpan w:val="3"/>
            <w:vAlign w:val="center"/>
          </w:tcPr>
          <w:p w14:paraId="1E0EE06F">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48C240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07568A6E">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98</w:t>
            </w:r>
          </w:p>
        </w:tc>
        <w:tc>
          <w:tcPr>
            <w:tcW w:w="1227" w:type="dxa"/>
            <w:vAlign w:val="center"/>
          </w:tcPr>
          <w:p w14:paraId="1E094A2C">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滑轮组</w:t>
            </w:r>
          </w:p>
        </w:tc>
        <w:tc>
          <w:tcPr>
            <w:tcW w:w="6167" w:type="dxa"/>
            <w:vAlign w:val="center"/>
          </w:tcPr>
          <w:p w14:paraId="656F33E7">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由单滑轮 4 件、二并滑轮 2 件、二串滑轮 2 件、支杆滑轮 2 件构成，每个滑轮组中至少 有 1 个可止动滑轮，附滑轮绳；额定负荷： 单滑轮 9.8 N，串及并滑轮为 19.6 N，支杆 滑轮为 9.8 N；满负荷时，单、支杆滑轮的 效率不应低于 90％ ，并、串滑轮的效率不应 低于 75%</w:t>
            </w:r>
          </w:p>
        </w:tc>
        <w:tc>
          <w:tcPr>
            <w:tcW w:w="863" w:type="dxa"/>
            <w:gridSpan w:val="4"/>
            <w:vAlign w:val="center"/>
          </w:tcPr>
          <w:p w14:paraId="76270E6A">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组</w:t>
            </w:r>
          </w:p>
        </w:tc>
        <w:tc>
          <w:tcPr>
            <w:tcW w:w="925" w:type="dxa"/>
            <w:gridSpan w:val="3"/>
            <w:vAlign w:val="center"/>
          </w:tcPr>
          <w:p w14:paraId="5360EF1E">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13</w:t>
            </w:r>
          </w:p>
        </w:tc>
      </w:tr>
      <w:tr w14:paraId="11E5E8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5F2E1FA3">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99</w:t>
            </w:r>
          </w:p>
        </w:tc>
        <w:tc>
          <w:tcPr>
            <w:tcW w:w="1227" w:type="dxa"/>
            <w:vAlign w:val="center"/>
          </w:tcPr>
          <w:p w14:paraId="07809718">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音叉</w:t>
            </w:r>
          </w:p>
        </w:tc>
        <w:tc>
          <w:tcPr>
            <w:tcW w:w="6167" w:type="dxa"/>
            <w:vAlign w:val="center"/>
          </w:tcPr>
          <w:p w14:paraId="6B313641">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256 Hz±0.3 Hz；由音叉、共鸣箱、音叉槌 等组成；松木共鸣箱，尺寸 300 mm×80 mm ×40 mm；在环境噪声不大于 30 dB 的室内， 用音叉槌敲击音叉，距音叉 1000 mm 处声强 应不小于 90 dB</w:t>
            </w:r>
          </w:p>
        </w:tc>
        <w:tc>
          <w:tcPr>
            <w:tcW w:w="863" w:type="dxa"/>
            <w:gridSpan w:val="4"/>
            <w:vAlign w:val="center"/>
          </w:tcPr>
          <w:p w14:paraId="59FB40D7">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套</w:t>
            </w:r>
          </w:p>
        </w:tc>
        <w:tc>
          <w:tcPr>
            <w:tcW w:w="925" w:type="dxa"/>
            <w:gridSpan w:val="3"/>
            <w:vAlign w:val="center"/>
          </w:tcPr>
          <w:p w14:paraId="16F3613C">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5DB320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3C09EF94">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100</w:t>
            </w:r>
          </w:p>
        </w:tc>
        <w:tc>
          <w:tcPr>
            <w:tcW w:w="1227" w:type="dxa"/>
            <w:vAlign w:val="center"/>
          </w:tcPr>
          <w:p w14:paraId="6438CEB0">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空盒气压表</w:t>
            </w:r>
          </w:p>
        </w:tc>
        <w:tc>
          <w:tcPr>
            <w:tcW w:w="6167" w:type="dxa"/>
            <w:vAlign w:val="center"/>
          </w:tcPr>
          <w:p w14:paraId="725E328A">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512 Hz±0.4 Hz；由音叉、共鸣箱、音叉槌 等组成；松木共鸣箱，尺寸 140 mm×80 mm ×40 mm；在环境噪声不大于 30 dB 的室内， 用音叉槌敲击音叉，距音叉 1000 mm 处声强 应不小于 90 dB</w:t>
            </w:r>
          </w:p>
        </w:tc>
        <w:tc>
          <w:tcPr>
            <w:tcW w:w="863" w:type="dxa"/>
            <w:gridSpan w:val="4"/>
            <w:vAlign w:val="center"/>
          </w:tcPr>
          <w:p w14:paraId="22C5DAF6">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套</w:t>
            </w:r>
          </w:p>
        </w:tc>
        <w:tc>
          <w:tcPr>
            <w:tcW w:w="925" w:type="dxa"/>
            <w:gridSpan w:val="3"/>
            <w:vAlign w:val="center"/>
          </w:tcPr>
          <w:p w14:paraId="1B6DC88A">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45B927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3BEB702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101</w:t>
            </w:r>
          </w:p>
        </w:tc>
        <w:tc>
          <w:tcPr>
            <w:tcW w:w="1227" w:type="dxa"/>
            <w:vAlign w:val="center"/>
          </w:tcPr>
          <w:p w14:paraId="523A993A">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电铃</w:t>
            </w:r>
          </w:p>
        </w:tc>
        <w:tc>
          <w:tcPr>
            <w:tcW w:w="6167" w:type="dxa"/>
            <w:vAlign w:val="center"/>
          </w:tcPr>
          <w:p w14:paraId="2D153916">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在 15 m 范围内铃声清晰</w:t>
            </w:r>
          </w:p>
        </w:tc>
        <w:tc>
          <w:tcPr>
            <w:tcW w:w="863" w:type="dxa"/>
            <w:gridSpan w:val="4"/>
            <w:vAlign w:val="center"/>
          </w:tcPr>
          <w:p w14:paraId="223BD3DD">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25" w:type="dxa"/>
            <w:gridSpan w:val="3"/>
            <w:vAlign w:val="center"/>
          </w:tcPr>
          <w:p w14:paraId="6C3B9B13">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707FAB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6B24C6E7">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102</w:t>
            </w:r>
          </w:p>
        </w:tc>
        <w:tc>
          <w:tcPr>
            <w:tcW w:w="1227" w:type="dxa"/>
            <w:vAlign w:val="center"/>
          </w:tcPr>
          <w:p w14:paraId="7CEF6C46">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声传播演示器</w:t>
            </w:r>
          </w:p>
        </w:tc>
        <w:tc>
          <w:tcPr>
            <w:tcW w:w="6167" w:type="dxa"/>
            <w:vAlign w:val="center"/>
          </w:tcPr>
          <w:p w14:paraId="0819AA0D">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由透明可密封容器、音频发生器、扬声器（含 放大器）、传声棒、连接皮管等组成；可密 封容器密封性好，能将容器内气压抽到低于 -0.085 MPa ，并在 10 s 内保持气压低于 -0.080 MPa；可演示声音在气体、液体、固 体中的传播以及真空不能传声等实验</w:t>
            </w:r>
          </w:p>
        </w:tc>
        <w:tc>
          <w:tcPr>
            <w:tcW w:w="863" w:type="dxa"/>
            <w:gridSpan w:val="4"/>
            <w:vAlign w:val="center"/>
          </w:tcPr>
          <w:p w14:paraId="5B9D687F">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套</w:t>
            </w:r>
          </w:p>
        </w:tc>
        <w:tc>
          <w:tcPr>
            <w:tcW w:w="925" w:type="dxa"/>
            <w:gridSpan w:val="3"/>
            <w:vAlign w:val="center"/>
          </w:tcPr>
          <w:p w14:paraId="40BEBDAF">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276F3B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6CE25D68">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103</w:t>
            </w:r>
          </w:p>
        </w:tc>
        <w:tc>
          <w:tcPr>
            <w:tcW w:w="1227" w:type="dxa"/>
            <w:vAlign w:val="center"/>
          </w:tcPr>
          <w:p w14:paraId="432642D0">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旋片真空泵</w:t>
            </w:r>
          </w:p>
        </w:tc>
        <w:tc>
          <w:tcPr>
            <w:tcW w:w="6167" w:type="dxa"/>
            <w:vAlign w:val="center"/>
          </w:tcPr>
          <w:p w14:paraId="2DDDEBEC">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单相，油封旋片式直联泵 2XZ-0.5 型，底座 采用 2.5 mm 厚的钢板，铝合金机壳；进气口 应为台阶口，外径 8 mm，配有内径 6.3 mm ±0.75 mm、长 2.0 m 的压缩空气用橡胶管。 电气安全要求：Ⅰ类电器必须使用三极插头， 外壳接保护接地线， 电源与外壳抗电强度 1500 V； Ⅱ类电器必须使用二极插头，电源 与外壳抗电强度 3000 V</w:t>
            </w:r>
          </w:p>
        </w:tc>
        <w:tc>
          <w:tcPr>
            <w:tcW w:w="863" w:type="dxa"/>
            <w:gridSpan w:val="4"/>
            <w:vAlign w:val="center"/>
          </w:tcPr>
          <w:p w14:paraId="35B085B7">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台</w:t>
            </w:r>
          </w:p>
        </w:tc>
        <w:tc>
          <w:tcPr>
            <w:tcW w:w="925" w:type="dxa"/>
            <w:gridSpan w:val="3"/>
            <w:vAlign w:val="center"/>
          </w:tcPr>
          <w:p w14:paraId="5006942C">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743326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715986D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104</w:t>
            </w:r>
          </w:p>
        </w:tc>
        <w:tc>
          <w:tcPr>
            <w:tcW w:w="1227" w:type="dxa"/>
            <w:vAlign w:val="center"/>
          </w:tcPr>
          <w:p w14:paraId="129717B0">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抽气盘</w:t>
            </w:r>
          </w:p>
        </w:tc>
        <w:tc>
          <w:tcPr>
            <w:tcW w:w="6167" w:type="dxa"/>
            <w:vAlign w:val="center"/>
          </w:tcPr>
          <w:p w14:paraId="4974814B">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由底盘、橡胶管接口、阀门、橡胶密封圈、 钟罩、发声装置和橡胶管等构成；抽气口接 口外径 8 mm，钟罩内配有可悬挂的发声装置。 密封性能：当压强达到－9.8×10－2  MPa 后停 止抽气，关闭阀门，保持 10 min 后钟罩内气 压应不高于－9.0×10－2 MPa。实验效果：未 装入钟罩的发声装置发出的声强，在距发声 装置 0.5 m 处应不低于 90 dB，装入钟罩后 抽气前的声强应不低于 75 dB，抽气后的声 强应不大于 45 dB</w:t>
            </w:r>
          </w:p>
        </w:tc>
        <w:tc>
          <w:tcPr>
            <w:tcW w:w="863" w:type="dxa"/>
            <w:gridSpan w:val="4"/>
            <w:vAlign w:val="center"/>
          </w:tcPr>
          <w:p w14:paraId="15910998">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套</w:t>
            </w:r>
          </w:p>
        </w:tc>
        <w:tc>
          <w:tcPr>
            <w:tcW w:w="925" w:type="dxa"/>
            <w:gridSpan w:val="3"/>
            <w:vAlign w:val="center"/>
          </w:tcPr>
          <w:p w14:paraId="7829BC8B">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28962D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69631A3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105</w:t>
            </w:r>
          </w:p>
        </w:tc>
        <w:tc>
          <w:tcPr>
            <w:tcW w:w="1227" w:type="dxa"/>
            <w:vAlign w:val="center"/>
          </w:tcPr>
          <w:p w14:paraId="19F1E1A3">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发音齿轮</w:t>
            </w:r>
          </w:p>
        </w:tc>
        <w:tc>
          <w:tcPr>
            <w:tcW w:w="6167" w:type="dxa"/>
            <w:vAlign w:val="center"/>
          </w:tcPr>
          <w:p w14:paraId="6F69F763">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包括 3 片齿板、转轴、振动片等；齿板齿数 分别为 80、40、20，半圆形齿；齿板为金属 材质，转动轴应采用碳钢或不锈钢材料，振 动片应采用聚苯乙烯塑料</w:t>
            </w:r>
          </w:p>
        </w:tc>
        <w:tc>
          <w:tcPr>
            <w:tcW w:w="863" w:type="dxa"/>
            <w:gridSpan w:val="4"/>
            <w:vAlign w:val="center"/>
          </w:tcPr>
          <w:p w14:paraId="4F44949D">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25" w:type="dxa"/>
            <w:gridSpan w:val="3"/>
            <w:vAlign w:val="center"/>
          </w:tcPr>
          <w:p w14:paraId="15062A6C">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7B5A50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245B7CA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106</w:t>
            </w:r>
          </w:p>
        </w:tc>
        <w:tc>
          <w:tcPr>
            <w:tcW w:w="1227" w:type="dxa"/>
            <w:vAlign w:val="center"/>
          </w:tcPr>
          <w:p w14:paraId="64CA22FA">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电动离心转台</w:t>
            </w:r>
          </w:p>
        </w:tc>
        <w:tc>
          <w:tcPr>
            <w:tcW w:w="6167" w:type="dxa"/>
            <w:vAlign w:val="center"/>
          </w:tcPr>
          <w:p w14:paraId="39ACCAE1">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180 r/min～720 r/min 转速连续可调；支杆 直径 10 mm，全长 140 mm，支杆装配中心与 从动轮轴的距离为 140 mm±1 mm；从动轮轴 孔上段为圆柱孔，下段为圆锥孔，锥度为 1:20，大端直径 10 mm，上偏差允许＋0.15 mm； 深度不小于 45 mm</w:t>
            </w:r>
          </w:p>
        </w:tc>
        <w:tc>
          <w:tcPr>
            <w:tcW w:w="863" w:type="dxa"/>
            <w:gridSpan w:val="4"/>
            <w:vAlign w:val="center"/>
          </w:tcPr>
          <w:p w14:paraId="34EFEF75">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台</w:t>
            </w:r>
          </w:p>
        </w:tc>
        <w:tc>
          <w:tcPr>
            <w:tcW w:w="925" w:type="dxa"/>
            <w:gridSpan w:val="3"/>
            <w:vAlign w:val="center"/>
          </w:tcPr>
          <w:p w14:paraId="73C22D8C">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2463D2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52BF627D">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107</w:t>
            </w:r>
          </w:p>
        </w:tc>
        <w:tc>
          <w:tcPr>
            <w:tcW w:w="1227" w:type="dxa"/>
            <w:vAlign w:val="center"/>
          </w:tcPr>
          <w:p w14:paraId="1332310D">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教学示波器</w:t>
            </w:r>
          </w:p>
        </w:tc>
        <w:tc>
          <w:tcPr>
            <w:tcW w:w="6167" w:type="dxa"/>
            <w:vAlign w:val="center"/>
          </w:tcPr>
          <w:p w14:paraId="079078D2">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DC～2 MHz，I 类电器，电源端与信号输出端 抗电强度 3000 V</w:t>
            </w:r>
          </w:p>
        </w:tc>
        <w:tc>
          <w:tcPr>
            <w:tcW w:w="863" w:type="dxa"/>
            <w:gridSpan w:val="4"/>
            <w:vAlign w:val="center"/>
          </w:tcPr>
          <w:p w14:paraId="4C77D380">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台</w:t>
            </w:r>
          </w:p>
        </w:tc>
        <w:tc>
          <w:tcPr>
            <w:tcW w:w="925" w:type="dxa"/>
            <w:gridSpan w:val="3"/>
            <w:vAlign w:val="center"/>
          </w:tcPr>
          <w:p w14:paraId="2BF9ACB8">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59E2C4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249AF903">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108</w:t>
            </w:r>
          </w:p>
        </w:tc>
        <w:tc>
          <w:tcPr>
            <w:tcW w:w="1227" w:type="dxa"/>
            <w:vAlign w:val="center"/>
          </w:tcPr>
          <w:p w14:paraId="684FA933">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凹面镜</w:t>
            </w:r>
          </w:p>
        </w:tc>
        <w:tc>
          <w:tcPr>
            <w:tcW w:w="6167" w:type="dxa"/>
            <w:vAlign w:val="center"/>
          </w:tcPr>
          <w:p w14:paraId="531B03CF">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直径≥100 mm，焦距≥65 mm，镜片为玻璃基质 镀反射膜，配支架和镜座</w:t>
            </w:r>
          </w:p>
        </w:tc>
        <w:tc>
          <w:tcPr>
            <w:tcW w:w="863" w:type="dxa"/>
            <w:gridSpan w:val="4"/>
            <w:vAlign w:val="center"/>
          </w:tcPr>
          <w:p w14:paraId="4E6E06D2">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块</w:t>
            </w:r>
          </w:p>
        </w:tc>
        <w:tc>
          <w:tcPr>
            <w:tcW w:w="925" w:type="dxa"/>
            <w:gridSpan w:val="3"/>
            <w:vAlign w:val="center"/>
          </w:tcPr>
          <w:p w14:paraId="6E089255">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61F446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6B8F074A">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109</w:t>
            </w:r>
          </w:p>
        </w:tc>
        <w:tc>
          <w:tcPr>
            <w:tcW w:w="1227" w:type="dxa"/>
            <w:vAlign w:val="center"/>
          </w:tcPr>
          <w:p w14:paraId="69178563">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凸面镜</w:t>
            </w:r>
          </w:p>
        </w:tc>
        <w:tc>
          <w:tcPr>
            <w:tcW w:w="6167" w:type="dxa"/>
            <w:vAlign w:val="center"/>
          </w:tcPr>
          <w:p w14:paraId="46650932">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直径≥100 mm，焦距≥-65 mm，镜片为玻璃基质 镀反射膜，配支架和镜座</w:t>
            </w:r>
          </w:p>
        </w:tc>
        <w:tc>
          <w:tcPr>
            <w:tcW w:w="863" w:type="dxa"/>
            <w:gridSpan w:val="4"/>
            <w:vAlign w:val="center"/>
          </w:tcPr>
          <w:p w14:paraId="2D1EA206">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块</w:t>
            </w:r>
          </w:p>
        </w:tc>
        <w:tc>
          <w:tcPr>
            <w:tcW w:w="925" w:type="dxa"/>
            <w:gridSpan w:val="3"/>
            <w:vAlign w:val="center"/>
          </w:tcPr>
          <w:p w14:paraId="0B3A9860">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3E061E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733B1234">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110</w:t>
            </w:r>
          </w:p>
        </w:tc>
        <w:tc>
          <w:tcPr>
            <w:tcW w:w="1227" w:type="dxa"/>
            <w:vAlign w:val="center"/>
          </w:tcPr>
          <w:p w14:paraId="3C36413D">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光的传播、反射、 折射实验器 C</w:t>
            </w:r>
          </w:p>
        </w:tc>
        <w:tc>
          <w:tcPr>
            <w:tcW w:w="6167" w:type="dxa"/>
            <w:vAlign w:val="center"/>
          </w:tcPr>
          <w:p w14:paraId="08718DD1">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包括能显示光路的透明材料制成的半圆玻砖、角度板、2 个条形玻砖、2 个半导体激光 光源（不加扩束镜，1 个为入射光源，1 个提 供法线）等，表盘直径≥300 mm</w:t>
            </w:r>
          </w:p>
        </w:tc>
        <w:tc>
          <w:tcPr>
            <w:tcW w:w="863" w:type="dxa"/>
            <w:gridSpan w:val="4"/>
            <w:vAlign w:val="center"/>
          </w:tcPr>
          <w:p w14:paraId="075A3770">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台</w:t>
            </w:r>
          </w:p>
        </w:tc>
        <w:tc>
          <w:tcPr>
            <w:tcW w:w="925" w:type="dxa"/>
            <w:gridSpan w:val="3"/>
            <w:vAlign w:val="center"/>
          </w:tcPr>
          <w:p w14:paraId="2B0D731E">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13</w:t>
            </w:r>
          </w:p>
        </w:tc>
      </w:tr>
      <w:tr w14:paraId="038270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0BDCC8C2">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111</w:t>
            </w:r>
          </w:p>
        </w:tc>
        <w:tc>
          <w:tcPr>
            <w:tcW w:w="1227" w:type="dxa"/>
            <w:vAlign w:val="center"/>
          </w:tcPr>
          <w:p w14:paraId="300E747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平面镜成像实验器</w:t>
            </w:r>
          </w:p>
        </w:tc>
        <w:tc>
          <w:tcPr>
            <w:tcW w:w="6167" w:type="dxa"/>
            <w:vAlign w:val="center"/>
          </w:tcPr>
          <w:p w14:paraId="35971010">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镀半透膜的无色透明有机玻璃，厚≥5 mm，尺寸不小于 150 mm×100 mm，镜片边缘倒边倒  角，镀膜面有标志；支架 2 个；宜采用黑色  物体，印有白色左右对称标志 F；有机玻璃  装上支架放在平面上，与平面的角度为 90。 ±1´ , 成像清晰无叠影</w:t>
            </w:r>
          </w:p>
        </w:tc>
        <w:tc>
          <w:tcPr>
            <w:tcW w:w="863" w:type="dxa"/>
            <w:gridSpan w:val="4"/>
            <w:vAlign w:val="center"/>
          </w:tcPr>
          <w:p w14:paraId="7F5001F0">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套</w:t>
            </w:r>
          </w:p>
        </w:tc>
        <w:tc>
          <w:tcPr>
            <w:tcW w:w="925" w:type="dxa"/>
            <w:gridSpan w:val="3"/>
            <w:vAlign w:val="center"/>
          </w:tcPr>
          <w:p w14:paraId="3B674302">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13</w:t>
            </w:r>
          </w:p>
        </w:tc>
      </w:tr>
      <w:tr w14:paraId="522581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3E128CA0">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112</w:t>
            </w:r>
          </w:p>
        </w:tc>
        <w:tc>
          <w:tcPr>
            <w:tcW w:w="1227" w:type="dxa"/>
            <w:vAlign w:val="center"/>
          </w:tcPr>
          <w:p w14:paraId="68A9BC66">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透明水槽</w:t>
            </w:r>
          </w:p>
        </w:tc>
        <w:tc>
          <w:tcPr>
            <w:tcW w:w="6167" w:type="dxa"/>
            <w:vAlign w:val="center"/>
          </w:tcPr>
          <w:p w14:paraId="52AD92EF">
            <w:pPr>
              <w:widowControl/>
              <w:numPr>
                <w:ilvl w:val="0"/>
                <w:numId w:val="204"/>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透明水槽用透明塑料注塑而成。</w:t>
            </w:r>
          </w:p>
          <w:p w14:paraId="67EABAA8">
            <w:pPr>
              <w:widowControl/>
              <w:numPr>
                <w:ilvl w:val="0"/>
                <w:numId w:val="204"/>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透明水槽为圆形,表面圆滑、光亮、清活、透明度较好。</w:t>
            </w:r>
          </w:p>
          <w:p w14:paraId="3307A516">
            <w:pPr>
              <w:widowControl/>
              <w:numPr>
                <w:ilvl w:val="0"/>
                <w:numId w:val="204"/>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透明水槽外形尺寸不小于直径300mm，高≥140mm。</w:t>
            </w:r>
          </w:p>
        </w:tc>
        <w:tc>
          <w:tcPr>
            <w:tcW w:w="863" w:type="dxa"/>
            <w:gridSpan w:val="4"/>
            <w:vAlign w:val="center"/>
          </w:tcPr>
          <w:p w14:paraId="4754FF9A">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25" w:type="dxa"/>
            <w:gridSpan w:val="3"/>
            <w:vAlign w:val="center"/>
          </w:tcPr>
          <w:p w14:paraId="22DEA325">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506093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03D2F6E8">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113</w:t>
            </w:r>
          </w:p>
        </w:tc>
        <w:tc>
          <w:tcPr>
            <w:tcW w:w="1227" w:type="dxa"/>
            <w:vAlign w:val="center"/>
          </w:tcPr>
          <w:p w14:paraId="4F56D934">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透镜及其应用实验器</w:t>
            </w:r>
          </w:p>
        </w:tc>
        <w:tc>
          <w:tcPr>
            <w:tcW w:w="6167" w:type="dxa"/>
            <w:vAlign w:val="center"/>
          </w:tcPr>
          <w:p w14:paraId="51D77F33">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简单测量凸透镜的焦距，用凸透镜和凹透镜 做望远镜，用凸透镜做投影、照相的原理等</w:t>
            </w:r>
          </w:p>
        </w:tc>
        <w:tc>
          <w:tcPr>
            <w:tcW w:w="863" w:type="dxa"/>
            <w:gridSpan w:val="4"/>
            <w:vAlign w:val="center"/>
          </w:tcPr>
          <w:p w14:paraId="5337A32A">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盒</w:t>
            </w:r>
          </w:p>
        </w:tc>
        <w:tc>
          <w:tcPr>
            <w:tcW w:w="925" w:type="dxa"/>
            <w:gridSpan w:val="3"/>
            <w:vAlign w:val="center"/>
          </w:tcPr>
          <w:p w14:paraId="187B61B8">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78921B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23F6574E">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114</w:t>
            </w:r>
          </w:p>
        </w:tc>
        <w:tc>
          <w:tcPr>
            <w:tcW w:w="1227" w:type="dxa"/>
            <w:vAlign w:val="center"/>
          </w:tcPr>
          <w:p w14:paraId="3C800F4C">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白光的色散与合成 演示器</w:t>
            </w:r>
          </w:p>
        </w:tc>
        <w:tc>
          <w:tcPr>
            <w:tcW w:w="6167" w:type="dxa"/>
            <w:vAlign w:val="center"/>
          </w:tcPr>
          <w:p w14:paraId="17D7A6C9">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由光源、三棱镜、三棱镜台、光屏、支承系 统等组成；两块棱镜应配对，用 ZF3 玻璃制， 其折射率之差不大于 0.003，中部色散之差 不大于 0.0004。实验效果：做白光的色散实 验时，可见光区域内光谱连续清晰；能把白 光色散后的七色光谱带还原成白光</w:t>
            </w:r>
          </w:p>
        </w:tc>
        <w:tc>
          <w:tcPr>
            <w:tcW w:w="863" w:type="dxa"/>
            <w:gridSpan w:val="4"/>
            <w:vAlign w:val="center"/>
          </w:tcPr>
          <w:p w14:paraId="47262E22">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套</w:t>
            </w:r>
          </w:p>
        </w:tc>
        <w:tc>
          <w:tcPr>
            <w:tcW w:w="925" w:type="dxa"/>
            <w:gridSpan w:val="3"/>
            <w:vAlign w:val="center"/>
          </w:tcPr>
          <w:p w14:paraId="1EC4A246">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3CE197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183D1AFD">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115</w:t>
            </w:r>
          </w:p>
        </w:tc>
        <w:tc>
          <w:tcPr>
            <w:tcW w:w="1227" w:type="dxa"/>
            <w:vAlign w:val="center"/>
          </w:tcPr>
          <w:p w14:paraId="7B410CAF">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光的三原色合成 实验器</w:t>
            </w:r>
          </w:p>
        </w:tc>
        <w:tc>
          <w:tcPr>
            <w:tcW w:w="6167" w:type="dxa"/>
            <w:vAlign w:val="center"/>
          </w:tcPr>
          <w:p w14:paraId="09909F4C">
            <w:pPr>
              <w:widowControl/>
              <w:numPr>
                <w:ilvl w:val="0"/>
                <w:numId w:val="205"/>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产品为组装式</w:t>
            </w:r>
          </w:p>
          <w:p w14:paraId="0C3BD4B2">
            <w:pPr>
              <w:widowControl/>
              <w:numPr>
                <w:ilvl w:val="0"/>
                <w:numId w:val="205"/>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产品必配部件</w:t>
            </w:r>
          </w:p>
          <w:p w14:paraId="6E5B58F9">
            <w:pPr>
              <w:widowControl/>
              <w:numPr>
                <w:ilvl w:val="1"/>
                <w:numId w:val="205"/>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主体    1套</w:t>
            </w:r>
          </w:p>
          <w:p w14:paraId="41713E05">
            <w:pPr>
              <w:widowControl/>
              <w:numPr>
                <w:ilvl w:val="1"/>
                <w:numId w:val="205"/>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集成线路板   1套</w:t>
            </w:r>
          </w:p>
          <w:p w14:paraId="30651F82">
            <w:pPr>
              <w:widowControl/>
              <w:numPr>
                <w:ilvl w:val="1"/>
                <w:numId w:val="205"/>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导线   2根</w:t>
            </w:r>
          </w:p>
          <w:p w14:paraId="327681F7">
            <w:pPr>
              <w:widowControl/>
              <w:numPr>
                <w:ilvl w:val="1"/>
                <w:numId w:val="205"/>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接线装置   1套</w:t>
            </w:r>
          </w:p>
          <w:p w14:paraId="07649C01">
            <w:pPr>
              <w:widowControl/>
              <w:numPr>
                <w:ilvl w:val="1"/>
                <w:numId w:val="205"/>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成像屏一块</w:t>
            </w:r>
          </w:p>
          <w:p w14:paraId="39C1797A">
            <w:pPr>
              <w:widowControl/>
              <w:numPr>
                <w:ilvl w:val="1"/>
                <w:numId w:val="205"/>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支架一个</w:t>
            </w:r>
          </w:p>
          <w:p w14:paraId="4E5E101E">
            <w:pPr>
              <w:widowControl/>
              <w:numPr>
                <w:ilvl w:val="0"/>
                <w:numId w:val="205"/>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主要用途</w:t>
            </w:r>
          </w:p>
          <w:p w14:paraId="099D1DBA">
            <w:pPr>
              <w:widowControl/>
              <w:numPr>
                <w:ilvl w:val="1"/>
                <w:numId w:val="205"/>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该产品主要用于中学物理光学教学光的三原色的合成演示和分组实验。</w:t>
            </w:r>
          </w:p>
          <w:p w14:paraId="6B8A1F57">
            <w:pPr>
              <w:widowControl/>
              <w:numPr>
                <w:ilvl w:val="0"/>
                <w:numId w:val="205"/>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技术要求</w:t>
            </w:r>
          </w:p>
          <w:p w14:paraId="2CE14458">
            <w:pPr>
              <w:widowControl/>
              <w:numPr>
                <w:ilvl w:val="1"/>
                <w:numId w:val="205"/>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主体用塑料制作，规格尺寸不小于120×100×30mm，光源凸距27mm。</w:t>
            </w:r>
          </w:p>
          <w:p w14:paraId="5907A1A2">
            <w:pPr>
              <w:widowControl/>
              <w:numPr>
                <w:ilvl w:val="1"/>
                <w:numId w:val="205"/>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光源为红、绿、蓝超亮发光二极管，DC6V，工作电0.3A。</w:t>
            </w:r>
          </w:p>
          <w:p w14:paraId="14D0B080">
            <w:pPr>
              <w:widowControl/>
              <w:numPr>
                <w:ilvl w:val="1"/>
                <w:numId w:val="205"/>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集成电路中，由发光二极管，红、绿、蓝亮度调节旋钮，稳压电阻，红、绿、蓝控制开关，可任意关闭和开启所需的发光二极管。</w:t>
            </w:r>
          </w:p>
          <w:p w14:paraId="250FE084">
            <w:pPr>
              <w:widowControl/>
              <w:numPr>
                <w:ilvl w:val="1"/>
                <w:numId w:val="205"/>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主体内可安装4节5号干电池，接线装置导线可外接电源使用。</w:t>
            </w:r>
          </w:p>
          <w:p w14:paraId="6D24DC67">
            <w:pPr>
              <w:widowControl/>
              <w:numPr>
                <w:ilvl w:val="1"/>
                <w:numId w:val="205"/>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成像屏用白色塑料注塑成型，表面洁白平整，外形尺寸120×80×4.5±0.5mm，背面有调节高低用齿条9条。</w:t>
            </w:r>
          </w:p>
          <w:p w14:paraId="3A283AF4">
            <w:pPr>
              <w:widowControl/>
              <w:numPr>
                <w:ilvl w:val="1"/>
                <w:numId w:val="205"/>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3.6  支架规格尺寸：84×40×65±0.5mm</w:t>
            </w:r>
          </w:p>
          <w:p w14:paraId="346A6CE5">
            <w:pPr>
              <w:widowControl/>
              <w:numPr>
                <w:ilvl w:val="0"/>
                <w:numId w:val="205"/>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其余按JY0310《白光的色散与合成演示器》技术要求执行。</w:t>
            </w:r>
          </w:p>
        </w:tc>
        <w:tc>
          <w:tcPr>
            <w:tcW w:w="863" w:type="dxa"/>
            <w:gridSpan w:val="4"/>
            <w:vAlign w:val="center"/>
          </w:tcPr>
          <w:p w14:paraId="71E06741">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套</w:t>
            </w:r>
          </w:p>
        </w:tc>
        <w:tc>
          <w:tcPr>
            <w:tcW w:w="925" w:type="dxa"/>
            <w:gridSpan w:val="3"/>
            <w:vAlign w:val="center"/>
          </w:tcPr>
          <w:p w14:paraId="48E60F31">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13</w:t>
            </w:r>
          </w:p>
        </w:tc>
      </w:tr>
      <w:tr w14:paraId="710DD9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358D4F3C">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116</w:t>
            </w:r>
          </w:p>
        </w:tc>
        <w:tc>
          <w:tcPr>
            <w:tcW w:w="1227" w:type="dxa"/>
            <w:vAlign w:val="center"/>
          </w:tcPr>
          <w:p w14:paraId="0925943B">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光具盘C</w:t>
            </w:r>
          </w:p>
        </w:tc>
        <w:tc>
          <w:tcPr>
            <w:tcW w:w="6167" w:type="dxa"/>
            <w:vAlign w:val="center"/>
          </w:tcPr>
          <w:p w14:paraId="01B45056">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分离型、磁吸附式。矩形光盘长≥650 mm， 宽≥240 mm；圆形光盘直径≥250 mm。盘面分四个象限，以一条直径为始边，分别刻有 0 °~90 °刻度。半导体激光光源，可显示 5 条平行光。光学零件：梯形玻砖 1 件，等腰 直角棱镜 1 件，半圆柱透镜 1 件，小双凹柱 透镜 1 件，小双凸柱透镜 1 件，双凸透镜 1 件，大双凸柱透镜 1 件，平面镜 1 件，凹凸 柱面镜 1 件，正三棱镜 2 件</w:t>
            </w:r>
          </w:p>
        </w:tc>
        <w:tc>
          <w:tcPr>
            <w:tcW w:w="863" w:type="dxa"/>
            <w:gridSpan w:val="4"/>
            <w:vAlign w:val="center"/>
          </w:tcPr>
          <w:p w14:paraId="7D7AAFDB">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套</w:t>
            </w:r>
          </w:p>
        </w:tc>
        <w:tc>
          <w:tcPr>
            <w:tcW w:w="925" w:type="dxa"/>
            <w:gridSpan w:val="3"/>
            <w:vAlign w:val="center"/>
          </w:tcPr>
          <w:p w14:paraId="66B962BD">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21AE3E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3B4DCE1A">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117</w:t>
            </w:r>
          </w:p>
        </w:tc>
        <w:tc>
          <w:tcPr>
            <w:tcW w:w="1227" w:type="dxa"/>
            <w:vAlign w:val="center"/>
          </w:tcPr>
          <w:p w14:paraId="32E87C6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光具座</w:t>
            </w:r>
          </w:p>
        </w:tc>
        <w:tc>
          <w:tcPr>
            <w:tcW w:w="6167" w:type="dxa"/>
            <w:vAlign w:val="center"/>
          </w:tcPr>
          <w:p w14:paraId="1BF98E21">
            <w:pPr>
              <w:widowControl/>
              <w:numPr>
                <w:ilvl w:val="0"/>
                <w:numId w:val="206"/>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产品为组合式由导轨1套、双凸透镜2个、双凸透镜1个、平凸透镜1个、“1”字屏1块、白屏1块、插杆5根、毛玻璃1块、毛玻璃架1个、光源1个、烛台1个组成。</w:t>
            </w:r>
          </w:p>
          <w:p w14:paraId="4FCE547D">
            <w:pPr>
              <w:widowControl/>
              <w:numPr>
                <w:ilvl w:val="0"/>
                <w:numId w:val="206"/>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导轨由：导轨2根，滑块4只，支架2只，标尺1支组成。</w:t>
            </w:r>
          </w:p>
          <w:p w14:paraId="398C2AB5">
            <w:pPr>
              <w:widowControl/>
              <w:ind w:left="440"/>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2.1、导轨、支架、标尺为金属件，滑块塑料制品。</w:t>
            </w:r>
          </w:p>
          <w:p w14:paraId="514F3FCA">
            <w:pPr>
              <w:widowControl/>
              <w:ind w:left="440"/>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2.2、导轨Φ16±0.4mm，不锈钢管、滑块、支架，喷漆处理。</w:t>
            </w:r>
          </w:p>
          <w:p w14:paraId="684F00A5">
            <w:pPr>
              <w:widowControl/>
              <w:ind w:left="440"/>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2.3、组装后的导轨中部加重，应符合JY0034-1991第5.2.2～5.2.7条。</w:t>
            </w:r>
          </w:p>
          <w:p w14:paraId="39D8B918">
            <w:pPr>
              <w:widowControl/>
              <w:ind w:left="440"/>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2.4、组装后的导轨有效长度不小于1006mm，净重不小于2.4KG。</w:t>
            </w:r>
          </w:p>
          <w:p w14:paraId="4A41B0EC">
            <w:pPr>
              <w:widowControl/>
              <w:numPr>
                <w:ilvl w:val="0"/>
                <w:numId w:val="206"/>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标尺刻度范围与导轨有效长度相匹配，全程误差不大于±1mm。</w:t>
            </w:r>
          </w:p>
          <w:p w14:paraId="552D3A74">
            <w:pPr>
              <w:widowControl/>
              <w:numPr>
                <w:ilvl w:val="0"/>
                <w:numId w:val="206"/>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标尺最小分度为1mm，等分度误差应小于0.2mm。</w:t>
            </w:r>
          </w:p>
          <w:p w14:paraId="4328637C">
            <w:pPr>
              <w:widowControl/>
              <w:numPr>
                <w:ilvl w:val="0"/>
                <w:numId w:val="206"/>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透镜的焦距和通光孔应符合表2的规定。</w:t>
            </w:r>
          </w:p>
          <w:p w14:paraId="7F7D62BC">
            <w:pPr>
              <w:widowControl/>
              <w:numPr>
                <w:ilvl w:val="0"/>
                <w:numId w:val="206"/>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透镜应无明显条纹，气泡度为1.0【0.5】。</w:t>
            </w:r>
          </w:p>
          <w:p w14:paraId="0841CC92">
            <w:pPr>
              <w:widowControl/>
              <w:numPr>
                <w:ilvl w:val="0"/>
                <w:numId w:val="206"/>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透镜的表面疵病应符合JY0034-1991中的第5.4.3条。</w:t>
            </w:r>
          </w:p>
          <w:p w14:paraId="5F51C3B2">
            <w:pPr>
              <w:widowControl/>
              <w:numPr>
                <w:ilvl w:val="0"/>
                <w:numId w:val="206"/>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透镜框为塑料制品，应能牢靠地夹持透镜。</w:t>
            </w:r>
          </w:p>
          <w:p w14:paraId="5ECD6884">
            <w:pPr>
              <w:widowControl/>
              <w:numPr>
                <w:ilvl w:val="0"/>
                <w:numId w:val="206"/>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双凸透镜 100±3mm ≥35</w:t>
            </w:r>
          </w:p>
          <w:p w14:paraId="092F7C87">
            <w:pPr>
              <w:widowControl/>
              <w:numPr>
                <w:ilvl w:val="0"/>
                <w:numId w:val="206"/>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双凸透镜 50±2mm≥25</w:t>
            </w:r>
          </w:p>
          <w:p w14:paraId="7DC90215">
            <w:pPr>
              <w:widowControl/>
              <w:numPr>
                <w:ilvl w:val="0"/>
                <w:numId w:val="206"/>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平凸透镜 300±12mm≥45</w:t>
            </w:r>
          </w:p>
          <w:p w14:paraId="2361E4EE">
            <w:pPr>
              <w:widowControl/>
              <w:numPr>
                <w:ilvl w:val="0"/>
                <w:numId w:val="206"/>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双凹透镜 -75±5mm≥25</w:t>
            </w:r>
          </w:p>
          <w:p w14:paraId="7D983754">
            <w:pPr>
              <w:widowControl/>
              <w:numPr>
                <w:ilvl w:val="0"/>
                <w:numId w:val="206"/>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光源工作电为交直流6～8V，功率不大于5W。</w:t>
            </w:r>
          </w:p>
          <w:p w14:paraId="538F8C8C">
            <w:pPr>
              <w:widowControl/>
              <w:numPr>
                <w:ilvl w:val="0"/>
                <w:numId w:val="206"/>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光源出口处照度应符合JY0034-1991第5.52条。</w:t>
            </w:r>
          </w:p>
          <w:p w14:paraId="450FBA97">
            <w:pPr>
              <w:widowControl/>
              <w:numPr>
                <w:ilvl w:val="0"/>
                <w:numId w:val="206"/>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插杆金属制品，Φ5.9±0.2mm，直线度误差不大于0.5﹪，插杆与插件结合可靠。</w:t>
            </w:r>
          </w:p>
          <w:p w14:paraId="077603A2">
            <w:pPr>
              <w:widowControl/>
              <w:numPr>
                <w:ilvl w:val="0"/>
                <w:numId w:val="206"/>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“1”字屏为黑色塑料制作，“1”字轮廓清晰，“1”字宽为5mm±0.3，105×80±2mm，厚度不小于1.5mm。</w:t>
            </w:r>
          </w:p>
          <w:p w14:paraId="557609FC">
            <w:pPr>
              <w:widowControl/>
              <w:numPr>
                <w:ilvl w:val="0"/>
                <w:numId w:val="206"/>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白屏用乳白塑料制作，规格105×80±2mm，厚度不小于1.5mm。</w:t>
            </w:r>
          </w:p>
          <w:p w14:paraId="2C69E1DD">
            <w:pPr>
              <w:widowControl/>
              <w:numPr>
                <w:ilvl w:val="0"/>
                <w:numId w:val="206"/>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毛玻璃屏磨砂均匀，周边应有保护性倒角，规格120×80±3mm，厚度不小于2.5mm。</w:t>
            </w:r>
          </w:p>
          <w:p w14:paraId="750AA28A">
            <w:pPr>
              <w:widowControl/>
              <w:numPr>
                <w:ilvl w:val="0"/>
                <w:numId w:val="206"/>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滑块尺寸65×22mm,由指向刻度标记。</w:t>
            </w:r>
          </w:p>
          <w:p w14:paraId="340A7E5F">
            <w:pPr>
              <w:widowControl/>
              <w:numPr>
                <w:ilvl w:val="0"/>
                <w:numId w:val="206"/>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脚有效尺寸宽度21mm。</w:t>
            </w:r>
          </w:p>
        </w:tc>
        <w:tc>
          <w:tcPr>
            <w:tcW w:w="863" w:type="dxa"/>
            <w:gridSpan w:val="4"/>
            <w:vAlign w:val="center"/>
          </w:tcPr>
          <w:p w14:paraId="119ECE44">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套</w:t>
            </w:r>
          </w:p>
        </w:tc>
        <w:tc>
          <w:tcPr>
            <w:tcW w:w="925" w:type="dxa"/>
            <w:gridSpan w:val="3"/>
            <w:vAlign w:val="center"/>
          </w:tcPr>
          <w:p w14:paraId="145BD2AF">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13</w:t>
            </w:r>
          </w:p>
        </w:tc>
      </w:tr>
      <w:tr w14:paraId="29F087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3490F33D">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118</w:t>
            </w:r>
          </w:p>
        </w:tc>
        <w:tc>
          <w:tcPr>
            <w:tcW w:w="1227" w:type="dxa"/>
            <w:vAlign w:val="center"/>
          </w:tcPr>
          <w:p w14:paraId="37D040CE">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光具组</w:t>
            </w:r>
          </w:p>
        </w:tc>
        <w:tc>
          <w:tcPr>
            <w:tcW w:w="6167" w:type="dxa"/>
            <w:vAlign w:val="center"/>
          </w:tcPr>
          <w:p w14:paraId="4B52E9EA">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包括双凸透镜 2 件，平凸透镜 1 件，双凹透 镜 1 件，“l ”字屏 1 件，白光屏 1 件，毛玻 璃光屏 1 件，烛台 1 件（能调节焰心的高度）。 光源出口照度≥500 lx，0.5 m 处照度不小 于出口照度的 3／5。支承机构应能使光路上 元件的光心基本等高</w:t>
            </w:r>
          </w:p>
        </w:tc>
        <w:tc>
          <w:tcPr>
            <w:tcW w:w="863" w:type="dxa"/>
            <w:gridSpan w:val="4"/>
            <w:vAlign w:val="center"/>
          </w:tcPr>
          <w:p w14:paraId="46E48FFF">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套</w:t>
            </w:r>
          </w:p>
        </w:tc>
        <w:tc>
          <w:tcPr>
            <w:tcW w:w="925" w:type="dxa"/>
            <w:gridSpan w:val="3"/>
            <w:vAlign w:val="center"/>
          </w:tcPr>
          <w:p w14:paraId="4975093F">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13</w:t>
            </w:r>
          </w:p>
        </w:tc>
      </w:tr>
      <w:tr w14:paraId="57531F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0B79333F">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119</w:t>
            </w:r>
          </w:p>
        </w:tc>
        <w:tc>
          <w:tcPr>
            <w:tcW w:w="1227" w:type="dxa"/>
            <w:vAlign w:val="center"/>
          </w:tcPr>
          <w:p w14:paraId="43AFBC9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擦镜纸</w:t>
            </w:r>
          </w:p>
        </w:tc>
        <w:tc>
          <w:tcPr>
            <w:tcW w:w="6167" w:type="dxa"/>
            <w:vAlign w:val="center"/>
          </w:tcPr>
          <w:p w14:paraId="47E302B6">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20 cm×15 cm，纸纹细密</w:t>
            </w:r>
          </w:p>
        </w:tc>
        <w:tc>
          <w:tcPr>
            <w:tcW w:w="863" w:type="dxa"/>
            <w:gridSpan w:val="4"/>
            <w:vAlign w:val="center"/>
          </w:tcPr>
          <w:p w14:paraId="6AEBE4BE">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张</w:t>
            </w:r>
          </w:p>
        </w:tc>
        <w:tc>
          <w:tcPr>
            <w:tcW w:w="925" w:type="dxa"/>
            <w:gridSpan w:val="3"/>
            <w:vAlign w:val="center"/>
          </w:tcPr>
          <w:p w14:paraId="76B34B0D">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10</w:t>
            </w:r>
          </w:p>
        </w:tc>
      </w:tr>
      <w:tr w14:paraId="104395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2AF1C267">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120</w:t>
            </w:r>
          </w:p>
        </w:tc>
        <w:tc>
          <w:tcPr>
            <w:tcW w:w="1227" w:type="dxa"/>
            <w:vAlign w:val="center"/>
          </w:tcPr>
          <w:p w14:paraId="17BBAB82">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玻棒(附丝绸)</w:t>
            </w:r>
          </w:p>
        </w:tc>
        <w:tc>
          <w:tcPr>
            <w:tcW w:w="6167" w:type="dxa"/>
            <w:vAlign w:val="center"/>
          </w:tcPr>
          <w:p w14:paraId="15AF55A6">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或有机玻棒(附丝绸)，丝绸面积≥350 mm× 350 mm。在规定工作条件下，用丝绸裹住玻 棒（或有机玻棒），做一次快速拉出，棒上 所带的电荷用 D－YDQ－Z－100 型指针验电 器检验张角≥30 ° (≥50 ° )</w:t>
            </w:r>
          </w:p>
        </w:tc>
        <w:tc>
          <w:tcPr>
            <w:tcW w:w="863" w:type="dxa"/>
            <w:gridSpan w:val="4"/>
            <w:vAlign w:val="center"/>
          </w:tcPr>
          <w:p w14:paraId="0275765C">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对</w:t>
            </w:r>
          </w:p>
        </w:tc>
        <w:tc>
          <w:tcPr>
            <w:tcW w:w="925" w:type="dxa"/>
            <w:gridSpan w:val="3"/>
            <w:vAlign w:val="center"/>
          </w:tcPr>
          <w:p w14:paraId="6F4A4B9C">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00A14F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0BCF6ED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121</w:t>
            </w:r>
          </w:p>
        </w:tc>
        <w:tc>
          <w:tcPr>
            <w:tcW w:w="1227" w:type="dxa"/>
            <w:vAlign w:val="center"/>
          </w:tcPr>
          <w:p w14:paraId="2FDC20E6">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胶棒(附毛皮)</w:t>
            </w:r>
          </w:p>
        </w:tc>
        <w:tc>
          <w:tcPr>
            <w:tcW w:w="6167" w:type="dxa"/>
            <w:vAlign w:val="center"/>
          </w:tcPr>
          <w:p w14:paraId="2AE6D586">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或聚碳酸酯棒(附毛皮)，毛皮面积≥150 mm ×150 mm。在规定工作条件下，用毛皮裹胶 棒（或聚碳酸脂棒），做一次快速拉出，棒 上所带的电荷用 D－YDQ－Z－100 型指针验 电器检验张角≥30 ° (≥45 ° )</w:t>
            </w:r>
          </w:p>
        </w:tc>
        <w:tc>
          <w:tcPr>
            <w:tcW w:w="863" w:type="dxa"/>
            <w:gridSpan w:val="4"/>
            <w:vAlign w:val="center"/>
          </w:tcPr>
          <w:p w14:paraId="749A3178">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对</w:t>
            </w:r>
          </w:p>
        </w:tc>
        <w:tc>
          <w:tcPr>
            <w:tcW w:w="925" w:type="dxa"/>
            <w:gridSpan w:val="3"/>
            <w:vAlign w:val="center"/>
          </w:tcPr>
          <w:p w14:paraId="5A68C6D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0098B9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4768EFC2">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122</w:t>
            </w:r>
          </w:p>
        </w:tc>
        <w:tc>
          <w:tcPr>
            <w:tcW w:w="1227" w:type="dxa"/>
            <w:vAlign w:val="center"/>
          </w:tcPr>
          <w:p w14:paraId="1FC2CC35">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电磁实验用旋转架</w:t>
            </w:r>
          </w:p>
        </w:tc>
        <w:tc>
          <w:tcPr>
            <w:tcW w:w="6167" w:type="dxa"/>
            <w:vAlign w:val="center"/>
          </w:tcPr>
          <w:p w14:paraId="0F20CD52">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由底座、转轴和转台等组成。转台应采用静 电绝缘材料制成，转台内应有一凹槽；凹槽 宽度应≥15 mm，凹槽深度应≥8 mm，凹槽长 度应≥35 mm；转台应能作 360 °旋转</w:t>
            </w:r>
          </w:p>
        </w:tc>
        <w:tc>
          <w:tcPr>
            <w:tcW w:w="863" w:type="dxa"/>
            <w:gridSpan w:val="4"/>
            <w:vAlign w:val="center"/>
          </w:tcPr>
          <w:p w14:paraId="787181E0">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对</w:t>
            </w:r>
          </w:p>
        </w:tc>
        <w:tc>
          <w:tcPr>
            <w:tcW w:w="925" w:type="dxa"/>
            <w:gridSpan w:val="3"/>
            <w:vAlign w:val="center"/>
          </w:tcPr>
          <w:p w14:paraId="35906C55">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w:t>
            </w:r>
          </w:p>
        </w:tc>
      </w:tr>
      <w:tr w14:paraId="7D5BF7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7E0D1A3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123</w:t>
            </w:r>
          </w:p>
        </w:tc>
        <w:tc>
          <w:tcPr>
            <w:tcW w:w="1227" w:type="dxa"/>
            <w:vAlign w:val="center"/>
          </w:tcPr>
          <w:p w14:paraId="57B4084C">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验电器连接杆</w:t>
            </w:r>
          </w:p>
        </w:tc>
        <w:tc>
          <w:tcPr>
            <w:tcW w:w="6167" w:type="dxa"/>
            <w:vAlign w:val="center"/>
          </w:tcPr>
          <w:p w14:paraId="30AF4046">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含导电杆、绝缘手柄等。导电杆直径≥2 mm， 长度≥250 mm；绝缘柄直径≥10 mm，长度   ≥150 mm</w:t>
            </w:r>
          </w:p>
        </w:tc>
        <w:tc>
          <w:tcPr>
            <w:tcW w:w="863" w:type="dxa"/>
            <w:gridSpan w:val="4"/>
            <w:vAlign w:val="center"/>
          </w:tcPr>
          <w:p w14:paraId="4E419026">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25" w:type="dxa"/>
            <w:gridSpan w:val="3"/>
            <w:vAlign w:val="center"/>
          </w:tcPr>
          <w:p w14:paraId="4443F006">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6B148F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4C3054AF">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124</w:t>
            </w:r>
          </w:p>
        </w:tc>
        <w:tc>
          <w:tcPr>
            <w:tcW w:w="1227" w:type="dxa"/>
            <w:vAlign w:val="center"/>
          </w:tcPr>
          <w:p w14:paraId="752DA50C">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箔片验电器</w:t>
            </w:r>
          </w:p>
        </w:tc>
        <w:tc>
          <w:tcPr>
            <w:tcW w:w="6167" w:type="dxa"/>
            <w:vAlign w:val="center"/>
          </w:tcPr>
          <w:p w14:paraId="7321B7A4">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由外壳、圆盘、导电杆、绝缘子、箔片、中 位卡、接线柱和底座等组成。外壳应由不能 带静电的材料制成，观察面应采用透明材料， 透明材料透光率≥90%；箔片长度≥25 mm。 性能要求：相对湿度≤65%环境，圆盘上面加 8 kV直流高压，箔片张开与中位片角度应≥45 ° ; 移去高压后，箔片张开角度保持30 ° 以上的时间≥10 min</w:t>
            </w:r>
          </w:p>
        </w:tc>
        <w:tc>
          <w:tcPr>
            <w:tcW w:w="863" w:type="dxa"/>
            <w:gridSpan w:val="4"/>
            <w:vAlign w:val="center"/>
          </w:tcPr>
          <w:p w14:paraId="6F8EF933">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对</w:t>
            </w:r>
          </w:p>
        </w:tc>
        <w:tc>
          <w:tcPr>
            <w:tcW w:w="925" w:type="dxa"/>
            <w:gridSpan w:val="3"/>
            <w:vAlign w:val="center"/>
          </w:tcPr>
          <w:p w14:paraId="5AFB05A6">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11E766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0ECBD4E0">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125</w:t>
            </w:r>
          </w:p>
        </w:tc>
        <w:tc>
          <w:tcPr>
            <w:tcW w:w="1227" w:type="dxa"/>
            <w:vAlign w:val="center"/>
          </w:tcPr>
          <w:p w14:paraId="3CB247F4">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感应起电机</w:t>
            </w:r>
          </w:p>
        </w:tc>
        <w:tc>
          <w:tcPr>
            <w:tcW w:w="6167" w:type="dxa"/>
            <w:vAlign w:val="center"/>
          </w:tcPr>
          <w:p w14:paraId="1E7F266C">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由起电盘、底座、莱顿瓶、集电杆、放电杆、 电刷、电刷杆、皮带轮、连接片等组成。起 电盘上导电膜应采用铝箔和纸箔交替分布； 莱顿瓶应采用塑料制成，电容量应≥30 pF， 击穿电压应≥42 kV；集电杆采用直径不低于 4 mm 的冷拉圆钢制成，电梳应由针状金属杆 或束状裸铜线制成，与起电盘距离不应小于  6 mm；放电杆采用直径为 3 mm 的冷拉圆钢制 成，表面镀铬，绝缘手柄长度应≥80 mm，体 积电阻率≥1016  Ω ·m；电刷应采用束状磷铜 线；导电膜与起电盘的 90 °剥离强度应≥8 N。性能要求：在温度为 20 ℃、相对湿度 为 65%±5%的环境中，摇柄转速 120 r/min， 火花放电距离应≥55 mm；在温度为 5 ℃~ 30 ℃范围，相对湿度为 85%±5%的条件下， 仪器应正常工作，火花放电距离应≥30 mm</w:t>
            </w:r>
          </w:p>
        </w:tc>
        <w:tc>
          <w:tcPr>
            <w:tcW w:w="863" w:type="dxa"/>
            <w:gridSpan w:val="4"/>
            <w:vAlign w:val="center"/>
          </w:tcPr>
          <w:p w14:paraId="0EF1BB5A">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台</w:t>
            </w:r>
          </w:p>
        </w:tc>
        <w:tc>
          <w:tcPr>
            <w:tcW w:w="925" w:type="dxa"/>
            <w:gridSpan w:val="3"/>
            <w:vAlign w:val="center"/>
          </w:tcPr>
          <w:p w14:paraId="6AAD356C">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413E3E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754A5BF2">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126</w:t>
            </w:r>
          </w:p>
        </w:tc>
        <w:tc>
          <w:tcPr>
            <w:tcW w:w="1227" w:type="dxa"/>
            <w:vAlign w:val="center"/>
          </w:tcPr>
          <w:p w14:paraId="40B643AE">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条形磁铁</w:t>
            </w:r>
          </w:p>
        </w:tc>
        <w:tc>
          <w:tcPr>
            <w:tcW w:w="6167" w:type="dxa"/>
            <w:vAlign w:val="center"/>
          </w:tcPr>
          <w:p w14:paraId="2B4F524A">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D-CG-LT-180，表面磁感应强度≥0.07 T</w:t>
            </w:r>
          </w:p>
        </w:tc>
        <w:tc>
          <w:tcPr>
            <w:tcW w:w="863" w:type="dxa"/>
            <w:gridSpan w:val="4"/>
            <w:vAlign w:val="center"/>
          </w:tcPr>
          <w:p w14:paraId="1D149FD3">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对</w:t>
            </w:r>
          </w:p>
        </w:tc>
        <w:tc>
          <w:tcPr>
            <w:tcW w:w="925" w:type="dxa"/>
            <w:gridSpan w:val="3"/>
            <w:vAlign w:val="center"/>
          </w:tcPr>
          <w:p w14:paraId="3B442B4F">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13</w:t>
            </w:r>
          </w:p>
        </w:tc>
      </w:tr>
      <w:tr w14:paraId="4AF173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0BEBF06C">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127</w:t>
            </w:r>
          </w:p>
        </w:tc>
        <w:tc>
          <w:tcPr>
            <w:tcW w:w="1227" w:type="dxa"/>
            <w:vAlign w:val="center"/>
          </w:tcPr>
          <w:p w14:paraId="75732943">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蹄形磁铁</w:t>
            </w:r>
          </w:p>
        </w:tc>
        <w:tc>
          <w:tcPr>
            <w:tcW w:w="6167" w:type="dxa"/>
            <w:vAlign w:val="center"/>
          </w:tcPr>
          <w:p w14:paraId="5E02DADC">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D-CG-LU-100，表面磁感应强度≥0.055 T</w:t>
            </w:r>
          </w:p>
        </w:tc>
        <w:tc>
          <w:tcPr>
            <w:tcW w:w="863" w:type="dxa"/>
            <w:gridSpan w:val="4"/>
            <w:vAlign w:val="center"/>
          </w:tcPr>
          <w:p w14:paraId="2E931CF0">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25" w:type="dxa"/>
            <w:gridSpan w:val="3"/>
            <w:vAlign w:val="center"/>
          </w:tcPr>
          <w:p w14:paraId="5CC9F60F">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13</w:t>
            </w:r>
          </w:p>
        </w:tc>
      </w:tr>
      <w:tr w14:paraId="296546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2BDEEA8A">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128</w:t>
            </w:r>
          </w:p>
        </w:tc>
        <w:tc>
          <w:tcPr>
            <w:tcW w:w="1227" w:type="dxa"/>
            <w:vAlign w:val="center"/>
          </w:tcPr>
          <w:p w14:paraId="21D881E2">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翼形磁针</w:t>
            </w:r>
          </w:p>
        </w:tc>
        <w:tc>
          <w:tcPr>
            <w:tcW w:w="6167" w:type="dxa"/>
            <w:vAlign w:val="center"/>
          </w:tcPr>
          <w:p w14:paraId="09FB751A">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2 支，针体 140 mm×8 mm，座</w:t>
            </w:r>
            <w:r>
              <w:rPr>
                <w:rFonts w:hint="eastAsia" w:ascii="宋体" w:hAnsi="宋体"/>
                <w:i/>
                <w:iCs/>
                <w:color w:val="auto"/>
                <w:kern w:val="0"/>
                <w:szCs w:val="21"/>
                <w:highlight w:val="none"/>
                <w:lang w:bidi="ar"/>
              </w:rPr>
              <w:t>Φ</w:t>
            </w:r>
            <w:r>
              <w:rPr>
                <w:rFonts w:hint="eastAsia" w:ascii="宋体" w:hAnsi="宋体"/>
                <w:color w:val="auto"/>
                <w:kern w:val="0"/>
                <w:szCs w:val="21"/>
                <w:highlight w:val="none"/>
                <w:lang w:bidi="ar"/>
              </w:rPr>
              <w:t>71 mm×112 mm， 磁针体中间铆接铜轴承套，内嵌玻璃轴承， 平均磁感应强度≥9 mT</w:t>
            </w:r>
          </w:p>
        </w:tc>
        <w:tc>
          <w:tcPr>
            <w:tcW w:w="863" w:type="dxa"/>
            <w:gridSpan w:val="4"/>
            <w:vAlign w:val="center"/>
          </w:tcPr>
          <w:p w14:paraId="0EC80A30">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组</w:t>
            </w:r>
          </w:p>
        </w:tc>
        <w:tc>
          <w:tcPr>
            <w:tcW w:w="925" w:type="dxa"/>
            <w:gridSpan w:val="3"/>
            <w:vAlign w:val="center"/>
          </w:tcPr>
          <w:p w14:paraId="2B3B9F91">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2A99B0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2D4052A1">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129</w:t>
            </w:r>
          </w:p>
        </w:tc>
        <w:tc>
          <w:tcPr>
            <w:tcW w:w="1227" w:type="dxa"/>
            <w:vAlign w:val="center"/>
          </w:tcPr>
          <w:p w14:paraId="17AEC0E2">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菱形小磁针</w:t>
            </w:r>
          </w:p>
        </w:tc>
        <w:tc>
          <w:tcPr>
            <w:tcW w:w="6167" w:type="dxa"/>
            <w:vAlign w:val="center"/>
          </w:tcPr>
          <w:p w14:paraId="262A6223">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16 支，磁针 28 mm×8 mm，座</w:t>
            </w:r>
            <w:r>
              <w:rPr>
                <w:rFonts w:hint="eastAsia" w:ascii="宋体" w:hAnsi="宋体"/>
                <w:i/>
                <w:iCs/>
                <w:color w:val="auto"/>
                <w:kern w:val="0"/>
                <w:szCs w:val="21"/>
                <w:highlight w:val="none"/>
                <w:lang w:bidi="ar"/>
              </w:rPr>
              <w:t>Φ</w:t>
            </w:r>
            <w:r>
              <w:rPr>
                <w:rFonts w:hint="eastAsia" w:ascii="宋体" w:hAnsi="宋体"/>
                <w:color w:val="auto"/>
                <w:kern w:val="0"/>
                <w:szCs w:val="21"/>
                <w:highlight w:val="none"/>
                <w:lang w:bidi="ar"/>
              </w:rPr>
              <w:t>25 mm×25 mm， 磁针体中间铆接铜轴承套，内嵌玻璃轴承， 平均磁感应强度≥5 mT</w:t>
            </w:r>
          </w:p>
        </w:tc>
        <w:tc>
          <w:tcPr>
            <w:tcW w:w="863" w:type="dxa"/>
            <w:gridSpan w:val="4"/>
            <w:vAlign w:val="center"/>
          </w:tcPr>
          <w:p w14:paraId="4303AFDB">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组</w:t>
            </w:r>
          </w:p>
        </w:tc>
        <w:tc>
          <w:tcPr>
            <w:tcW w:w="925" w:type="dxa"/>
            <w:gridSpan w:val="3"/>
            <w:vAlign w:val="center"/>
          </w:tcPr>
          <w:p w14:paraId="7F7E47E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13</w:t>
            </w:r>
          </w:p>
        </w:tc>
      </w:tr>
      <w:tr w14:paraId="52B9D1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650D6126">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130</w:t>
            </w:r>
          </w:p>
        </w:tc>
        <w:tc>
          <w:tcPr>
            <w:tcW w:w="1227" w:type="dxa"/>
            <w:vAlign w:val="center"/>
          </w:tcPr>
          <w:p w14:paraId="4D54CD37">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磁感线演示器</w:t>
            </w:r>
          </w:p>
        </w:tc>
        <w:tc>
          <w:tcPr>
            <w:tcW w:w="6167" w:type="dxa"/>
            <w:vAlign w:val="center"/>
          </w:tcPr>
          <w:p w14:paraId="49518BB9">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无色透明塑料外壳，油封铁粉式，仪器尺寸 不小于 200 mm×120 mm；环境温度大于 10 ℃ 时，摇匀铁粉时间每次≤20 s</w:t>
            </w:r>
          </w:p>
        </w:tc>
        <w:tc>
          <w:tcPr>
            <w:tcW w:w="863" w:type="dxa"/>
            <w:gridSpan w:val="4"/>
            <w:vAlign w:val="center"/>
          </w:tcPr>
          <w:p w14:paraId="586A22C1">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套</w:t>
            </w:r>
          </w:p>
        </w:tc>
        <w:tc>
          <w:tcPr>
            <w:tcW w:w="925" w:type="dxa"/>
            <w:gridSpan w:val="3"/>
            <w:vAlign w:val="center"/>
          </w:tcPr>
          <w:p w14:paraId="7AC42B30">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7B126A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3DB6D30D">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131</w:t>
            </w:r>
          </w:p>
        </w:tc>
        <w:tc>
          <w:tcPr>
            <w:tcW w:w="1227" w:type="dxa"/>
            <w:vAlign w:val="center"/>
          </w:tcPr>
          <w:p w14:paraId="29CB79C8">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立体磁感线演示器</w:t>
            </w:r>
          </w:p>
        </w:tc>
        <w:tc>
          <w:tcPr>
            <w:tcW w:w="6167" w:type="dxa"/>
            <w:vAlign w:val="center"/>
          </w:tcPr>
          <w:p w14:paraId="7E0BC23F">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永磁、电磁场</w:t>
            </w:r>
          </w:p>
        </w:tc>
        <w:tc>
          <w:tcPr>
            <w:tcW w:w="863" w:type="dxa"/>
            <w:gridSpan w:val="4"/>
            <w:vAlign w:val="center"/>
          </w:tcPr>
          <w:p w14:paraId="2427EDDD">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套</w:t>
            </w:r>
          </w:p>
        </w:tc>
        <w:tc>
          <w:tcPr>
            <w:tcW w:w="925" w:type="dxa"/>
            <w:gridSpan w:val="3"/>
            <w:vAlign w:val="center"/>
          </w:tcPr>
          <w:p w14:paraId="2ADCFE3E">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698E13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0C9B628E">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132</w:t>
            </w:r>
          </w:p>
        </w:tc>
        <w:tc>
          <w:tcPr>
            <w:tcW w:w="1227" w:type="dxa"/>
            <w:vAlign w:val="center"/>
          </w:tcPr>
          <w:p w14:paraId="40209E34">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磁感线演示板</w:t>
            </w:r>
          </w:p>
        </w:tc>
        <w:tc>
          <w:tcPr>
            <w:tcW w:w="6167" w:type="dxa"/>
            <w:vAlign w:val="center"/>
          </w:tcPr>
          <w:p w14:paraId="3E6208B5">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每块板上有 130 以上个空穴，内含自由活动 小铁棒</w:t>
            </w:r>
          </w:p>
        </w:tc>
        <w:tc>
          <w:tcPr>
            <w:tcW w:w="863" w:type="dxa"/>
            <w:gridSpan w:val="4"/>
            <w:vAlign w:val="center"/>
          </w:tcPr>
          <w:p w14:paraId="51F4DD1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套</w:t>
            </w:r>
          </w:p>
        </w:tc>
        <w:tc>
          <w:tcPr>
            <w:tcW w:w="925" w:type="dxa"/>
            <w:gridSpan w:val="3"/>
            <w:vAlign w:val="center"/>
          </w:tcPr>
          <w:p w14:paraId="39D2DDA7">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377709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0A999768">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133</w:t>
            </w:r>
          </w:p>
        </w:tc>
        <w:tc>
          <w:tcPr>
            <w:tcW w:w="1227" w:type="dxa"/>
            <w:vAlign w:val="center"/>
          </w:tcPr>
          <w:p w14:paraId="415229A7">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稳压直流电源</w:t>
            </w:r>
          </w:p>
        </w:tc>
        <w:tc>
          <w:tcPr>
            <w:tcW w:w="6167" w:type="dxa"/>
            <w:vAlign w:val="center"/>
          </w:tcPr>
          <w:p w14:paraId="0814C057">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数显，双路稳压；0 V～15 V 连续可调，每 路额定电流 1.5 A，两路可串联使用；直流 稳压负载电流达到 1.6 A～1.7 A 时电源限流 保护，输出电流恒定在最大电流，过载消除 自动恢复；电压稳定度 0.5%，加 10 mV；负 载稳定度 0.5%，加 10 mV；安全要求：电源 端与外壳抗电强度 1500 V（有保护接地线） 或 3000 V（无保护接地线），电源端与低压 输出抗电强度 3000 V</w:t>
            </w:r>
          </w:p>
        </w:tc>
        <w:tc>
          <w:tcPr>
            <w:tcW w:w="863" w:type="dxa"/>
            <w:gridSpan w:val="4"/>
            <w:vAlign w:val="center"/>
          </w:tcPr>
          <w:p w14:paraId="1F2386D3">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台</w:t>
            </w:r>
          </w:p>
        </w:tc>
        <w:tc>
          <w:tcPr>
            <w:tcW w:w="925" w:type="dxa"/>
            <w:gridSpan w:val="3"/>
            <w:vAlign w:val="center"/>
          </w:tcPr>
          <w:p w14:paraId="30F80F7D">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13</w:t>
            </w:r>
          </w:p>
        </w:tc>
      </w:tr>
      <w:tr w14:paraId="5EAC28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6CA6CF5E">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134</w:t>
            </w:r>
          </w:p>
        </w:tc>
        <w:tc>
          <w:tcPr>
            <w:tcW w:w="1227" w:type="dxa"/>
            <w:vAlign w:val="center"/>
          </w:tcPr>
          <w:p w14:paraId="566E3DD0">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教学电源</w:t>
            </w:r>
          </w:p>
        </w:tc>
        <w:tc>
          <w:tcPr>
            <w:tcW w:w="6167" w:type="dxa"/>
            <w:vAlign w:val="center"/>
          </w:tcPr>
          <w:p w14:paraId="5E46275B">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交流 2 V～12 V，5 A，每 2 V 为一档；直流 1.5 V～12 V，2 A，分为 1.5 V、3 V、4.5 V、 6 V、9 V、12 V，共 6 档；40 A、8 s 自动 关断，延时 1 s；各档空载电压应≤1.05</w:t>
            </w:r>
            <w:r>
              <w:rPr>
                <w:rFonts w:hint="eastAsia" w:ascii="宋体" w:hAnsi="宋体"/>
                <w:i/>
                <w:iCs/>
                <w:color w:val="auto"/>
                <w:kern w:val="0"/>
                <w:szCs w:val="21"/>
                <w:highlight w:val="none"/>
                <w:lang w:bidi="ar"/>
              </w:rPr>
              <w:t>U</w:t>
            </w:r>
            <w:r>
              <w:rPr>
                <w:rFonts w:hint="eastAsia" w:ascii="宋体" w:hAnsi="宋体"/>
                <w:color w:val="auto"/>
                <w:kern w:val="0"/>
                <w:szCs w:val="21"/>
                <w:highlight w:val="none"/>
                <w:lang w:bidi="ar"/>
              </w:rPr>
              <w:t>标   +0.3 V，各档满载电压应≥0.95</w:t>
            </w:r>
            <w:r>
              <w:rPr>
                <w:rFonts w:hint="eastAsia" w:ascii="宋体" w:hAnsi="宋体"/>
                <w:i/>
                <w:iCs/>
                <w:color w:val="auto"/>
                <w:kern w:val="0"/>
                <w:szCs w:val="21"/>
                <w:highlight w:val="none"/>
                <w:lang w:bidi="ar"/>
              </w:rPr>
              <w:t>U</w:t>
            </w:r>
            <w:r>
              <w:rPr>
                <w:rFonts w:hint="eastAsia" w:ascii="宋体" w:hAnsi="宋体"/>
                <w:color w:val="auto"/>
                <w:kern w:val="0"/>
                <w:szCs w:val="21"/>
                <w:highlight w:val="none"/>
                <w:lang w:bidi="ar"/>
              </w:rPr>
              <w:t>标-0.3 V， 直流输出时电压偏调±（2％</w:t>
            </w:r>
            <w:r>
              <w:rPr>
                <w:rFonts w:hint="eastAsia" w:ascii="宋体" w:hAnsi="宋体"/>
                <w:i/>
                <w:iCs/>
                <w:color w:val="auto"/>
                <w:kern w:val="0"/>
                <w:szCs w:val="21"/>
                <w:highlight w:val="none"/>
                <w:lang w:bidi="ar"/>
              </w:rPr>
              <w:t>U</w:t>
            </w:r>
            <w:r>
              <w:rPr>
                <w:rFonts w:hint="eastAsia" w:ascii="宋体" w:hAnsi="宋体"/>
                <w:color w:val="auto"/>
                <w:kern w:val="0"/>
                <w:szCs w:val="21"/>
                <w:highlight w:val="none"/>
                <w:lang w:bidi="ar"/>
              </w:rPr>
              <w:t>标＋0.1 V）</w:t>
            </w:r>
          </w:p>
        </w:tc>
        <w:tc>
          <w:tcPr>
            <w:tcW w:w="863" w:type="dxa"/>
            <w:gridSpan w:val="4"/>
            <w:vAlign w:val="center"/>
          </w:tcPr>
          <w:p w14:paraId="4460C33F">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台</w:t>
            </w:r>
          </w:p>
        </w:tc>
        <w:tc>
          <w:tcPr>
            <w:tcW w:w="925" w:type="dxa"/>
            <w:gridSpan w:val="3"/>
            <w:vAlign w:val="center"/>
          </w:tcPr>
          <w:p w14:paraId="4F2F2506">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71E810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0D9C8D1B">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135</w:t>
            </w:r>
          </w:p>
        </w:tc>
        <w:tc>
          <w:tcPr>
            <w:tcW w:w="1227" w:type="dxa"/>
            <w:vAlign w:val="center"/>
          </w:tcPr>
          <w:p w14:paraId="49DDFD28">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电流磁场演示器</w:t>
            </w:r>
          </w:p>
        </w:tc>
        <w:tc>
          <w:tcPr>
            <w:tcW w:w="6167" w:type="dxa"/>
            <w:vAlign w:val="center"/>
          </w:tcPr>
          <w:p w14:paraId="6445B1C9">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直流导线、圆线圈、螺线管的磁场分布</w:t>
            </w:r>
          </w:p>
        </w:tc>
        <w:tc>
          <w:tcPr>
            <w:tcW w:w="863" w:type="dxa"/>
            <w:gridSpan w:val="4"/>
            <w:vAlign w:val="center"/>
          </w:tcPr>
          <w:p w14:paraId="60C24615">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套</w:t>
            </w:r>
          </w:p>
        </w:tc>
        <w:tc>
          <w:tcPr>
            <w:tcW w:w="925" w:type="dxa"/>
            <w:gridSpan w:val="3"/>
            <w:vAlign w:val="center"/>
          </w:tcPr>
          <w:p w14:paraId="18077A35">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73AA2C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6EC56981">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136</w:t>
            </w:r>
          </w:p>
        </w:tc>
        <w:tc>
          <w:tcPr>
            <w:tcW w:w="1227" w:type="dxa"/>
            <w:vAlign w:val="center"/>
          </w:tcPr>
          <w:p w14:paraId="266D617E">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蹄形电磁铁</w:t>
            </w:r>
          </w:p>
        </w:tc>
        <w:tc>
          <w:tcPr>
            <w:tcW w:w="6167" w:type="dxa"/>
            <w:vAlign w:val="center"/>
          </w:tcPr>
          <w:p w14:paraId="4D41DA57">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磁路总长度不小于 220 mm，两磁极面中心距 离不小于 40 mm，线圈骨架两端有接线柱、 焊片及垫圈，工作电流≤1 A，工作电压≤6 V， 连续工作 20 min 后线圈温升应不大于 75℃ ,  吸力≥49 N，剩余磁力≤5.88 N</w:t>
            </w:r>
          </w:p>
        </w:tc>
        <w:tc>
          <w:tcPr>
            <w:tcW w:w="863" w:type="dxa"/>
            <w:gridSpan w:val="4"/>
            <w:vAlign w:val="center"/>
          </w:tcPr>
          <w:p w14:paraId="726224F4">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25" w:type="dxa"/>
            <w:gridSpan w:val="3"/>
            <w:vAlign w:val="center"/>
          </w:tcPr>
          <w:p w14:paraId="3A308D51">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10A701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628670AB">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137</w:t>
            </w:r>
          </w:p>
        </w:tc>
        <w:tc>
          <w:tcPr>
            <w:tcW w:w="1227" w:type="dxa"/>
            <w:vAlign w:val="center"/>
          </w:tcPr>
          <w:p w14:paraId="5A9D3E0A">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原副线圈</w:t>
            </w:r>
          </w:p>
        </w:tc>
        <w:tc>
          <w:tcPr>
            <w:tcW w:w="6167" w:type="dxa"/>
            <w:vAlign w:val="center"/>
          </w:tcPr>
          <w:p w14:paraId="5D61F161">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原线圈：0.56 mmQZ 型漆包线 310～330 匝， 线圈架内径 11 mm，绕线宽度 57 mm；副线圈： 0.25 mmQZ 型漆包线 670～680 匝，线圈架内 径 24 mm，绕线宽度 52 mm</w:t>
            </w:r>
          </w:p>
        </w:tc>
        <w:tc>
          <w:tcPr>
            <w:tcW w:w="863" w:type="dxa"/>
            <w:gridSpan w:val="4"/>
            <w:vAlign w:val="center"/>
          </w:tcPr>
          <w:p w14:paraId="1175F7B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套</w:t>
            </w:r>
          </w:p>
        </w:tc>
        <w:tc>
          <w:tcPr>
            <w:tcW w:w="925" w:type="dxa"/>
            <w:gridSpan w:val="3"/>
            <w:vAlign w:val="center"/>
          </w:tcPr>
          <w:p w14:paraId="75AD33BE">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13</w:t>
            </w:r>
          </w:p>
        </w:tc>
      </w:tr>
      <w:tr w14:paraId="52BE13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71EE80BF">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138</w:t>
            </w:r>
          </w:p>
        </w:tc>
        <w:tc>
          <w:tcPr>
            <w:tcW w:w="1227" w:type="dxa"/>
            <w:vAlign w:val="center"/>
          </w:tcPr>
          <w:p w14:paraId="65CE0A88">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充磁器</w:t>
            </w:r>
          </w:p>
        </w:tc>
        <w:tc>
          <w:tcPr>
            <w:tcW w:w="6167" w:type="dxa"/>
            <w:vAlign w:val="center"/>
          </w:tcPr>
          <w:p w14:paraId="2C76FA05">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有充磁时间自动控制功能，外壳为非铁磁性 材料，线圈轴向长度不小于 80 mm，能充两 极间距大于 28 mm、磁极截面积小于 42 mm ×24 mm 的 U 形磁铁以及截面积小于 42 mm ×24 mm 的条形磁铁，电源与线圈骨架以及 外壳金属件之间抗电强度 3000 V</w:t>
            </w:r>
          </w:p>
        </w:tc>
        <w:tc>
          <w:tcPr>
            <w:tcW w:w="863" w:type="dxa"/>
            <w:gridSpan w:val="4"/>
            <w:vAlign w:val="center"/>
          </w:tcPr>
          <w:p w14:paraId="6B6259E5">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台</w:t>
            </w:r>
          </w:p>
        </w:tc>
        <w:tc>
          <w:tcPr>
            <w:tcW w:w="925" w:type="dxa"/>
            <w:gridSpan w:val="3"/>
            <w:vAlign w:val="center"/>
          </w:tcPr>
          <w:p w14:paraId="371F9C5B">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34423B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610935B2">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139</w:t>
            </w:r>
          </w:p>
        </w:tc>
        <w:tc>
          <w:tcPr>
            <w:tcW w:w="1227" w:type="dxa"/>
            <w:vAlign w:val="center"/>
          </w:tcPr>
          <w:p w14:paraId="395DD24B">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演示电磁继电器</w:t>
            </w:r>
          </w:p>
        </w:tc>
        <w:tc>
          <w:tcPr>
            <w:tcW w:w="6167" w:type="dxa"/>
            <w:vAlign w:val="center"/>
          </w:tcPr>
          <w:p w14:paraId="5F595EE9">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包括电磁线圈、铁芯、轭铁、衔铁、常开触 点、常闭触点、弹簧、底座等。电磁铁额定 工作电压直流 9 V，工作电流 100 mA±15 mA， 吸合电流≤70 mA，释放电流 20 mA～40 mA。 触点常闭电阻≤1 Ω , 常开电阻≤0.5 Ω ,   开距≥2 mm</w:t>
            </w:r>
          </w:p>
        </w:tc>
        <w:tc>
          <w:tcPr>
            <w:tcW w:w="863" w:type="dxa"/>
            <w:gridSpan w:val="4"/>
            <w:vAlign w:val="center"/>
          </w:tcPr>
          <w:p w14:paraId="029AFE6B">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25" w:type="dxa"/>
            <w:gridSpan w:val="3"/>
            <w:vAlign w:val="center"/>
          </w:tcPr>
          <w:p w14:paraId="0F1F0652">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7395DE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6BE41CF5">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140</w:t>
            </w:r>
          </w:p>
        </w:tc>
        <w:tc>
          <w:tcPr>
            <w:tcW w:w="1227" w:type="dxa"/>
            <w:vAlign w:val="center"/>
          </w:tcPr>
          <w:p w14:paraId="2937E262">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方形线圈</w:t>
            </w:r>
          </w:p>
        </w:tc>
        <w:tc>
          <w:tcPr>
            <w:tcW w:w="6167" w:type="dxa"/>
            <w:vAlign w:val="center"/>
          </w:tcPr>
          <w:p w14:paraId="5FF49B59">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非金属材料正方形框架；线圈应由直径</w:t>
            </w:r>
            <w:r>
              <w:rPr>
                <w:rFonts w:hint="eastAsia" w:ascii="宋体" w:hAnsi="宋体"/>
                <w:i/>
                <w:iCs/>
                <w:color w:val="auto"/>
                <w:kern w:val="0"/>
                <w:szCs w:val="21"/>
                <w:highlight w:val="none"/>
                <w:lang w:bidi="ar"/>
              </w:rPr>
              <w:t>Φ</w:t>
            </w:r>
            <w:r>
              <w:rPr>
                <w:rFonts w:hint="eastAsia" w:ascii="宋体" w:hAnsi="宋体"/>
                <w:color w:val="auto"/>
                <w:kern w:val="0"/>
                <w:szCs w:val="21"/>
                <w:highlight w:val="none"/>
                <w:lang w:bidi="ar"/>
              </w:rPr>
              <w:t xml:space="preserve"> 0.41 mmQZ 型漆包线绕 150 匝以上制成，线 圈边长为 63 mm±3 mm；线圈引线为截面积 为 0.20 mm2～0.25 mm2 、长 320 mm 的多股软 线，线端接线叉；接线棒由绝缘材料制成，长度 150 mm～160 mm，安装红、黑接插两用 接线柱，两接线柱的间距等于线圈宽度；接 线棒固定端外径 10 mm，能固定在方座支架 的垂直夹上</w:t>
            </w:r>
          </w:p>
        </w:tc>
        <w:tc>
          <w:tcPr>
            <w:tcW w:w="863" w:type="dxa"/>
            <w:gridSpan w:val="4"/>
            <w:vAlign w:val="center"/>
          </w:tcPr>
          <w:p w14:paraId="45F885B1">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套</w:t>
            </w:r>
          </w:p>
        </w:tc>
        <w:tc>
          <w:tcPr>
            <w:tcW w:w="925" w:type="dxa"/>
            <w:gridSpan w:val="3"/>
            <w:vAlign w:val="center"/>
          </w:tcPr>
          <w:p w14:paraId="6A2DA167">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13</w:t>
            </w:r>
          </w:p>
        </w:tc>
      </w:tr>
      <w:tr w14:paraId="731ECE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5795591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141</w:t>
            </w:r>
          </w:p>
        </w:tc>
        <w:tc>
          <w:tcPr>
            <w:tcW w:w="1227" w:type="dxa"/>
            <w:vAlign w:val="center"/>
          </w:tcPr>
          <w:p w14:paraId="178806CD">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手摇交直流发电机</w:t>
            </w:r>
          </w:p>
        </w:tc>
        <w:tc>
          <w:tcPr>
            <w:tcW w:w="6167" w:type="dxa"/>
            <w:vAlign w:val="center"/>
          </w:tcPr>
          <w:p w14:paraId="58799D78">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包括定子、转子、整流器、集流环、电刷、 灯座（带灯泡）、手摇驱动机构和底板等部 分。定子应由永磁体和极靴组成，转子应由 转轴、两极电枢铁芯、电枢线圈以及整流器 和集流环组成。整流器在任何位置不应将两 电刷短路，电刷与整流器和集流环应使用弹 性接触，转动灵活。转子转速为 1600 r/min 空载时，输出端交流和直流电压均应≥8 V； 接 16 Ω电阻负载时，输出端交流和直流电 压均应≥5 V；不带皮带轮用作电动机使用时 启动电压应≤4 V，电流应≤0.4 A</w:t>
            </w:r>
          </w:p>
        </w:tc>
        <w:tc>
          <w:tcPr>
            <w:tcW w:w="863" w:type="dxa"/>
            <w:gridSpan w:val="4"/>
            <w:vAlign w:val="center"/>
          </w:tcPr>
          <w:p w14:paraId="4C9AEADF">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25" w:type="dxa"/>
            <w:gridSpan w:val="3"/>
            <w:vAlign w:val="center"/>
          </w:tcPr>
          <w:p w14:paraId="6E314487">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2B45BD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7FF34D80">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142</w:t>
            </w:r>
          </w:p>
        </w:tc>
        <w:tc>
          <w:tcPr>
            <w:tcW w:w="1227" w:type="dxa"/>
            <w:vAlign w:val="center"/>
          </w:tcPr>
          <w:p w14:paraId="33F11785">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滚摆</w:t>
            </w:r>
          </w:p>
        </w:tc>
        <w:tc>
          <w:tcPr>
            <w:tcW w:w="6167" w:type="dxa"/>
            <w:vAlign w:val="center"/>
          </w:tcPr>
          <w:p w14:paraId="43201212">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包括摆体（摆轮和摆轴）、悬线和支架等。 摆轮采用金属材质，直径≥125 mm；摆轴采用 钢材制作，直径≥8 mm，长≥160 mm；支架高≥460 mm，横梁长≥300 mm；摆体质量为 0.6 kg～ 0.8 kg。摆体前 10 次的回升累计递减量应  ≤65 mm</w:t>
            </w:r>
          </w:p>
        </w:tc>
        <w:tc>
          <w:tcPr>
            <w:tcW w:w="863" w:type="dxa"/>
            <w:gridSpan w:val="4"/>
            <w:vAlign w:val="center"/>
          </w:tcPr>
          <w:p w14:paraId="406224B1">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25" w:type="dxa"/>
            <w:gridSpan w:val="3"/>
            <w:vAlign w:val="center"/>
          </w:tcPr>
          <w:p w14:paraId="10266036">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62A522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2D764A3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143</w:t>
            </w:r>
          </w:p>
        </w:tc>
        <w:tc>
          <w:tcPr>
            <w:tcW w:w="1227" w:type="dxa"/>
            <w:vAlign w:val="center"/>
          </w:tcPr>
          <w:p w14:paraId="2E0A4A5E">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气体做功内能减少 演示器</w:t>
            </w:r>
          </w:p>
        </w:tc>
        <w:tc>
          <w:tcPr>
            <w:tcW w:w="6167" w:type="dxa"/>
            <w:vAlign w:val="center"/>
          </w:tcPr>
          <w:p w14:paraId="5BD3D3EF">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由气体做功部分和温度测量部分组成，做功 部分应由贮气筒、安全阀、压力表、活塞及 活塞筒、进气阀、出气阀等组成，固定在底 座上。测量部分应由温度传感器、数显温度 表等组成。电压 6 V，电流≤50 mA</w:t>
            </w:r>
          </w:p>
        </w:tc>
        <w:tc>
          <w:tcPr>
            <w:tcW w:w="863" w:type="dxa"/>
            <w:gridSpan w:val="4"/>
            <w:vAlign w:val="center"/>
          </w:tcPr>
          <w:p w14:paraId="68766538">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套</w:t>
            </w:r>
          </w:p>
        </w:tc>
        <w:tc>
          <w:tcPr>
            <w:tcW w:w="925" w:type="dxa"/>
            <w:gridSpan w:val="3"/>
            <w:vAlign w:val="center"/>
          </w:tcPr>
          <w:p w14:paraId="2115F6AE">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463199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743568D7">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144</w:t>
            </w:r>
          </w:p>
        </w:tc>
        <w:tc>
          <w:tcPr>
            <w:tcW w:w="1227" w:type="dxa"/>
            <w:vAlign w:val="center"/>
          </w:tcPr>
          <w:p w14:paraId="4003F3CC">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空气压缩引火仪</w:t>
            </w:r>
          </w:p>
        </w:tc>
        <w:tc>
          <w:tcPr>
            <w:tcW w:w="6167" w:type="dxa"/>
            <w:vAlign w:val="center"/>
          </w:tcPr>
          <w:p w14:paraId="72AC9DF7">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由气缸、底座、端盖、活塞等部分组成。气 缸用透明有机玻璃制作，内径</w:t>
            </w:r>
            <w:r>
              <w:rPr>
                <w:rFonts w:hint="eastAsia" w:ascii="宋体" w:hAnsi="宋体"/>
                <w:i/>
                <w:iCs/>
                <w:color w:val="auto"/>
                <w:kern w:val="0"/>
                <w:szCs w:val="21"/>
                <w:highlight w:val="none"/>
                <w:lang w:bidi="ar"/>
              </w:rPr>
              <w:t>Φ</w:t>
            </w:r>
            <w:r>
              <w:rPr>
                <w:rFonts w:hint="eastAsia" w:ascii="宋体" w:hAnsi="宋体"/>
                <w:color w:val="auto"/>
                <w:kern w:val="0"/>
                <w:szCs w:val="21"/>
                <w:highlight w:val="none"/>
                <w:lang w:bidi="ar"/>
              </w:rPr>
              <w:t xml:space="preserve">10 mm，外径 </w:t>
            </w:r>
            <w:r>
              <w:rPr>
                <w:rFonts w:hint="eastAsia" w:ascii="宋体" w:hAnsi="宋体"/>
                <w:i/>
                <w:iCs/>
                <w:color w:val="auto"/>
                <w:kern w:val="0"/>
                <w:szCs w:val="21"/>
                <w:highlight w:val="none"/>
                <w:lang w:bidi="ar"/>
              </w:rPr>
              <w:t>Φ</w:t>
            </w:r>
            <w:r>
              <w:rPr>
                <w:rFonts w:hint="eastAsia" w:ascii="宋体" w:hAnsi="宋体"/>
                <w:color w:val="auto"/>
                <w:kern w:val="0"/>
                <w:szCs w:val="21"/>
                <w:highlight w:val="none"/>
                <w:lang w:bidi="ar"/>
              </w:rPr>
              <w:t>25 mm，长 130 mm，底座</w:t>
            </w:r>
            <w:r>
              <w:rPr>
                <w:rFonts w:hint="eastAsia" w:ascii="宋体" w:hAnsi="宋体"/>
                <w:i/>
                <w:iCs/>
                <w:color w:val="auto"/>
                <w:kern w:val="0"/>
                <w:szCs w:val="21"/>
                <w:highlight w:val="none"/>
                <w:lang w:bidi="ar"/>
              </w:rPr>
              <w:t>Φ</w:t>
            </w:r>
            <w:r>
              <w:rPr>
                <w:rFonts w:hint="eastAsia" w:ascii="宋体" w:hAnsi="宋体"/>
                <w:color w:val="auto"/>
                <w:kern w:val="0"/>
                <w:szCs w:val="21"/>
                <w:highlight w:val="none"/>
                <w:lang w:bidi="ar"/>
              </w:rPr>
              <w:t>65 mm，手柄</w:t>
            </w:r>
            <w:r>
              <w:rPr>
                <w:rFonts w:hint="eastAsia" w:ascii="宋体" w:hAnsi="宋体"/>
                <w:i/>
                <w:iCs/>
                <w:color w:val="auto"/>
                <w:kern w:val="0"/>
                <w:szCs w:val="21"/>
                <w:highlight w:val="none"/>
                <w:lang w:bidi="ar"/>
              </w:rPr>
              <w:t>Φ</w:t>
            </w:r>
            <w:r>
              <w:rPr>
                <w:rFonts w:hint="eastAsia" w:ascii="宋体" w:hAnsi="宋体"/>
                <w:color w:val="auto"/>
                <w:kern w:val="0"/>
                <w:szCs w:val="21"/>
                <w:highlight w:val="none"/>
                <w:lang w:bidi="ar"/>
              </w:rPr>
              <w:t xml:space="preserve"> 40 mm，活塞杆</w:t>
            </w:r>
            <w:r>
              <w:rPr>
                <w:rFonts w:hint="eastAsia" w:ascii="宋体" w:hAnsi="宋体"/>
                <w:i/>
                <w:iCs/>
                <w:color w:val="auto"/>
                <w:kern w:val="0"/>
                <w:szCs w:val="21"/>
                <w:highlight w:val="none"/>
                <w:lang w:bidi="ar"/>
              </w:rPr>
              <w:t>Φ</w:t>
            </w:r>
            <w:r>
              <w:rPr>
                <w:rFonts w:hint="eastAsia" w:ascii="宋体" w:hAnsi="宋体"/>
                <w:color w:val="auto"/>
                <w:kern w:val="0"/>
                <w:szCs w:val="21"/>
                <w:highlight w:val="none"/>
                <w:lang w:bidi="ar"/>
              </w:rPr>
              <w:t>8 mm。活塞体应使用弹性材 料制成，活塞与气缸气密性应良好，连续压 缩引火 100 次后密封圈性能不变。应能引燃 脱脂棉，不应使用硝化棉</w:t>
            </w:r>
          </w:p>
        </w:tc>
        <w:tc>
          <w:tcPr>
            <w:tcW w:w="863" w:type="dxa"/>
            <w:gridSpan w:val="4"/>
            <w:vAlign w:val="center"/>
          </w:tcPr>
          <w:p w14:paraId="63350A2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25" w:type="dxa"/>
            <w:gridSpan w:val="3"/>
            <w:vAlign w:val="center"/>
          </w:tcPr>
          <w:p w14:paraId="04D3A36F">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161AB2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77D3708B">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145</w:t>
            </w:r>
          </w:p>
        </w:tc>
        <w:tc>
          <w:tcPr>
            <w:tcW w:w="1227" w:type="dxa"/>
            <w:vAlign w:val="center"/>
          </w:tcPr>
          <w:p w14:paraId="05918693">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汽油机模型</w:t>
            </w:r>
          </w:p>
        </w:tc>
        <w:tc>
          <w:tcPr>
            <w:tcW w:w="6167" w:type="dxa"/>
            <w:vAlign w:val="center"/>
          </w:tcPr>
          <w:p w14:paraId="3AE47577">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四冲程，单缸，示结构原理。由进气管、进 气阀、排气管、排气阀、气缸、活塞、连杆、 曲轴、火花塞、齿轮凸轮总成、飞轮、挺杆 等组成。手动转动，活塞运动压缩比 6:1~  8:1，整体高不小于 300 mm</w:t>
            </w:r>
          </w:p>
        </w:tc>
        <w:tc>
          <w:tcPr>
            <w:tcW w:w="863" w:type="dxa"/>
            <w:gridSpan w:val="4"/>
            <w:vAlign w:val="center"/>
          </w:tcPr>
          <w:p w14:paraId="697B3BAE">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25" w:type="dxa"/>
            <w:gridSpan w:val="3"/>
            <w:vAlign w:val="center"/>
          </w:tcPr>
          <w:p w14:paraId="37AD802B">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599452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192DCB62">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146</w:t>
            </w:r>
          </w:p>
        </w:tc>
        <w:tc>
          <w:tcPr>
            <w:tcW w:w="1227" w:type="dxa"/>
            <w:vAlign w:val="center"/>
          </w:tcPr>
          <w:p w14:paraId="0CE03197">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柴油机模型</w:t>
            </w:r>
          </w:p>
        </w:tc>
        <w:tc>
          <w:tcPr>
            <w:tcW w:w="6167" w:type="dxa"/>
            <w:vAlign w:val="center"/>
          </w:tcPr>
          <w:p w14:paraId="0FDB302C">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四冲程，单缸，示结构原理。由进气管、进 气阀、排气管、排气阀、气缸、活塞、连杆、 曲轴、喷油嘴、齿轮凸轮总成、飞轮、挺杆 组成。手动转动，活塞运动压缩比 14∶1~  16∶1，整体高不小于 300 mm</w:t>
            </w:r>
          </w:p>
        </w:tc>
        <w:tc>
          <w:tcPr>
            <w:tcW w:w="863" w:type="dxa"/>
            <w:gridSpan w:val="4"/>
            <w:vAlign w:val="center"/>
          </w:tcPr>
          <w:p w14:paraId="66D3B1F1">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25" w:type="dxa"/>
            <w:gridSpan w:val="3"/>
            <w:vAlign w:val="center"/>
          </w:tcPr>
          <w:p w14:paraId="625E5FF6">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1F4F50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2A2A4B28">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147</w:t>
            </w:r>
          </w:p>
        </w:tc>
        <w:tc>
          <w:tcPr>
            <w:tcW w:w="1227" w:type="dxa"/>
            <w:vAlign w:val="center"/>
          </w:tcPr>
          <w:p w14:paraId="3391FC2C">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演示电表</w:t>
            </w:r>
          </w:p>
        </w:tc>
        <w:tc>
          <w:tcPr>
            <w:tcW w:w="6167" w:type="dxa"/>
            <w:vAlign w:val="center"/>
          </w:tcPr>
          <w:p w14:paraId="0283F822">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2.5 级，直流电流：200 μA、0.5 A、2.5 A， 直流电压：2.5 V、10 V，检流：－100 μA~ 100 μA，电压灵敏度：5 kΩ/V</w:t>
            </w:r>
          </w:p>
        </w:tc>
        <w:tc>
          <w:tcPr>
            <w:tcW w:w="863" w:type="dxa"/>
            <w:gridSpan w:val="4"/>
            <w:vAlign w:val="center"/>
          </w:tcPr>
          <w:p w14:paraId="1BD2E328">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只</w:t>
            </w:r>
          </w:p>
        </w:tc>
        <w:tc>
          <w:tcPr>
            <w:tcW w:w="925" w:type="dxa"/>
            <w:gridSpan w:val="3"/>
            <w:vAlign w:val="center"/>
          </w:tcPr>
          <w:p w14:paraId="04612EDC">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7D3947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40C8F537">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148</w:t>
            </w:r>
          </w:p>
        </w:tc>
        <w:tc>
          <w:tcPr>
            <w:tcW w:w="1227" w:type="dxa"/>
            <w:vAlign w:val="center"/>
          </w:tcPr>
          <w:p w14:paraId="787404E3">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数字演示电表</w:t>
            </w:r>
          </w:p>
        </w:tc>
        <w:tc>
          <w:tcPr>
            <w:tcW w:w="6167" w:type="dxa"/>
            <w:vAlign w:val="center"/>
          </w:tcPr>
          <w:p w14:paraId="15EC645D">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4-1/2 位，双面显示，同一物理量能自动转 换量程。直流电流：200 μA、2 mA、20 mA、 200 mA、2 A、20 A，不确定度 0.2％；直流 电压：2 V、20 V、200 V，不确定度 0.1%;  电阻：200 Ω 、2 kΩ、20 kΩ、200 kΩ、 2 MΩ、20 MΩ , 不确定度 0.2％；交流电压： 2 V、20 V、200 V、700 V，不确定度 0.5%;  交流电流：2 mA、20 mA、200 mA、2 A，不 确定度 1.0％。2 A、20 A 自动过载保护，故 障排除自动恢复。交流供电，采用 II 类变   压器</w:t>
            </w:r>
          </w:p>
        </w:tc>
        <w:tc>
          <w:tcPr>
            <w:tcW w:w="863" w:type="dxa"/>
            <w:gridSpan w:val="4"/>
            <w:vAlign w:val="center"/>
          </w:tcPr>
          <w:p w14:paraId="28D30CD8">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只</w:t>
            </w:r>
          </w:p>
        </w:tc>
        <w:tc>
          <w:tcPr>
            <w:tcW w:w="925" w:type="dxa"/>
            <w:gridSpan w:val="3"/>
            <w:vAlign w:val="center"/>
          </w:tcPr>
          <w:p w14:paraId="43A071C4">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172653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198BA24F">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149</w:t>
            </w:r>
          </w:p>
        </w:tc>
        <w:tc>
          <w:tcPr>
            <w:tcW w:w="1227" w:type="dxa"/>
            <w:vAlign w:val="center"/>
          </w:tcPr>
          <w:p w14:paraId="1CDE6BAC">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直流电流表</w:t>
            </w:r>
          </w:p>
        </w:tc>
        <w:tc>
          <w:tcPr>
            <w:tcW w:w="6167" w:type="dxa"/>
            <w:vAlign w:val="center"/>
          </w:tcPr>
          <w:p w14:paraId="1BD55717">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0.6 A、3 A 双量程，2.5 级，基本误差、升 降变差、平衡误差不超过量程上限的 2.5%</w:t>
            </w:r>
          </w:p>
        </w:tc>
        <w:tc>
          <w:tcPr>
            <w:tcW w:w="863" w:type="dxa"/>
            <w:gridSpan w:val="4"/>
            <w:vAlign w:val="center"/>
          </w:tcPr>
          <w:p w14:paraId="627ACA45">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只</w:t>
            </w:r>
          </w:p>
        </w:tc>
        <w:tc>
          <w:tcPr>
            <w:tcW w:w="925" w:type="dxa"/>
            <w:gridSpan w:val="3"/>
            <w:vAlign w:val="center"/>
          </w:tcPr>
          <w:p w14:paraId="1BAEACC2">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25</w:t>
            </w:r>
          </w:p>
        </w:tc>
      </w:tr>
      <w:tr w14:paraId="42BABC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3457E14F">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150</w:t>
            </w:r>
          </w:p>
        </w:tc>
        <w:tc>
          <w:tcPr>
            <w:tcW w:w="1227" w:type="dxa"/>
            <w:vAlign w:val="center"/>
          </w:tcPr>
          <w:p w14:paraId="2A6B7016">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直流电压表</w:t>
            </w:r>
          </w:p>
        </w:tc>
        <w:tc>
          <w:tcPr>
            <w:tcW w:w="6167" w:type="dxa"/>
            <w:vAlign w:val="center"/>
          </w:tcPr>
          <w:p w14:paraId="76B7D468">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3 V、15 V 双量程，2.5 级，基本误差、升降 变差、平衡误差不超过量程上限的 2.5%</w:t>
            </w:r>
          </w:p>
        </w:tc>
        <w:tc>
          <w:tcPr>
            <w:tcW w:w="863" w:type="dxa"/>
            <w:gridSpan w:val="4"/>
            <w:vAlign w:val="center"/>
          </w:tcPr>
          <w:p w14:paraId="055C8083">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只</w:t>
            </w:r>
          </w:p>
        </w:tc>
        <w:tc>
          <w:tcPr>
            <w:tcW w:w="925" w:type="dxa"/>
            <w:gridSpan w:val="3"/>
            <w:vAlign w:val="center"/>
          </w:tcPr>
          <w:p w14:paraId="48BAD644">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25</w:t>
            </w:r>
          </w:p>
        </w:tc>
      </w:tr>
      <w:tr w14:paraId="6B7EB5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10E9027A">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151</w:t>
            </w:r>
          </w:p>
        </w:tc>
        <w:tc>
          <w:tcPr>
            <w:tcW w:w="1227" w:type="dxa"/>
            <w:vAlign w:val="center"/>
          </w:tcPr>
          <w:p w14:paraId="5610B02D">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多用电表</w:t>
            </w:r>
          </w:p>
        </w:tc>
        <w:tc>
          <w:tcPr>
            <w:tcW w:w="6167" w:type="dxa"/>
            <w:vAlign w:val="center"/>
          </w:tcPr>
          <w:p w14:paraId="59438E7B">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指针式，不低于 2.5 级</w:t>
            </w:r>
          </w:p>
        </w:tc>
        <w:tc>
          <w:tcPr>
            <w:tcW w:w="863" w:type="dxa"/>
            <w:gridSpan w:val="4"/>
            <w:vAlign w:val="center"/>
          </w:tcPr>
          <w:p w14:paraId="0FBDE040">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只</w:t>
            </w:r>
          </w:p>
        </w:tc>
        <w:tc>
          <w:tcPr>
            <w:tcW w:w="925" w:type="dxa"/>
            <w:gridSpan w:val="3"/>
            <w:vAlign w:val="center"/>
          </w:tcPr>
          <w:p w14:paraId="0250A962">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455202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770878E1">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152</w:t>
            </w:r>
          </w:p>
        </w:tc>
        <w:tc>
          <w:tcPr>
            <w:tcW w:w="1227" w:type="dxa"/>
            <w:vAlign w:val="center"/>
          </w:tcPr>
          <w:p w14:paraId="1B125497">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指针验电器</w:t>
            </w:r>
          </w:p>
        </w:tc>
        <w:tc>
          <w:tcPr>
            <w:tcW w:w="6167" w:type="dxa"/>
            <w:vAlign w:val="center"/>
          </w:tcPr>
          <w:p w14:paraId="2943DA48">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数字式，4-1/2 位，电压、电流、电阻、电 容、二极管、温度、频率测试</w:t>
            </w:r>
          </w:p>
        </w:tc>
        <w:tc>
          <w:tcPr>
            <w:tcW w:w="863" w:type="dxa"/>
            <w:gridSpan w:val="4"/>
            <w:vAlign w:val="center"/>
          </w:tcPr>
          <w:p w14:paraId="2B19C331">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只</w:t>
            </w:r>
          </w:p>
        </w:tc>
        <w:tc>
          <w:tcPr>
            <w:tcW w:w="925" w:type="dxa"/>
            <w:gridSpan w:val="3"/>
            <w:vAlign w:val="center"/>
          </w:tcPr>
          <w:p w14:paraId="1661E9C6">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3970F2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7637FEAF">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153</w:t>
            </w:r>
          </w:p>
        </w:tc>
        <w:tc>
          <w:tcPr>
            <w:tcW w:w="1227" w:type="dxa"/>
            <w:vAlign w:val="center"/>
          </w:tcPr>
          <w:p w14:paraId="5D327343">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灵敏电流计</w:t>
            </w:r>
          </w:p>
        </w:tc>
        <w:tc>
          <w:tcPr>
            <w:tcW w:w="6167" w:type="dxa"/>
            <w:vAlign w:val="center"/>
          </w:tcPr>
          <w:p w14:paraId="737CBC8F">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300 μA，G0 档表头内阻 80 Ω~125 Ω , G1 档表头内阻 2400 Ω~3000 Ω</w:t>
            </w:r>
          </w:p>
        </w:tc>
        <w:tc>
          <w:tcPr>
            <w:tcW w:w="863" w:type="dxa"/>
            <w:gridSpan w:val="4"/>
            <w:vAlign w:val="center"/>
          </w:tcPr>
          <w:p w14:paraId="135AB762">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只</w:t>
            </w:r>
          </w:p>
        </w:tc>
        <w:tc>
          <w:tcPr>
            <w:tcW w:w="925" w:type="dxa"/>
            <w:gridSpan w:val="3"/>
            <w:vAlign w:val="center"/>
          </w:tcPr>
          <w:p w14:paraId="1A39E0C7">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13</w:t>
            </w:r>
          </w:p>
        </w:tc>
      </w:tr>
      <w:tr w14:paraId="2A828A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3D0B92A4">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154</w:t>
            </w:r>
          </w:p>
        </w:tc>
        <w:tc>
          <w:tcPr>
            <w:tcW w:w="1227" w:type="dxa"/>
            <w:vAlign w:val="center"/>
          </w:tcPr>
          <w:p w14:paraId="0005794B">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教学用 E10 螺口 灯座</w:t>
            </w:r>
          </w:p>
        </w:tc>
        <w:tc>
          <w:tcPr>
            <w:tcW w:w="6167" w:type="dxa"/>
            <w:vAlign w:val="center"/>
          </w:tcPr>
          <w:p w14:paraId="6D0AF24F">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由底座、接线柱和灯座等组成。底座应采用 硬质绝缘材料制成，最高工作电压应为 36 V， 最大工作电流应为 2.5 A。灯座口圈应采用 厚 0.4 mm～0.5 mm 的黄铜材料制作，中心触 点应采用厚 0.3 mm～0.4 mm 的磷铜材料制 作。两接线柱之间绝缘电阻应≥2 MΩ</w:t>
            </w:r>
          </w:p>
        </w:tc>
        <w:tc>
          <w:tcPr>
            <w:tcW w:w="863" w:type="dxa"/>
            <w:gridSpan w:val="4"/>
            <w:vAlign w:val="center"/>
          </w:tcPr>
          <w:p w14:paraId="57FEA627">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25" w:type="dxa"/>
            <w:gridSpan w:val="3"/>
            <w:vAlign w:val="center"/>
          </w:tcPr>
          <w:p w14:paraId="5F390BB2">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26</w:t>
            </w:r>
          </w:p>
        </w:tc>
      </w:tr>
      <w:tr w14:paraId="512B2B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6CFD8F63">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155</w:t>
            </w:r>
          </w:p>
        </w:tc>
        <w:tc>
          <w:tcPr>
            <w:tcW w:w="1227" w:type="dxa"/>
            <w:vAlign w:val="center"/>
          </w:tcPr>
          <w:p w14:paraId="5672AB45">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电珠(小灯泡)</w:t>
            </w:r>
          </w:p>
        </w:tc>
        <w:tc>
          <w:tcPr>
            <w:tcW w:w="6167" w:type="dxa"/>
            <w:vAlign w:val="center"/>
          </w:tcPr>
          <w:p w14:paraId="08215BE6">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1.5 V、0.3 A</w:t>
            </w:r>
          </w:p>
        </w:tc>
        <w:tc>
          <w:tcPr>
            <w:tcW w:w="863" w:type="dxa"/>
            <w:gridSpan w:val="4"/>
            <w:vAlign w:val="center"/>
          </w:tcPr>
          <w:p w14:paraId="02CF3444">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25" w:type="dxa"/>
            <w:gridSpan w:val="3"/>
            <w:vAlign w:val="center"/>
          </w:tcPr>
          <w:p w14:paraId="6214C08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50</w:t>
            </w:r>
          </w:p>
        </w:tc>
      </w:tr>
      <w:tr w14:paraId="639D8C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00339527">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156</w:t>
            </w:r>
          </w:p>
        </w:tc>
        <w:tc>
          <w:tcPr>
            <w:tcW w:w="1227" w:type="dxa"/>
            <w:vAlign w:val="center"/>
          </w:tcPr>
          <w:p w14:paraId="55ED981D">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单刀开关</w:t>
            </w:r>
          </w:p>
        </w:tc>
        <w:tc>
          <w:tcPr>
            <w:tcW w:w="6167" w:type="dxa"/>
            <w:vAlign w:val="center"/>
          </w:tcPr>
          <w:p w14:paraId="16F16B0E">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2.5 V、0.3 A</w:t>
            </w:r>
          </w:p>
        </w:tc>
        <w:tc>
          <w:tcPr>
            <w:tcW w:w="863" w:type="dxa"/>
            <w:gridSpan w:val="4"/>
            <w:vAlign w:val="center"/>
          </w:tcPr>
          <w:p w14:paraId="46A4A3C5">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25" w:type="dxa"/>
            <w:gridSpan w:val="3"/>
            <w:vAlign w:val="center"/>
          </w:tcPr>
          <w:p w14:paraId="352B926F">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50</w:t>
            </w:r>
          </w:p>
        </w:tc>
      </w:tr>
      <w:tr w14:paraId="7BB1AE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2E1C8054">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157</w:t>
            </w:r>
          </w:p>
        </w:tc>
        <w:tc>
          <w:tcPr>
            <w:tcW w:w="1227" w:type="dxa"/>
            <w:vAlign w:val="center"/>
          </w:tcPr>
          <w:p w14:paraId="1673D0E3">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滑动变阻器</w:t>
            </w:r>
          </w:p>
        </w:tc>
        <w:tc>
          <w:tcPr>
            <w:tcW w:w="6167" w:type="dxa"/>
            <w:vAlign w:val="center"/>
          </w:tcPr>
          <w:p w14:paraId="74215B0B">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3.8 V、0.3 A</w:t>
            </w:r>
          </w:p>
        </w:tc>
        <w:tc>
          <w:tcPr>
            <w:tcW w:w="863" w:type="dxa"/>
            <w:gridSpan w:val="4"/>
            <w:vAlign w:val="center"/>
          </w:tcPr>
          <w:p w14:paraId="3EAEB93F">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25" w:type="dxa"/>
            <w:gridSpan w:val="3"/>
            <w:vAlign w:val="center"/>
          </w:tcPr>
          <w:p w14:paraId="5005704A">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50</w:t>
            </w:r>
          </w:p>
        </w:tc>
      </w:tr>
      <w:tr w14:paraId="63D1BE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6A8EF26F">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158</w:t>
            </w:r>
          </w:p>
        </w:tc>
        <w:tc>
          <w:tcPr>
            <w:tcW w:w="1227" w:type="dxa"/>
            <w:vAlign w:val="center"/>
          </w:tcPr>
          <w:p w14:paraId="08F7808B">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单刀开关</w:t>
            </w:r>
          </w:p>
        </w:tc>
        <w:tc>
          <w:tcPr>
            <w:tcW w:w="6167" w:type="dxa"/>
            <w:vAlign w:val="center"/>
          </w:tcPr>
          <w:p w14:paraId="1A0AFD69">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最高工作电压 36 V，额定工作电流 6 A。开 关闸刀、接线柱、垫片均为铜质。闸刀宽度 ≥7 mm，闸刀厚度≥0.7 mm。接线柱直径为  4 mm，有效行程≥4 mm。通额定电流，导电 部分允许温升≤35 ℃ , 操作手柄允许温升   ≤25 ℃ 。开关的绝缘强度应能承受 1200 V。 在额定直流电流工作条件下，接线两端直流 电压降≤100 mV</w:t>
            </w:r>
          </w:p>
        </w:tc>
        <w:tc>
          <w:tcPr>
            <w:tcW w:w="863" w:type="dxa"/>
            <w:gridSpan w:val="4"/>
            <w:vAlign w:val="center"/>
          </w:tcPr>
          <w:p w14:paraId="32A85F5D">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25" w:type="dxa"/>
            <w:gridSpan w:val="3"/>
            <w:vAlign w:val="center"/>
          </w:tcPr>
          <w:p w14:paraId="005F51CC">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50</w:t>
            </w:r>
          </w:p>
        </w:tc>
      </w:tr>
      <w:tr w14:paraId="6C9902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009460F6">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159</w:t>
            </w:r>
          </w:p>
        </w:tc>
        <w:tc>
          <w:tcPr>
            <w:tcW w:w="1227" w:type="dxa"/>
            <w:vAlign w:val="center"/>
          </w:tcPr>
          <w:p w14:paraId="5758671A">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滑动变阻器</w:t>
            </w:r>
          </w:p>
        </w:tc>
        <w:tc>
          <w:tcPr>
            <w:tcW w:w="6167" w:type="dxa"/>
            <w:vAlign w:val="center"/>
          </w:tcPr>
          <w:p w14:paraId="757830F4">
            <w:pPr>
              <w:widowControl/>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5 Ω , 3 A</w:t>
            </w:r>
          </w:p>
          <w:p w14:paraId="1EFAE426">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误差应&lt;±10%；滑杆应采用 正六边形、正四边形或正三 角形截面，不应采用圆形截 面；电阻丝采用康铜丝，接 线柱应有防松动装置；额定 电 流 工 作 30 min 温 升 ≤ 300 ℃</w:t>
            </w:r>
          </w:p>
        </w:tc>
        <w:tc>
          <w:tcPr>
            <w:tcW w:w="863" w:type="dxa"/>
            <w:gridSpan w:val="4"/>
            <w:vAlign w:val="center"/>
          </w:tcPr>
          <w:p w14:paraId="1A0F41AD">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25" w:type="dxa"/>
            <w:gridSpan w:val="3"/>
            <w:vAlign w:val="center"/>
          </w:tcPr>
          <w:p w14:paraId="56574258">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512BE7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44F4B0B7">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160</w:t>
            </w:r>
          </w:p>
        </w:tc>
        <w:tc>
          <w:tcPr>
            <w:tcW w:w="1227" w:type="dxa"/>
            <w:vAlign w:val="center"/>
          </w:tcPr>
          <w:p w14:paraId="7A2C43CE">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电阻圈</w:t>
            </w:r>
          </w:p>
        </w:tc>
        <w:tc>
          <w:tcPr>
            <w:tcW w:w="6167" w:type="dxa"/>
            <w:vAlign w:val="center"/>
          </w:tcPr>
          <w:p w14:paraId="0F322230">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20 Ω , 2 A，组</w:t>
            </w:r>
          </w:p>
        </w:tc>
        <w:tc>
          <w:tcPr>
            <w:tcW w:w="863" w:type="dxa"/>
            <w:gridSpan w:val="4"/>
            <w:vAlign w:val="center"/>
          </w:tcPr>
          <w:p w14:paraId="115631BB">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25" w:type="dxa"/>
            <w:gridSpan w:val="3"/>
            <w:vAlign w:val="center"/>
          </w:tcPr>
          <w:p w14:paraId="32BE7F71">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13</w:t>
            </w:r>
          </w:p>
        </w:tc>
      </w:tr>
      <w:tr w14:paraId="0FD9C9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1C6A227C">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161</w:t>
            </w:r>
          </w:p>
        </w:tc>
        <w:tc>
          <w:tcPr>
            <w:tcW w:w="1227" w:type="dxa"/>
            <w:vAlign w:val="center"/>
          </w:tcPr>
          <w:p w14:paraId="2EB9C0CC">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电阻定律演示器</w:t>
            </w:r>
          </w:p>
        </w:tc>
        <w:tc>
          <w:tcPr>
            <w:tcW w:w="6167" w:type="dxa"/>
            <w:vAlign w:val="center"/>
          </w:tcPr>
          <w:p w14:paraId="27260C1B">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50 Ω , 1.5 A</w:t>
            </w:r>
          </w:p>
        </w:tc>
        <w:tc>
          <w:tcPr>
            <w:tcW w:w="863" w:type="dxa"/>
            <w:gridSpan w:val="4"/>
            <w:vAlign w:val="center"/>
          </w:tcPr>
          <w:p w14:paraId="79AB31E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25" w:type="dxa"/>
            <w:gridSpan w:val="3"/>
            <w:vAlign w:val="center"/>
          </w:tcPr>
          <w:p w14:paraId="37A6AA23">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62A49C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31076943">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162</w:t>
            </w:r>
          </w:p>
        </w:tc>
        <w:tc>
          <w:tcPr>
            <w:tcW w:w="1227" w:type="dxa"/>
            <w:vAlign w:val="center"/>
          </w:tcPr>
          <w:p w14:paraId="045E05BC">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电阻圈</w:t>
            </w:r>
          </w:p>
        </w:tc>
        <w:tc>
          <w:tcPr>
            <w:tcW w:w="6167" w:type="dxa"/>
            <w:vAlign w:val="center"/>
          </w:tcPr>
          <w:p w14:paraId="260EC155">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包括 5Ω 、1.5 A，10 Ω 、1.0 A，15 Ω 、 0.6 A 共 3 种规格，阻值误差≤±1%； 电阻 丝应采用锰铜线或康铜线绕制；按额定电流 连续工作 15 min 后，5Ω 、1.5 A，10 Ω 、 1.0 A，15 Ω 、0.6 A 电阻圈外壳两侧温升 分别不应高于 60 K、60 K 和 45 K；按额定 电流连续工作 2 h 后外壳不应出现焦灼、熔 化变形、冒烟现象；加热后电阻值变化应在 1%以内</w:t>
            </w:r>
          </w:p>
        </w:tc>
        <w:tc>
          <w:tcPr>
            <w:tcW w:w="863" w:type="dxa"/>
            <w:gridSpan w:val="4"/>
            <w:vAlign w:val="center"/>
          </w:tcPr>
          <w:p w14:paraId="1F1BB106">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组</w:t>
            </w:r>
          </w:p>
        </w:tc>
        <w:tc>
          <w:tcPr>
            <w:tcW w:w="925" w:type="dxa"/>
            <w:gridSpan w:val="3"/>
            <w:vAlign w:val="center"/>
          </w:tcPr>
          <w:p w14:paraId="0462F02D">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13</w:t>
            </w:r>
          </w:p>
        </w:tc>
      </w:tr>
      <w:tr w14:paraId="3401BA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600C36E5">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163</w:t>
            </w:r>
          </w:p>
        </w:tc>
        <w:tc>
          <w:tcPr>
            <w:tcW w:w="1227" w:type="dxa"/>
            <w:vAlign w:val="center"/>
          </w:tcPr>
          <w:p w14:paraId="4FA2C6A2">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电阻定律演示器</w:t>
            </w:r>
          </w:p>
        </w:tc>
        <w:tc>
          <w:tcPr>
            <w:tcW w:w="6167" w:type="dxa"/>
            <w:vAlign w:val="center"/>
          </w:tcPr>
          <w:p w14:paraId="32AB0DB8">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由底板、2 种金属导线（康铜、镍铬）、接 线柱、连接片、支撑架等组成；康铜导线 2 根（长均为 1000 mm，直径分别为 0.5 mm、 0.3 mm）；镍铬线 2 根（长分别为 1000 mm、 500 mm，直径均为 0.3 mm）</w:t>
            </w:r>
          </w:p>
        </w:tc>
        <w:tc>
          <w:tcPr>
            <w:tcW w:w="863" w:type="dxa"/>
            <w:gridSpan w:val="4"/>
            <w:vAlign w:val="center"/>
          </w:tcPr>
          <w:p w14:paraId="673A0FA7">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台</w:t>
            </w:r>
          </w:p>
        </w:tc>
        <w:tc>
          <w:tcPr>
            <w:tcW w:w="925" w:type="dxa"/>
            <w:gridSpan w:val="3"/>
            <w:vAlign w:val="center"/>
          </w:tcPr>
          <w:p w14:paraId="39776245">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398F36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41599468">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164</w:t>
            </w:r>
          </w:p>
        </w:tc>
        <w:tc>
          <w:tcPr>
            <w:tcW w:w="1227" w:type="dxa"/>
            <w:vAlign w:val="center"/>
          </w:tcPr>
          <w:p w14:paraId="249F2516">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插头导线</w:t>
            </w:r>
          </w:p>
        </w:tc>
        <w:tc>
          <w:tcPr>
            <w:tcW w:w="6167" w:type="dxa"/>
            <w:vAlign w:val="center"/>
          </w:tcPr>
          <w:p w14:paraId="085E8587">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长度分别为 200 mm、300 mm、400 mm；单芯 4 mm 纯铜插头，纯铜导线；宜用不同线色</w:t>
            </w:r>
          </w:p>
        </w:tc>
        <w:tc>
          <w:tcPr>
            <w:tcW w:w="863" w:type="dxa"/>
            <w:gridSpan w:val="4"/>
            <w:vAlign w:val="center"/>
          </w:tcPr>
          <w:p w14:paraId="2D3538ED">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套</w:t>
            </w:r>
          </w:p>
        </w:tc>
        <w:tc>
          <w:tcPr>
            <w:tcW w:w="925" w:type="dxa"/>
            <w:gridSpan w:val="3"/>
            <w:vAlign w:val="center"/>
          </w:tcPr>
          <w:p w14:paraId="6DD5AE5E">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100</w:t>
            </w:r>
          </w:p>
        </w:tc>
      </w:tr>
      <w:tr w14:paraId="62D433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463ACF6E">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165</w:t>
            </w:r>
          </w:p>
        </w:tc>
        <w:tc>
          <w:tcPr>
            <w:tcW w:w="1227" w:type="dxa"/>
            <w:vAlign w:val="center"/>
          </w:tcPr>
          <w:p w14:paraId="593484AD">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接线夹导线</w:t>
            </w:r>
          </w:p>
        </w:tc>
        <w:tc>
          <w:tcPr>
            <w:tcW w:w="6167" w:type="dxa"/>
            <w:vAlign w:val="center"/>
          </w:tcPr>
          <w:p w14:paraId="4ED2D942">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长度分别为 200 mm、300 mm、400 mm；单芯 4 mm 纯铜接线夹，纯铜导线；宜用不同线色</w:t>
            </w:r>
          </w:p>
        </w:tc>
        <w:tc>
          <w:tcPr>
            <w:tcW w:w="863" w:type="dxa"/>
            <w:gridSpan w:val="4"/>
            <w:vAlign w:val="center"/>
          </w:tcPr>
          <w:p w14:paraId="09E58ED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套</w:t>
            </w:r>
          </w:p>
        </w:tc>
        <w:tc>
          <w:tcPr>
            <w:tcW w:w="925" w:type="dxa"/>
            <w:gridSpan w:val="3"/>
            <w:vAlign w:val="center"/>
          </w:tcPr>
          <w:p w14:paraId="46A5D474">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100</w:t>
            </w:r>
          </w:p>
        </w:tc>
      </w:tr>
      <w:tr w14:paraId="682DBA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01D2C6F1">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166</w:t>
            </w:r>
          </w:p>
        </w:tc>
        <w:tc>
          <w:tcPr>
            <w:tcW w:w="1227" w:type="dxa"/>
            <w:vAlign w:val="center"/>
          </w:tcPr>
          <w:p w14:paraId="0E26ABC6">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接线叉导线</w:t>
            </w:r>
          </w:p>
        </w:tc>
        <w:tc>
          <w:tcPr>
            <w:tcW w:w="6167" w:type="dxa"/>
            <w:vAlign w:val="center"/>
          </w:tcPr>
          <w:p w14:paraId="7C988273">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长度分别为 200 mm、300 mm、400 mm；单芯 4 mm 纯铜接线叉，接线叉开口 5.9 mm，纯铜 导线；宜用不同线色</w:t>
            </w:r>
          </w:p>
        </w:tc>
        <w:tc>
          <w:tcPr>
            <w:tcW w:w="863" w:type="dxa"/>
            <w:gridSpan w:val="4"/>
            <w:vAlign w:val="center"/>
          </w:tcPr>
          <w:p w14:paraId="01D17D7A">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套</w:t>
            </w:r>
          </w:p>
        </w:tc>
        <w:tc>
          <w:tcPr>
            <w:tcW w:w="925" w:type="dxa"/>
            <w:gridSpan w:val="3"/>
            <w:vAlign w:val="center"/>
          </w:tcPr>
          <w:p w14:paraId="5CC762FF">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100</w:t>
            </w:r>
          </w:p>
        </w:tc>
      </w:tr>
      <w:tr w14:paraId="59906C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3D6776AC">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167</w:t>
            </w:r>
          </w:p>
        </w:tc>
        <w:tc>
          <w:tcPr>
            <w:tcW w:w="1227" w:type="dxa"/>
            <w:vAlign w:val="center"/>
          </w:tcPr>
          <w:p w14:paraId="45408704">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组合接头导线</w:t>
            </w:r>
          </w:p>
        </w:tc>
        <w:tc>
          <w:tcPr>
            <w:tcW w:w="6167" w:type="dxa"/>
            <w:vAlign w:val="center"/>
          </w:tcPr>
          <w:p w14:paraId="578878D2">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长度分别为 200 mm、300 mm、400 mm；一头 为单芯 4 mm 纯铜接线叉，一头为接线夹，接 线叉开口 5.9 mm，纯铜导线；宜用不同线色</w:t>
            </w:r>
          </w:p>
        </w:tc>
        <w:tc>
          <w:tcPr>
            <w:tcW w:w="863" w:type="dxa"/>
            <w:gridSpan w:val="4"/>
            <w:vAlign w:val="center"/>
          </w:tcPr>
          <w:p w14:paraId="298FFE5C">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套</w:t>
            </w:r>
          </w:p>
        </w:tc>
        <w:tc>
          <w:tcPr>
            <w:tcW w:w="925" w:type="dxa"/>
            <w:gridSpan w:val="3"/>
            <w:vAlign w:val="center"/>
          </w:tcPr>
          <w:p w14:paraId="141DE2BF">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100</w:t>
            </w:r>
          </w:p>
        </w:tc>
      </w:tr>
      <w:tr w14:paraId="2BE73B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14962CFF">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168</w:t>
            </w:r>
          </w:p>
        </w:tc>
        <w:tc>
          <w:tcPr>
            <w:tcW w:w="1227" w:type="dxa"/>
            <w:vAlign w:val="center"/>
          </w:tcPr>
          <w:p w14:paraId="6048E044">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焦耳定律演示器</w:t>
            </w:r>
          </w:p>
        </w:tc>
        <w:tc>
          <w:tcPr>
            <w:tcW w:w="6167" w:type="dxa"/>
            <w:vAlign w:val="center"/>
          </w:tcPr>
          <w:p w14:paraId="66D0824B">
            <w:pPr>
              <w:widowControl/>
              <w:numPr>
                <w:ilvl w:val="0"/>
                <w:numId w:val="207"/>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焦耳定律演示器主要由以下配件组成：</w:t>
            </w:r>
          </w:p>
          <w:p w14:paraId="68235F2B">
            <w:pPr>
              <w:widowControl/>
              <w:ind w:left="440"/>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1.1、示教板      1套</w:t>
            </w:r>
          </w:p>
          <w:p w14:paraId="3006F25A">
            <w:pPr>
              <w:widowControl/>
              <w:ind w:left="440"/>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1.2、带电阻容器  4个</w:t>
            </w:r>
          </w:p>
          <w:p w14:paraId="158C3898">
            <w:pPr>
              <w:widowControl/>
              <w:ind w:left="440"/>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1.3、支撑脚      2个</w:t>
            </w:r>
          </w:p>
          <w:p w14:paraId="3F63E726">
            <w:pPr>
              <w:widowControl/>
              <w:ind w:left="440"/>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1.4、连接线      8根</w:t>
            </w:r>
          </w:p>
          <w:p w14:paraId="76A78507">
            <w:pPr>
              <w:widowControl/>
              <w:numPr>
                <w:ilvl w:val="0"/>
                <w:numId w:val="207"/>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焦耳定律演示器为数字显示，工作电压DC12V。</w:t>
            </w:r>
          </w:p>
          <w:p w14:paraId="13A750C9">
            <w:pPr>
              <w:widowControl/>
              <w:numPr>
                <w:ilvl w:val="0"/>
                <w:numId w:val="207"/>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示教板采用优质工程塑料ABS制作，规格尺寸不小于295X255X25mm。</w:t>
            </w:r>
          </w:p>
          <w:p w14:paraId="14D2F096">
            <w:pPr>
              <w:widowControl/>
              <w:ind w:left="440"/>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3.1、示教板左上方安装A、C数字显示屏，右上方安装B、C数字显示屏。</w:t>
            </w:r>
          </w:p>
          <w:p w14:paraId="7B645B7E">
            <w:pPr>
              <w:widowControl/>
              <w:ind w:left="440"/>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3.2、左中安装电流开关，中间安装单和双电阻输入端子和传感器探头引线。</w:t>
            </w:r>
          </w:p>
          <w:p w14:paraId="5416E908">
            <w:pPr>
              <w:widowControl/>
              <w:ind w:left="440"/>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3.3、开关下面安装DC12V电流输入端子，正、负标注清晰。</w:t>
            </w:r>
          </w:p>
          <w:p w14:paraId="0DF6C647">
            <w:pPr>
              <w:widowControl/>
              <w:ind w:left="440"/>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3.4、下方安装溶器托架，托架与溶器配合应松紧良好，平稳无倾斜现象。</w:t>
            </w:r>
          </w:p>
          <w:p w14:paraId="4F215A9F">
            <w:pPr>
              <w:widowControl/>
              <w:ind w:left="440"/>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3.5、示教板两侧开有飞机孔，便于安装支撑脚。</w:t>
            </w:r>
          </w:p>
          <w:p w14:paraId="4D9E74E1">
            <w:pPr>
              <w:widowControl/>
              <w:numPr>
                <w:ilvl w:val="0"/>
                <w:numId w:val="207"/>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组装后的示教板应排列规范、美观、印刷清晰。</w:t>
            </w:r>
          </w:p>
          <w:p w14:paraId="52F6C3E3">
            <w:pPr>
              <w:widowControl/>
              <w:numPr>
                <w:ilvl w:val="0"/>
                <w:numId w:val="207"/>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带电阻容器采用透明塑料制作，外形尺寸不小于57X36X61mm，应有R1~R5标注，其中R1为5Ω，R2、R3、R4均为10Ω，接线装置固定牢靠。</w:t>
            </w:r>
          </w:p>
          <w:p w14:paraId="5FC5C7BC">
            <w:pPr>
              <w:widowControl/>
              <w:numPr>
                <w:ilvl w:val="0"/>
                <w:numId w:val="207"/>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支撑脚采ABS工程塑料制作，尺寸不小于115*13*120mm，抱住示教板推到位后，应摆放平稳，无脱落现象。</w:t>
            </w:r>
          </w:p>
          <w:p w14:paraId="418C6332">
            <w:pPr>
              <w:widowControl/>
              <w:numPr>
                <w:ilvl w:val="0"/>
                <w:numId w:val="207"/>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连接线一端用鱼叉，另一端用香蕉插，长度不小于100mm和400mm。</w:t>
            </w:r>
          </w:p>
          <w:p w14:paraId="41C63E38">
            <w:pPr>
              <w:widowControl/>
              <w:numPr>
                <w:ilvl w:val="0"/>
                <w:numId w:val="207"/>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组合后的焦耳定律演示器，通电后按教学内容要求实验，应性能稳定、效果明显正确。</w:t>
            </w:r>
          </w:p>
          <w:p w14:paraId="6D4DC800">
            <w:pPr>
              <w:widowControl/>
              <w:numPr>
                <w:ilvl w:val="0"/>
                <w:numId w:val="207"/>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工作电压：DC12V</w:t>
            </w:r>
          </w:p>
          <w:p w14:paraId="5BFEAA26">
            <w:pPr>
              <w:widowControl/>
              <w:ind w:left="440"/>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工作环境：-10~40℃</w:t>
            </w:r>
          </w:p>
          <w:p w14:paraId="53D26146">
            <w:pPr>
              <w:widowControl/>
              <w:numPr>
                <w:ilvl w:val="0"/>
                <w:numId w:val="207"/>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相对湿度：≤85％</w:t>
            </w:r>
          </w:p>
          <w:p w14:paraId="48EAA2BB">
            <w:pPr>
              <w:widowControl/>
              <w:numPr>
                <w:ilvl w:val="0"/>
                <w:numId w:val="207"/>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加温时间：单次不超过10分钟</w:t>
            </w:r>
          </w:p>
          <w:p w14:paraId="6C71B3C7">
            <w:pPr>
              <w:widowControl/>
              <w:numPr>
                <w:ilvl w:val="0"/>
                <w:numId w:val="207"/>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加温温度：≤70℃</w:t>
            </w:r>
          </w:p>
        </w:tc>
        <w:tc>
          <w:tcPr>
            <w:tcW w:w="863" w:type="dxa"/>
            <w:gridSpan w:val="4"/>
            <w:vAlign w:val="center"/>
          </w:tcPr>
          <w:p w14:paraId="610ABCF2">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套</w:t>
            </w:r>
          </w:p>
        </w:tc>
        <w:tc>
          <w:tcPr>
            <w:tcW w:w="925" w:type="dxa"/>
            <w:gridSpan w:val="3"/>
            <w:vAlign w:val="center"/>
          </w:tcPr>
          <w:p w14:paraId="73FF803B">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003193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60F529C2">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169</w:t>
            </w:r>
          </w:p>
        </w:tc>
        <w:tc>
          <w:tcPr>
            <w:tcW w:w="1227" w:type="dxa"/>
            <w:vAlign w:val="center"/>
          </w:tcPr>
          <w:p w14:paraId="384FD0F1">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低压测电器</w:t>
            </w:r>
          </w:p>
        </w:tc>
        <w:tc>
          <w:tcPr>
            <w:tcW w:w="6167" w:type="dxa"/>
            <w:vAlign w:val="center"/>
          </w:tcPr>
          <w:p w14:paraId="690F82BE">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笔式，氖泡式，测电极长度不少于 10 mm， 100 V～500 V，辉光应稳定不闪烁</w:t>
            </w:r>
          </w:p>
        </w:tc>
        <w:tc>
          <w:tcPr>
            <w:tcW w:w="863" w:type="dxa"/>
            <w:gridSpan w:val="4"/>
            <w:vAlign w:val="center"/>
          </w:tcPr>
          <w:p w14:paraId="1317A105">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支</w:t>
            </w:r>
          </w:p>
        </w:tc>
        <w:tc>
          <w:tcPr>
            <w:tcW w:w="925" w:type="dxa"/>
            <w:gridSpan w:val="3"/>
            <w:vAlign w:val="center"/>
          </w:tcPr>
          <w:p w14:paraId="0C89092C">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w:t>
            </w:r>
          </w:p>
        </w:tc>
      </w:tr>
      <w:tr w14:paraId="239F80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0906EA77">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170</w:t>
            </w:r>
          </w:p>
        </w:tc>
        <w:tc>
          <w:tcPr>
            <w:tcW w:w="1227" w:type="dxa"/>
            <w:vAlign w:val="center"/>
          </w:tcPr>
          <w:p w14:paraId="695D8862">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家庭电路示教板</w:t>
            </w:r>
          </w:p>
        </w:tc>
        <w:tc>
          <w:tcPr>
            <w:tcW w:w="6167" w:type="dxa"/>
            <w:vAlign w:val="center"/>
          </w:tcPr>
          <w:p w14:paraId="444605D0">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配电部分：三线 10 A 插头与电网连接，开启 式闸刀开关、铅熔断器（保险丝）盒、单相 机械式有功电能表（2.0 级，5 A）。负荷部分：三极和二极插座、三极和二极插头、螺 口灯座（E27）1 个、插口灯座（E27）1 个、 倒扳开关、拉线开关、白炽灯泡（E27 卡口 或 E27LED 螺口灯泡）、卡口－螺口转换器（有 卡口灯座时配）。插座、开关均为明装式， 软导线（截面积 0.5 mm2 ）。火线用红色，零 线用蓝色，保护地线用黄绿双色。示教板应 能竖立在桌上。开关电极应为左面是零线， 右面是火线，三极插座上面是保护接地线。 底板可用木板或塑料板</w:t>
            </w:r>
          </w:p>
        </w:tc>
        <w:tc>
          <w:tcPr>
            <w:tcW w:w="863" w:type="dxa"/>
            <w:gridSpan w:val="4"/>
            <w:vAlign w:val="center"/>
          </w:tcPr>
          <w:p w14:paraId="4D59CE8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套</w:t>
            </w:r>
          </w:p>
        </w:tc>
        <w:tc>
          <w:tcPr>
            <w:tcW w:w="925" w:type="dxa"/>
            <w:gridSpan w:val="3"/>
            <w:vAlign w:val="center"/>
          </w:tcPr>
          <w:p w14:paraId="09552CAC">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652642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3906FE52">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171</w:t>
            </w:r>
          </w:p>
        </w:tc>
        <w:tc>
          <w:tcPr>
            <w:tcW w:w="1227" w:type="dxa"/>
            <w:vAlign w:val="center"/>
          </w:tcPr>
          <w:p w14:paraId="5C57740B">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安全用电示教板</w:t>
            </w:r>
          </w:p>
        </w:tc>
        <w:tc>
          <w:tcPr>
            <w:tcW w:w="6167" w:type="dxa"/>
            <w:vAlign w:val="center"/>
          </w:tcPr>
          <w:p w14:paraId="220BA530">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12 V 供电，能演示以下模式：一手接触火线， 经脚和大地触电；一手接触火线，不经脚和大地安全（脚下绝缘）；二手分别接触火线和零线触电（脚站在地面或绝缘）；一手接 触漏电（连接火线）的设备（例如电动机）， 经脚和大地触电；跨步电压触电</w:t>
            </w:r>
          </w:p>
        </w:tc>
        <w:tc>
          <w:tcPr>
            <w:tcW w:w="863" w:type="dxa"/>
            <w:gridSpan w:val="4"/>
            <w:vAlign w:val="center"/>
          </w:tcPr>
          <w:p w14:paraId="33CCD816">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套</w:t>
            </w:r>
          </w:p>
        </w:tc>
        <w:tc>
          <w:tcPr>
            <w:tcW w:w="925" w:type="dxa"/>
            <w:gridSpan w:val="3"/>
            <w:vAlign w:val="center"/>
          </w:tcPr>
          <w:p w14:paraId="548A9FEE">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4D3AC4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07CF4F0E">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172</w:t>
            </w:r>
          </w:p>
        </w:tc>
        <w:tc>
          <w:tcPr>
            <w:tcW w:w="1227" w:type="dxa"/>
            <w:vAlign w:val="center"/>
          </w:tcPr>
          <w:p w14:paraId="37187E70">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保险丝作用演示器</w:t>
            </w:r>
          </w:p>
        </w:tc>
        <w:tc>
          <w:tcPr>
            <w:tcW w:w="6167" w:type="dxa"/>
            <w:vAlign w:val="center"/>
          </w:tcPr>
          <w:p w14:paraId="41B76AED">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 xml:space="preserve">保险丝：1 A、2 A、3 A、5 A；单芯铜导线 </w:t>
            </w:r>
            <w:r>
              <w:rPr>
                <w:rFonts w:hint="eastAsia" w:ascii="宋体" w:hAnsi="宋体"/>
                <w:i/>
                <w:iCs/>
                <w:color w:val="auto"/>
                <w:kern w:val="0"/>
                <w:szCs w:val="21"/>
                <w:highlight w:val="none"/>
                <w:lang w:bidi="ar"/>
              </w:rPr>
              <w:t>Φ</w:t>
            </w:r>
            <w:r>
              <w:rPr>
                <w:rFonts w:hint="eastAsia" w:ascii="宋体" w:hAnsi="宋体"/>
                <w:color w:val="auto"/>
                <w:kern w:val="0"/>
                <w:szCs w:val="21"/>
                <w:highlight w:val="none"/>
                <w:lang w:bidi="ar"/>
              </w:rPr>
              <w:t>≥0.5 mm，长度≥80 mm，10 根以上；绝 缘实验导线 3 A，长度≥290 mm，30 根以上； 单芯裸实验导线</w:t>
            </w:r>
            <w:r>
              <w:rPr>
                <w:rFonts w:hint="eastAsia" w:ascii="宋体" w:hAnsi="宋体"/>
                <w:i/>
                <w:iCs/>
                <w:color w:val="auto"/>
                <w:kern w:val="0"/>
                <w:szCs w:val="21"/>
                <w:highlight w:val="none"/>
                <w:lang w:bidi="ar"/>
              </w:rPr>
              <w:t>Φ</w:t>
            </w:r>
            <w:r>
              <w:rPr>
                <w:rFonts w:hint="eastAsia" w:ascii="宋体" w:hAnsi="宋体"/>
                <w:color w:val="auto"/>
                <w:kern w:val="0"/>
                <w:szCs w:val="21"/>
                <w:highlight w:val="none"/>
                <w:lang w:bidi="ar"/>
              </w:rPr>
              <w:t>≥0.7 mm，长度≥285 mm， 10 根以上；多芯短路导线长度≥150 mm，两 端有接线夹；灯泡：12 V、50 W 不少于 4 个， 12 V、10 W 不少于 2 个；指示电表：交流， 2.5 级；在保险丝接线柱上接铜导线，接入产品规定的最大负载，通电 5 min，然后将 负载短路，保持 5 min，关闭电源，重新开 启电源后应能正常工作；安全要求：变压器 一次绕组与铁芯间抗电强度 1500 V，一次绕 组与二次绕组间抗电强度 3000 V，二次绕组 与保护接地线不连通</w:t>
            </w:r>
          </w:p>
        </w:tc>
        <w:tc>
          <w:tcPr>
            <w:tcW w:w="863" w:type="dxa"/>
            <w:gridSpan w:val="4"/>
            <w:vAlign w:val="center"/>
          </w:tcPr>
          <w:p w14:paraId="348DD094">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套</w:t>
            </w:r>
          </w:p>
        </w:tc>
        <w:tc>
          <w:tcPr>
            <w:tcW w:w="925" w:type="dxa"/>
            <w:gridSpan w:val="3"/>
            <w:vAlign w:val="center"/>
          </w:tcPr>
          <w:p w14:paraId="3F87865F">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184315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noWrap/>
            <w:vAlign w:val="center"/>
          </w:tcPr>
          <w:p w14:paraId="6299E1B8">
            <w:pPr>
              <w:widowControl/>
              <w:textAlignment w:val="center"/>
              <w:rPr>
                <w:rFonts w:hint="eastAsia" w:ascii="宋体" w:hAnsi="宋体"/>
                <w:b/>
                <w:bCs/>
                <w:color w:val="auto"/>
                <w:szCs w:val="21"/>
                <w:highlight w:val="none"/>
              </w:rPr>
            </w:pPr>
            <w:r>
              <w:rPr>
                <w:rFonts w:ascii="Times New Roman" w:hAnsi="Times New Roman" w:cs="Times New Roman"/>
                <w:color w:val="auto"/>
                <w:highlight w:val="none"/>
              </w:rPr>
              <w:br w:type="page"/>
            </w:r>
            <w:r>
              <w:rPr>
                <w:rFonts w:hint="eastAsia" w:ascii="宋体" w:hAnsi="宋体"/>
                <w:b/>
                <w:bCs/>
                <w:color w:val="auto"/>
                <w:kern w:val="0"/>
                <w:szCs w:val="21"/>
                <w:highlight w:val="none"/>
                <w:lang w:bidi="ar"/>
              </w:rPr>
              <w:t>（四）</w:t>
            </w:r>
          </w:p>
        </w:tc>
        <w:tc>
          <w:tcPr>
            <w:tcW w:w="1227" w:type="dxa"/>
            <w:noWrap/>
            <w:vAlign w:val="center"/>
          </w:tcPr>
          <w:p w14:paraId="44753AFE">
            <w:pPr>
              <w:widowControl/>
              <w:jc w:val="center"/>
              <w:textAlignment w:val="center"/>
              <w:rPr>
                <w:rFonts w:hint="eastAsia" w:ascii="宋体" w:hAnsi="宋体"/>
                <w:b/>
                <w:bCs/>
                <w:color w:val="auto"/>
                <w:szCs w:val="21"/>
                <w:highlight w:val="none"/>
              </w:rPr>
            </w:pPr>
            <w:r>
              <w:rPr>
                <w:rFonts w:hint="eastAsia" w:ascii="宋体" w:hAnsi="宋体"/>
                <w:b/>
                <w:bCs/>
                <w:color w:val="auto"/>
                <w:szCs w:val="21"/>
                <w:highlight w:val="none"/>
              </w:rPr>
              <w:t>连接设备</w:t>
            </w:r>
          </w:p>
        </w:tc>
        <w:tc>
          <w:tcPr>
            <w:tcW w:w="6167" w:type="dxa"/>
            <w:noWrap/>
            <w:vAlign w:val="center"/>
          </w:tcPr>
          <w:p w14:paraId="6064F25F">
            <w:pPr>
              <w:widowControl/>
              <w:jc w:val="center"/>
              <w:textAlignment w:val="center"/>
              <w:rPr>
                <w:rFonts w:hint="eastAsia" w:ascii="宋体" w:hAnsi="宋体"/>
                <w:b/>
                <w:bCs/>
                <w:color w:val="auto"/>
                <w:szCs w:val="21"/>
                <w:highlight w:val="none"/>
              </w:rPr>
            </w:pPr>
          </w:p>
        </w:tc>
        <w:tc>
          <w:tcPr>
            <w:tcW w:w="863" w:type="dxa"/>
            <w:gridSpan w:val="4"/>
            <w:vAlign w:val="center"/>
          </w:tcPr>
          <w:p w14:paraId="1BB30706">
            <w:pPr>
              <w:widowControl/>
              <w:jc w:val="center"/>
              <w:textAlignment w:val="center"/>
              <w:rPr>
                <w:rFonts w:hint="eastAsia" w:ascii="宋体" w:hAnsi="宋体"/>
                <w:b/>
                <w:bCs/>
                <w:color w:val="auto"/>
                <w:szCs w:val="21"/>
                <w:highlight w:val="none"/>
              </w:rPr>
            </w:pPr>
          </w:p>
        </w:tc>
        <w:tc>
          <w:tcPr>
            <w:tcW w:w="925" w:type="dxa"/>
            <w:gridSpan w:val="3"/>
            <w:vAlign w:val="center"/>
          </w:tcPr>
          <w:p w14:paraId="3E2122DC">
            <w:pPr>
              <w:widowControl/>
              <w:jc w:val="center"/>
              <w:textAlignment w:val="center"/>
              <w:rPr>
                <w:rFonts w:hint="eastAsia" w:ascii="宋体" w:hAnsi="宋体"/>
                <w:b/>
                <w:bCs/>
                <w:color w:val="auto"/>
                <w:szCs w:val="21"/>
                <w:highlight w:val="none"/>
              </w:rPr>
            </w:pPr>
          </w:p>
        </w:tc>
      </w:tr>
      <w:tr w14:paraId="4CF51F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noWrap/>
            <w:vAlign w:val="center"/>
          </w:tcPr>
          <w:p w14:paraId="60A86F67">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c>
          <w:tcPr>
            <w:tcW w:w="1227" w:type="dxa"/>
            <w:shd w:val="clear" w:color="auto" w:fill="FFFFFF"/>
            <w:noWrap/>
            <w:vAlign w:val="center"/>
          </w:tcPr>
          <w:p w14:paraId="38C6AE04">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实验室连接设备</w:t>
            </w:r>
          </w:p>
        </w:tc>
        <w:tc>
          <w:tcPr>
            <w:tcW w:w="6167" w:type="dxa"/>
            <w:shd w:val="clear" w:color="auto" w:fill="FFFFFF"/>
            <w:noWrap/>
            <w:vAlign w:val="center"/>
          </w:tcPr>
          <w:p w14:paraId="390EA300">
            <w:pPr>
              <w:widowControl/>
              <w:jc w:val="left"/>
              <w:textAlignment w:val="center"/>
              <w:rPr>
                <w:rFonts w:hint="eastAsia" w:ascii="宋体" w:hAnsi="宋体"/>
                <w:b/>
                <w:bCs/>
                <w:color w:val="auto"/>
                <w:szCs w:val="21"/>
                <w:highlight w:val="none"/>
              </w:rPr>
            </w:pPr>
            <w:r>
              <w:rPr>
                <w:rFonts w:hint="eastAsia" w:ascii="宋体" w:hAnsi="宋体"/>
                <w:b/>
                <w:bCs/>
                <w:color w:val="auto"/>
                <w:szCs w:val="21"/>
                <w:highlight w:val="none"/>
              </w:rPr>
              <w:t>一、显示部分要求</w:t>
            </w:r>
          </w:p>
          <w:p w14:paraId="018FFEC9">
            <w:pPr>
              <w:widowControl/>
              <w:numPr>
                <w:ilvl w:val="2"/>
                <w:numId w:val="208"/>
              </w:numPr>
              <w:jc w:val="left"/>
              <w:textAlignment w:val="center"/>
              <w:rPr>
                <w:rFonts w:hint="eastAsia" w:ascii="宋体" w:hAnsi="宋体"/>
                <w:color w:val="auto"/>
                <w:szCs w:val="21"/>
                <w:highlight w:val="none"/>
              </w:rPr>
            </w:pPr>
            <w:r>
              <w:rPr>
                <w:rFonts w:hint="eastAsia" w:ascii="宋体" w:hAnsi="宋体"/>
                <w:color w:val="auto"/>
                <w:szCs w:val="21"/>
                <w:highlight w:val="none"/>
              </w:rPr>
              <w:t>智慧黑板显示尺寸≥86英寸，分辨率：≥3840*2160。</w:t>
            </w:r>
          </w:p>
          <w:p w14:paraId="0C2E18F3">
            <w:pPr>
              <w:widowControl/>
              <w:numPr>
                <w:ilvl w:val="2"/>
                <w:numId w:val="208"/>
              </w:numPr>
              <w:jc w:val="left"/>
              <w:textAlignment w:val="center"/>
              <w:rPr>
                <w:rFonts w:hint="eastAsia" w:ascii="宋体" w:hAnsi="宋体"/>
                <w:color w:val="auto"/>
                <w:szCs w:val="21"/>
                <w:highlight w:val="none"/>
              </w:rPr>
            </w:pPr>
            <w:r>
              <w:rPr>
                <w:rFonts w:hint="eastAsia" w:ascii="宋体" w:hAnsi="宋体"/>
                <w:color w:val="auto"/>
                <w:szCs w:val="21"/>
                <w:highlight w:val="none"/>
              </w:rPr>
              <w:t>智慧黑板表面玻璃须采用高强度钢化玻璃，防眩光，厚度不超过3.5mm，硬度≥莫氏7级，石墨硬度≥9H。</w:t>
            </w:r>
          </w:p>
          <w:p w14:paraId="5F7FD108">
            <w:pPr>
              <w:widowControl/>
              <w:numPr>
                <w:ilvl w:val="2"/>
                <w:numId w:val="208"/>
              </w:numPr>
              <w:jc w:val="left"/>
              <w:textAlignment w:val="center"/>
              <w:rPr>
                <w:rFonts w:hint="eastAsia" w:ascii="宋体" w:hAnsi="宋体"/>
                <w:color w:val="auto"/>
                <w:szCs w:val="21"/>
                <w:highlight w:val="none"/>
              </w:rPr>
            </w:pPr>
            <w:r>
              <w:rPr>
                <w:rFonts w:hint="eastAsia" w:ascii="宋体" w:hAnsi="宋体"/>
                <w:color w:val="auto"/>
                <w:szCs w:val="21"/>
                <w:highlight w:val="none"/>
              </w:rPr>
              <w:t>智慧黑板背光系统需支持多级亮度调节，拍摄时画面无条纹闪烁。光源稳定无频闪，防止眼睛疲劳，需具备开机默认防蓝光功能无需按键调节。</w:t>
            </w:r>
          </w:p>
          <w:p w14:paraId="4583126F">
            <w:pPr>
              <w:widowControl/>
              <w:jc w:val="left"/>
              <w:textAlignment w:val="center"/>
              <w:rPr>
                <w:rFonts w:hint="eastAsia" w:ascii="宋体" w:hAnsi="宋体"/>
                <w:b/>
                <w:bCs/>
                <w:color w:val="auto"/>
                <w:szCs w:val="21"/>
                <w:highlight w:val="none"/>
              </w:rPr>
            </w:pPr>
            <w:r>
              <w:rPr>
                <w:rFonts w:hint="eastAsia" w:ascii="宋体" w:hAnsi="宋体"/>
                <w:b/>
                <w:bCs/>
                <w:color w:val="auto"/>
                <w:szCs w:val="21"/>
                <w:highlight w:val="none"/>
              </w:rPr>
              <w:t>二、触控部分要求</w:t>
            </w:r>
          </w:p>
          <w:p w14:paraId="50670B7C">
            <w:pPr>
              <w:widowControl/>
              <w:numPr>
                <w:ilvl w:val="2"/>
                <w:numId w:val="209"/>
              </w:numPr>
              <w:jc w:val="left"/>
              <w:textAlignment w:val="center"/>
              <w:rPr>
                <w:rFonts w:hint="eastAsia" w:ascii="宋体" w:hAnsi="宋体"/>
                <w:color w:val="auto"/>
                <w:szCs w:val="21"/>
                <w:highlight w:val="none"/>
              </w:rPr>
            </w:pPr>
            <w:r>
              <w:rPr>
                <w:rFonts w:hint="eastAsia" w:ascii="宋体" w:hAnsi="宋体"/>
                <w:color w:val="auto"/>
                <w:szCs w:val="21"/>
                <w:highlight w:val="none"/>
              </w:rPr>
              <w:t>采用多点触控技术，在安卓和WINDOWS双系统下需支持≥40点触控和书写；</w:t>
            </w:r>
          </w:p>
          <w:p w14:paraId="1C3061C0">
            <w:pPr>
              <w:widowControl/>
              <w:jc w:val="left"/>
              <w:textAlignment w:val="center"/>
              <w:rPr>
                <w:rFonts w:hint="eastAsia" w:ascii="宋体" w:hAnsi="宋体"/>
                <w:b/>
                <w:bCs/>
                <w:color w:val="auto"/>
                <w:szCs w:val="21"/>
                <w:highlight w:val="none"/>
              </w:rPr>
            </w:pPr>
            <w:r>
              <w:rPr>
                <w:rFonts w:hint="eastAsia" w:ascii="宋体" w:hAnsi="宋体"/>
                <w:b/>
                <w:bCs/>
                <w:color w:val="auto"/>
                <w:szCs w:val="21"/>
                <w:highlight w:val="none"/>
              </w:rPr>
              <w:t>三、整机安全性要求</w:t>
            </w:r>
          </w:p>
          <w:p w14:paraId="0722C417">
            <w:pPr>
              <w:widowControl/>
              <w:numPr>
                <w:ilvl w:val="2"/>
                <w:numId w:val="210"/>
              </w:numPr>
              <w:jc w:val="left"/>
              <w:textAlignment w:val="center"/>
              <w:rPr>
                <w:rFonts w:hint="eastAsia" w:ascii="宋体" w:hAnsi="宋体"/>
                <w:color w:val="auto"/>
                <w:szCs w:val="21"/>
                <w:highlight w:val="none"/>
              </w:rPr>
            </w:pPr>
            <w:r>
              <w:rPr>
                <w:rFonts w:hint="eastAsia" w:ascii="宋体" w:hAnsi="宋体"/>
                <w:color w:val="auto"/>
                <w:szCs w:val="21"/>
                <w:highlight w:val="none"/>
              </w:rPr>
              <w:t>整机需支持硬件自检，包括对系统内存、存储、触控系统、光感系统、内置电脑、屏体信息、主板型号、CPU型号、CPU使用率、设备名称等进行状态提示及故障提示。</w:t>
            </w:r>
          </w:p>
          <w:p w14:paraId="5BC968D1">
            <w:pPr>
              <w:widowControl/>
              <w:numPr>
                <w:ilvl w:val="2"/>
                <w:numId w:val="210"/>
              </w:numPr>
              <w:jc w:val="left"/>
              <w:textAlignment w:val="center"/>
              <w:rPr>
                <w:rFonts w:hint="eastAsia" w:ascii="宋体" w:hAnsi="宋体"/>
                <w:color w:val="auto"/>
                <w:szCs w:val="21"/>
                <w:highlight w:val="none"/>
              </w:rPr>
            </w:pPr>
            <w:r>
              <w:rPr>
                <w:rFonts w:hint="eastAsia" w:ascii="宋体" w:hAnsi="宋体"/>
                <w:color w:val="auto"/>
                <w:szCs w:val="21"/>
                <w:highlight w:val="none"/>
              </w:rPr>
              <w:t>智慧黑板需支持纸质护眼模式，可实现画面纹理的实时调整；支持透明度调节与色温调节。</w:t>
            </w:r>
          </w:p>
          <w:p w14:paraId="58C6F82F">
            <w:pPr>
              <w:widowControl/>
              <w:numPr>
                <w:ilvl w:val="2"/>
                <w:numId w:val="210"/>
              </w:numPr>
              <w:jc w:val="left"/>
              <w:textAlignment w:val="center"/>
              <w:rPr>
                <w:rFonts w:hint="eastAsia" w:ascii="宋体" w:hAnsi="宋体"/>
                <w:color w:val="auto"/>
                <w:szCs w:val="21"/>
                <w:highlight w:val="none"/>
              </w:rPr>
            </w:pPr>
            <w:r>
              <w:rPr>
                <w:rFonts w:hint="eastAsia" w:ascii="宋体" w:hAnsi="宋体"/>
                <w:color w:val="auto"/>
                <w:szCs w:val="21"/>
                <w:highlight w:val="none"/>
              </w:rPr>
              <w:t>依据GB 21520-2023标准，设备能效等级需达到1级。</w:t>
            </w:r>
          </w:p>
          <w:p w14:paraId="642C103E">
            <w:pPr>
              <w:widowControl/>
              <w:numPr>
                <w:ilvl w:val="2"/>
                <w:numId w:val="210"/>
              </w:numPr>
              <w:jc w:val="left"/>
              <w:textAlignment w:val="center"/>
              <w:rPr>
                <w:rFonts w:hint="eastAsia" w:ascii="宋体" w:hAnsi="宋体"/>
                <w:color w:val="auto"/>
                <w:szCs w:val="21"/>
                <w:highlight w:val="none"/>
              </w:rPr>
            </w:pPr>
            <w:r>
              <w:rPr>
                <w:rFonts w:hint="eastAsia" w:ascii="宋体" w:hAnsi="宋体"/>
                <w:color w:val="auto"/>
                <w:szCs w:val="21"/>
                <w:highlight w:val="none"/>
              </w:rPr>
              <w:t>智慧黑板需具备屏体温度实时监控、高温预警及断电保护等功能。</w:t>
            </w:r>
          </w:p>
          <w:p w14:paraId="09780D51">
            <w:pPr>
              <w:widowControl/>
              <w:jc w:val="left"/>
              <w:textAlignment w:val="center"/>
              <w:rPr>
                <w:rFonts w:hint="eastAsia" w:ascii="宋体" w:hAnsi="宋体"/>
                <w:b/>
                <w:bCs/>
                <w:color w:val="auto"/>
                <w:szCs w:val="21"/>
                <w:highlight w:val="none"/>
              </w:rPr>
            </w:pPr>
            <w:r>
              <w:rPr>
                <w:rFonts w:hint="eastAsia" w:ascii="宋体" w:hAnsi="宋体"/>
                <w:b/>
                <w:bCs/>
                <w:color w:val="auto"/>
                <w:szCs w:val="21"/>
                <w:highlight w:val="none"/>
              </w:rPr>
              <w:t>四、整机接口按键要求</w:t>
            </w:r>
          </w:p>
          <w:p w14:paraId="5DA39A64">
            <w:pPr>
              <w:widowControl/>
              <w:numPr>
                <w:ilvl w:val="2"/>
                <w:numId w:val="211"/>
              </w:numPr>
              <w:jc w:val="left"/>
              <w:textAlignment w:val="center"/>
              <w:rPr>
                <w:rFonts w:hint="eastAsia" w:ascii="宋体" w:hAnsi="宋体"/>
                <w:color w:val="auto"/>
                <w:szCs w:val="21"/>
                <w:highlight w:val="none"/>
              </w:rPr>
            </w:pPr>
            <w:r>
              <w:rPr>
                <w:rFonts w:hint="eastAsia" w:ascii="宋体" w:hAnsi="宋体"/>
                <w:color w:val="auto"/>
                <w:szCs w:val="21"/>
                <w:highlight w:val="none"/>
              </w:rPr>
              <w:t>为方便外接拓展设备，智慧黑板前面板需具备带中文标识的接口，≥1路标准HDMI接口、≥2路USB3.0接口、≥1路Type-C接口。后置标配非扩展接口≥2路HDMI输入，≥1路HDMI输出。</w:t>
            </w:r>
          </w:p>
          <w:p w14:paraId="6866D07B">
            <w:pPr>
              <w:widowControl/>
              <w:numPr>
                <w:ilvl w:val="2"/>
                <w:numId w:val="211"/>
              </w:numPr>
              <w:jc w:val="left"/>
              <w:textAlignment w:val="center"/>
              <w:rPr>
                <w:rFonts w:hint="eastAsia" w:ascii="宋体" w:hAnsi="宋体"/>
                <w:color w:val="auto"/>
                <w:szCs w:val="21"/>
                <w:highlight w:val="none"/>
              </w:rPr>
            </w:pPr>
            <w:r>
              <w:rPr>
                <w:rFonts w:hint="eastAsia" w:ascii="宋体" w:hAnsi="宋体"/>
                <w:color w:val="auto"/>
                <w:szCs w:val="21"/>
                <w:highlight w:val="none"/>
              </w:rPr>
              <w:t>智慧黑板前置按键需实现音量加减、窗口关闭、触控开关、电脑还原按键等六个以上具有中文标识的常用按键。</w:t>
            </w:r>
          </w:p>
          <w:p w14:paraId="4B58FCF0">
            <w:pPr>
              <w:widowControl/>
              <w:jc w:val="left"/>
              <w:textAlignment w:val="center"/>
              <w:rPr>
                <w:rFonts w:hint="eastAsia" w:ascii="宋体" w:hAnsi="宋体"/>
                <w:b/>
                <w:bCs/>
                <w:color w:val="auto"/>
                <w:szCs w:val="21"/>
                <w:highlight w:val="none"/>
              </w:rPr>
            </w:pPr>
            <w:r>
              <w:rPr>
                <w:rFonts w:hint="eastAsia" w:ascii="宋体" w:hAnsi="宋体"/>
                <w:b/>
                <w:bCs/>
                <w:color w:val="auto"/>
                <w:szCs w:val="21"/>
                <w:highlight w:val="none"/>
              </w:rPr>
              <w:t>五、安卓系统要求</w:t>
            </w:r>
          </w:p>
          <w:p w14:paraId="2FEC5F80">
            <w:pPr>
              <w:widowControl/>
              <w:numPr>
                <w:ilvl w:val="2"/>
                <w:numId w:val="212"/>
              </w:numPr>
              <w:jc w:val="left"/>
              <w:textAlignment w:val="center"/>
              <w:rPr>
                <w:rFonts w:hint="eastAsia" w:ascii="宋体" w:hAnsi="宋体"/>
                <w:color w:val="auto"/>
                <w:szCs w:val="21"/>
                <w:highlight w:val="none"/>
              </w:rPr>
            </w:pPr>
            <w:r>
              <w:rPr>
                <w:rFonts w:hint="eastAsia" w:ascii="宋体" w:hAnsi="宋体"/>
                <w:color w:val="auto"/>
                <w:szCs w:val="21"/>
                <w:highlight w:val="none"/>
              </w:rPr>
              <w:t>智慧黑板需具备国产化芯片驱动，≥8核CPU、≥4核GPU。安卓系统版本≥14.0，内存≥4G，存储≥32G。</w:t>
            </w:r>
          </w:p>
          <w:p w14:paraId="1A1882F3">
            <w:pPr>
              <w:widowControl/>
              <w:jc w:val="left"/>
              <w:textAlignment w:val="center"/>
              <w:rPr>
                <w:rFonts w:hint="eastAsia" w:ascii="宋体" w:hAnsi="宋体"/>
                <w:b/>
                <w:bCs/>
                <w:color w:val="auto"/>
                <w:szCs w:val="21"/>
                <w:highlight w:val="none"/>
              </w:rPr>
            </w:pPr>
            <w:r>
              <w:rPr>
                <w:rFonts w:hint="eastAsia" w:ascii="宋体" w:hAnsi="宋体"/>
                <w:b/>
                <w:bCs/>
                <w:color w:val="auto"/>
                <w:szCs w:val="21"/>
                <w:highlight w:val="none"/>
              </w:rPr>
              <w:t>六、整机音视频要求</w:t>
            </w:r>
          </w:p>
          <w:p w14:paraId="396468C3">
            <w:pPr>
              <w:widowControl/>
              <w:numPr>
                <w:ilvl w:val="2"/>
                <w:numId w:val="213"/>
              </w:numPr>
              <w:jc w:val="left"/>
              <w:textAlignment w:val="center"/>
              <w:rPr>
                <w:rFonts w:hint="eastAsia" w:ascii="宋体" w:hAnsi="宋体"/>
                <w:color w:val="auto"/>
                <w:szCs w:val="21"/>
                <w:highlight w:val="none"/>
              </w:rPr>
            </w:pPr>
            <w:r>
              <w:rPr>
                <w:rFonts w:hint="eastAsia" w:ascii="宋体" w:hAnsi="宋体"/>
                <w:color w:val="auto"/>
                <w:szCs w:val="21"/>
                <w:highlight w:val="none"/>
              </w:rPr>
              <w:t>需采用2.2声道，≥6个发声单元，功率≥60W。</w:t>
            </w:r>
          </w:p>
          <w:p w14:paraId="5C13DB6D">
            <w:pPr>
              <w:widowControl/>
              <w:numPr>
                <w:ilvl w:val="2"/>
                <w:numId w:val="213"/>
              </w:numPr>
              <w:jc w:val="left"/>
              <w:textAlignment w:val="center"/>
              <w:rPr>
                <w:rFonts w:hint="eastAsia" w:ascii="宋体" w:hAnsi="宋体"/>
                <w:color w:val="auto"/>
                <w:szCs w:val="21"/>
                <w:highlight w:val="none"/>
              </w:rPr>
            </w:pPr>
            <w:r>
              <w:rPr>
                <w:rFonts w:hint="eastAsia" w:ascii="宋体" w:hAnsi="宋体"/>
                <w:color w:val="auto"/>
                <w:szCs w:val="21"/>
                <w:highlight w:val="none"/>
              </w:rPr>
              <w:t>需内置一体化超高清摄像头，摄像头≥1800W像素,镜头能向下倾斜。</w:t>
            </w:r>
          </w:p>
          <w:p w14:paraId="00D5D598">
            <w:pPr>
              <w:widowControl/>
              <w:numPr>
                <w:ilvl w:val="2"/>
                <w:numId w:val="213"/>
              </w:numPr>
              <w:jc w:val="left"/>
              <w:textAlignment w:val="center"/>
              <w:rPr>
                <w:rFonts w:hint="eastAsia" w:ascii="宋体" w:hAnsi="宋体"/>
                <w:color w:val="auto"/>
                <w:szCs w:val="21"/>
                <w:highlight w:val="none"/>
              </w:rPr>
            </w:pPr>
            <w:r>
              <w:rPr>
                <w:rFonts w:hint="eastAsia" w:ascii="宋体" w:hAnsi="宋体"/>
                <w:color w:val="auto"/>
                <w:szCs w:val="21"/>
                <w:highlight w:val="none"/>
              </w:rPr>
              <w:t>内置摄像头需支持AI软件实现自动点名点数功能，支持远程巡课功能，具备指示灯工作状态提示。</w:t>
            </w:r>
          </w:p>
          <w:p w14:paraId="266FD866">
            <w:pPr>
              <w:widowControl/>
              <w:jc w:val="left"/>
              <w:textAlignment w:val="center"/>
              <w:rPr>
                <w:rFonts w:hint="eastAsia" w:ascii="宋体" w:hAnsi="宋体"/>
                <w:b/>
                <w:bCs/>
                <w:color w:val="auto"/>
                <w:szCs w:val="21"/>
                <w:highlight w:val="none"/>
              </w:rPr>
            </w:pPr>
            <w:r>
              <w:rPr>
                <w:rFonts w:hint="eastAsia" w:ascii="宋体" w:hAnsi="宋体"/>
                <w:b/>
                <w:bCs/>
                <w:color w:val="auto"/>
                <w:szCs w:val="21"/>
                <w:highlight w:val="none"/>
              </w:rPr>
              <w:t>七、其他与教学相关的常用功能</w:t>
            </w:r>
          </w:p>
          <w:p w14:paraId="2BCD9307">
            <w:pPr>
              <w:widowControl/>
              <w:numPr>
                <w:ilvl w:val="0"/>
                <w:numId w:val="214"/>
              </w:numPr>
              <w:jc w:val="left"/>
              <w:textAlignment w:val="center"/>
              <w:rPr>
                <w:rFonts w:hint="eastAsia" w:ascii="宋体" w:hAnsi="宋体"/>
                <w:color w:val="auto"/>
                <w:szCs w:val="21"/>
                <w:highlight w:val="none"/>
              </w:rPr>
            </w:pPr>
            <w:r>
              <w:rPr>
                <w:rFonts w:hint="eastAsia" w:ascii="宋体" w:hAnsi="宋体"/>
                <w:color w:val="auto"/>
                <w:szCs w:val="21"/>
                <w:highlight w:val="none"/>
              </w:rPr>
              <w:t>智慧黑板需具有可放置书写笔、粉笔、水性笔的笔槽，笔槽具有漏灰孔设计。</w:t>
            </w:r>
          </w:p>
          <w:p w14:paraId="088E4DF3">
            <w:pPr>
              <w:widowControl/>
              <w:numPr>
                <w:ilvl w:val="0"/>
                <w:numId w:val="214"/>
              </w:numPr>
              <w:jc w:val="left"/>
              <w:textAlignment w:val="center"/>
              <w:rPr>
                <w:rFonts w:hint="eastAsia" w:ascii="宋体" w:hAnsi="宋体"/>
                <w:color w:val="auto"/>
                <w:szCs w:val="21"/>
                <w:highlight w:val="none"/>
              </w:rPr>
            </w:pPr>
            <w:r>
              <w:rPr>
                <w:rFonts w:hint="eastAsia" w:ascii="宋体" w:hAnsi="宋体"/>
                <w:color w:val="auto"/>
                <w:szCs w:val="21"/>
                <w:highlight w:val="none"/>
              </w:rPr>
              <w:t>在任意信号源下向上滑动，可调用快捷设置菜单；无需切换系统可快速调节Windows和安卓的设置，如声音、亮度、网络等常用功能。</w:t>
            </w:r>
          </w:p>
          <w:p w14:paraId="5651094D">
            <w:pPr>
              <w:widowControl/>
              <w:numPr>
                <w:ilvl w:val="0"/>
                <w:numId w:val="214"/>
              </w:numPr>
              <w:jc w:val="left"/>
              <w:textAlignment w:val="center"/>
              <w:rPr>
                <w:rFonts w:hint="eastAsia" w:ascii="宋体" w:hAnsi="宋体"/>
                <w:color w:val="auto"/>
                <w:szCs w:val="21"/>
                <w:highlight w:val="none"/>
              </w:rPr>
            </w:pPr>
            <w:r>
              <w:rPr>
                <w:rFonts w:hint="eastAsia" w:ascii="宋体" w:hAnsi="宋体"/>
                <w:color w:val="auto"/>
                <w:szCs w:val="21"/>
                <w:highlight w:val="none"/>
              </w:rPr>
              <w:t>智慧黑板左右两侧需各具备≥10个与教学应用密切相关的快捷键，支持自定义设置时间、显示模式，单侧显示、双侧同时显示，快捷键至少需具备关闭窗口、展台、桌面、多屏互动等教学常用功能。</w:t>
            </w:r>
          </w:p>
          <w:p w14:paraId="7DDEC2FF">
            <w:pPr>
              <w:widowControl/>
              <w:numPr>
                <w:ilvl w:val="0"/>
                <w:numId w:val="214"/>
              </w:numPr>
              <w:jc w:val="left"/>
              <w:textAlignment w:val="center"/>
              <w:rPr>
                <w:rFonts w:hint="eastAsia" w:ascii="宋体" w:hAnsi="宋体"/>
                <w:color w:val="auto"/>
                <w:szCs w:val="21"/>
                <w:highlight w:val="none"/>
              </w:rPr>
            </w:pPr>
            <w:r>
              <w:rPr>
                <w:rFonts w:hint="eastAsia" w:ascii="宋体" w:hAnsi="宋体"/>
                <w:color w:val="auto"/>
                <w:szCs w:val="21"/>
                <w:highlight w:val="none"/>
              </w:rPr>
              <w:t>智慧黑板具有快捷悬浮菜单，通过两指长按能快速移动悬浮菜单至按压位置，悬浮菜单能进行自定义分组，能够添加不少于三十个应用。</w:t>
            </w:r>
          </w:p>
          <w:p w14:paraId="65EBA812">
            <w:pPr>
              <w:widowControl/>
              <w:numPr>
                <w:ilvl w:val="0"/>
                <w:numId w:val="214"/>
              </w:numPr>
              <w:jc w:val="left"/>
              <w:textAlignment w:val="center"/>
              <w:rPr>
                <w:rFonts w:hint="eastAsia" w:ascii="宋体" w:hAnsi="宋体"/>
                <w:color w:val="auto"/>
                <w:szCs w:val="21"/>
                <w:highlight w:val="none"/>
              </w:rPr>
            </w:pPr>
            <w:r>
              <w:rPr>
                <w:rFonts w:hint="eastAsia" w:ascii="宋体" w:hAnsi="宋体"/>
                <w:color w:val="auto"/>
                <w:szCs w:val="21"/>
                <w:highlight w:val="none"/>
              </w:rPr>
              <w:t>需支持手势实现悬浮窗快速调用、屏幕息屏或亮屏、屏幕下移、多任务等功能，方便课堂操作。</w:t>
            </w:r>
          </w:p>
          <w:p w14:paraId="1C9BA910">
            <w:pPr>
              <w:widowControl/>
              <w:numPr>
                <w:ilvl w:val="0"/>
                <w:numId w:val="214"/>
              </w:numPr>
              <w:jc w:val="left"/>
              <w:textAlignment w:val="center"/>
              <w:rPr>
                <w:rFonts w:hint="eastAsia" w:ascii="宋体" w:hAnsi="宋体"/>
                <w:color w:val="auto"/>
                <w:szCs w:val="21"/>
                <w:highlight w:val="none"/>
              </w:rPr>
            </w:pPr>
            <w:r>
              <w:rPr>
                <w:rFonts w:hint="eastAsia" w:ascii="宋体" w:hAnsi="宋体"/>
                <w:color w:val="auto"/>
                <w:szCs w:val="21"/>
                <w:highlight w:val="none"/>
              </w:rPr>
              <w:t>智慧黑板支持远程升级，及时给用户推送新版应用。</w:t>
            </w:r>
          </w:p>
          <w:p w14:paraId="1AB17B38">
            <w:pPr>
              <w:widowControl/>
              <w:jc w:val="left"/>
              <w:textAlignment w:val="center"/>
              <w:rPr>
                <w:rFonts w:hint="eastAsia" w:ascii="宋体" w:hAnsi="宋体"/>
                <w:b/>
                <w:bCs/>
                <w:color w:val="auto"/>
                <w:szCs w:val="21"/>
                <w:highlight w:val="none"/>
              </w:rPr>
            </w:pPr>
            <w:r>
              <w:rPr>
                <w:rFonts w:hint="eastAsia" w:ascii="宋体" w:hAnsi="宋体"/>
                <w:b/>
                <w:bCs/>
                <w:color w:val="auto"/>
                <w:szCs w:val="21"/>
                <w:highlight w:val="none"/>
              </w:rPr>
              <w:t>八、书写侧板要求</w:t>
            </w:r>
          </w:p>
          <w:p w14:paraId="25D0D3DC">
            <w:pPr>
              <w:widowControl/>
              <w:numPr>
                <w:ilvl w:val="2"/>
                <w:numId w:val="215"/>
              </w:numPr>
              <w:jc w:val="left"/>
              <w:textAlignment w:val="center"/>
              <w:rPr>
                <w:rFonts w:hint="eastAsia" w:ascii="宋体" w:hAnsi="宋体"/>
                <w:color w:val="auto"/>
                <w:szCs w:val="21"/>
                <w:highlight w:val="none"/>
              </w:rPr>
            </w:pPr>
            <w:r>
              <w:rPr>
                <w:rFonts w:hint="eastAsia" w:ascii="宋体" w:hAnsi="宋体"/>
                <w:color w:val="auto"/>
                <w:szCs w:val="21"/>
                <w:highlight w:val="none"/>
              </w:rPr>
              <w:t>书写侧板板面支持磁性材质教具吸附。</w:t>
            </w:r>
          </w:p>
          <w:p w14:paraId="575C6175">
            <w:pPr>
              <w:widowControl/>
              <w:numPr>
                <w:ilvl w:val="2"/>
                <w:numId w:val="215"/>
              </w:numPr>
              <w:jc w:val="left"/>
              <w:textAlignment w:val="center"/>
              <w:rPr>
                <w:rFonts w:hint="eastAsia" w:ascii="宋体" w:hAnsi="宋体"/>
                <w:color w:val="auto"/>
                <w:szCs w:val="21"/>
                <w:highlight w:val="none"/>
              </w:rPr>
            </w:pPr>
            <w:r>
              <w:rPr>
                <w:rFonts w:hint="eastAsia" w:ascii="宋体" w:hAnsi="宋体"/>
                <w:color w:val="auto"/>
                <w:szCs w:val="21"/>
                <w:highlight w:val="none"/>
              </w:rPr>
              <w:t>书写侧板板面光泽度需符合 GB28231-2011 标准，不高于8光泽度以免产生眩光。</w:t>
            </w:r>
          </w:p>
          <w:p w14:paraId="0E13AABC">
            <w:pPr>
              <w:widowControl/>
              <w:numPr>
                <w:ilvl w:val="2"/>
                <w:numId w:val="215"/>
              </w:numPr>
              <w:jc w:val="left"/>
              <w:textAlignment w:val="center"/>
              <w:rPr>
                <w:rFonts w:hint="eastAsia" w:ascii="宋体" w:hAnsi="宋体"/>
                <w:color w:val="auto"/>
                <w:szCs w:val="21"/>
                <w:highlight w:val="none"/>
              </w:rPr>
            </w:pPr>
            <w:r>
              <w:rPr>
                <w:rFonts w:hint="eastAsia" w:ascii="宋体" w:hAnsi="宋体"/>
                <w:color w:val="auto"/>
                <w:szCs w:val="21"/>
                <w:highlight w:val="none"/>
              </w:rPr>
              <w:t>书写侧板板面符合 GB/T9286-2021标准，支持色漆和清漆漆膜的划格试验，脱漆面积不明显大于 5%达到0级标准。</w:t>
            </w:r>
          </w:p>
          <w:p w14:paraId="2389B0FC">
            <w:pPr>
              <w:widowControl/>
              <w:numPr>
                <w:ilvl w:val="2"/>
                <w:numId w:val="215"/>
              </w:numPr>
              <w:jc w:val="left"/>
              <w:textAlignment w:val="center"/>
              <w:rPr>
                <w:rFonts w:hint="eastAsia" w:ascii="宋体" w:hAnsi="宋体"/>
                <w:color w:val="auto"/>
                <w:szCs w:val="21"/>
                <w:highlight w:val="none"/>
              </w:rPr>
            </w:pPr>
            <w:r>
              <w:rPr>
                <w:rFonts w:hint="eastAsia" w:ascii="宋体" w:hAnsi="宋体"/>
                <w:color w:val="auto"/>
                <w:szCs w:val="21"/>
                <w:highlight w:val="none"/>
              </w:rPr>
              <w:t>书写侧板板面抗冲击性需符合GB/T 1732-2020标准，漆膜耐冲击无裂纹现象。</w:t>
            </w:r>
          </w:p>
          <w:p w14:paraId="74578058">
            <w:pPr>
              <w:widowControl/>
              <w:numPr>
                <w:ilvl w:val="2"/>
                <w:numId w:val="215"/>
              </w:numPr>
              <w:jc w:val="left"/>
              <w:textAlignment w:val="center"/>
              <w:rPr>
                <w:rFonts w:hint="eastAsia" w:ascii="宋体" w:hAnsi="宋体"/>
                <w:color w:val="auto"/>
                <w:szCs w:val="21"/>
                <w:highlight w:val="none"/>
              </w:rPr>
            </w:pPr>
            <w:r>
              <w:rPr>
                <w:rFonts w:hint="eastAsia" w:ascii="宋体" w:hAnsi="宋体"/>
                <w:color w:val="auto"/>
                <w:szCs w:val="21"/>
                <w:highlight w:val="none"/>
              </w:rPr>
              <w:t>书写侧板与显示触摸屏为同品牌一体化设计，整体长度不小于4200mm。</w:t>
            </w:r>
          </w:p>
          <w:p w14:paraId="5BE3B723">
            <w:pPr>
              <w:widowControl/>
              <w:jc w:val="left"/>
              <w:textAlignment w:val="center"/>
              <w:rPr>
                <w:rFonts w:hint="eastAsia" w:ascii="宋体" w:hAnsi="宋体"/>
                <w:b/>
                <w:bCs/>
                <w:color w:val="auto"/>
                <w:szCs w:val="21"/>
                <w:highlight w:val="none"/>
              </w:rPr>
            </w:pPr>
            <w:r>
              <w:rPr>
                <w:rFonts w:hint="eastAsia" w:ascii="宋体" w:hAnsi="宋体"/>
                <w:b/>
                <w:bCs/>
                <w:color w:val="auto"/>
                <w:szCs w:val="21"/>
                <w:highlight w:val="none"/>
              </w:rPr>
              <w:t>九、内置电脑配置要求</w:t>
            </w:r>
          </w:p>
          <w:p w14:paraId="49F5ADA1">
            <w:pPr>
              <w:widowControl/>
              <w:numPr>
                <w:ilvl w:val="2"/>
                <w:numId w:val="216"/>
              </w:numPr>
              <w:jc w:val="left"/>
              <w:textAlignment w:val="center"/>
              <w:rPr>
                <w:rFonts w:hint="eastAsia" w:ascii="宋体" w:hAnsi="宋体"/>
                <w:color w:val="auto"/>
                <w:szCs w:val="21"/>
                <w:highlight w:val="none"/>
              </w:rPr>
            </w:pPr>
            <w:r>
              <w:rPr>
                <w:rFonts w:hint="eastAsia" w:ascii="宋体" w:hAnsi="宋体"/>
                <w:color w:val="auto"/>
                <w:szCs w:val="21"/>
                <w:highlight w:val="none"/>
              </w:rPr>
              <w:t>整机需易于维护，满足80pin通用标准接口，卡扣设计。</w:t>
            </w:r>
          </w:p>
          <w:p w14:paraId="7112D340">
            <w:pPr>
              <w:widowControl/>
              <w:numPr>
                <w:ilvl w:val="2"/>
                <w:numId w:val="216"/>
              </w:numPr>
              <w:jc w:val="left"/>
              <w:textAlignment w:val="center"/>
              <w:rPr>
                <w:rFonts w:hint="eastAsia" w:ascii="宋体" w:hAnsi="宋体"/>
                <w:color w:val="auto"/>
                <w:szCs w:val="21"/>
                <w:highlight w:val="none"/>
              </w:rPr>
            </w:pPr>
            <w:r>
              <w:rPr>
                <w:rFonts w:hint="eastAsia" w:ascii="宋体" w:hAnsi="宋体"/>
                <w:color w:val="auto"/>
                <w:szCs w:val="21"/>
                <w:highlight w:val="none"/>
              </w:rPr>
              <w:t>采用≥12代I5芯片，内存≥8G，硬盘≥256G SSD。</w:t>
            </w:r>
          </w:p>
          <w:p w14:paraId="7A3F2F50">
            <w:pPr>
              <w:widowControl/>
              <w:jc w:val="left"/>
              <w:textAlignment w:val="center"/>
              <w:rPr>
                <w:rFonts w:hint="eastAsia" w:ascii="宋体" w:hAnsi="宋体"/>
                <w:b/>
                <w:bCs/>
                <w:color w:val="auto"/>
                <w:szCs w:val="21"/>
                <w:highlight w:val="none"/>
              </w:rPr>
            </w:pPr>
            <w:r>
              <w:rPr>
                <w:rFonts w:hint="eastAsia" w:ascii="宋体" w:hAnsi="宋体"/>
                <w:b/>
                <w:bCs/>
                <w:color w:val="auto"/>
                <w:szCs w:val="21"/>
                <w:highlight w:val="none"/>
              </w:rPr>
              <w:t>十、教学软件功能要求</w:t>
            </w:r>
          </w:p>
          <w:p w14:paraId="65071402">
            <w:pPr>
              <w:widowControl/>
              <w:jc w:val="left"/>
              <w:textAlignment w:val="center"/>
              <w:rPr>
                <w:rFonts w:hint="eastAsia" w:ascii="宋体" w:hAnsi="宋体"/>
                <w:color w:val="auto"/>
                <w:szCs w:val="21"/>
                <w:highlight w:val="none"/>
              </w:rPr>
            </w:pPr>
            <w:r>
              <w:rPr>
                <w:rFonts w:hint="eastAsia" w:ascii="宋体" w:hAnsi="宋体"/>
                <w:color w:val="auto"/>
                <w:szCs w:val="21"/>
                <w:highlight w:val="none"/>
              </w:rPr>
              <w:t>备课模式</w:t>
            </w:r>
          </w:p>
          <w:p w14:paraId="5B978BFB">
            <w:pPr>
              <w:widowControl/>
              <w:numPr>
                <w:ilvl w:val="1"/>
                <w:numId w:val="217"/>
              </w:numPr>
              <w:jc w:val="left"/>
              <w:textAlignment w:val="center"/>
              <w:rPr>
                <w:rFonts w:hint="eastAsia" w:ascii="宋体" w:hAnsi="宋体"/>
                <w:color w:val="auto"/>
                <w:szCs w:val="21"/>
                <w:highlight w:val="none"/>
              </w:rPr>
            </w:pPr>
            <w:r>
              <w:rPr>
                <w:rFonts w:hint="eastAsia" w:ascii="宋体" w:hAnsi="宋体"/>
                <w:color w:val="auto"/>
                <w:szCs w:val="21"/>
                <w:highlight w:val="none"/>
              </w:rPr>
              <w:t>教师个人账号无需完成特定任务，即可获取≥200GB云端存储空间，可扩展至≥3TB或以上云存储空间。</w:t>
            </w:r>
          </w:p>
          <w:p w14:paraId="5FE214AB">
            <w:pPr>
              <w:widowControl/>
              <w:numPr>
                <w:ilvl w:val="1"/>
                <w:numId w:val="217"/>
              </w:numPr>
              <w:jc w:val="left"/>
              <w:textAlignment w:val="center"/>
              <w:rPr>
                <w:rFonts w:hint="eastAsia" w:ascii="宋体" w:hAnsi="宋体"/>
                <w:color w:val="auto"/>
                <w:szCs w:val="21"/>
                <w:highlight w:val="none"/>
              </w:rPr>
            </w:pPr>
            <w:r>
              <w:rPr>
                <w:rFonts w:hint="eastAsia" w:ascii="宋体" w:hAnsi="宋体"/>
                <w:color w:val="auto"/>
                <w:szCs w:val="21"/>
                <w:highlight w:val="none"/>
              </w:rPr>
              <w:t>需提供预置的课件素材，允许教师在网页端、移动端、电脑端进行内容的选择与组合，快速生成课件并浏览，所有制作的课件均实时保存至云端，登录即可查看。</w:t>
            </w:r>
          </w:p>
          <w:p w14:paraId="7F3FC0F4">
            <w:pPr>
              <w:widowControl/>
              <w:numPr>
                <w:ilvl w:val="1"/>
                <w:numId w:val="217"/>
              </w:numPr>
              <w:jc w:val="left"/>
              <w:textAlignment w:val="center"/>
              <w:rPr>
                <w:rFonts w:hint="eastAsia" w:ascii="宋体" w:hAnsi="宋体"/>
                <w:color w:val="auto"/>
                <w:szCs w:val="21"/>
                <w:highlight w:val="none"/>
              </w:rPr>
            </w:pPr>
            <w:r>
              <w:rPr>
                <w:rFonts w:hint="eastAsia" w:ascii="宋体" w:hAnsi="宋体"/>
                <w:color w:val="auto"/>
                <w:szCs w:val="21"/>
                <w:highlight w:val="none"/>
              </w:rPr>
              <w:t>需支持教师根据教材章节目录、知识点选择对应的教学内容。教师仅需要按每个教学环节选择所需的教学模块即可快速生成一份课件。每个课时均提供过量的教学内容模块，满足教师的个性化需求。</w:t>
            </w:r>
          </w:p>
          <w:p w14:paraId="4BDA52DE">
            <w:pPr>
              <w:widowControl/>
              <w:numPr>
                <w:ilvl w:val="1"/>
                <w:numId w:val="217"/>
              </w:numPr>
              <w:jc w:val="left"/>
              <w:textAlignment w:val="center"/>
              <w:rPr>
                <w:rFonts w:hint="eastAsia" w:ascii="宋体" w:hAnsi="宋体"/>
                <w:color w:val="auto"/>
                <w:szCs w:val="21"/>
                <w:highlight w:val="none"/>
              </w:rPr>
            </w:pPr>
            <w:r>
              <w:rPr>
                <w:rFonts w:hint="eastAsia" w:ascii="宋体" w:hAnsi="宋体"/>
                <w:color w:val="auto"/>
                <w:szCs w:val="21"/>
                <w:highlight w:val="none"/>
              </w:rPr>
              <w:t>需提供模块化的课件素材和教案，课件支持组选：课堂导入，知识讲解，例题与变式，拓展延伸，课外活动等。</w:t>
            </w:r>
          </w:p>
          <w:p w14:paraId="11A9DCCD">
            <w:pPr>
              <w:widowControl/>
              <w:numPr>
                <w:ilvl w:val="1"/>
                <w:numId w:val="217"/>
              </w:numPr>
              <w:jc w:val="left"/>
              <w:textAlignment w:val="center"/>
              <w:rPr>
                <w:rFonts w:hint="eastAsia" w:ascii="宋体" w:hAnsi="宋体"/>
                <w:color w:val="auto"/>
                <w:szCs w:val="21"/>
                <w:highlight w:val="none"/>
              </w:rPr>
            </w:pPr>
            <w:r>
              <w:rPr>
                <w:rFonts w:hint="eastAsia" w:ascii="宋体" w:hAnsi="宋体"/>
                <w:color w:val="auto"/>
                <w:szCs w:val="21"/>
                <w:highlight w:val="none"/>
              </w:rPr>
              <w:t>需支持插入音频，对音频的剪辑，可拖动或输入音频的开始和结束位置。插入表格，表格支持设置行列数，在表格上可以进行行列的添加、删除、合并和拆分，可编辑文字格式和表格格式。插入思维导图，包括逻辑图、鱼骨图和组织结构图，思维导图可添加同级节点、下级节点、上级节点，可编辑文字格式和思维导图格式。</w:t>
            </w:r>
          </w:p>
          <w:p w14:paraId="3C886942">
            <w:pPr>
              <w:widowControl/>
              <w:jc w:val="left"/>
              <w:textAlignment w:val="center"/>
              <w:rPr>
                <w:rFonts w:hint="eastAsia" w:ascii="宋体" w:hAnsi="宋体"/>
                <w:color w:val="auto"/>
                <w:szCs w:val="21"/>
                <w:highlight w:val="none"/>
              </w:rPr>
            </w:pPr>
            <w:r>
              <w:rPr>
                <w:rFonts w:hint="eastAsia" w:ascii="宋体" w:hAnsi="宋体"/>
                <w:color w:val="auto"/>
                <w:szCs w:val="21"/>
                <w:highlight w:val="none"/>
              </w:rPr>
              <w:t>授课模式</w:t>
            </w:r>
          </w:p>
          <w:p w14:paraId="583AD913">
            <w:pPr>
              <w:widowControl/>
              <w:numPr>
                <w:ilvl w:val="1"/>
                <w:numId w:val="217"/>
              </w:numPr>
              <w:jc w:val="left"/>
              <w:textAlignment w:val="center"/>
              <w:rPr>
                <w:rFonts w:hint="eastAsia" w:ascii="宋体" w:hAnsi="宋体"/>
                <w:color w:val="auto"/>
                <w:szCs w:val="21"/>
                <w:highlight w:val="none"/>
              </w:rPr>
            </w:pPr>
            <w:r>
              <w:rPr>
                <w:rFonts w:hint="eastAsia" w:ascii="宋体" w:hAnsi="宋体"/>
                <w:color w:val="auto"/>
                <w:szCs w:val="21"/>
                <w:highlight w:val="none"/>
              </w:rPr>
              <w:t>需支持显示文件、工具和应用的便捷入口，当开始批注且有笔迹时，自动隐藏便捷入口，清除笔迹时，自动恢复显示便捷入口。</w:t>
            </w:r>
          </w:p>
          <w:p w14:paraId="64A68E68">
            <w:pPr>
              <w:widowControl/>
              <w:numPr>
                <w:ilvl w:val="1"/>
                <w:numId w:val="217"/>
              </w:numPr>
              <w:jc w:val="left"/>
              <w:textAlignment w:val="center"/>
              <w:rPr>
                <w:rFonts w:hint="eastAsia" w:ascii="宋体" w:hAnsi="宋体"/>
                <w:color w:val="auto"/>
                <w:szCs w:val="21"/>
                <w:highlight w:val="none"/>
              </w:rPr>
            </w:pPr>
            <w:r>
              <w:rPr>
                <w:rFonts w:hint="eastAsia" w:ascii="宋体" w:hAnsi="宋体"/>
                <w:color w:val="auto"/>
                <w:szCs w:val="21"/>
                <w:highlight w:val="none"/>
              </w:rPr>
              <w:t>需支持多种教辅工具，包含截图、时钟、放大镜、聚光灯、黑屏、随机数、骰子和大转盘等。</w:t>
            </w:r>
          </w:p>
          <w:p w14:paraId="64B22A2F">
            <w:pPr>
              <w:widowControl/>
              <w:numPr>
                <w:ilvl w:val="1"/>
                <w:numId w:val="217"/>
              </w:numPr>
              <w:jc w:val="left"/>
              <w:textAlignment w:val="center"/>
              <w:rPr>
                <w:rFonts w:hint="eastAsia" w:ascii="宋体" w:hAnsi="宋体"/>
                <w:color w:val="auto"/>
                <w:szCs w:val="21"/>
                <w:highlight w:val="none"/>
              </w:rPr>
            </w:pPr>
            <w:r>
              <w:rPr>
                <w:rFonts w:hint="eastAsia" w:ascii="宋体" w:hAnsi="宋体"/>
                <w:color w:val="auto"/>
                <w:szCs w:val="21"/>
                <w:highlight w:val="none"/>
              </w:rPr>
              <w:t>需支持打开本机文件、U盘文件等本地文件；不需导入，可直接打开本地视频、音频、图片、离线教学课件、PPT、PPTX、PDF文件、DOC、DOCX文件及swf文件等；需支持多个文件窗口同屏播放显示，满足多素材授课需求。支持批注的文件类型包含PPT、PPTX、图片、PDF、DOC、DOCX。</w:t>
            </w:r>
          </w:p>
          <w:p w14:paraId="22093753">
            <w:pPr>
              <w:widowControl/>
              <w:jc w:val="left"/>
              <w:textAlignment w:val="center"/>
              <w:rPr>
                <w:rFonts w:hint="eastAsia" w:ascii="宋体" w:hAnsi="宋体"/>
                <w:color w:val="auto"/>
                <w:szCs w:val="21"/>
                <w:highlight w:val="none"/>
              </w:rPr>
            </w:pPr>
            <w:r>
              <w:rPr>
                <w:rFonts w:hint="eastAsia" w:ascii="宋体" w:hAnsi="宋体"/>
                <w:color w:val="auto"/>
                <w:szCs w:val="21"/>
                <w:highlight w:val="none"/>
              </w:rPr>
              <w:t>录课助手</w:t>
            </w:r>
          </w:p>
          <w:p w14:paraId="569C345B">
            <w:pPr>
              <w:widowControl/>
              <w:numPr>
                <w:ilvl w:val="1"/>
                <w:numId w:val="217"/>
              </w:numPr>
              <w:jc w:val="left"/>
              <w:textAlignment w:val="center"/>
              <w:rPr>
                <w:rFonts w:hint="eastAsia" w:ascii="宋体" w:hAnsi="宋体"/>
                <w:color w:val="auto"/>
                <w:szCs w:val="21"/>
                <w:highlight w:val="none"/>
              </w:rPr>
            </w:pPr>
            <w:r>
              <w:rPr>
                <w:rFonts w:hint="eastAsia" w:ascii="宋体" w:hAnsi="宋体"/>
                <w:color w:val="auto"/>
                <w:szCs w:val="21"/>
                <w:highlight w:val="none"/>
              </w:rPr>
              <w:t>需支持屏幕、屏幕+摄像头等多种形式的录制，也可结合录播系统进行全景录制。需支持对视频清晰度的调整，提供高清、超清、超高清的切换，方便在手机、电脑或者大屏上观看。</w:t>
            </w:r>
          </w:p>
          <w:p w14:paraId="419172A8">
            <w:pPr>
              <w:widowControl/>
              <w:numPr>
                <w:ilvl w:val="1"/>
                <w:numId w:val="217"/>
              </w:numPr>
              <w:jc w:val="left"/>
              <w:textAlignment w:val="center"/>
              <w:rPr>
                <w:rFonts w:hint="eastAsia" w:ascii="宋体" w:hAnsi="宋体"/>
                <w:color w:val="auto"/>
                <w:szCs w:val="21"/>
                <w:highlight w:val="none"/>
              </w:rPr>
            </w:pPr>
            <w:r>
              <w:rPr>
                <w:rFonts w:hint="eastAsia" w:ascii="宋体" w:hAnsi="宋体"/>
                <w:color w:val="auto"/>
                <w:szCs w:val="21"/>
                <w:highlight w:val="none"/>
              </w:rPr>
              <w:t>需支持快速录制，可移动，三秒无操作即变为半透明；可实时查看录制进度，进行暂停、 开始、结束操作。</w:t>
            </w:r>
          </w:p>
          <w:p w14:paraId="03E86A95">
            <w:pPr>
              <w:widowControl/>
              <w:numPr>
                <w:ilvl w:val="1"/>
                <w:numId w:val="217"/>
              </w:numPr>
              <w:jc w:val="left"/>
              <w:textAlignment w:val="center"/>
              <w:rPr>
                <w:rFonts w:hint="eastAsia" w:ascii="宋体" w:hAnsi="宋体"/>
                <w:color w:val="auto"/>
                <w:szCs w:val="21"/>
                <w:highlight w:val="none"/>
              </w:rPr>
            </w:pPr>
            <w:r>
              <w:rPr>
                <w:rFonts w:hint="eastAsia" w:ascii="宋体" w:hAnsi="宋体"/>
                <w:color w:val="auto"/>
                <w:szCs w:val="21"/>
                <w:highlight w:val="none"/>
              </w:rPr>
              <w:t>需支持随时开启分享功能，实现即时直播，听课端无需下载软件，扫描二维码即可进入直播课堂并进行互动。开通直播后生成直播海报、直播码，易于分享，多人观看无压力，且支持手机端、PC端观看直播，可实现课堂实时评论。</w:t>
            </w:r>
          </w:p>
          <w:p w14:paraId="064D778D">
            <w:pPr>
              <w:widowControl/>
              <w:numPr>
                <w:ilvl w:val="1"/>
                <w:numId w:val="217"/>
              </w:numPr>
              <w:jc w:val="left"/>
              <w:textAlignment w:val="center"/>
              <w:rPr>
                <w:rFonts w:hint="eastAsia" w:ascii="宋体" w:hAnsi="宋体"/>
                <w:color w:val="auto"/>
                <w:szCs w:val="21"/>
                <w:highlight w:val="none"/>
              </w:rPr>
            </w:pPr>
            <w:r>
              <w:rPr>
                <w:rFonts w:hint="eastAsia" w:ascii="宋体" w:hAnsi="宋体"/>
                <w:color w:val="auto"/>
                <w:szCs w:val="21"/>
                <w:highlight w:val="none"/>
              </w:rPr>
              <w:t>在桌面及摄像头录制场景下，能自动侦测摄像头，可识别出展台摄像头，同时支持摄像头 画面的切换、移动及大小的调整。录制视频可自动保存在本地，也可上传至云端教师空间，结束录制即生成回看视频，可快速浏览录制情况。</w:t>
            </w:r>
          </w:p>
          <w:p w14:paraId="64F01025">
            <w:pPr>
              <w:widowControl/>
              <w:numPr>
                <w:ilvl w:val="1"/>
                <w:numId w:val="217"/>
              </w:numPr>
              <w:jc w:val="left"/>
              <w:textAlignment w:val="center"/>
              <w:rPr>
                <w:rFonts w:hint="eastAsia" w:ascii="宋体" w:hAnsi="宋体"/>
                <w:color w:val="auto"/>
                <w:szCs w:val="21"/>
                <w:highlight w:val="none"/>
              </w:rPr>
            </w:pPr>
            <w:r>
              <w:rPr>
                <w:rFonts w:hint="eastAsia" w:ascii="宋体" w:hAnsi="宋体"/>
                <w:color w:val="auto"/>
                <w:szCs w:val="21"/>
                <w:highlight w:val="none"/>
              </w:rPr>
              <w:t>录制列表支持按时间查找所有已录制视频并可查看录制详情，包括录制日期、文件大小、 上传状态，同时可扫码回看所有已上传视频。录制视频支持点播、分享、编辑等功能，也可将视频共享到学校空间，方便校本资源的建设和管理。</w:t>
            </w:r>
          </w:p>
          <w:p w14:paraId="68A856EC">
            <w:pPr>
              <w:widowControl/>
              <w:jc w:val="left"/>
              <w:textAlignment w:val="center"/>
              <w:rPr>
                <w:rFonts w:hint="eastAsia" w:ascii="宋体" w:hAnsi="宋体"/>
                <w:b/>
                <w:bCs/>
                <w:color w:val="auto"/>
                <w:szCs w:val="21"/>
                <w:highlight w:val="none"/>
              </w:rPr>
            </w:pPr>
            <w:r>
              <w:rPr>
                <w:rFonts w:hint="eastAsia" w:ascii="宋体" w:hAnsi="宋体"/>
                <w:b/>
                <w:bCs/>
                <w:color w:val="auto"/>
                <w:szCs w:val="21"/>
                <w:highlight w:val="none"/>
              </w:rPr>
              <w:t>十一、AI教学功能</w:t>
            </w:r>
          </w:p>
          <w:p w14:paraId="1D1B82C3">
            <w:pPr>
              <w:widowControl/>
              <w:numPr>
                <w:ilvl w:val="0"/>
                <w:numId w:val="218"/>
              </w:numPr>
              <w:jc w:val="left"/>
              <w:textAlignment w:val="center"/>
              <w:rPr>
                <w:rFonts w:hint="eastAsia" w:ascii="宋体" w:hAnsi="宋体"/>
                <w:color w:val="auto"/>
                <w:szCs w:val="21"/>
                <w:highlight w:val="none"/>
              </w:rPr>
            </w:pPr>
            <w:r>
              <w:rPr>
                <w:rFonts w:hint="eastAsia" w:ascii="宋体" w:hAnsi="宋体"/>
                <w:color w:val="auto"/>
                <w:szCs w:val="21"/>
                <w:highlight w:val="none"/>
              </w:rPr>
              <w:t>提供符合教师授课场景的教学桌面系统。</w:t>
            </w:r>
          </w:p>
          <w:p w14:paraId="43744350">
            <w:pPr>
              <w:widowControl/>
              <w:numPr>
                <w:ilvl w:val="0"/>
                <w:numId w:val="218"/>
              </w:numPr>
              <w:jc w:val="left"/>
              <w:textAlignment w:val="center"/>
              <w:rPr>
                <w:rFonts w:hint="eastAsia" w:ascii="宋体" w:hAnsi="宋体"/>
                <w:color w:val="auto"/>
                <w:szCs w:val="21"/>
                <w:highlight w:val="none"/>
              </w:rPr>
            </w:pPr>
            <w:r>
              <w:rPr>
                <w:rFonts w:hint="eastAsia" w:ascii="宋体" w:hAnsi="宋体"/>
                <w:color w:val="auto"/>
                <w:szCs w:val="21"/>
                <w:highlight w:val="none"/>
              </w:rPr>
              <w:t>教师授课常用应用放至主页，单击即可打开应用，方便教师快捷调用软件，支持根据个人使用习惯，自定义主页应用。</w:t>
            </w:r>
          </w:p>
          <w:p w14:paraId="5E47310C">
            <w:pPr>
              <w:widowControl/>
              <w:numPr>
                <w:ilvl w:val="0"/>
                <w:numId w:val="218"/>
              </w:numPr>
              <w:jc w:val="left"/>
              <w:textAlignment w:val="center"/>
              <w:rPr>
                <w:rFonts w:hint="eastAsia" w:ascii="宋体" w:hAnsi="宋体"/>
                <w:color w:val="auto"/>
                <w:szCs w:val="21"/>
                <w:highlight w:val="none"/>
              </w:rPr>
            </w:pPr>
            <w:r>
              <w:rPr>
                <w:rFonts w:hint="eastAsia" w:ascii="宋体" w:hAnsi="宋体"/>
                <w:color w:val="auto"/>
                <w:szCs w:val="21"/>
                <w:highlight w:val="none"/>
              </w:rPr>
              <w:t>开机进入教学桌面，教师可按照自己使用习惯，更换常用软件、背景，形成教师的定制化桌面。可通过登录账户，在其他设备上同步展示教师定制化教学桌面，可添加常用教学互动AI小组件，包括班里挑一、击鼓传花、自动点名、时钟、计算器、文件管理器等。</w:t>
            </w:r>
          </w:p>
          <w:p w14:paraId="6C318328">
            <w:pPr>
              <w:widowControl/>
              <w:numPr>
                <w:ilvl w:val="0"/>
                <w:numId w:val="218"/>
              </w:numPr>
              <w:jc w:val="left"/>
              <w:textAlignment w:val="center"/>
              <w:rPr>
                <w:rFonts w:hint="eastAsia" w:ascii="宋体" w:hAnsi="宋体"/>
                <w:color w:val="auto"/>
                <w:szCs w:val="21"/>
                <w:highlight w:val="none"/>
              </w:rPr>
            </w:pPr>
            <w:r>
              <w:rPr>
                <w:rFonts w:hint="eastAsia" w:ascii="宋体" w:hAnsi="宋体"/>
                <w:color w:val="auto"/>
                <w:szCs w:val="21"/>
                <w:highlight w:val="none"/>
              </w:rPr>
              <w:t>不少于4种登录方式，包括账号密码登录、验证码登录、人脸登录、声纹登录等，教师登录系统后打开其他应用及空间，可进行快捷登录，无需再次输入账户密码。</w:t>
            </w:r>
          </w:p>
          <w:p w14:paraId="428181A7">
            <w:pPr>
              <w:widowControl/>
              <w:numPr>
                <w:ilvl w:val="0"/>
                <w:numId w:val="218"/>
              </w:numPr>
              <w:jc w:val="left"/>
              <w:textAlignment w:val="center"/>
              <w:rPr>
                <w:rFonts w:hint="eastAsia" w:ascii="宋体" w:hAnsi="宋体"/>
                <w:color w:val="auto"/>
                <w:szCs w:val="21"/>
                <w:highlight w:val="none"/>
              </w:rPr>
            </w:pPr>
            <w:r>
              <w:rPr>
                <w:rFonts w:hint="eastAsia" w:ascii="宋体" w:hAnsi="宋体"/>
                <w:color w:val="auto"/>
                <w:szCs w:val="21"/>
                <w:highlight w:val="none"/>
              </w:rPr>
              <w:t>具备AI教学管理功能模块，包括AI一键备课、教学资源、课程设计、我的资源等常用教学功能模块。</w:t>
            </w:r>
          </w:p>
          <w:p w14:paraId="7D57C1B3">
            <w:pPr>
              <w:widowControl/>
              <w:numPr>
                <w:ilvl w:val="0"/>
                <w:numId w:val="218"/>
              </w:numPr>
              <w:jc w:val="left"/>
              <w:textAlignment w:val="center"/>
              <w:rPr>
                <w:rFonts w:hint="eastAsia" w:ascii="宋体" w:hAnsi="宋体"/>
                <w:color w:val="auto"/>
                <w:szCs w:val="21"/>
                <w:highlight w:val="none"/>
              </w:rPr>
            </w:pPr>
            <w:r>
              <w:rPr>
                <w:rFonts w:hint="eastAsia" w:ascii="宋体" w:hAnsi="宋体"/>
                <w:color w:val="auto"/>
                <w:szCs w:val="21"/>
                <w:highlight w:val="none"/>
              </w:rPr>
              <w:t>用户可以通过学段、年级、学科/专业、页数的筛选设置，实现AI一键备课；具备AI一键生成教学大纲的功能，教学大纲具备简洁、标准、丰富等不少于三种样式可选；课件内容支持内容AI重写，可实现对文字内容进行文案重写、丰富内容、精简内容、改写语气、文本翻译等，图片AI优化功能，支持图片AI优化，可实现AI重新生成图片、AI智能抠图、提取图片内文字内容等。</w:t>
            </w:r>
          </w:p>
          <w:p w14:paraId="2AAEEEA8">
            <w:pPr>
              <w:widowControl/>
              <w:numPr>
                <w:ilvl w:val="0"/>
                <w:numId w:val="218"/>
              </w:numPr>
              <w:jc w:val="left"/>
              <w:textAlignment w:val="center"/>
              <w:rPr>
                <w:rFonts w:hint="eastAsia" w:ascii="宋体" w:hAnsi="宋体"/>
                <w:color w:val="auto"/>
                <w:szCs w:val="21"/>
                <w:highlight w:val="none"/>
              </w:rPr>
            </w:pPr>
            <w:r>
              <w:rPr>
                <w:rFonts w:hint="eastAsia" w:ascii="宋体" w:hAnsi="宋体"/>
                <w:color w:val="auto"/>
                <w:szCs w:val="21"/>
                <w:highlight w:val="none"/>
              </w:rPr>
              <w:t>用户可以通过输入关键词筛选学科资源，也可以通过设置教育类型、学段、年级、学科、教材版本等信息条件筛选学科资源，可通过窗口化预览学科资源（图片、文档、视频）。</w:t>
            </w:r>
          </w:p>
          <w:p w14:paraId="14067BF9">
            <w:pPr>
              <w:widowControl/>
              <w:numPr>
                <w:ilvl w:val="0"/>
                <w:numId w:val="218"/>
              </w:numPr>
              <w:jc w:val="left"/>
              <w:textAlignment w:val="center"/>
              <w:rPr>
                <w:rFonts w:hint="eastAsia" w:ascii="宋体" w:hAnsi="宋体"/>
                <w:color w:val="auto"/>
                <w:szCs w:val="21"/>
                <w:highlight w:val="none"/>
              </w:rPr>
            </w:pPr>
            <w:r>
              <w:rPr>
                <w:rFonts w:hint="eastAsia" w:ascii="宋体" w:hAnsi="宋体"/>
                <w:color w:val="auto"/>
                <w:szCs w:val="21"/>
                <w:highlight w:val="none"/>
              </w:rPr>
              <w:t>具备课程管理管理功能，可创建、修改课程信息，可设置课程日期、地点、开始时间、结束时间、重复周期，支持上传多种格式文档，文档格式包括txt、pdf、doc、docx、xls、xlsx、cvs、xml、ppt、pptx等，可通过日、周、月等不同时间维度查看课表信息。</w:t>
            </w:r>
          </w:p>
          <w:p w14:paraId="57CECA3C">
            <w:pPr>
              <w:widowControl/>
              <w:numPr>
                <w:ilvl w:val="0"/>
                <w:numId w:val="218"/>
              </w:numPr>
              <w:jc w:val="left"/>
              <w:textAlignment w:val="center"/>
              <w:rPr>
                <w:rFonts w:hint="eastAsia" w:ascii="宋体" w:hAnsi="宋体"/>
                <w:color w:val="auto"/>
                <w:szCs w:val="21"/>
                <w:highlight w:val="none"/>
              </w:rPr>
            </w:pPr>
            <w:r>
              <w:rPr>
                <w:rFonts w:hint="eastAsia" w:ascii="宋体" w:hAnsi="宋体"/>
                <w:color w:val="auto"/>
                <w:szCs w:val="21"/>
                <w:highlight w:val="none"/>
              </w:rPr>
              <w:t>具备个人教学管理功能，可对个人资源进行预览、下载、删除、编辑、修改、重命名等操作，可查看历史生成课件记录、历史浏览课件记录。</w:t>
            </w:r>
          </w:p>
          <w:p w14:paraId="33314447">
            <w:pPr>
              <w:widowControl/>
              <w:numPr>
                <w:ilvl w:val="0"/>
                <w:numId w:val="218"/>
              </w:numPr>
              <w:jc w:val="left"/>
              <w:textAlignment w:val="center"/>
              <w:rPr>
                <w:rFonts w:hint="eastAsia" w:ascii="宋体" w:hAnsi="宋体"/>
                <w:color w:val="auto"/>
                <w:szCs w:val="21"/>
                <w:highlight w:val="none"/>
              </w:rPr>
            </w:pPr>
            <w:r>
              <w:rPr>
                <w:rFonts w:hint="eastAsia" w:ascii="宋体" w:hAnsi="宋体"/>
                <w:color w:val="auto"/>
                <w:szCs w:val="21"/>
                <w:highlight w:val="none"/>
              </w:rPr>
              <w:t>具备AI口语对练功能模块，支持跟读训练、场景对话、自由对话等不少于3种口语对练方式。</w:t>
            </w:r>
          </w:p>
          <w:p w14:paraId="04152187">
            <w:pPr>
              <w:widowControl/>
              <w:numPr>
                <w:ilvl w:val="0"/>
                <w:numId w:val="218"/>
              </w:numPr>
              <w:jc w:val="left"/>
              <w:textAlignment w:val="center"/>
              <w:rPr>
                <w:rFonts w:hint="eastAsia" w:ascii="宋体" w:hAnsi="宋体"/>
                <w:color w:val="auto"/>
                <w:szCs w:val="21"/>
                <w:highlight w:val="none"/>
              </w:rPr>
            </w:pPr>
            <w:r>
              <w:rPr>
                <w:rFonts w:hint="eastAsia" w:ascii="宋体" w:hAnsi="宋体"/>
                <w:color w:val="auto"/>
                <w:szCs w:val="21"/>
                <w:highlight w:val="none"/>
              </w:rPr>
              <w:t>支持AI语音对话，支持语音资源检索，并可一键将获取的文本内容、图片、视频等资源插入白板，提高教学效率。</w:t>
            </w:r>
          </w:p>
          <w:p w14:paraId="39B3E154">
            <w:pPr>
              <w:widowControl/>
              <w:numPr>
                <w:ilvl w:val="0"/>
                <w:numId w:val="218"/>
              </w:numPr>
              <w:jc w:val="left"/>
              <w:textAlignment w:val="center"/>
              <w:rPr>
                <w:rFonts w:hint="eastAsia" w:ascii="宋体" w:hAnsi="宋体"/>
                <w:color w:val="auto"/>
                <w:szCs w:val="21"/>
                <w:highlight w:val="none"/>
              </w:rPr>
            </w:pPr>
            <w:r>
              <w:rPr>
                <w:rFonts w:hint="eastAsia" w:ascii="宋体" w:hAnsi="宋体"/>
                <w:color w:val="auto"/>
                <w:szCs w:val="21"/>
                <w:highlight w:val="none"/>
              </w:rPr>
              <w:t>AI语音对话具备大模型对话功能，最大支持50轮对话；具备查看历史对话的功能。</w:t>
            </w:r>
          </w:p>
          <w:p w14:paraId="44D83094">
            <w:pPr>
              <w:widowControl/>
              <w:numPr>
                <w:ilvl w:val="0"/>
                <w:numId w:val="218"/>
              </w:numPr>
              <w:jc w:val="left"/>
              <w:textAlignment w:val="center"/>
              <w:rPr>
                <w:rFonts w:hint="eastAsia" w:ascii="宋体" w:hAnsi="宋体"/>
                <w:color w:val="auto"/>
                <w:szCs w:val="21"/>
                <w:highlight w:val="none"/>
              </w:rPr>
            </w:pPr>
            <w:r>
              <w:rPr>
                <w:rFonts w:hint="eastAsia" w:ascii="宋体" w:hAnsi="宋体"/>
                <w:color w:val="auto"/>
                <w:szCs w:val="21"/>
                <w:highlight w:val="none"/>
              </w:rPr>
              <w:t>可通过手动唤醒和语音唤醒两种方式唤醒悬浮窗AI助教的功能，支持通过语音控制设备的控制，例如音量、亮度、信号源设置等，可通过语音一键进入备课界面、资源界面、课程设计界面、我的资源界面。</w:t>
            </w:r>
          </w:p>
          <w:p w14:paraId="34CC682C">
            <w:pPr>
              <w:widowControl/>
              <w:numPr>
                <w:ilvl w:val="0"/>
                <w:numId w:val="218"/>
              </w:numPr>
              <w:jc w:val="left"/>
              <w:textAlignment w:val="center"/>
              <w:rPr>
                <w:rFonts w:hint="eastAsia" w:ascii="宋体" w:hAnsi="宋体"/>
                <w:color w:val="auto"/>
                <w:szCs w:val="21"/>
                <w:highlight w:val="none"/>
              </w:rPr>
            </w:pPr>
            <w:r>
              <w:rPr>
                <w:rFonts w:hint="eastAsia" w:ascii="宋体" w:hAnsi="宋体"/>
                <w:color w:val="auto"/>
                <w:szCs w:val="21"/>
                <w:highlight w:val="none"/>
              </w:rPr>
              <w:t>可在大屏端和电脑端实现教师空间功能，个人电脑端也支持账号密码登录、验证码登录、人脸登录、声纹登录等不少于四种登录方式，可通过教师空间一键启动AI教学管理、课堂评价、班里挑一、击鼓传花、自动点名、时钟、计算器、文件管理器等功能。</w:t>
            </w:r>
          </w:p>
        </w:tc>
        <w:tc>
          <w:tcPr>
            <w:tcW w:w="863" w:type="dxa"/>
            <w:gridSpan w:val="4"/>
            <w:vAlign w:val="center"/>
          </w:tcPr>
          <w:p w14:paraId="20C521A0">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套</w:t>
            </w:r>
          </w:p>
        </w:tc>
        <w:tc>
          <w:tcPr>
            <w:tcW w:w="925" w:type="dxa"/>
            <w:gridSpan w:val="3"/>
            <w:vAlign w:val="center"/>
          </w:tcPr>
          <w:p w14:paraId="45A7AF1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5</w:t>
            </w:r>
          </w:p>
        </w:tc>
      </w:tr>
      <w:tr w14:paraId="188D44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72D4033A">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w:t>
            </w:r>
          </w:p>
        </w:tc>
        <w:tc>
          <w:tcPr>
            <w:tcW w:w="1227" w:type="dxa"/>
            <w:shd w:val="clear" w:color="auto" w:fill="FFFFFF"/>
            <w:vAlign w:val="center"/>
          </w:tcPr>
          <w:p w14:paraId="4A8CACC6">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展台</w:t>
            </w:r>
          </w:p>
        </w:tc>
        <w:tc>
          <w:tcPr>
            <w:tcW w:w="6167" w:type="dxa"/>
            <w:vAlign w:val="center"/>
          </w:tcPr>
          <w:p w14:paraId="11CD0691">
            <w:pPr>
              <w:widowControl/>
              <w:numPr>
                <w:ilvl w:val="0"/>
                <w:numId w:val="219"/>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整机采用高清摄像头设计，</w:t>
            </w:r>
            <w:r>
              <w:rPr>
                <w:rFonts w:hint="eastAsia" w:ascii="宋体" w:hAnsi="宋体"/>
                <w:color w:val="auto"/>
                <w:szCs w:val="21"/>
                <w:highlight w:val="none"/>
              </w:rPr>
              <w:t>≥</w:t>
            </w:r>
            <w:r>
              <w:rPr>
                <w:rFonts w:hint="eastAsia" w:ascii="宋体" w:hAnsi="宋体"/>
                <w:color w:val="auto"/>
                <w:kern w:val="0"/>
                <w:szCs w:val="21"/>
                <w:highlight w:val="none"/>
                <w:lang w:bidi="ar"/>
              </w:rPr>
              <w:t>1600万像素定焦镜头，解析度</w:t>
            </w:r>
            <w:r>
              <w:rPr>
                <w:rFonts w:hint="eastAsia" w:ascii="宋体" w:hAnsi="宋体"/>
                <w:color w:val="auto"/>
                <w:szCs w:val="21"/>
                <w:highlight w:val="none"/>
              </w:rPr>
              <w:t>≥</w:t>
            </w:r>
            <w:r>
              <w:rPr>
                <w:rFonts w:hint="eastAsia" w:ascii="宋体" w:hAnsi="宋体"/>
                <w:color w:val="auto"/>
                <w:kern w:val="0"/>
                <w:szCs w:val="21"/>
                <w:highlight w:val="none"/>
                <w:lang w:bidi="ar"/>
              </w:rPr>
              <w:t>1400TV线，使画面展示更加清晰。</w:t>
            </w:r>
          </w:p>
          <w:p w14:paraId="0181ABF7">
            <w:pPr>
              <w:widowControl/>
              <w:numPr>
                <w:ilvl w:val="0"/>
                <w:numId w:val="219"/>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光源补偿：LED五级光源补偿。</w:t>
            </w:r>
          </w:p>
          <w:p w14:paraId="66AEDA8D">
            <w:pPr>
              <w:widowControl/>
              <w:numPr>
                <w:ilvl w:val="0"/>
                <w:numId w:val="219"/>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支持六张图片及以上同屏对比，每张图片独立批注，不可跨区域批注，并可对单张图片进行旋转、全屏、缩放、删除等操作。</w:t>
            </w:r>
          </w:p>
          <w:p w14:paraId="5D03396D">
            <w:pPr>
              <w:widowControl/>
              <w:numPr>
                <w:ilvl w:val="0"/>
                <w:numId w:val="219"/>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为增强文字显示对比度，具备AI拍照的功能，并可根据的实际使用需求开启或关闭。</w:t>
            </w:r>
          </w:p>
          <w:p w14:paraId="5FBEE69C">
            <w:pPr>
              <w:widowControl/>
              <w:numPr>
                <w:ilvl w:val="0"/>
                <w:numId w:val="219"/>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可通过屏幕左下画面缩略图，在展示画面放大的情况下，快速移动到达画面任意位置，实现鸟瞰功能。</w:t>
            </w:r>
          </w:p>
          <w:p w14:paraId="39A1CA9C">
            <w:pPr>
              <w:widowControl/>
              <w:numPr>
                <w:ilvl w:val="0"/>
                <w:numId w:val="219"/>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支持多指长按屏幕实现漫游，手背擦除，两指捏合放大缩小等多种手势操作，方便使用。</w:t>
            </w:r>
          </w:p>
          <w:p w14:paraId="0EE697A5">
            <w:pPr>
              <w:widowControl/>
              <w:numPr>
                <w:ilvl w:val="0"/>
                <w:numId w:val="219"/>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需支持对展台性能进行检测，包含但不限于硬件连线连接情况与摄像头占用情况。</w:t>
            </w:r>
          </w:p>
        </w:tc>
        <w:tc>
          <w:tcPr>
            <w:tcW w:w="863" w:type="dxa"/>
            <w:gridSpan w:val="4"/>
            <w:vAlign w:val="center"/>
          </w:tcPr>
          <w:p w14:paraId="3F5447AB">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套</w:t>
            </w:r>
          </w:p>
        </w:tc>
        <w:tc>
          <w:tcPr>
            <w:tcW w:w="925" w:type="dxa"/>
            <w:gridSpan w:val="3"/>
            <w:vAlign w:val="center"/>
          </w:tcPr>
          <w:p w14:paraId="1F4E43D7">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5</w:t>
            </w:r>
          </w:p>
        </w:tc>
      </w:tr>
      <w:tr w14:paraId="24FEF4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7E9C1BA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3</w:t>
            </w:r>
          </w:p>
        </w:tc>
        <w:tc>
          <w:tcPr>
            <w:tcW w:w="1227" w:type="dxa"/>
            <w:shd w:val="clear" w:color="auto" w:fill="FFFFFF"/>
            <w:vAlign w:val="center"/>
          </w:tcPr>
          <w:p w14:paraId="45DE115D">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连接软件</w:t>
            </w:r>
          </w:p>
        </w:tc>
        <w:tc>
          <w:tcPr>
            <w:tcW w:w="6167" w:type="dxa"/>
            <w:vAlign w:val="center"/>
          </w:tcPr>
          <w:p w14:paraId="734CF712">
            <w:pPr>
              <w:widowControl/>
              <w:jc w:val="left"/>
              <w:textAlignment w:val="center"/>
              <w:rPr>
                <w:rFonts w:hint="eastAsia" w:ascii="宋体" w:hAnsi="宋体"/>
                <w:b/>
                <w:bCs/>
                <w:color w:val="auto"/>
                <w:szCs w:val="21"/>
                <w:highlight w:val="none"/>
              </w:rPr>
            </w:pPr>
            <w:r>
              <w:rPr>
                <w:rFonts w:hint="eastAsia" w:ascii="宋体" w:hAnsi="宋体"/>
                <w:b/>
                <w:bCs/>
                <w:color w:val="auto"/>
                <w:szCs w:val="21"/>
                <w:highlight w:val="none"/>
              </w:rPr>
              <w:t>一、基础平台</w:t>
            </w:r>
          </w:p>
          <w:p w14:paraId="6AAF6905">
            <w:pPr>
              <w:widowControl/>
              <w:numPr>
                <w:ilvl w:val="1"/>
                <w:numId w:val="220"/>
              </w:numPr>
              <w:jc w:val="left"/>
              <w:textAlignment w:val="center"/>
              <w:rPr>
                <w:rFonts w:hint="eastAsia" w:ascii="宋体" w:hAnsi="宋体"/>
                <w:color w:val="auto"/>
                <w:szCs w:val="21"/>
                <w:highlight w:val="none"/>
              </w:rPr>
            </w:pPr>
            <w:r>
              <w:rPr>
                <w:rFonts w:hint="eastAsia" w:ascii="宋体" w:hAnsi="宋体"/>
                <w:color w:val="auto"/>
                <w:szCs w:val="21"/>
                <w:highlight w:val="none"/>
              </w:rPr>
              <w:t>基础平台支持账号密码、扫码登录用户基础平台。</w:t>
            </w:r>
          </w:p>
          <w:p w14:paraId="665CCBD7">
            <w:pPr>
              <w:widowControl/>
              <w:numPr>
                <w:ilvl w:val="1"/>
                <w:numId w:val="220"/>
              </w:numPr>
              <w:jc w:val="left"/>
              <w:textAlignment w:val="center"/>
              <w:rPr>
                <w:rFonts w:hint="eastAsia" w:ascii="宋体" w:hAnsi="宋体"/>
                <w:color w:val="auto"/>
                <w:szCs w:val="21"/>
                <w:highlight w:val="none"/>
              </w:rPr>
            </w:pPr>
            <w:r>
              <w:rPr>
                <w:rFonts w:hint="eastAsia" w:ascii="宋体" w:hAnsi="宋体"/>
                <w:color w:val="auto"/>
                <w:szCs w:val="21"/>
                <w:highlight w:val="none"/>
              </w:rPr>
              <w:t>权限应用，基础平台设置模块管理员，模块管理员设置使用人员，并为使用人员设置权限，使用人员只能使用授权部分的功能。</w:t>
            </w:r>
          </w:p>
          <w:p w14:paraId="1104EDF2">
            <w:pPr>
              <w:widowControl/>
              <w:numPr>
                <w:ilvl w:val="1"/>
                <w:numId w:val="220"/>
              </w:numPr>
              <w:jc w:val="left"/>
              <w:textAlignment w:val="center"/>
              <w:rPr>
                <w:rFonts w:hint="eastAsia" w:ascii="宋体" w:hAnsi="宋体"/>
                <w:color w:val="auto"/>
                <w:szCs w:val="21"/>
                <w:highlight w:val="none"/>
              </w:rPr>
            </w:pPr>
            <w:r>
              <w:rPr>
                <w:rFonts w:hint="eastAsia" w:ascii="宋体" w:hAnsi="宋体"/>
                <w:color w:val="auto"/>
                <w:szCs w:val="21"/>
                <w:highlight w:val="none"/>
              </w:rPr>
              <w:t>支持移动端、PC网页同时操作，包含用户管理、单位管理、基础设置、应用管理、日志管理等。</w:t>
            </w:r>
          </w:p>
          <w:p w14:paraId="0529138A">
            <w:pPr>
              <w:widowControl/>
              <w:jc w:val="left"/>
              <w:textAlignment w:val="center"/>
              <w:rPr>
                <w:rFonts w:hint="eastAsia" w:ascii="宋体" w:hAnsi="宋体"/>
                <w:b/>
                <w:bCs/>
                <w:color w:val="auto"/>
                <w:szCs w:val="21"/>
                <w:highlight w:val="none"/>
              </w:rPr>
            </w:pPr>
            <w:r>
              <w:rPr>
                <w:rFonts w:hint="eastAsia" w:ascii="宋体" w:hAnsi="宋体"/>
                <w:b/>
                <w:bCs/>
                <w:color w:val="auto"/>
                <w:szCs w:val="21"/>
                <w:highlight w:val="none"/>
              </w:rPr>
              <w:t>二、教师工作台</w:t>
            </w:r>
          </w:p>
          <w:p w14:paraId="13DF5892">
            <w:pPr>
              <w:widowControl/>
              <w:numPr>
                <w:ilvl w:val="0"/>
                <w:numId w:val="221"/>
              </w:numPr>
              <w:jc w:val="left"/>
              <w:textAlignment w:val="center"/>
              <w:rPr>
                <w:rFonts w:hint="eastAsia" w:ascii="宋体" w:hAnsi="宋体"/>
                <w:color w:val="auto"/>
                <w:szCs w:val="21"/>
                <w:highlight w:val="none"/>
              </w:rPr>
            </w:pPr>
            <w:r>
              <w:rPr>
                <w:rFonts w:hint="eastAsia" w:ascii="宋体" w:hAnsi="宋体"/>
                <w:color w:val="auto"/>
                <w:szCs w:val="21"/>
                <w:highlight w:val="none"/>
              </w:rPr>
              <w:t>通过教师工作台客户端使用。</w:t>
            </w:r>
          </w:p>
          <w:p w14:paraId="7A559ECB">
            <w:pPr>
              <w:widowControl/>
              <w:numPr>
                <w:ilvl w:val="0"/>
                <w:numId w:val="221"/>
              </w:numPr>
              <w:jc w:val="left"/>
              <w:textAlignment w:val="center"/>
              <w:rPr>
                <w:rFonts w:hint="eastAsia" w:ascii="宋体" w:hAnsi="宋体"/>
                <w:color w:val="auto"/>
                <w:szCs w:val="21"/>
                <w:highlight w:val="none"/>
              </w:rPr>
            </w:pPr>
            <w:r>
              <w:rPr>
                <w:rFonts w:hint="eastAsia" w:ascii="宋体" w:hAnsi="宋体"/>
                <w:color w:val="auto"/>
                <w:szCs w:val="21"/>
                <w:highlight w:val="none"/>
              </w:rPr>
              <w:t xml:space="preserve">教师工作台客户端包含备课、授课、听评课、教研、阅卷、培训。 </w:t>
            </w:r>
          </w:p>
          <w:p w14:paraId="41B9D612">
            <w:pPr>
              <w:widowControl/>
              <w:numPr>
                <w:ilvl w:val="0"/>
                <w:numId w:val="221"/>
              </w:numPr>
              <w:jc w:val="left"/>
              <w:textAlignment w:val="center"/>
              <w:rPr>
                <w:rFonts w:hint="eastAsia" w:ascii="宋体" w:hAnsi="宋体"/>
                <w:color w:val="auto"/>
                <w:szCs w:val="21"/>
                <w:highlight w:val="none"/>
              </w:rPr>
            </w:pPr>
            <w:r>
              <w:rPr>
                <w:rFonts w:hint="eastAsia" w:ascii="宋体" w:hAnsi="宋体"/>
                <w:color w:val="auto"/>
                <w:szCs w:val="21"/>
                <w:highlight w:val="none"/>
              </w:rPr>
              <w:t>备课：包含备课、备课记录。依据教师工作台－教务教导－教务的分班和教师分工，自动生成备课目录。①备课支持点击未备课去备课；支持模拟授课；支持查看备课预览；支持编辑已备课内容；支持云端保存备课内容；支持教案预览；支持授课模拟；支持备课设置；支持编辑教学环节；支持删除教学环节；支持备课列表、资源列表、题库等线上资源的引用；支持本地资源上传PPT、文档、图片、视频、音频资源。②备课记录支持展示已备课列表；支持选择学期查看备课记录；支持引用备课；支持授课。</w:t>
            </w:r>
          </w:p>
          <w:p w14:paraId="115641FD">
            <w:pPr>
              <w:widowControl/>
              <w:numPr>
                <w:ilvl w:val="0"/>
                <w:numId w:val="221"/>
              </w:numPr>
              <w:jc w:val="left"/>
              <w:textAlignment w:val="center"/>
              <w:rPr>
                <w:rFonts w:hint="eastAsia" w:ascii="宋体" w:hAnsi="宋体"/>
                <w:color w:val="auto"/>
                <w:szCs w:val="21"/>
                <w:highlight w:val="none"/>
              </w:rPr>
            </w:pPr>
            <w:r>
              <w:rPr>
                <w:rFonts w:hint="eastAsia" w:ascii="宋体" w:hAnsi="宋体"/>
                <w:color w:val="auto"/>
                <w:szCs w:val="21"/>
                <w:highlight w:val="none"/>
              </w:rPr>
              <w:t>授课：包含授课、授课记录。①授课支持点击授课、选择班级进入授课页面。授课页面包含资源、鼠标、画笔、板擦、撤销、应用、退出。授课资源支持大屏展示PPT、文档、图片、视频、音频等资源。鼠标支持点击鼠标播放功能。画笔支持选择颜色在大屏进行标记操作。板擦支持点击擦线对标记内容擦拭；支持点击清屏清空标记内容；支持点击撤销标记操作；支持点击恢复标记操作。撤销支持撤销之前操作。应用包含通用（包含设置、手机、展台、文本、计时、截图、框选、网络、听评码）、工具（包含考勤、点名）、学科（包含作图、计算器）。通用－设置支持查看/选择默认展台设置、绿板颜色设置；设置－手机支持教师在APP端输入码用手机控制大屏操作；设置－文本支持编辑文字内容；设置－计时支持开始计时/倒计时；支持重置计时；设置－截图支持对屏幕进行截图；设置－框选支持框选内容；设置－网络支持输入内容直接在网页版查询；设置－听评码支持在APP端扫码或输入听评码进行听评课。工具－考勤支持导入班级学生名单；支持显示班级人数。工具－点名支持抽取随机点名；支持评价。学科－作图支持线条、颜色等进行作图；学科－计算器支持使用计算器功能。②授课记录支持展示已授课列表；支持选择学期查看授课记录；支持教师直接授课。</w:t>
            </w:r>
          </w:p>
          <w:p w14:paraId="352E4B65">
            <w:pPr>
              <w:widowControl/>
              <w:numPr>
                <w:ilvl w:val="0"/>
                <w:numId w:val="221"/>
              </w:numPr>
              <w:jc w:val="left"/>
              <w:textAlignment w:val="center"/>
              <w:rPr>
                <w:rFonts w:hint="eastAsia" w:ascii="宋体" w:hAnsi="宋体"/>
                <w:color w:val="auto"/>
                <w:szCs w:val="21"/>
                <w:highlight w:val="none"/>
              </w:rPr>
            </w:pPr>
            <w:r>
              <w:rPr>
                <w:rFonts w:hint="eastAsia" w:ascii="宋体" w:hAnsi="宋体"/>
                <w:color w:val="auto"/>
                <w:szCs w:val="21"/>
                <w:highlight w:val="none"/>
              </w:rPr>
              <w:t xml:space="preserve">听评课：包含听课、听课记录。①听课支持教师进入课堂听课；支持签到；支持查看教师备课素材和备课教案；支持添加课堂笔记；支持教师互动；支持教师对听课内容进行评价。②听课记录支持查看听课记录列表，包含序号、授课学校、授课班级、授课教师、授课标题、操作。 </w:t>
            </w:r>
          </w:p>
          <w:p w14:paraId="4C0F3C48">
            <w:pPr>
              <w:widowControl/>
              <w:numPr>
                <w:ilvl w:val="0"/>
                <w:numId w:val="221"/>
              </w:numPr>
              <w:jc w:val="left"/>
              <w:textAlignment w:val="center"/>
              <w:rPr>
                <w:rFonts w:hint="eastAsia" w:ascii="宋体" w:hAnsi="宋体"/>
                <w:color w:val="auto"/>
                <w:szCs w:val="21"/>
                <w:highlight w:val="none"/>
              </w:rPr>
            </w:pPr>
            <w:r>
              <w:rPr>
                <w:rFonts w:hint="eastAsia" w:ascii="宋体" w:hAnsi="宋体"/>
                <w:color w:val="auto"/>
                <w:szCs w:val="21"/>
                <w:highlight w:val="none"/>
              </w:rPr>
              <w:t>教研：包含教研动态、优秀资源、优秀授课、优秀课例。教研动态支持学校工作台－教务教导－教研管理－教研文章发布的文章在教研动态展示。优秀资源支持查看推优的资源列表，列表包含序号、资源名称、学校、教师、日期。优秀授课支持查看优秀授课列表，列表包含序号、课题、学校、授课教师、日期。优秀课例支持查看优秀课例列表，列表包含序号、课题、学校、备课教师、日期。</w:t>
            </w:r>
          </w:p>
          <w:p w14:paraId="7F8860C8">
            <w:pPr>
              <w:widowControl/>
              <w:numPr>
                <w:ilvl w:val="0"/>
                <w:numId w:val="221"/>
              </w:numPr>
              <w:jc w:val="left"/>
              <w:textAlignment w:val="center"/>
              <w:rPr>
                <w:rFonts w:hint="eastAsia" w:ascii="宋体" w:hAnsi="宋体"/>
                <w:color w:val="auto"/>
                <w:szCs w:val="21"/>
                <w:highlight w:val="none"/>
              </w:rPr>
            </w:pPr>
            <w:r>
              <w:rPr>
                <w:rFonts w:hint="eastAsia" w:ascii="宋体" w:hAnsi="宋体"/>
                <w:color w:val="auto"/>
                <w:szCs w:val="21"/>
                <w:highlight w:val="none"/>
              </w:rPr>
              <w:t xml:space="preserve">阅卷：支持展示教师工作台创建的考试项目列表；支持对考试项目进行评卷进度查询、评卷质量监控；支持教师阅卷；支持查看教师阅卷进度。 </w:t>
            </w:r>
          </w:p>
          <w:p w14:paraId="2DF5D590">
            <w:pPr>
              <w:widowControl/>
              <w:numPr>
                <w:ilvl w:val="0"/>
                <w:numId w:val="221"/>
              </w:numPr>
              <w:jc w:val="left"/>
              <w:textAlignment w:val="center"/>
              <w:rPr>
                <w:rFonts w:hint="eastAsia" w:ascii="宋体" w:hAnsi="宋体"/>
                <w:color w:val="auto"/>
                <w:szCs w:val="21"/>
                <w:highlight w:val="none"/>
              </w:rPr>
            </w:pPr>
            <w:r>
              <w:rPr>
                <w:rFonts w:hint="eastAsia" w:ascii="宋体" w:hAnsi="宋体"/>
                <w:color w:val="auto"/>
                <w:szCs w:val="21"/>
                <w:highlight w:val="none"/>
              </w:rPr>
              <w:t>培训：包含学习、继续教育。①学习包含未学习、已学习。未学习支持查看教师工作台－行政－学习管理发布的文章/视频列表。已学习支持查看已经完成学习的文章/视频列表；支持查看文章/视频详情。②继续教育自动获取教师工作台－个人－继续教育的数据，包含选课中心、学习记录。选课中心支持选择年度、科目查看课程。学习记录支持选择时间查询学习情况，包含序号、名称、开始学习时间、是否完成、累计学习时间、学时、操作。</w:t>
            </w:r>
          </w:p>
          <w:p w14:paraId="4B0EC75C">
            <w:pPr>
              <w:widowControl/>
              <w:jc w:val="left"/>
              <w:textAlignment w:val="center"/>
              <w:rPr>
                <w:rFonts w:hint="eastAsia" w:ascii="宋体" w:hAnsi="宋体"/>
                <w:b/>
                <w:bCs/>
                <w:color w:val="auto"/>
                <w:szCs w:val="21"/>
                <w:highlight w:val="none"/>
              </w:rPr>
            </w:pPr>
            <w:r>
              <w:rPr>
                <w:rFonts w:hint="eastAsia" w:ascii="宋体" w:hAnsi="宋体"/>
                <w:b/>
                <w:bCs/>
                <w:color w:val="auto"/>
                <w:szCs w:val="21"/>
                <w:highlight w:val="none"/>
              </w:rPr>
              <w:t>三、教育活动管理平台</w:t>
            </w:r>
          </w:p>
          <w:p w14:paraId="1102EA4B">
            <w:pPr>
              <w:widowControl/>
              <w:numPr>
                <w:ilvl w:val="0"/>
                <w:numId w:val="222"/>
              </w:numPr>
              <w:jc w:val="left"/>
              <w:textAlignment w:val="center"/>
              <w:rPr>
                <w:rFonts w:hint="eastAsia" w:ascii="宋体" w:hAnsi="宋体"/>
                <w:color w:val="auto"/>
                <w:szCs w:val="21"/>
                <w:highlight w:val="none"/>
              </w:rPr>
            </w:pPr>
            <w:r>
              <w:rPr>
                <w:rFonts w:hint="eastAsia" w:ascii="宋体" w:hAnsi="宋体"/>
                <w:color w:val="auto"/>
                <w:szCs w:val="21"/>
                <w:highlight w:val="none"/>
              </w:rPr>
              <w:t>通过学校工作台使用该模块，支持移动端、PC网页同时操作，包含赛事管理、证书管理等。</w:t>
            </w:r>
          </w:p>
          <w:p w14:paraId="37E2F8DE">
            <w:pPr>
              <w:widowControl/>
              <w:numPr>
                <w:ilvl w:val="0"/>
                <w:numId w:val="222"/>
              </w:numPr>
              <w:jc w:val="left"/>
              <w:textAlignment w:val="center"/>
              <w:rPr>
                <w:rFonts w:hint="eastAsia" w:ascii="宋体" w:hAnsi="宋体"/>
                <w:color w:val="auto"/>
                <w:szCs w:val="21"/>
                <w:highlight w:val="none"/>
              </w:rPr>
            </w:pPr>
            <w:r>
              <w:rPr>
                <w:rFonts w:hint="eastAsia" w:ascii="宋体" w:hAnsi="宋体"/>
                <w:color w:val="auto"/>
                <w:szCs w:val="21"/>
                <w:highlight w:val="none"/>
              </w:rPr>
              <w:t xml:space="preserve">赛事管理包含赛事列表、设置。①赛事列表：支持输入项目标题搜索相应赛事项目；支持查看赛事项目列表，列表包含序号、项目标题、发布单位、报名时间；支持点击作品列表查看上传信息，包含序号、用户名称、学校名称、参赛学段、学科、课题名称、上传作品、上传时间；支持推优和回退；支持查看作品详情；支持选择学段、学科、推优、输入关键字进行搜索；支持导出报名列表； ②设置：权限管理支持添加/删除权限用户；支持输入姓名搜索权限用户；支持勾选授权权限用户全部/部分功能。 </w:t>
            </w:r>
          </w:p>
          <w:p w14:paraId="19722A47">
            <w:pPr>
              <w:widowControl/>
              <w:numPr>
                <w:ilvl w:val="0"/>
                <w:numId w:val="222"/>
              </w:numPr>
              <w:jc w:val="left"/>
              <w:textAlignment w:val="center"/>
              <w:rPr>
                <w:rFonts w:hint="eastAsia" w:ascii="宋体" w:hAnsi="宋体"/>
                <w:color w:val="auto"/>
                <w:szCs w:val="21"/>
                <w:highlight w:val="none"/>
              </w:rPr>
            </w:pPr>
            <w:r>
              <w:rPr>
                <w:rFonts w:hint="eastAsia" w:ascii="宋体" w:hAnsi="宋体"/>
                <w:color w:val="auto"/>
                <w:szCs w:val="21"/>
                <w:highlight w:val="none"/>
              </w:rPr>
              <w:t>证书管理包含证书管理、证书发布、证书审核、模板制作和设置。 ①证书管理：包含办理中、审核中、已办结。办理中支持新建证书事项，支持查看证书列表，支持查看证书、编辑、排版生成、提交审核、删除等操作；审核中支持输入标题进行搜索，支持查看证书审核列表，包含标题、印证材料&amp;证书名单、制作情况等；已办结支持输入标题进行搜索，支持查看证书办结记录；支持查看证书；支持查看审核信息。 ②证书发布：包含未发布、已发布。未发布支持输入标题进行搜索，支持查看证书列表，支持查看证书、申请盖章、发布和退回等操作；已发布支持输入标题进行搜索，支持已发布的证书列表，支持查看证书、提交作废证书、查看审核信息等操作。 ③证书审核：包含待审核、已审核。待审核支持输入标题进行搜索，支持查看待审核的证书列表；已审核支持查看已审核的证书列表，支持查看证书和审核信息等操作。 ④模板制作：支持新建证书模板，支持证书背景设置，支持选择模板版式、模板类型、模板名称等维度进行搜索。⑤设置：权限管理支持添加/删除权限用户；支持输入姓名搜索权限用户；支持勾选授权权限用户全部/部分功能。</w:t>
            </w:r>
          </w:p>
          <w:p w14:paraId="4BCCA029">
            <w:pPr>
              <w:widowControl/>
              <w:jc w:val="left"/>
              <w:textAlignment w:val="center"/>
              <w:rPr>
                <w:rFonts w:hint="eastAsia" w:ascii="宋体" w:hAnsi="宋体"/>
                <w:b/>
                <w:bCs/>
                <w:color w:val="auto"/>
                <w:szCs w:val="21"/>
                <w:highlight w:val="none"/>
              </w:rPr>
            </w:pPr>
            <w:r>
              <w:rPr>
                <w:rFonts w:hint="eastAsia" w:ascii="宋体" w:hAnsi="宋体"/>
                <w:b/>
                <w:bCs/>
                <w:color w:val="auto"/>
                <w:szCs w:val="21"/>
                <w:highlight w:val="none"/>
              </w:rPr>
              <w:t>四、资产管理与报修</w:t>
            </w:r>
          </w:p>
          <w:p w14:paraId="042931D8">
            <w:pPr>
              <w:widowControl/>
              <w:numPr>
                <w:ilvl w:val="0"/>
                <w:numId w:val="223"/>
              </w:numPr>
              <w:jc w:val="left"/>
              <w:textAlignment w:val="center"/>
              <w:rPr>
                <w:rFonts w:hint="eastAsia" w:ascii="宋体" w:hAnsi="宋体"/>
                <w:color w:val="auto"/>
                <w:szCs w:val="21"/>
                <w:highlight w:val="none"/>
              </w:rPr>
            </w:pPr>
            <w:r>
              <w:rPr>
                <w:rFonts w:hint="eastAsia" w:ascii="宋体" w:hAnsi="宋体"/>
                <w:color w:val="auto"/>
                <w:szCs w:val="21"/>
                <w:highlight w:val="none"/>
              </w:rPr>
              <w:t>通过学校工作台使用该模块，支持移动端、PC网页同时操作，包含电教项目、电教经费、电教资产、电教维修等。</w:t>
            </w:r>
          </w:p>
          <w:p w14:paraId="3B69E2FE">
            <w:pPr>
              <w:widowControl/>
              <w:numPr>
                <w:ilvl w:val="0"/>
                <w:numId w:val="223"/>
              </w:numPr>
              <w:jc w:val="left"/>
              <w:textAlignment w:val="center"/>
              <w:rPr>
                <w:rFonts w:hint="eastAsia" w:ascii="宋体" w:hAnsi="宋体"/>
                <w:color w:val="auto"/>
                <w:szCs w:val="21"/>
                <w:highlight w:val="none"/>
              </w:rPr>
            </w:pPr>
            <w:r>
              <w:rPr>
                <w:rFonts w:hint="eastAsia" w:ascii="宋体" w:hAnsi="宋体"/>
                <w:color w:val="auto"/>
                <w:szCs w:val="21"/>
                <w:highlight w:val="none"/>
              </w:rPr>
              <w:t>电教项目包含项目审核、项目管理、设置等。①项目审核：支持采购单位、采购类型、审核状态、项目名称筛选搜索；支持查看电教项目详情。②项目管理：支持审核状态、项目名称筛选搜索；支持新增项目，包含立项日期、项目名称、项目编号、项目预算、资金来源、自己文件；支持项目列表查看、包含项目名称、立项日期、项目编号、项目预算和审核状态；支持详情查看，包含合同上传、项目信息查询。③设置：审核人员、权限管理。审核设置支持审核级数设置，指定审核人；权限管理：支持添加/删除权限用户；支持输入姓名搜索权限用户；支持勾选授权权限用户全部/部分功能。</w:t>
            </w:r>
          </w:p>
          <w:p w14:paraId="6835F49A">
            <w:pPr>
              <w:widowControl/>
              <w:numPr>
                <w:ilvl w:val="0"/>
                <w:numId w:val="223"/>
              </w:numPr>
              <w:jc w:val="left"/>
              <w:textAlignment w:val="center"/>
              <w:rPr>
                <w:rFonts w:hint="eastAsia" w:ascii="宋体" w:hAnsi="宋体"/>
                <w:color w:val="auto"/>
                <w:szCs w:val="21"/>
                <w:highlight w:val="none"/>
              </w:rPr>
            </w:pPr>
            <w:r>
              <w:rPr>
                <w:rFonts w:hint="eastAsia" w:ascii="宋体" w:hAnsi="宋体"/>
                <w:color w:val="auto"/>
                <w:szCs w:val="21"/>
                <w:highlight w:val="none"/>
              </w:rPr>
              <w:t>电教经费包含审核管理、经费上报、报表、设置。 ①审核管理：支持查看审核管理列表，包含序号、标题、上报时间、经费类别、上报金额、剩余金额、上报人、审核状态。 ②经费上报：支持上报电教经费；支持输入标题/选择项目类别/选择上报时间搜索；支持查看经费上报列表，包含序号、标题、上报时间、经费类别、上报金额、剩余金额、审核状态、操作列；支持修改上报内容。 ③报表：支持选择年度搜索；支持查看经费合计、已上报合计、经费剩余数；支持查看经费报表列表，包含序号、经费类别、上报合计。④设置：包含审核人员、权限管理。审核人员支持设置每级审核人员；支持添加/删除审核层级；支持保存；权限管理支持添加/删除权限用户；支持输入姓名搜索权限用户；支持勾选授权权限用户全部/部分功能。</w:t>
            </w:r>
          </w:p>
          <w:p w14:paraId="78F598F9">
            <w:pPr>
              <w:widowControl/>
              <w:numPr>
                <w:ilvl w:val="0"/>
                <w:numId w:val="223"/>
              </w:numPr>
              <w:jc w:val="left"/>
              <w:textAlignment w:val="center"/>
              <w:rPr>
                <w:rFonts w:hint="eastAsia" w:ascii="宋体" w:hAnsi="宋体"/>
                <w:color w:val="auto"/>
                <w:szCs w:val="21"/>
                <w:highlight w:val="none"/>
              </w:rPr>
            </w:pPr>
            <w:r>
              <w:rPr>
                <w:rFonts w:hint="eastAsia" w:ascii="宋体" w:hAnsi="宋体"/>
                <w:color w:val="auto"/>
                <w:szCs w:val="21"/>
                <w:highlight w:val="none"/>
              </w:rPr>
              <w:t>电教资产包含资产管理、资产登记、资产报废、审核管理、设置。①资产管理：支持查看资产总数、脱保总计数、在保总计数、资产总计数；支持查看资产管理列表，包含序号、资产类别、数量、在保数量、脱保数量、资产合计；支持点击数量查看资产详情。②资产登记：支持添加资产；支持删除资产。 ③资产报废：支持申请资产报废；支持选择申请日期/输入资产名称/选择审核状态搜索；支持查看资产报废列表，包含序号、资产名称、品牌型号、资产类别、申请日期、报废数量、供货商、备注、经手人、审核状态。④审核管理：支持查看资产审核列表；支持选择审核状态搜索。 ⑤设置：包含审核人员、权限管理。审核人员支持设置每级审核人员；支持添加/删除审核层级；支持保存；权限管理支持添加/删除权限用户；支持输入姓名搜索权限用户；支持勾选授权权限用户全部/部分功能。</w:t>
            </w:r>
          </w:p>
          <w:p w14:paraId="00FA9148">
            <w:pPr>
              <w:widowControl/>
              <w:numPr>
                <w:ilvl w:val="0"/>
                <w:numId w:val="223"/>
              </w:numPr>
              <w:jc w:val="left"/>
              <w:textAlignment w:val="center"/>
              <w:rPr>
                <w:rFonts w:hint="eastAsia" w:ascii="宋体" w:hAnsi="宋体"/>
                <w:color w:val="auto"/>
                <w:szCs w:val="21"/>
                <w:highlight w:val="none"/>
              </w:rPr>
            </w:pPr>
            <w:r>
              <w:rPr>
                <w:rFonts w:hint="eastAsia" w:ascii="宋体" w:hAnsi="宋体"/>
                <w:color w:val="auto"/>
                <w:szCs w:val="21"/>
                <w:highlight w:val="none"/>
              </w:rPr>
              <w:t>电教维修包含保修管理、项目管理、设置等。 ①报修管理：包含报修列表、图表统计、设置公章、人员设置、企业设置。报修列表支持时间筛选搜索；支持查看、打印、导出数据表格；支持查看报修详情、维修处理情况、查看详情、查看打印维修方案；图表统计支持时间筛选，总金额查询及年度金额图表展示；设置公章支持维修公章生成及保存上传；人员设置支持指定审核员；企业设置支持指定维修企业设置。②项目管理：项目列表支持项目添加及维修清单上传、查看、下载、打印功能；支持下载合同清单模板。③设置：权限管理支持添加/删除权限用户；支持输入姓名搜索权限用户；支持勾选授权权限用户全部/部分功能。</w:t>
            </w:r>
          </w:p>
          <w:p w14:paraId="27A41E58">
            <w:pPr>
              <w:widowControl/>
              <w:jc w:val="left"/>
              <w:textAlignment w:val="center"/>
              <w:rPr>
                <w:rFonts w:hint="eastAsia" w:ascii="宋体" w:hAnsi="宋体"/>
                <w:b/>
                <w:bCs/>
                <w:color w:val="auto"/>
                <w:szCs w:val="21"/>
                <w:highlight w:val="none"/>
              </w:rPr>
            </w:pPr>
            <w:r>
              <w:rPr>
                <w:rFonts w:hint="eastAsia" w:ascii="宋体" w:hAnsi="宋体"/>
                <w:b/>
                <w:bCs/>
                <w:color w:val="auto"/>
                <w:szCs w:val="21"/>
                <w:highlight w:val="none"/>
              </w:rPr>
              <w:t>五、校园安全</w:t>
            </w:r>
          </w:p>
          <w:p w14:paraId="5E2CEFBC">
            <w:pPr>
              <w:widowControl/>
              <w:numPr>
                <w:ilvl w:val="0"/>
                <w:numId w:val="224"/>
              </w:numPr>
              <w:jc w:val="left"/>
              <w:textAlignment w:val="center"/>
              <w:rPr>
                <w:rFonts w:hint="eastAsia" w:ascii="宋体" w:hAnsi="宋体"/>
                <w:color w:val="auto"/>
                <w:szCs w:val="21"/>
                <w:highlight w:val="none"/>
              </w:rPr>
            </w:pPr>
            <w:r>
              <w:rPr>
                <w:rFonts w:hint="eastAsia" w:ascii="宋体" w:hAnsi="宋体"/>
                <w:color w:val="auto"/>
                <w:szCs w:val="21"/>
                <w:highlight w:val="none"/>
              </w:rPr>
              <w:t>通过学校工作台使用该模块，支持移动端、PC网页同时操作，包含访客管理、双预防、安全台账、心理健康等。</w:t>
            </w:r>
          </w:p>
          <w:p w14:paraId="7CF5D580">
            <w:pPr>
              <w:widowControl/>
              <w:numPr>
                <w:ilvl w:val="0"/>
                <w:numId w:val="224"/>
              </w:numPr>
              <w:jc w:val="left"/>
              <w:textAlignment w:val="center"/>
              <w:rPr>
                <w:rFonts w:hint="eastAsia" w:ascii="宋体" w:hAnsi="宋体"/>
                <w:color w:val="auto"/>
                <w:szCs w:val="21"/>
                <w:highlight w:val="none"/>
              </w:rPr>
            </w:pPr>
            <w:r>
              <w:rPr>
                <w:rFonts w:hint="eastAsia" w:ascii="宋体" w:hAnsi="宋体"/>
                <w:color w:val="auto"/>
                <w:szCs w:val="21"/>
                <w:highlight w:val="none"/>
              </w:rPr>
              <w:t>访客管理包含访客设置、访客档案、访客黑名单、设置。①访客设置：支持来访者扫码登记信息，包含姓名、身份证号、联系电话等信息，支持二维码打印。②访客档案：展示来访登记信息列表，支持查询登记详情，支持按单位、日期、关键字筛选数据，支持数据导出与打印。③访客黑名单：支持添加黑名单，禁止登记；支持查看黑名单列表；支持按单位、关键字筛选数据；支持导出表格。④设置：权限管理支持添加/删除权限用户；支持输入姓名搜索权限用户；支持勾选授权权限用户全部/部分功能。</w:t>
            </w:r>
          </w:p>
          <w:p w14:paraId="7E0C7BB1">
            <w:pPr>
              <w:widowControl/>
              <w:numPr>
                <w:ilvl w:val="0"/>
                <w:numId w:val="224"/>
              </w:numPr>
              <w:jc w:val="left"/>
              <w:textAlignment w:val="center"/>
              <w:rPr>
                <w:rFonts w:hint="eastAsia" w:ascii="宋体" w:hAnsi="宋体"/>
                <w:color w:val="auto"/>
                <w:szCs w:val="21"/>
                <w:highlight w:val="none"/>
              </w:rPr>
            </w:pPr>
            <w:r>
              <w:rPr>
                <w:rFonts w:hint="eastAsia" w:ascii="宋体" w:hAnsi="宋体"/>
                <w:color w:val="auto"/>
                <w:szCs w:val="21"/>
                <w:highlight w:val="none"/>
              </w:rPr>
              <w:t>双预防包含双预防管理、双预防设置、设置。①双预防管理：包含添加隐患类别、隐患类别巡查、隐患类别上报、隐患记录、报表、数据大屏。添加隐患类别支持添加该类别的风险点，包含风险点名称、等级、巡查人和巡查时间；支持查看已添加的风险点；隐患类别巡查支持按时间展示隐患列表，包含序号、隐患类别、主管负责人、风险等级、巡查周期、巡查图片、巡查状态；支持打印；隐患类别上报支持按时间展示隐患上报列表，包含序、隐患类别、上报人、上报时间、上报内容、上报图片、上报状态、风险等级、巡查周期；隐患记录支持展示隐患排查整改情况工作台账，包含上周已整改、上周未整改和本周新增；支持导出表格；报表支持查看隐患巡查统计列表，包含隐患类别、今日、本周、本月的隐患点合计、已巡查、未巡查数量统计；支持点击数字查看巡查详情，包含学校名称、风险点、风险等级、排查计划、排查员、排查进度、排查图片；支持打印报表；数据大屏：支持查看双预防风险等级；支持以柱状图形式展示风险等级图；支持以饼状图形式展示每日、每周、每月的双预防数据，包含已巡查和未巡查数量、隐患点合计数量；支持展示设置的四色图；支持查看日常隐患数据，包含巡查人、隐患内容、时间。 ②双预防设置：包含设置安全专管和四色结构图。设置安全专管支持选择人员姓名设置安全专管；四色/结构图支持设置四色图和结构图展示到数据大屏。③设置：权限管理支持添加/删除pc和app权限用户；支持输入姓名搜索权限用户；支持勾选授权权限用户全部/部分功能。</w:t>
            </w:r>
          </w:p>
          <w:p w14:paraId="3FF24098">
            <w:pPr>
              <w:widowControl/>
              <w:numPr>
                <w:ilvl w:val="0"/>
                <w:numId w:val="224"/>
              </w:numPr>
              <w:jc w:val="left"/>
              <w:textAlignment w:val="center"/>
              <w:rPr>
                <w:rFonts w:hint="eastAsia" w:ascii="宋体" w:hAnsi="宋体"/>
                <w:color w:val="auto"/>
                <w:szCs w:val="21"/>
                <w:highlight w:val="none"/>
              </w:rPr>
            </w:pPr>
            <w:r>
              <w:rPr>
                <w:rFonts w:hint="eastAsia" w:ascii="宋体" w:hAnsi="宋体"/>
                <w:color w:val="auto"/>
                <w:szCs w:val="21"/>
                <w:highlight w:val="none"/>
              </w:rPr>
              <w:t>安全台账包含安全台账上报、安全台账设置、设置。 ①安全台账上报：支持选择日期/输入标题搜索；支持查看上报列表，列表包含序号、日期、标题、发布人、状态、操作列；支持去上报/继续上报/查看操作；支持查看时下载。 ②安全台账设置：包含公章设置、台账。公章设置支持上传公章图片；支持删除已上传的公章图片。台账支持输入标题搜索相应内容；支持查看台账列表，列表包含序号、学校名称、学校负责人、主管负责人、监督人、整改人、验收人、操作列；支持去修改已设置人员。③设置：权限管理支持添加/删除权限用户；支持输入姓名搜索权限用户；支持勾选授权权限用户全部/部分功能。</w:t>
            </w:r>
          </w:p>
          <w:p w14:paraId="4BA4D478">
            <w:pPr>
              <w:widowControl/>
              <w:numPr>
                <w:ilvl w:val="0"/>
                <w:numId w:val="224"/>
              </w:numPr>
              <w:jc w:val="left"/>
              <w:textAlignment w:val="center"/>
              <w:rPr>
                <w:rFonts w:hint="eastAsia" w:ascii="宋体" w:hAnsi="宋体"/>
                <w:color w:val="auto"/>
                <w:szCs w:val="21"/>
                <w:highlight w:val="none"/>
              </w:rPr>
            </w:pPr>
            <w:r>
              <w:rPr>
                <w:rFonts w:hint="eastAsia" w:ascii="宋体" w:hAnsi="宋体"/>
                <w:color w:val="auto"/>
                <w:szCs w:val="21"/>
                <w:highlight w:val="none"/>
              </w:rPr>
              <w:t>心理健康包含测评量表、量表任务、测评报告、测评档案、云测评、设置。①测评量表：支持添加量表，包含名称、标签、分析类型、整体分析、分数区间、状态及建议；支持量表分类、标签、名称筛选检索；支持查看量表名称、标签、分类、题目数量、量表总分发布状态等信息；支持查看量表发布、详情查看、内容编辑、删除量表操作。②量表任务：支持添加测评任务，包含名称、选择量表、测评类型；支持任务名称筛选检索；支持查看测评任务详情；支持线上任务发布、编辑、删除操作；支持线下任务发布、查看学生、统计成绩、编辑、删除操作。③测评报告：支持任务名称筛选检索；支持查看线上测评任务，包含测评信息、个体报告、团体报告；支持查看线下测评任务，包含测评信息、个体报告、团体报告；支持查看云测评详情、个体报告、团体报告。④测评档案：支持学段、年级、班级、学生姓名筛选检索；支持查看学生档案。⑤云测评：支持查看量表名称、介绍、创建时间、测评次数；支持查看详情，添加云测评任务，包含名称、测评人数、密码设置；支持任务名称筛选检索；支持云测评任务发布、导出测评账号、获取测评链接、个体报告、团体报告、删除操作。 ⑥设置：权限管理支持添加/删除权限用户；支持输入姓名搜索权限用户；支持勾选授权权限用户全部/部分功能。</w:t>
            </w:r>
          </w:p>
          <w:p w14:paraId="0D77E3DA">
            <w:pPr>
              <w:widowControl/>
              <w:jc w:val="left"/>
              <w:textAlignment w:val="center"/>
              <w:rPr>
                <w:rFonts w:hint="eastAsia" w:ascii="宋体" w:hAnsi="宋体"/>
                <w:b/>
                <w:bCs/>
                <w:color w:val="auto"/>
                <w:szCs w:val="21"/>
                <w:highlight w:val="none"/>
              </w:rPr>
            </w:pPr>
            <w:r>
              <w:rPr>
                <w:rFonts w:hint="eastAsia" w:ascii="宋体" w:hAnsi="宋体"/>
                <w:b/>
                <w:bCs/>
                <w:color w:val="auto"/>
                <w:szCs w:val="21"/>
                <w:highlight w:val="none"/>
              </w:rPr>
              <w:t>六、党建</w:t>
            </w:r>
          </w:p>
          <w:p w14:paraId="4B6CD705">
            <w:pPr>
              <w:widowControl/>
              <w:numPr>
                <w:ilvl w:val="0"/>
                <w:numId w:val="225"/>
              </w:numPr>
              <w:jc w:val="left"/>
              <w:textAlignment w:val="center"/>
              <w:rPr>
                <w:rFonts w:hint="eastAsia" w:ascii="宋体" w:hAnsi="宋体"/>
                <w:color w:val="auto"/>
                <w:szCs w:val="21"/>
                <w:highlight w:val="none"/>
              </w:rPr>
            </w:pPr>
            <w:r>
              <w:rPr>
                <w:rFonts w:hint="eastAsia" w:ascii="宋体" w:hAnsi="宋体"/>
                <w:color w:val="auto"/>
                <w:szCs w:val="21"/>
                <w:highlight w:val="none"/>
              </w:rPr>
              <w:t>通过学校工作台使用该模块，支持移动端、PC网页同时操作，包含内容管理、党建课程、党建板报、党员管理、数据报表、党建中台。</w:t>
            </w:r>
          </w:p>
          <w:p w14:paraId="2981B6D4">
            <w:pPr>
              <w:widowControl/>
              <w:numPr>
                <w:ilvl w:val="0"/>
                <w:numId w:val="225"/>
              </w:numPr>
              <w:jc w:val="left"/>
              <w:textAlignment w:val="center"/>
              <w:rPr>
                <w:rFonts w:hint="eastAsia" w:ascii="宋体" w:hAnsi="宋体"/>
                <w:color w:val="auto"/>
                <w:szCs w:val="21"/>
                <w:highlight w:val="none"/>
              </w:rPr>
            </w:pPr>
            <w:r>
              <w:rPr>
                <w:rFonts w:hint="eastAsia" w:ascii="宋体" w:hAnsi="宋体"/>
                <w:color w:val="auto"/>
                <w:szCs w:val="21"/>
                <w:highlight w:val="none"/>
              </w:rPr>
              <w:t>内容管理：①主题党日内容；支持查看内容列表，包含标题、备注、封面图地址、编辑、删除等操作；支持添加党日内容，包含标题、选择分类、封面图及备注；②指数看板内容；支持查看内容列表，包含标题、备注、类型、封面图地址及编辑操作；支持添加内容，包含标题、选择分类、封面图、描述③支部风采内容；可支持查看内容列表，包含标题、备注、封面图地址、编辑、删除等操作；</w:t>
            </w:r>
          </w:p>
          <w:p w14:paraId="704FBEF3">
            <w:pPr>
              <w:widowControl/>
              <w:numPr>
                <w:ilvl w:val="0"/>
                <w:numId w:val="225"/>
              </w:numPr>
              <w:jc w:val="left"/>
              <w:textAlignment w:val="center"/>
              <w:rPr>
                <w:rFonts w:hint="eastAsia" w:ascii="宋体" w:hAnsi="宋体"/>
                <w:color w:val="auto"/>
                <w:szCs w:val="21"/>
                <w:highlight w:val="none"/>
              </w:rPr>
            </w:pPr>
            <w:r>
              <w:rPr>
                <w:rFonts w:hint="eastAsia" w:ascii="宋体" w:hAnsi="宋体"/>
                <w:color w:val="auto"/>
                <w:szCs w:val="21"/>
                <w:highlight w:val="none"/>
              </w:rPr>
              <w:t>党建课程：①课程列表：支持查看所有课程列表，支持选择分类、输入标题进行搜索，支持查看课程的标题、分类、学时、支持查看课程的详情，支持编辑，支持是否启用课程，支持删除课程；②课程资源；支持添加的课程会显示在课程资源内，支持查看资源列表，包含课程标题、课程描述、学习时长、文章类型；③课程添加；支持添加视频课程与文章课程，视频课程包含课程标题、选择分类、课程封面图、课程视频、课程描述、课程学时，文章课程包含课程标题、选择分类、课程封面图、课程描述、课程学时、学习时限、课程内容。</w:t>
            </w:r>
          </w:p>
          <w:p w14:paraId="3E5D6B9C">
            <w:pPr>
              <w:widowControl/>
              <w:numPr>
                <w:ilvl w:val="0"/>
                <w:numId w:val="225"/>
              </w:numPr>
              <w:jc w:val="left"/>
              <w:textAlignment w:val="center"/>
              <w:rPr>
                <w:rFonts w:hint="eastAsia" w:ascii="宋体" w:hAnsi="宋体"/>
                <w:color w:val="auto"/>
                <w:szCs w:val="21"/>
                <w:highlight w:val="none"/>
              </w:rPr>
            </w:pPr>
            <w:r>
              <w:rPr>
                <w:rFonts w:hint="eastAsia" w:ascii="宋体" w:hAnsi="宋体"/>
                <w:color w:val="auto"/>
                <w:szCs w:val="21"/>
                <w:highlight w:val="none"/>
              </w:rPr>
              <w:t>党建板报：①党建板报；支持编辑板报的展示顺序以及删除板报②添加板报；支持添加板报标题、图片以及图片排序。</w:t>
            </w:r>
          </w:p>
          <w:p w14:paraId="20F618EA">
            <w:pPr>
              <w:widowControl/>
              <w:numPr>
                <w:ilvl w:val="0"/>
                <w:numId w:val="225"/>
              </w:numPr>
              <w:jc w:val="left"/>
              <w:textAlignment w:val="center"/>
              <w:rPr>
                <w:rFonts w:hint="eastAsia" w:ascii="宋体" w:hAnsi="宋体"/>
                <w:color w:val="auto"/>
                <w:szCs w:val="21"/>
                <w:highlight w:val="none"/>
              </w:rPr>
            </w:pPr>
            <w:r>
              <w:rPr>
                <w:rFonts w:hint="eastAsia" w:ascii="宋体" w:hAnsi="宋体"/>
                <w:color w:val="auto"/>
                <w:szCs w:val="21"/>
                <w:highlight w:val="none"/>
              </w:rPr>
              <w:t>党员管理：支持添加党员、上传头像。支持查看、编辑、删除党员信息。</w:t>
            </w:r>
          </w:p>
          <w:p w14:paraId="1C26894C">
            <w:pPr>
              <w:widowControl/>
              <w:numPr>
                <w:ilvl w:val="0"/>
                <w:numId w:val="225"/>
              </w:numPr>
              <w:jc w:val="left"/>
              <w:textAlignment w:val="center"/>
              <w:rPr>
                <w:rFonts w:hint="eastAsia" w:ascii="宋体" w:hAnsi="宋体"/>
                <w:color w:val="auto"/>
                <w:szCs w:val="21"/>
                <w:highlight w:val="none"/>
              </w:rPr>
            </w:pPr>
            <w:r>
              <w:rPr>
                <w:rFonts w:hint="eastAsia" w:ascii="宋体" w:hAnsi="宋体"/>
                <w:color w:val="auto"/>
                <w:szCs w:val="21"/>
                <w:highlight w:val="none"/>
              </w:rPr>
              <w:t>数据报表：支持输入姓名、选择职务进行搜索，支持打印，支持导出表格，支持查看党员的学习列表，包含姓名、职位、学习总时长、已学课程数、上传心得总数。</w:t>
            </w:r>
          </w:p>
          <w:p w14:paraId="0D6DFC9B">
            <w:pPr>
              <w:widowControl/>
              <w:numPr>
                <w:ilvl w:val="0"/>
                <w:numId w:val="225"/>
              </w:numPr>
              <w:jc w:val="left"/>
              <w:textAlignment w:val="center"/>
              <w:rPr>
                <w:rFonts w:hint="eastAsia" w:ascii="宋体" w:hAnsi="宋体"/>
                <w:color w:val="auto"/>
                <w:szCs w:val="21"/>
                <w:highlight w:val="none"/>
              </w:rPr>
            </w:pPr>
            <w:r>
              <w:rPr>
                <w:rFonts w:hint="eastAsia" w:ascii="宋体" w:hAnsi="宋体"/>
                <w:color w:val="auto"/>
                <w:szCs w:val="21"/>
                <w:highlight w:val="none"/>
              </w:rPr>
              <w:t>党建中台：支持查看党建板报、党建课程、数据展示和支部信息。</w:t>
            </w:r>
          </w:p>
          <w:p w14:paraId="4F809189">
            <w:pPr>
              <w:widowControl/>
              <w:numPr>
                <w:ilvl w:val="0"/>
                <w:numId w:val="225"/>
              </w:numPr>
              <w:jc w:val="left"/>
              <w:textAlignment w:val="center"/>
              <w:rPr>
                <w:rFonts w:hint="eastAsia" w:ascii="宋体" w:hAnsi="宋体"/>
                <w:color w:val="auto"/>
                <w:szCs w:val="21"/>
                <w:highlight w:val="none"/>
              </w:rPr>
            </w:pPr>
            <w:r>
              <w:rPr>
                <w:rFonts w:hint="eastAsia" w:ascii="宋体" w:hAnsi="宋体"/>
                <w:color w:val="auto"/>
                <w:szCs w:val="21"/>
                <w:highlight w:val="none"/>
              </w:rPr>
              <w:t>设置：①党建设置；进行设置支部信息、分类设置②权限管理：支持添加/删除权限用户；支持输入姓名搜索权限用户；支持勾选授权权限用户全部/部分功能。</w:t>
            </w:r>
          </w:p>
        </w:tc>
        <w:tc>
          <w:tcPr>
            <w:tcW w:w="863" w:type="dxa"/>
            <w:gridSpan w:val="4"/>
            <w:vAlign w:val="center"/>
          </w:tcPr>
          <w:p w14:paraId="125C1CB3">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套</w:t>
            </w:r>
          </w:p>
        </w:tc>
        <w:tc>
          <w:tcPr>
            <w:tcW w:w="925" w:type="dxa"/>
            <w:gridSpan w:val="3"/>
            <w:vAlign w:val="center"/>
          </w:tcPr>
          <w:p w14:paraId="72C5B007">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5</w:t>
            </w:r>
          </w:p>
        </w:tc>
      </w:tr>
      <w:tr w14:paraId="46FE09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9931" w:type="dxa"/>
            <w:gridSpan w:val="10"/>
            <w:noWrap/>
            <w:vAlign w:val="center"/>
          </w:tcPr>
          <w:p w14:paraId="64024AD7">
            <w:pPr>
              <w:widowControl/>
              <w:jc w:val="center"/>
              <w:textAlignment w:val="center"/>
              <w:rPr>
                <w:rFonts w:hint="eastAsia" w:ascii="宋体" w:hAnsi="宋体"/>
                <w:b/>
                <w:bCs/>
                <w:color w:val="auto"/>
                <w:szCs w:val="21"/>
                <w:highlight w:val="none"/>
              </w:rPr>
            </w:pPr>
            <w:r>
              <w:rPr>
                <w:rFonts w:hint="eastAsia" w:ascii="宋体" w:hAnsi="宋体"/>
                <w:b/>
                <w:bCs/>
                <w:color w:val="auto"/>
                <w:kern w:val="0"/>
                <w:szCs w:val="21"/>
                <w:highlight w:val="none"/>
                <w:lang w:bidi="ar"/>
              </w:rPr>
              <w:t>四、物理实验室2</w:t>
            </w:r>
          </w:p>
        </w:tc>
      </w:tr>
      <w:tr w14:paraId="0BA866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noWrap/>
            <w:vAlign w:val="center"/>
          </w:tcPr>
          <w:p w14:paraId="1AB797BB">
            <w:pPr>
              <w:rPr>
                <w:rFonts w:hint="eastAsia" w:ascii="宋体" w:hAnsi="宋体"/>
                <w:b/>
                <w:bCs/>
                <w:color w:val="auto"/>
                <w:szCs w:val="21"/>
                <w:highlight w:val="none"/>
              </w:rPr>
            </w:pPr>
            <w:r>
              <w:rPr>
                <w:rFonts w:hint="eastAsia" w:ascii="宋体" w:hAnsi="宋体"/>
                <w:b/>
                <w:bCs/>
                <w:color w:val="auto"/>
                <w:szCs w:val="21"/>
                <w:highlight w:val="none"/>
              </w:rPr>
              <w:t>（一）</w:t>
            </w:r>
          </w:p>
        </w:tc>
        <w:tc>
          <w:tcPr>
            <w:tcW w:w="1227" w:type="dxa"/>
            <w:noWrap/>
            <w:vAlign w:val="center"/>
          </w:tcPr>
          <w:p w14:paraId="1044A2B9">
            <w:pPr>
              <w:widowControl/>
              <w:jc w:val="center"/>
              <w:textAlignment w:val="center"/>
              <w:rPr>
                <w:rFonts w:hint="eastAsia" w:ascii="宋体" w:hAnsi="宋体"/>
                <w:b/>
                <w:bCs/>
                <w:color w:val="auto"/>
                <w:szCs w:val="21"/>
                <w:highlight w:val="none"/>
              </w:rPr>
            </w:pPr>
            <w:r>
              <w:rPr>
                <w:rFonts w:hint="eastAsia" w:ascii="宋体" w:hAnsi="宋体"/>
                <w:b/>
                <w:bCs/>
                <w:color w:val="auto"/>
                <w:kern w:val="0"/>
                <w:szCs w:val="21"/>
                <w:highlight w:val="none"/>
                <w:lang w:bidi="ar"/>
              </w:rPr>
              <w:t>物理智慧吊装豪华实验室</w:t>
            </w:r>
          </w:p>
        </w:tc>
        <w:tc>
          <w:tcPr>
            <w:tcW w:w="6167" w:type="dxa"/>
            <w:noWrap/>
            <w:vAlign w:val="center"/>
          </w:tcPr>
          <w:p w14:paraId="3423591E">
            <w:pPr>
              <w:widowControl/>
              <w:jc w:val="left"/>
              <w:textAlignment w:val="center"/>
              <w:rPr>
                <w:rFonts w:hint="eastAsia" w:ascii="宋体" w:hAnsi="宋体"/>
                <w:b/>
                <w:bCs/>
                <w:color w:val="auto"/>
                <w:szCs w:val="21"/>
                <w:highlight w:val="none"/>
              </w:rPr>
            </w:pPr>
            <w:r>
              <w:rPr>
                <w:rFonts w:hint="eastAsia" w:ascii="宋体" w:hAnsi="宋体"/>
                <w:b/>
                <w:bCs/>
                <w:color w:val="auto"/>
                <w:kern w:val="0"/>
                <w:szCs w:val="21"/>
                <w:highlight w:val="none"/>
                <w:lang w:bidi="ar"/>
              </w:rPr>
              <w:t>64座（每室设备配置标准详见以下具体配置）</w:t>
            </w:r>
          </w:p>
        </w:tc>
        <w:tc>
          <w:tcPr>
            <w:tcW w:w="863" w:type="dxa"/>
            <w:gridSpan w:val="4"/>
            <w:vAlign w:val="center"/>
          </w:tcPr>
          <w:p w14:paraId="4B1E996E">
            <w:pPr>
              <w:jc w:val="center"/>
              <w:rPr>
                <w:rFonts w:hint="eastAsia" w:ascii="宋体" w:hAnsi="宋体"/>
                <w:b/>
                <w:bCs/>
                <w:color w:val="auto"/>
                <w:szCs w:val="21"/>
                <w:highlight w:val="none"/>
              </w:rPr>
            </w:pPr>
          </w:p>
        </w:tc>
        <w:tc>
          <w:tcPr>
            <w:tcW w:w="925" w:type="dxa"/>
            <w:gridSpan w:val="3"/>
            <w:vAlign w:val="center"/>
          </w:tcPr>
          <w:p w14:paraId="6FF10060">
            <w:pPr>
              <w:jc w:val="center"/>
              <w:rPr>
                <w:rFonts w:hint="eastAsia" w:ascii="宋体" w:hAnsi="宋体"/>
                <w:b/>
                <w:bCs/>
                <w:color w:val="auto"/>
                <w:szCs w:val="21"/>
                <w:highlight w:val="none"/>
              </w:rPr>
            </w:pPr>
          </w:p>
        </w:tc>
      </w:tr>
      <w:tr w14:paraId="348A1D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5680617E">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c>
          <w:tcPr>
            <w:tcW w:w="1227" w:type="dxa"/>
            <w:vAlign w:val="center"/>
          </w:tcPr>
          <w:p w14:paraId="1628F3BF">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教师演示台</w:t>
            </w:r>
          </w:p>
        </w:tc>
        <w:tc>
          <w:tcPr>
            <w:tcW w:w="6167" w:type="dxa"/>
            <w:vAlign w:val="center"/>
          </w:tcPr>
          <w:p w14:paraId="3C1B991D">
            <w:pPr>
              <w:widowControl/>
              <w:spacing w:line="276" w:lineRule="auto"/>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1、规格：≥2800mm×700mm×850mm</w:t>
            </w:r>
          </w:p>
          <w:p w14:paraId="09CDC641">
            <w:pPr>
              <w:widowControl/>
              <w:spacing w:line="276" w:lineRule="auto"/>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2、台面：采用≥12.7mm厚实芯理化板倍边加工，四周边缘总厚度≥25.4mm；台面易清洁、耐磨、耐腐蚀、耐辐射、耐高温、耐冲击；甲醛释放量达到E1级标准。</w:t>
            </w:r>
          </w:p>
          <w:p w14:paraId="363B617D">
            <w:pPr>
              <w:widowControl/>
              <w:spacing w:line="276" w:lineRule="auto"/>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3、台体：采用喷塑铝合金方管框架结构；立柱采用≥33mm×60mm，壁厚≥1.5 mm，横梁采用≥32mm×35mm壁厚≥1.5 mm，卡锁式连接件组装，立柱下部安装高强度可调节地脚，要求组合严密、牢固、稳定；框架内镶嵌≥16mm厚环保E1级浸渍胶膜纸饰面刨花板；台体按上部抽屉下部板式门设计，设水箱，安装水槽、水嘴;安装教师电源和学生电源受控装置；所用的板材及铝合金框架内镶嵌的板材体均选用≥18 mm厚环保EI级浸渍胶膜纸饰面刨花板，裸露板截面采用≥1.5 mmPVC封边条机械封边。</w:t>
            </w:r>
          </w:p>
          <w:p w14:paraId="1F17C2E4">
            <w:pPr>
              <w:widowControl/>
              <w:spacing w:line="276" w:lineRule="auto"/>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4、五金件：抽屉导轨：消声三节滑轨，合金钢板一次性成型，壁厚≥1.0mm。门铰链：自卸铰链，壁厚≥1.0mm，防腐，承重耐用，不锈钢拉手。</w:t>
            </w:r>
          </w:p>
        </w:tc>
        <w:tc>
          <w:tcPr>
            <w:tcW w:w="863" w:type="dxa"/>
            <w:gridSpan w:val="4"/>
            <w:vAlign w:val="center"/>
          </w:tcPr>
          <w:p w14:paraId="6D9C6D6E">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台</w:t>
            </w:r>
          </w:p>
        </w:tc>
        <w:tc>
          <w:tcPr>
            <w:tcW w:w="925" w:type="dxa"/>
            <w:gridSpan w:val="3"/>
            <w:vAlign w:val="center"/>
          </w:tcPr>
          <w:p w14:paraId="251F158A">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435340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31923E4E">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w:t>
            </w:r>
          </w:p>
        </w:tc>
        <w:tc>
          <w:tcPr>
            <w:tcW w:w="1227" w:type="dxa"/>
            <w:vAlign w:val="center"/>
          </w:tcPr>
          <w:p w14:paraId="526D066F">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教师办公椅</w:t>
            </w:r>
          </w:p>
        </w:tc>
        <w:tc>
          <w:tcPr>
            <w:tcW w:w="6167" w:type="dxa"/>
            <w:vAlign w:val="center"/>
          </w:tcPr>
          <w:p w14:paraId="3B9CB0D5">
            <w:pPr>
              <w:widowControl/>
              <w:spacing w:line="276" w:lineRule="auto"/>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工字型网布面料五金配件，美观大方。</w:t>
            </w:r>
          </w:p>
        </w:tc>
        <w:tc>
          <w:tcPr>
            <w:tcW w:w="863" w:type="dxa"/>
            <w:gridSpan w:val="4"/>
            <w:vAlign w:val="center"/>
          </w:tcPr>
          <w:p w14:paraId="0538B36C">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把</w:t>
            </w:r>
          </w:p>
        </w:tc>
        <w:tc>
          <w:tcPr>
            <w:tcW w:w="925" w:type="dxa"/>
            <w:gridSpan w:val="3"/>
            <w:vAlign w:val="center"/>
          </w:tcPr>
          <w:p w14:paraId="6B47FA1E">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1620E7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6BDD00E6">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3</w:t>
            </w:r>
          </w:p>
        </w:tc>
        <w:tc>
          <w:tcPr>
            <w:tcW w:w="1227" w:type="dxa"/>
            <w:vAlign w:val="center"/>
          </w:tcPr>
          <w:p w14:paraId="1878786F">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中央实验台</w:t>
            </w:r>
          </w:p>
        </w:tc>
        <w:tc>
          <w:tcPr>
            <w:tcW w:w="6167" w:type="dxa"/>
            <w:vAlign w:val="center"/>
          </w:tcPr>
          <w:p w14:paraId="60B0FDFC">
            <w:pPr>
              <w:widowControl/>
              <w:spacing w:line="276" w:lineRule="auto"/>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1、规格：≥2300mm×1400mm×760mm（根据教室长度适当增加或减少台面长度）</w:t>
            </w:r>
          </w:p>
          <w:p w14:paraId="010C8737">
            <w:pPr>
              <w:widowControl/>
              <w:spacing w:line="276" w:lineRule="auto"/>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2、台面：采用≥12.7mm厚实芯理化板倍边加工，四周边缘总厚度≥25.4mm；台面易清洁、耐磨、耐腐蚀、耐辐射、耐高温、耐冲击；甲醛释放量达到E1级标准。</w:t>
            </w:r>
          </w:p>
          <w:p w14:paraId="58ABF437">
            <w:pPr>
              <w:widowControl/>
              <w:spacing w:line="276" w:lineRule="auto"/>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3、台体：采用喷塑铝合金方管框架结构；立柱采用≥33mm*60mmD型管，壁厚≥1.5 mm，横梁采用≥32mm*35mm方管，壁厚≥1.5 mm，卡锁式连接件组装，立柱下部安装高强度可调节地脚，要求组合严密、牢固、稳定；框架内镶嵌≥16mm厚环保E1级浸渍胶膜纸饰面刨花板，要求组合严密、牢固、稳定；台体按八人座设计，上部书斗，两端设水箱柜，带门方便维修；材料选用≥18mm厚环保E1级浸渍胶膜纸饰面刨花板，板截面≥1.5mm厚塑制封边条机械封边，台面设置铝合金置物架。</w:t>
            </w:r>
          </w:p>
        </w:tc>
        <w:tc>
          <w:tcPr>
            <w:tcW w:w="863" w:type="dxa"/>
            <w:gridSpan w:val="4"/>
            <w:vAlign w:val="center"/>
          </w:tcPr>
          <w:p w14:paraId="57C4B467">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台</w:t>
            </w:r>
          </w:p>
        </w:tc>
        <w:tc>
          <w:tcPr>
            <w:tcW w:w="925" w:type="dxa"/>
            <w:gridSpan w:val="3"/>
            <w:vAlign w:val="center"/>
          </w:tcPr>
          <w:p w14:paraId="3049B13B">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8</w:t>
            </w:r>
          </w:p>
        </w:tc>
      </w:tr>
      <w:tr w14:paraId="54EBB9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07693BE7">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4</w:t>
            </w:r>
          </w:p>
        </w:tc>
        <w:tc>
          <w:tcPr>
            <w:tcW w:w="1227" w:type="dxa"/>
            <w:vAlign w:val="center"/>
          </w:tcPr>
          <w:p w14:paraId="6B2BC8A2">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学生凳</w:t>
            </w:r>
          </w:p>
        </w:tc>
        <w:tc>
          <w:tcPr>
            <w:tcW w:w="6167" w:type="dxa"/>
            <w:vAlign w:val="center"/>
          </w:tcPr>
          <w:p w14:paraId="09BCE624">
            <w:pPr>
              <w:widowControl/>
              <w:spacing w:line="276" w:lineRule="auto"/>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1、座高：≥450mm。</w:t>
            </w:r>
          </w:p>
          <w:p w14:paraId="2ED5AD26">
            <w:pPr>
              <w:widowControl/>
              <w:spacing w:line="276" w:lineRule="auto"/>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2、坐板：采用全新PP一次注塑成三角型，坐垫下自生加强筋及塑制背盖。</w:t>
            </w:r>
          </w:p>
          <w:p w14:paraId="56605BE0">
            <w:pPr>
              <w:widowControl/>
              <w:spacing w:line="276" w:lineRule="auto"/>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3、脚架：采用≥22mm*32mm*2.0mm枣弧管。经数控弯管机弯曲成型。</w:t>
            </w:r>
          </w:p>
          <w:p w14:paraId="49B18EBE">
            <w:pPr>
              <w:widowControl/>
              <w:spacing w:line="276" w:lineRule="auto"/>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4、钢管架焊接完成后，表面经大型抛丸机抛丸除锈。静电喷塑，附着力强。涂层需无漏喷、锈蚀；涂层需光滑均匀，色泽一致，长时间使用也不会产生表面漆剥落现象。</w:t>
            </w:r>
          </w:p>
          <w:p w14:paraId="3BBDFE38">
            <w:pPr>
              <w:widowControl/>
              <w:spacing w:line="276" w:lineRule="auto"/>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5、脚垫：材质采用PA塑料。</w:t>
            </w:r>
          </w:p>
        </w:tc>
        <w:tc>
          <w:tcPr>
            <w:tcW w:w="863" w:type="dxa"/>
            <w:gridSpan w:val="4"/>
            <w:vAlign w:val="center"/>
          </w:tcPr>
          <w:p w14:paraId="02CE731A">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把</w:t>
            </w:r>
          </w:p>
        </w:tc>
        <w:tc>
          <w:tcPr>
            <w:tcW w:w="925" w:type="dxa"/>
            <w:gridSpan w:val="3"/>
            <w:vAlign w:val="center"/>
          </w:tcPr>
          <w:p w14:paraId="45226E3B">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64</w:t>
            </w:r>
          </w:p>
        </w:tc>
      </w:tr>
      <w:tr w14:paraId="3D48C0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7240314A">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5</w:t>
            </w:r>
          </w:p>
        </w:tc>
        <w:tc>
          <w:tcPr>
            <w:tcW w:w="1227" w:type="dxa"/>
            <w:vAlign w:val="center"/>
          </w:tcPr>
          <w:p w14:paraId="23AFCA3D">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物理教师总控电源</w:t>
            </w:r>
          </w:p>
        </w:tc>
        <w:tc>
          <w:tcPr>
            <w:tcW w:w="6167" w:type="dxa"/>
            <w:vAlign w:val="center"/>
          </w:tcPr>
          <w:p w14:paraId="29EE3E6F">
            <w:pPr>
              <w:widowControl/>
              <w:spacing w:line="276" w:lineRule="auto"/>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教师主控电源采用数字化模块、高精密集成电子电路、采用≥10寸以上触摸屏式人机操作界面、人性化设计理念，方便教师多元化使用；主控电源主机采用金属材料制成，表面磷化喷塑防护处理，采用机械抽拉式结构。电源主控台需与教师演示台一体化，实现设备故障报警，远程控制，密码开机管理功能，通过无线网络访问学生分机、制动窗帘以及室内照明等终端，实现智能化控制，这样教师就实现了随时随地监控学生的每台设备。可获得软件提问状态，教师可在主控电源面板及智能无线移动工具，真正实现统一化智能管理教室。</w:t>
            </w:r>
            <w:r>
              <w:rPr>
                <w:rFonts w:hint="eastAsia" w:ascii="宋体" w:hAnsi="宋体"/>
                <w:color w:val="auto"/>
                <w:kern w:val="0"/>
                <w:szCs w:val="21"/>
                <w:highlight w:val="none"/>
                <w:lang w:bidi="ar"/>
              </w:rPr>
              <w:br w:type="textWrapping"/>
            </w:r>
            <w:r>
              <w:rPr>
                <w:rFonts w:hint="eastAsia" w:ascii="宋体" w:hAnsi="宋体"/>
                <w:color w:val="auto"/>
                <w:kern w:val="0"/>
                <w:szCs w:val="21"/>
                <w:highlight w:val="none"/>
                <w:lang w:bidi="ar"/>
              </w:rPr>
              <w:t>电源功能</w:t>
            </w:r>
            <w:r>
              <w:rPr>
                <w:rFonts w:hint="eastAsia" w:ascii="宋体" w:hAnsi="宋体"/>
                <w:color w:val="auto"/>
                <w:kern w:val="0"/>
                <w:szCs w:val="21"/>
                <w:highlight w:val="none"/>
                <w:lang w:bidi="ar"/>
              </w:rPr>
              <w:br w:type="textWrapping"/>
            </w:r>
            <w:r>
              <w:rPr>
                <w:rFonts w:hint="eastAsia" w:ascii="宋体" w:hAnsi="宋体"/>
                <w:color w:val="auto"/>
                <w:kern w:val="0"/>
                <w:szCs w:val="21"/>
                <w:highlight w:val="none"/>
                <w:lang w:bidi="ar"/>
              </w:rPr>
              <w:t>1、教师能通过手机下载APP软件控制塔吊的升降、灯光及插座的输出。教师在主机显示屏可观测每台学生实验台的实验数据，交流、直流电压，交流、直流电流，知道学生的当前实验状况。如实验时当前的电压，电流是否正确，教师也能观测到学生哪一台电子举手管理功能获取优先提问解决。</w:t>
            </w:r>
            <w:r>
              <w:rPr>
                <w:rFonts w:hint="eastAsia" w:ascii="宋体" w:hAnsi="宋体"/>
                <w:color w:val="auto"/>
                <w:kern w:val="0"/>
                <w:szCs w:val="21"/>
                <w:highlight w:val="none"/>
                <w:lang w:bidi="ar"/>
              </w:rPr>
              <w:br w:type="textWrapping"/>
            </w:r>
            <w:r>
              <w:rPr>
                <w:rFonts w:hint="eastAsia" w:ascii="宋体" w:hAnsi="宋体"/>
                <w:color w:val="auto"/>
                <w:kern w:val="0"/>
                <w:szCs w:val="21"/>
                <w:highlight w:val="none"/>
                <w:lang w:bidi="ar"/>
              </w:rPr>
              <w:t>2、教师演示台配备总漏电保护和分组保护，可远程和锁定学生的高低压电源，确保学生实验安全方便。教师主控可实现对学生低压交直流电压的设置和分组控制，对学生的锁定的信号切换等，锁定后学生电压与教师机保持同步。</w:t>
            </w:r>
            <w:r>
              <w:rPr>
                <w:rFonts w:hint="eastAsia" w:ascii="宋体" w:hAnsi="宋体"/>
                <w:color w:val="auto"/>
                <w:kern w:val="0"/>
                <w:szCs w:val="21"/>
                <w:highlight w:val="none"/>
                <w:lang w:bidi="ar"/>
              </w:rPr>
              <w:br w:type="textWrapping"/>
            </w:r>
            <w:r>
              <w:rPr>
                <w:rFonts w:hint="eastAsia" w:ascii="宋体" w:hAnsi="宋体"/>
                <w:color w:val="auto"/>
                <w:kern w:val="0"/>
                <w:szCs w:val="21"/>
                <w:highlight w:val="none"/>
                <w:lang w:bidi="ar"/>
              </w:rPr>
              <w:t>3、教师电源总控采用≥10寸以上触摸屏式人机操作界面，能设置和显示主控台各项电气参数，触摸屏操作解决了以往采用的机械式按键使用寿命短、故障率高的问题。显示界面清晰直观。</w:t>
            </w:r>
            <w:r>
              <w:rPr>
                <w:rFonts w:hint="eastAsia" w:ascii="宋体" w:hAnsi="宋体"/>
                <w:color w:val="auto"/>
                <w:kern w:val="0"/>
                <w:szCs w:val="21"/>
                <w:highlight w:val="none"/>
                <w:lang w:bidi="ar"/>
              </w:rPr>
              <w:br w:type="textWrapping"/>
            </w:r>
            <w:r>
              <w:rPr>
                <w:rFonts w:hint="eastAsia" w:ascii="宋体" w:hAnsi="宋体"/>
                <w:color w:val="auto"/>
                <w:kern w:val="0"/>
                <w:szCs w:val="21"/>
                <w:highlight w:val="none"/>
                <w:lang w:bidi="ar"/>
              </w:rPr>
              <w:t>4、教师电源总控密码开机、时钟显示（可自行设置，默认开机密码8888），由相应的老师输入相应的密码方可开机，有效防止学生私动电源，造成设备损毁及安全事故的发生，主机具有20分钟无操作（可定时）自动关机功能。</w:t>
            </w:r>
            <w:r>
              <w:rPr>
                <w:rFonts w:hint="eastAsia" w:ascii="宋体" w:hAnsi="宋体"/>
                <w:color w:val="auto"/>
                <w:kern w:val="0"/>
                <w:szCs w:val="21"/>
                <w:highlight w:val="none"/>
                <w:lang w:bidi="ar"/>
              </w:rPr>
              <w:br w:type="textWrapping"/>
            </w:r>
            <w:r>
              <w:rPr>
                <w:rFonts w:hint="eastAsia" w:ascii="宋体" w:hAnsi="宋体"/>
                <w:color w:val="auto"/>
                <w:kern w:val="0"/>
                <w:szCs w:val="21"/>
                <w:highlight w:val="none"/>
                <w:lang w:bidi="ar"/>
              </w:rPr>
              <w:t>5、教师可远程控制和锁定学生电源的低压交、直流电压。控制交流1.0V-24.0V，分辨率为0.1V；直流1.0V-30.0V,分辩率为0.1V。教师主机可控制任意一台学生分机220V输出。</w:t>
            </w:r>
            <w:r>
              <w:rPr>
                <w:rFonts w:hint="eastAsia" w:ascii="宋体" w:hAnsi="宋体"/>
                <w:color w:val="auto"/>
                <w:kern w:val="0"/>
                <w:szCs w:val="21"/>
                <w:highlight w:val="none"/>
                <w:lang w:bidi="ar"/>
              </w:rPr>
              <w:br w:type="textWrapping"/>
            </w:r>
            <w:r>
              <w:rPr>
                <w:rFonts w:hint="eastAsia" w:ascii="宋体" w:hAnsi="宋体"/>
                <w:color w:val="auto"/>
                <w:kern w:val="0"/>
                <w:szCs w:val="21"/>
                <w:highlight w:val="none"/>
                <w:lang w:bidi="ar"/>
              </w:rPr>
              <w:t>6、教师自用低压交流电源采用AC-DC-AC输出模式，由微电脑芯片双极性SPWM控制功率模块输出纯正弦波无级可调交流电压、调压范围：1.0-24V无极调压、输出电流1.0-8.0A可设定、超出设定值报警提示、制动切断输出，分辩率为0.1V。具备自动过载保护功能，屏幕显示过载提示。</w:t>
            </w:r>
            <w:r>
              <w:rPr>
                <w:rFonts w:hint="eastAsia" w:ascii="宋体" w:hAnsi="宋体"/>
                <w:color w:val="auto"/>
                <w:kern w:val="0"/>
                <w:szCs w:val="21"/>
                <w:highlight w:val="none"/>
                <w:lang w:bidi="ar"/>
              </w:rPr>
              <w:br w:type="textWrapping"/>
            </w:r>
            <w:r>
              <w:rPr>
                <w:rFonts w:hint="eastAsia" w:ascii="宋体" w:hAnsi="宋体"/>
                <w:color w:val="auto"/>
                <w:kern w:val="0"/>
                <w:szCs w:val="21"/>
                <w:highlight w:val="none"/>
                <w:lang w:bidi="ar"/>
              </w:rPr>
              <w:t>7、教师自用低压直流电源电压为1.0V-30.0V无极可调稳压输出，输出电流1.0-8.0A可设定、超出设定值报警提示、制动切断输出，分辩率为0.1V。具备自动过载保护功能，屏幕显示过载提示。</w:t>
            </w:r>
            <w:r>
              <w:rPr>
                <w:rFonts w:hint="eastAsia" w:ascii="宋体" w:hAnsi="宋体"/>
                <w:color w:val="auto"/>
                <w:kern w:val="0"/>
                <w:szCs w:val="21"/>
                <w:highlight w:val="none"/>
                <w:lang w:bidi="ar"/>
              </w:rPr>
              <w:br w:type="textWrapping"/>
            </w:r>
            <w:r>
              <w:rPr>
                <w:rFonts w:hint="eastAsia" w:ascii="宋体" w:hAnsi="宋体"/>
                <w:color w:val="auto"/>
                <w:kern w:val="0"/>
                <w:szCs w:val="21"/>
                <w:highlight w:val="none"/>
                <w:lang w:bidi="ar"/>
              </w:rPr>
              <w:t>8、大电流短路时输出电流值为40A。输出电流大于10A时，8-20（可设定）秒自动关断。</w:t>
            </w:r>
          </w:p>
        </w:tc>
        <w:tc>
          <w:tcPr>
            <w:tcW w:w="863" w:type="dxa"/>
            <w:gridSpan w:val="4"/>
            <w:vAlign w:val="center"/>
          </w:tcPr>
          <w:p w14:paraId="33DDEB9C">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台</w:t>
            </w:r>
          </w:p>
        </w:tc>
        <w:tc>
          <w:tcPr>
            <w:tcW w:w="925" w:type="dxa"/>
            <w:gridSpan w:val="3"/>
            <w:vAlign w:val="center"/>
          </w:tcPr>
          <w:p w14:paraId="63A49DDB">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0FDD5F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2B17C964">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6</w:t>
            </w:r>
          </w:p>
        </w:tc>
        <w:tc>
          <w:tcPr>
            <w:tcW w:w="1227" w:type="dxa"/>
            <w:vAlign w:val="center"/>
          </w:tcPr>
          <w:p w14:paraId="4A95BEEB">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物理智能电源（吊塔）</w:t>
            </w:r>
          </w:p>
        </w:tc>
        <w:tc>
          <w:tcPr>
            <w:tcW w:w="6167" w:type="dxa"/>
            <w:vAlign w:val="center"/>
          </w:tcPr>
          <w:p w14:paraId="6DCA230C">
            <w:pPr>
              <w:widowControl/>
              <w:spacing w:line="276" w:lineRule="auto"/>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规格：≥600mm×400mm×200mm</w:t>
            </w:r>
            <w:r>
              <w:rPr>
                <w:rFonts w:hint="eastAsia" w:ascii="宋体" w:hAnsi="宋体"/>
                <w:color w:val="auto"/>
                <w:kern w:val="0"/>
                <w:szCs w:val="21"/>
                <w:highlight w:val="none"/>
                <w:lang w:bidi="ar"/>
              </w:rPr>
              <w:br w:type="textWrapping"/>
            </w:r>
            <w:r>
              <w:rPr>
                <w:rFonts w:hint="eastAsia" w:ascii="宋体" w:hAnsi="宋体"/>
                <w:color w:val="auto"/>
                <w:kern w:val="0"/>
                <w:szCs w:val="21"/>
                <w:highlight w:val="none"/>
                <w:lang w:bidi="ar"/>
              </w:rPr>
              <w:t>1.吊架：高强度铝合金电动吊架，具有运行平稳，噪音低、安全性强，行程随意、定位精准的特点，每个吊塔自身控制升降随意调节高度，或由教师主机或手机、移动工具等通过无线网络实现远程控制，教师在演示台上可以单控或全控所有吊塔升降高度方便学生实验需要。</w:t>
            </w:r>
            <w:r>
              <w:rPr>
                <w:rFonts w:hint="eastAsia" w:ascii="宋体" w:hAnsi="宋体"/>
                <w:color w:val="auto"/>
                <w:kern w:val="0"/>
                <w:szCs w:val="21"/>
                <w:highlight w:val="none"/>
                <w:lang w:bidi="ar"/>
              </w:rPr>
              <w:br w:type="textWrapping"/>
            </w:r>
            <w:r>
              <w:rPr>
                <w:rFonts w:hint="eastAsia" w:ascii="宋体" w:hAnsi="宋体"/>
                <w:color w:val="auto"/>
                <w:kern w:val="0"/>
                <w:szCs w:val="21"/>
                <w:highlight w:val="none"/>
                <w:lang w:bidi="ar"/>
              </w:rPr>
              <w:t>2. 智能电源：可供四组学生同时使用，电源采用不小于4.3寸触摸式彩色显示屏，直流稳压输出0--30V采用数字键盘式输入、无极可调，精度0.1V,额定输出电流2A（过载电流0.1A-3.0A可设定）、超载自动关断输出、显示屏提示过载指示。交流低压输出0--24V采用数字键盘式输入、无极可调，精度0.1V,额定输出电流3A（过载电流0.1A-3.0A可设定）、超载自动关断输出、显示屏提示过载指示。微电脑逻辑控制伺服系统空载与加载无压降；具有时间设定，超载自动关断，在无操作的时间内20分钟（可设定）自动关机；安装220V二、三孔交流插座2个和照明补助光源、照明、插座输出由学生触摸屏或教师主机交互控制操作；</w:t>
            </w:r>
            <w:r>
              <w:rPr>
                <w:rFonts w:hint="eastAsia" w:ascii="宋体" w:hAnsi="宋体"/>
                <w:color w:val="auto"/>
                <w:kern w:val="0"/>
                <w:szCs w:val="21"/>
                <w:highlight w:val="none"/>
                <w:lang w:bidi="ar"/>
              </w:rPr>
              <w:br w:type="textWrapping"/>
            </w:r>
            <w:r>
              <w:rPr>
                <w:rFonts w:hint="eastAsia" w:ascii="宋体" w:hAnsi="宋体"/>
                <w:color w:val="auto"/>
                <w:kern w:val="0"/>
                <w:szCs w:val="21"/>
                <w:highlight w:val="none"/>
                <w:lang w:bidi="ar"/>
              </w:rPr>
              <w:t>3.电源箱规格：≥600mm*400mm*200mm，采用≥1.0mm金属板精加工制作，表面静电喷塑。</w:t>
            </w:r>
            <w:r>
              <w:rPr>
                <w:rFonts w:hint="eastAsia" w:ascii="宋体" w:hAnsi="宋体"/>
                <w:color w:val="auto"/>
                <w:kern w:val="0"/>
                <w:szCs w:val="21"/>
                <w:highlight w:val="none"/>
                <w:lang w:bidi="ar"/>
              </w:rPr>
              <w:br w:type="textWrapping"/>
            </w:r>
            <w:r>
              <w:rPr>
                <w:rFonts w:hint="eastAsia" w:ascii="宋体" w:hAnsi="宋体"/>
                <w:color w:val="auto"/>
                <w:kern w:val="0"/>
                <w:szCs w:val="21"/>
                <w:highlight w:val="none"/>
                <w:lang w:bidi="ar"/>
              </w:rPr>
              <w:t>4.电动伸缩吊架保护外壳：椭圆形，外壳规格：≥440mm*145mm*910mm，内壳规格≥ 400mm*135mm*950mm，均采用全新ABS工程塑料经大型注塑机注塑而成。</w:t>
            </w:r>
          </w:p>
        </w:tc>
        <w:tc>
          <w:tcPr>
            <w:tcW w:w="863" w:type="dxa"/>
            <w:gridSpan w:val="4"/>
            <w:vAlign w:val="center"/>
          </w:tcPr>
          <w:p w14:paraId="7EAF6FDA">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套</w:t>
            </w:r>
          </w:p>
        </w:tc>
        <w:tc>
          <w:tcPr>
            <w:tcW w:w="925" w:type="dxa"/>
            <w:gridSpan w:val="3"/>
            <w:vAlign w:val="center"/>
          </w:tcPr>
          <w:p w14:paraId="2B62FF00">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8</w:t>
            </w:r>
          </w:p>
        </w:tc>
      </w:tr>
      <w:tr w14:paraId="5222AD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3AAFC7F5">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7</w:t>
            </w:r>
          </w:p>
        </w:tc>
        <w:tc>
          <w:tcPr>
            <w:tcW w:w="1227" w:type="dxa"/>
            <w:vAlign w:val="center"/>
          </w:tcPr>
          <w:p w14:paraId="0496CF1C">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配电系统安装</w:t>
            </w:r>
          </w:p>
        </w:tc>
        <w:tc>
          <w:tcPr>
            <w:tcW w:w="6167" w:type="dxa"/>
            <w:vAlign w:val="center"/>
          </w:tcPr>
          <w:p w14:paraId="28941521">
            <w:pPr>
              <w:widowControl/>
              <w:spacing w:line="276" w:lineRule="auto"/>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地面结构层内敷设安装Ø20mmPVC阻燃塑料管(或根据现场的实际情况在地面上安装半圆型过线管)，主干电源线采用4 mm</w:t>
            </w:r>
            <w:r>
              <w:rPr>
                <w:rFonts w:hint="eastAsia" w:ascii="宋体" w:hAnsi="宋体"/>
                <w:color w:val="auto"/>
                <w:kern w:val="0"/>
                <w:szCs w:val="21"/>
                <w:highlight w:val="none"/>
                <w:vertAlign w:val="superscript"/>
                <w:lang w:bidi="ar"/>
              </w:rPr>
              <w:t>2</w:t>
            </w:r>
            <w:r>
              <w:rPr>
                <w:rFonts w:hint="eastAsia" w:ascii="宋体" w:hAnsi="宋体"/>
                <w:color w:val="auto"/>
                <w:kern w:val="0"/>
                <w:szCs w:val="21"/>
                <w:highlight w:val="none"/>
                <w:lang w:bidi="ar"/>
              </w:rPr>
              <w:t xml:space="preserve"> BV塑铜线，支干电源线采用2.5 mm</w:t>
            </w:r>
            <w:r>
              <w:rPr>
                <w:rFonts w:hint="eastAsia" w:ascii="宋体" w:hAnsi="宋体"/>
                <w:color w:val="auto"/>
                <w:kern w:val="0"/>
                <w:szCs w:val="21"/>
                <w:highlight w:val="none"/>
                <w:vertAlign w:val="superscript"/>
                <w:lang w:bidi="ar"/>
              </w:rPr>
              <w:t>2</w:t>
            </w:r>
            <w:r>
              <w:rPr>
                <w:rFonts w:hint="eastAsia" w:ascii="宋体" w:hAnsi="宋体"/>
                <w:color w:val="auto"/>
                <w:kern w:val="0"/>
                <w:szCs w:val="21"/>
                <w:highlight w:val="none"/>
                <w:lang w:bidi="ar"/>
              </w:rPr>
              <w:t>、1.5 mm</w:t>
            </w:r>
            <w:r>
              <w:rPr>
                <w:rFonts w:hint="eastAsia" w:ascii="宋体" w:hAnsi="宋体"/>
                <w:color w:val="auto"/>
                <w:kern w:val="0"/>
                <w:szCs w:val="21"/>
                <w:highlight w:val="none"/>
                <w:vertAlign w:val="superscript"/>
                <w:lang w:bidi="ar"/>
              </w:rPr>
              <w:t>2</w:t>
            </w:r>
            <w:r>
              <w:rPr>
                <w:rFonts w:hint="eastAsia" w:ascii="宋体" w:hAnsi="宋体"/>
                <w:color w:val="auto"/>
                <w:kern w:val="0"/>
                <w:szCs w:val="21"/>
                <w:highlight w:val="none"/>
                <w:lang w:bidi="ar"/>
              </w:rPr>
              <w:t xml:space="preserve"> BV塑铜线；支干电源线于插座电源线采用1.5 mm</w:t>
            </w:r>
            <w:r>
              <w:rPr>
                <w:rFonts w:hint="eastAsia" w:ascii="宋体" w:hAnsi="宋体"/>
                <w:color w:val="auto"/>
                <w:kern w:val="0"/>
                <w:szCs w:val="21"/>
                <w:highlight w:val="none"/>
                <w:vertAlign w:val="superscript"/>
                <w:lang w:bidi="ar"/>
              </w:rPr>
              <w:t>2</w:t>
            </w:r>
            <w:r>
              <w:rPr>
                <w:rFonts w:hint="eastAsia" w:ascii="宋体" w:hAnsi="宋体"/>
                <w:color w:val="auto"/>
                <w:kern w:val="0"/>
                <w:szCs w:val="21"/>
                <w:highlight w:val="none"/>
                <w:lang w:bidi="ar"/>
              </w:rPr>
              <w:t xml:space="preserve"> 多芯塑铜线，保证线路安全，安装符合现行国家专业规范。</w:t>
            </w:r>
          </w:p>
        </w:tc>
        <w:tc>
          <w:tcPr>
            <w:tcW w:w="863" w:type="dxa"/>
            <w:gridSpan w:val="4"/>
            <w:vAlign w:val="center"/>
          </w:tcPr>
          <w:p w14:paraId="53FB500E">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套</w:t>
            </w:r>
          </w:p>
        </w:tc>
        <w:tc>
          <w:tcPr>
            <w:tcW w:w="925" w:type="dxa"/>
            <w:gridSpan w:val="3"/>
            <w:vAlign w:val="center"/>
          </w:tcPr>
          <w:p w14:paraId="6B3B045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21BEA6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175FADF5">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8</w:t>
            </w:r>
          </w:p>
        </w:tc>
        <w:tc>
          <w:tcPr>
            <w:tcW w:w="1227" w:type="dxa"/>
            <w:vAlign w:val="center"/>
          </w:tcPr>
          <w:p w14:paraId="4CA145F4">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环境布置</w:t>
            </w:r>
          </w:p>
        </w:tc>
        <w:tc>
          <w:tcPr>
            <w:tcW w:w="6167" w:type="dxa"/>
          </w:tcPr>
          <w:p w14:paraId="62057316">
            <w:pPr>
              <w:widowControl/>
              <w:spacing w:line="276" w:lineRule="auto"/>
              <w:jc w:val="left"/>
              <w:textAlignment w:val="top"/>
              <w:rPr>
                <w:rFonts w:hint="eastAsia" w:ascii="宋体" w:hAnsi="宋体"/>
                <w:color w:val="auto"/>
                <w:szCs w:val="21"/>
                <w:highlight w:val="none"/>
              </w:rPr>
            </w:pPr>
            <w:r>
              <w:rPr>
                <w:rFonts w:hint="eastAsia" w:ascii="宋体" w:hAnsi="宋体"/>
                <w:color w:val="auto"/>
                <w:kern w:val="0"/>
                <w:szCs w:val="21"/>
                <w:highlight w:val="none"/>
                <w:lang w:bidi="ar"/>
              </w:rPr>
              <w:t>需满足项目学校功能室基本环境需求：包含基础装修、垃圾清运、设备安装、货物搬运等</w:t>
            </w:r>
          </w:p>
        </w:tc>
        <w:tc>
          <w:tcPr>
            <w:tcW w:w="863" w:type="dxa"/>
            <w:gridSpan w:val="4"/>
            <w:vAlign w:val="center"/>
          </w:tcPr>
          <w:p w14:paraId="061CFDD8">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室</w:t>
            </w:r>
          </w:p>
        </w:tc>
        <w:tc>
          <w:tcPr>
            <w:tcW w:w="925" w:type="dxa"/>
            <w:gridSpan w:val="3"/>
            <w:vAlign w:val="center"/>
          </w:tcPr>
          <w:p w14:paraId="2142FBB2">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697C32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noWrap/>
            <w:vAlign w:val="center"/>
          </w:tcPr>
          <w:p w14:paraId="29FE61CA">
            <w:pPr>
              <w:rPr>
                <w:rFonts w:hint="eastAsia" w:ascii="宋体" w:hAnsi="宋体"/>
                <w:b/>
                <w:bCs/>
                <w:color w:val="auto"/>
                <w:szCs w:val="21"/>
                <w:highlight w:val="none"/>
              </w:rPr>
            </w:pPr>
            <w:r>
              <w:rPr>
                <w:rFonts w:hint="eastAsia" w:ascii="宋体" w:hAnsi="宋体"/>
                <w:b/>
                <w:bCs/>
                <w:color w:val="auto"/>
                <w:szCs w:val="21"/>
                <w:highlight w:val="none"/>
              </w:rPr>
              <w:t>（二）</w:t>
            </w:r>
          </w:p>
        </w:tc>
        <w:tc>
          <w:tcPr>
            <w:tcW w:w="1227" w:type="dxa"/>
            <w:noWrap/>
            <w:vAlign w:val="center"/>
          </w:tcPr>
          <w:p w14:paraId="1EFA545B">
            <w:pPr>
              <w:widowControl/>
              <w:jc w:val="center"/>
              <w:textAlignment w:val="center"/>
              <w:rPr>
                <w:rFonts w:hint="eastAsia" w:ascii="宋体" w:hAnsi="宋体"/>
                <w:b/>
                <w:bCs/>
                <w:color w:val="auto"/>
                <w:szCs w:val="21"/>
                <w:highlight w:val="none"/>
              </w:rPr>
            </w:pPr>
            <w:r>
              <w:rPr>
                <w:rFonts w:hint="eastAsia" w:ascii="宋体" w:hAnsi="宋体"/>
                <w:b/>
                <w:bCs/>
                <w:color w:val="auto"/>
                <w:kern w:val="0"/>
                <w:szCs w:val="21"/>
                <w:highlight w:val="none"/>
                <w:lang w:bidi="ar"/>
              </w:rPr>
              <w:t>物理准备室</w:t>
            </w:r>
          </w:p>
        </w:tc>
        <w:tc>
          <w:tcPr>
            <w:tcW w:w="6167" w:type="dxa"/>
            <w:noWrap/>
            <w:vAlign w:val="center"/>
          </w:tcPr>
          <w:p w14:paraId="0482F5F6">
            <w:pPr>
              <w:jc w:val="left"/>
              <w:rPr>
                <w:rFonts w:hint="eastAsia" w:ascii="宋体" w:hAnsi="宋体"/>
                <w:b/>
                <w:bCs/>
                <w:color w:val="auto"/>
                <w:szCs w:val="21"/>
                <w:highlight w:val="none"/>
              </w:rPr>
            </w:pPr>
          </w:p>
        </w:tc>
        <w:tc>
          <w:tcPr>
            <w:tcW w:w="863" w:type="dxa"/>
            <w:gridSpan w:val="4"/>
            <w:vAlign w:val="center"/>
          </w:tcPr>
          <w:p w14:paraId="2F229C1C">
            <w:pPr>
              <w:jc w:val="center"/>
              <w:rPr>
                <w:rFonts w:hint="eastAsia" w:ascii="宋体" w:hAnsi="宋体"/>
                <w:b/>
                <w:bCs/>
                <w:color w:val="auto"/>
                <w:szCs w:val="21"/>
                <w:highlight w:val="none"/>
              </w:rPr>
            </w:pPr>
          </w:p>
        </w:tc>
        <w:tc>
          <w:tcPr>
            <w:tcW w:w="925" w:type="dxa"/>
            <w:gridSpan w:val="3"/>
            <w:vAlign w:val="center"/>
          </w:tcPr>
          <w:p w14:paraId="5DCBAB6C">
            <w:pPr>
              <w:jc w:val="center"/>
              <w:rPr>
                <w:rFonts w:hint="eastAsia" w:ascii="宋体" w:hAnsi="宋体"/>
                <w:color w:val="auto"/>
                <w:szCs w:val="21"/>
                <w:highlight w:val="none"/>
              </w:rPr>
            </w:pPr>
          </w:p>
        </w:tc>
      </w:tr>
      <w:tr w14:paraId="2A5876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5CA9C09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c>
          <w:tcPr>
            <w:tcW w:w="1227" w:type="dxa"/>
            <w:vAlign w:val="center"/>
          </w:tcPr>
          <w:p w14:paraId="774E8997">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准备台</w:t>
            </w:r>
          </w:p>
        </w:tc>
        <w:tc>
          <w:tcPr>
            <w:tcW w:w="6167" w:type="dxa"/>
            <w:vAlign w:val="center"/>
          </w:tcPr>
          <w:p w14:paraId="1B016829">
            <w:pPr>
              <w:widowControl/>
              <w:spacing w:line="276" w:lineRule="auto"/>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1、规格：≥2800mm×700mm×850mm</w:t>
            </w:r>
          </w:p>
          <w:p w14:paraId="20059B94">
            <w:pPr>
              <w:widowControl/>
              <w:spacing w:line="276" w:lineRule="auto"/>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2、台面：采用≥12.7mm厚实芯理化板倍边加工，四周边缘总厚度为≥25.4mm；台面易清洁、耐磨、耐腐蚀、耐辐射、耐高温、耐冲击；甲醛释放量达到E1级标准；</w:t>
            </w:r>
          </w:p>
          <w:p w14:paraId="122E3677">
            <w:pPr>
              <w:widowControl/>
              <w:spacing w:line="276" w:lineRule="auto"/>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3、台体：喷塑铝合金框架结构，框架内镶嵌≥18mm 厚环保E1级浸渍胶膜纸饰面刨花板，立柱规格≥33mm*60 mmD型管，壁厚≥1.5 mm；横梁规格≥32mm*35mm*1.5 mm，卡锁式连接件组装；立柱下部镶嵌ABS地脚座，预埋铜质螺母，安装高强度可调地脚；要求组合严密、牢固、稳定；台体一侧设水箱，按上部抽屉下部板式门设计，抽屉和柜门的材质采用≥18mm厚环保E1级浸渍胶膜纸饰面刨花板，板截面采用≥1.5mm厚塑制封边条机械封边。</w:t>
            </w:r>
          </w:p>
          <w:p w14:paraId="11EC2177">
            <w:pPr>
              <w:widowControl/>
              <w:spacing w:line="276" w:lineRule="auto"/>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4、五金件：抽屉导轨选用消声三节滑轨，合金钢板一次性成型，壁厚≥1.0mm；自卸门铰链，壁厚≥1.0mm，防腐，承重耐用；铝合金一字型扣手；配置铝合金置物架。</w:t>
            </w:r>
          </w:p>
        </w:tc>
        <w:tc>
          <w:tcPr>
            <w:tcW w:w="863" w:type="dxa"/>
            <w:gridSpan w:val="4"/>
            <w:vAlign w:val="center"/>
          </w:tcPr>
          <w:p w14:paraId="2ACC887B">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台</w:t>
            </w:r>
          </w:p>
        </w:tc>
        <w:tc>
          <w:tcPr>
            <w:tcW w:w="925" w:type="dxa"/>
            <w:gridSpan w:val="3"/>
            <w:vAlign w:val="center"/>
          </w:tcPr>
          <w:p w14:paraId="039C9DA5">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2045AB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1ED7D7A4">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w:t>
            </w:r>
          </w:p>
        </w:tc>
        <w:tc>
          <w:tcPr>
            <w:tcW w:w="1227" w:type="dxa"/>
            <w:vAlign w:val="center"/>
          </w:tcPr>
          <w:p w14:paraId="59786B1E">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仪器柜</w:t>
            </w:r>
          </w:p>
        </w:tc>
        <w:tc>
          <w:tcPr>
            <w:tcW w:w="6167" w:type="dxa"/>
            <w:vAlign w:val="center"/>
          </w:tcPr>
          <w:p w14:paraId="7BB2551B">
            <w:pPr>
              <w:widowControl/>
              <w:spacing w:line="276" w:lineRule="auto"/>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1、柜体尺寸（宽深高）≥1000 mm×500 mm×2000mm，铝木结构：</w:t>
            </w:r>
          </w:p>
          <w:p w14:paraId="0377ECA4">
            <w:pPr>
              <w:widowControl/>
              <w:spacing w:line="276" w:lineRule="auto"/>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2、柜体框架：采用模具成型的专用铝合金方管制作，通过ABS专用连接件组装而成，保证连接牢固。前立柱、前横梁外径为≥30mm×44mm（误差±1mm），后立柱、后横梁外径为≥44mm×44mm（误差±1mm），铝合金管材的壁厚≥1.5 mm（误差±0.15 mm）。铝合金型材带凹槽，凹槽的宽度与柜体衬板相匹配，凹槽的深度≥14mm（误差±0.15 mm），保证柜体衬板与铝型材之间接缝严密，无晃动现象，不发生脱落。铝合金型材表面经静电粉沫喷涂处理，整体耐腐蚀、防火、防潮、稳固耐用。柜体衬板：用厚度为≥16mm±0.3 mm、彩色和灰白色双面三聚氰胺板（即双饰面板）作为台体衬板，外漏截面采用1.5mm厚塑制优质封边条机械封边。</w:t>
            </w:r>
          </w:p>
          <w:p w14:paraId="2ABDFE8F">
            <w:pPr>
              <w:widowControl/>
              <w:spacing w:line="276" w:lineRule="auto"/>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3、柜门：上部为专用铝型材对开玻璃门，玻璃门边框规格为≥52mm*18mm*1.2mm，预留4mm螺丝孔，上下框规格为≥18mm*18mm*5mm，下部为对开木门。柜门采用优质定位铰链，*铰链下垫≥56mm*49mm*13mmABS胶垫并预留螺丝孔，铰链的壁厚≥1.5mm，安全、牢固、防腐、耐用。铝合金通体一字型扣手。</w:t>
            </w:r>
          </w:p>
          <w:p w14:paraId="55DB8984">
            <w:pPr>
              <w:widowControl/>
              <w:spacing w:line="276" w:lineRule="auto"/>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4、隔板：上柜设置2块活动隔板，下柜设置1块固定隔板。隔板所用的板材与柜体板材相同。隔板的长边采用铝合金山形槽包边，铝合金正面预留标签卡槽，表面进行喷塑处理。</w:t>
            </w:r>
          </w:p>
          <w:p w14:paraId="6237776D">
            <w:pPr>
              <w:widowControl/>
              <w:spacing w:line="276" w:lineRule="auto"/>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5、高度升降条：上部柜体内侧安装高度升降条（≥1.0 mm冷轧钢板制作），每侧2根，带12个活动支撑座（位置可调）。高度升降条和支撑座表面采用纯环氧树脂静电喷涂高温固化，具有较高耐蚀性能。</w:t>
            </w:r>
          </w:p>
          <w:p w14:paraId="04ED6EB6">
            <w:pPr>
              <w:widowControl/>
              <w:spacing w:line="276" w:lineRule="auto"/>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6、支脚：采用直径≥12mm的镀锌螺杆与ABS工程塑料一次注塑成型的脚垫，高度可调节。</w:t>
            </w:r>
          </w:p>
        </w:tc>
        <w:tc>
          <w:tcPr>
            <w:tcW w:w="863" w:type="dxa"/>
            <w:gridSpan w:val="4"/>
            <w:vAlign w:val="center"/>
          </w:tcPr>
          <w:p w14:paraId="23BCF4FD">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25" w:type="dxa"/>
            <w:gridSpan w:val="3"/>
            <w:vAlign w:val="center"/>
          </w:tcPr>
          <w:p w14:paraId="230F6295">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15</w:t>
            </w:r>
          </w:p>
        </w:tc>
      </w:tr>
      <w:tr w14:paraId="5FFE5F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2BCB382B">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3</w:t>
            </w:r>
          </w:p>
        </w:tc>
        <w:tc>
          <w:tcPr>
            <w:tcW w:w="1227" w:type="dxa"/>
            <w:vAlign w:val="center"/>
          </w:tcPr>
          <w:p w14:paraId="2E36A45C">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实验插座</w:t>
            </w:r>
          </w:p>
        </w:tc>
        <w:tc>
          <w:tcPr>
            <w:tcW w:w="6167" w:type="dxa"/>
            <w:vAlign w:val="center"/>
          </w:tcPr>
          <w:p w14:paraId="014C35FE">
            <w:pPr>
              <w:widowControl/>
              <w:spacing w:line="276" w:lineRule="auto"/>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多用插座220V/2A要求带防尘盒。</w:t>
            </w:r>
          </w:p>
        </w:tc>
        <w:tc>
          <w:tcPr>
            <w:tcW w:w="863" w:type="dxa"/>
            <w:gridSpan w:val="4"/>
            <w:vAlign w:val="center"/>
          </w:tcPr>
          <w:p w14:paraId="63BFF935">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套</w:t>
            </w:r>
          </w:p>
        </w:tc>
        <w:tc>
          <w:tcPr>
            <w:tcW w:w="925" w:type="dxa"/>
            <w:gridSpan w:val="3"/>
            <w:vAlign w:val="center"/>
          </w:tcPr>
          <w:p w14:paraId="56C85F57">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7C145B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3CB2E056">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4</w:t>
            </w:r>
          </w:p>
        </w:tc>
        <w:tc>
          <w:tcPr>
            <w:tcW w:w="1227" w:type="dxa"/>
            <w:vAlign w:val="center"/>
          </w:tcPr>
          <w:p w14:paraId="355529E5">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室内配电管线</w:t>
            </w:r>
          </w:p>
        </w:tc>
        <w:tc>
          <w:tcPr>
            <w:tcW w:w="6167" w:type="dxa"/>
            <w:vAlign w:val="center"/>
          </w:tcPr>
          <w:p w14:paraId="1F350A30">
            <w:pPr>
              <w:widowControl/>
              <w:spacing w:line="276" w:lineRule="auto"/>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铺设直径20mmPVC阻燃管，知名品牌电线，保证线路安全，安装符合现行国家电气施工规范。</w:t>
            </w:r>
          </w:p>
        </w:tc>
        <w:tc>
          <w:tcPr>
            <w:tcW w:w="863" w:type="dxa"/>
            <w:gridSpan w:val="4"/>
            <w:vAlign w:val="center"/>
          </w:tcPr>
          <w:p w14:paraId="50D49EAA">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套</w:t>
            </w:r>
          </w:p>
        </w:tc>
        <w:tc>
          <w:tcPr>
            <w:tcW w:w="925" w:type="dxa"/>
            <w:gridSpan w:val="3"/>
            <w:vAlign w:val="center"/>
          </w:tcPr>
          <w:p w14:paraId="07D7C7B0">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048C72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3417FE73">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5</w:t>
            </w:r>
          </w:p>
        </w:tc>
        <w:tc>
          <w:tcPr>
            <w:tcW w:w="1227" w:type="dxa"/>
            <w:vAlign w:val="center"/>
          </w:tcPr>
          <w:p w14:paraId="178949C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环境布置</w:t>
            </w:r>
          </w:p>
        </w:tc>
        <w:tc>
          <w:tcPr>
            <w:tcW w:w="6167" w:type="dxa"/>
          </w:tcPr>
          <w:p w14:paraId="08E06CDB">
            <w:pPr>
              <w:widowControl/>
              <w:spacing w:line="276" w:lineRule="auto"/>
              <w:jc w:val="left"/>
              <w:textAlignment w:val="top"/>
              <w:rPr>
                <w:rFonts w:hint="eastAsia" w:ascii="宋体" w:hAnsi="宋体"/>
                <w:color w:val="auto"/>
                <w:szCs w:val="21"/>
                <w:highlight w:val="none"/>
              </w:rPr>
            </w:pPr>
            <w:r>
              <w:rPr>
                <w:rFonts w:hint="eastAsia" w:ascii="宋体" w:hAnsi="宋体"/>
                <w:color w:val="auto"/>
                <w:kern w:val="0"/>
                <w:szCs w:val="21"/>
                <w:highlight w:val="none"/>
                <w:lang w:bidi="ar"/>
              </w:rPr>
              <w:t>需满足项目学校功能室基本环境需求：包含基础装修、垃圾清运、设备安装、货物搬运等</w:t>
            </w:r>
          </w:p>
        </w:tc>
        <w:tc>
          <w:tcPr>
            <w:tcW w:w="863" w:type="dxa"/>
            <w:gridSpan w:val="4"/>
            <w:vAlign w:val="center"/>
          </w:tcPr>
          <w:p w14:paraId="24BCAFF4">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室</w:t>
            </w:r>
          </w:p>
        </w:tc>
        <w:tc>
          <w:tcPr>
            <w:tcW w:w="925" w:type="dxa"/>
            <w:gridSpan w:val="3"/>
            <w:vAlign w:val="center"/>
          </w:tcPr>
          <w:p w14:paraId="75B6E56D">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14701B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noWrap/>
            <w:vAlign w:val="center"/>
          </w:tcPr>
          <w:p w14:paraId="1B1F9A9F">
            <w:pPr>
              <w:widowControl/>
              <w:textAlignment w:val="center"/>
              <w:rPr>
                <w:rFonts w:hint="eastAsia" w:ascii="宋体" w:hAnsi="宋体"/>
                <w:b/>
                <w:bCs/>
                <w:color w:val="auto"/>
                <w:szCs w:val="21"/>
                <w:highlight w:val="none"/>
              </w:rPr>
            </w:pPr>
            <w:r>
              <w:rPr>
                <w:rFonts w:hint="eastAsia" w:ascii="宋体" w:hAnsi="宋体"/>
                <w:b/>
                <w:bCs/>
                <w:color w:val="auto"/>
                <w:szCs w:val="21"/>
                <w:highlight w:val="none"/>
              </w:rPr>
              <w:t>（三）</w:t>
            </w:r>
          </w:p>
        </w:tc>
        <w:tc>
          <w:tcPr>
            <w:tcW w:w="1227" w:type="dxa"/>
            <w:noWrap/>
            <w:vAlign w:val="center"/>
          </w:tcPr>
          <w:p w14:paraId="267B95C9">
            <w:pPr>
              <w:widowControl/>
              <w:jc w:val="center"/>
              <w:textAlignment w:val="center"/>
              <w:rPr>
                <w:rFonts w:hint="eastAsia" w:ascii="宋体" w:hAnsi="宋体"/>
                <w:b/>
                <w:bCs/>
                <w:color w:val="auto"/>
                <w:szCs w:val="21"/>
                <w:highlight w:val="none"/>
              </w:rPr>
            </w:pPr>
            <w:r>
              <w:rPr>
                <w:rFonts w:hint="eastAsia" w:ascii="宋体" w:hAnsi="宋体"/>
                <w:b/>
                <w:bCs/>
                <w:color w:val="auto"/>
                <w:kern w:val="0"/>
                <w:szCs w:val="21"/>
                <w:highlight w:val="none"/>
                <w:lang w:bidi="ar"/>
              </w:rPr>
              <w:t>连接设备</w:t>
            </w:r>
          </w:p>
        </w:tc>
        <w:tc>
          <w:tcPr>
            <w:tcW w:w="6167" w:type="dxa"/>
            <w:noWrap/>
            <w:vAlign w:val="center"/>
          </w:tcPr>
          <w:p w14:paraId="6E2E198E">
            <w:pPr>
              <w:widowControl/>
              <w:jc w:val="center"/>
              <w:textAlignment w:val="center"/>
              <w:rPr>
                <w:rFonts w:hint="eastAsia" w:ascii="宋体" w:hAnsi="宋体"/>
                <w:b/>
                <w:bCs/>
                <w:color w:val="auto"/>
                <w:szCs w:val="21"/>
                <w:highlight w:val="none"/>
              </w:rPr>
            </w:pPr>
          </w:p>
        </w:tc>
        <w:tc>
          <w:tcPr>
            <w:tcW w:w="863" w:type="dxa"/>
            <w:gridSpan w:val="4"/>
            <w:vAlign w:val="center"/>
          </w:tcPr>
          <w:p w14:paraId="79975F1C">
            <w:pPr>
              <w:widowControl/>
              <w:jc w:val="center"/>
              <w:textAlignment w:val="center"/>
              <w:rPr>
                <w:rFonts w:hint="eastAsia" w:ascii="宋体" w:hAnsi="宋体"/>
                <w:b/>
                <w:bCs/>
                <w:color w:val="auto"/>
                <w:szCs w:val="21"/>
                <w:highlight w:val="none"/>
              </w:rPr>
            </w:pPr>
          </w:p>
        </w:tc>
        <w:tc>
          <w:tcPr>
            <w:tcW w:w="925" w:type="dxa"/>
            <w:gridSpan w:val="3"/>
            <w:vAlign w:val="center"/>
          </w:tcPr>
          <w:p w14:paraId="3F289F32">
            <w:pPr>
              <w:widowControl/>
              <w:jc w:val="center"/>
              <w:textAlignment w:val="center"/>
              <w:rPr>
                <w:rFonts w:hint="eastAsia" w:ascii="宋体" w:hAnsi="宋体"/>
                <w:b/>
                <w:bCs/>
                <w:color w:val="auto"/>
                <w:szCs w:val="21"/>
                <w:highlight w:val="none"/>
              </w:rPr>
            </w:pPr>
          </w:p>
        </w:tc>
      </w:tr>
      <w:tr w14:paraId="133299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noWrap/>
            <w:vAlign w:val="center"/>
          </w:tcPr>
          <w:p w14:paraId="2BEB457C">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c>
          <w:tcPr>
            <w:tcW w:w="1227" w:type="dxa"/>
            <w:shd w:val="clear" w:color="auto" w:fill="FFFFFF"/>
            <w:noWrap/>
            <w:vAlign w:val="center"/>
          </w:tcPr>
          <w:p w14:paraId="7BD57458">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实验室连接设备</w:t>
            </w:r>
          </w:p>
        </w:tc>
        <w:tc>
          <w:tcPr>
            <w:tcW w:w="6167" w:type="dxa"/>
            <w:shd w:val="clear" w:color="auto" w:fill="FFFFFF"/>
            <w:noWrap/>
            <w:vAlign w:val="center"/>
          </w:tcPr>
          <w:p w14:paraId="46DD4D0E">
            <w:pPr>
              <w:widowControl/>
              <w:jc w:val="left"/>
              <w:textAlignment w:val="center"/>
              <w:rPr>
                <w:rFonts w:hint="eastAsia" w:ascii="宋体" w:hAnsi="宋体"/>
                <w:b/>
                <w:bCs/>
                <w:color w:val="auto"/>
                <w:szCs w:val="21"/>
                <w:highlight w:val="none"/>
              </w:rPr>
            </w:pPr>
            <w:r>
              <w:rPr>
                <w:rFonts w:hint="eastAsia" w:ascii="宋体" w:hAnsi="宋体"/>
                <w:b/>
                <w:bCs/>
                <w:color w:val="auto"/>
                <w:szCs w:val="21"/>
                <w:highlight w:val="none"/>
              </w:rPr>
              <w:t>一、显示部分要求</w:t>
            </w:r>
          </w:p>
          <w:p w14:paraId="32E1D9F1">
            <w:pPr>
              <w:widowControl/>
              <w:numPr>
                <w:ilvl w:val="2"/>
                <w:numId w:val="226"/>
              </w:numPr>
              <w:jc w:val="left"/>
              <w:textAlignment w:val="center"/>
              <w:rPr>
                <w:rFonts w:hint="eastAsia" w:ascii="宋体" w:hAnsi="宋体"/>
                <w:color w:val="auto"/>
                <w:szCs w:val="21"/>
                <w:highlight w:val="none"/>
              </w:rPr>
            </w:pPr>
            <w:r>
              <w:rPr>
                <w:rFonts w:hint="eastAsia" w:ascii="宋体" w:hAnsi="宋体"/>
                <w:color w:val="auto"/>
                <w:szCs w:val="21"/>
                <w:highlight w:val="none"/>
              </w:rPr>
              <w:t>智慧黑板显示尺寸≥86英寸，分辨率：≥3840*2160。</w:t>
            </w:r>
          </w:p>
          <w:p w14:paraId="1D72D3CF">
            <w:pPr>
              <w:widowControl/>
              <w:numPr>
                <w:ilvl w:val="2"/>
                <w:numId w:val="226"/>
              </w:numPr>
              <w:jc w:val="left"/>
              <w:textAlignment w:val="center"/>
              <w:rPr>
                <w:rFonts w:hint="eastAsia" w:ascii="宋体" w:hAnsi="宋体"/>
                <w:color w:val="auto"/>
                <w:szCs w:val="21"/>
                <w:highlight w:val="none"/>
              </w:rPr>
            </w:pPr>
            <w:r>
              <w:rPr>
                <w:rFonts w:hint="eastAsia" w:ascii="宋体" w:hAnsi="宋体"/>
                <w:color w:val="auto"/>
                <w:szCs w:val="21"/>
                <w:highlight w:val="none"/>
              </w:rPr>
              <w:t>智慧黑板表面玻璃须采用高强度钢化玻璃，防眩光，厚度不超过3.5mm，硬度≥莫氏7级，石墨硬度≥9H。</w:t>
            </w:r>
          </w:p>
          <w:p w14:paraId="59347D32">
            <w:pPr>
              <w:widowControl/>
              <w:numPr>
                <w:ilvl w:val="2"/>
                <w:numId w:val="226"/>
              </w:numPr>
              <w:jc w:val="left"/>
              <w:textAlignment w:val="center"/>
              <w:rPr>
                <w:rFonts w:hint="eastAsia" w:ascii="宋体" w:hAnsi="宋体"/>
                <w:color w:val="auto"/>
                <w:szCs w:val="21"/>
                <w:highlight w:val="none"/>
              </w:rPr>
            </w:pPr>
            <w:r>
              <w:rPr>
                <w:rFonts w:hint="eastAsia" w:ascii="宋体" w:hAnsi="宋体"/>
                <w:color w:val="auto"/>
                <w:szCs w:val="21"/>
                <w:highlight w:val="none"/>
              </w:rPr>
              <w:t>智慧黑板背光系统需支持多级亮度调节，拍摄时画面无条纹闪烁。光源稳定无频闪，防止眼睛疲劳，需具备开机默认防蓝光功能无需按键调节。</w:t>
            </w:r>
          </w:p>
          <w:p w14:paraId="4DB3CE91">
            <w:pPr>
              <w:widowControl/>
              <w:jc w:val="left"/>
              <w:textAlignment w:val="center"/>
              <w:rPr>
                <w:rFonts w:hint="eastAsia" w:ascii="宋体" w:hAnsi="宋体"/>
                <w:b/>
                <w:bCs/>
                <w:color w:val="auto"/>
                <w:szCs w:val="21"/>
                <w:highlight w:val="none"/>
              </w:rPr>
            </w:pPr>
            <w:r>
              <w:rPr>
                <w:rFonts w:hint="eastAsia" w:ascii="宋体" w:hAnsi="宋体"/>
                <w:b/>
                <w:bCs/>
                <w:color w:val="auto"/>
                <w:szCs w:val="21"/>
                <w:highlight w:val="none"/>
              </w:rPr>
              <w:t>二、触控部分要求</w:t>
            </w:r>
          </w:p>
          <w:p w14:paraId="06085DA2">
            <w:pPr>
              <w:widowControl/>
              <w:numPr>
                <w:ilvl w:val="0"/>
                <w:numId w:val="227"/>
              </w:numPr>
              <w:jc w:val="left"/>
              <w:textAlignment w:val="center"/>
              <w:rPr>
                <w:rFonts w:hint="eastAsia" w:ascii="宋体" w:hAnsi="宋体"/>
                <w:color w:val="auto"/>
                <w:szCs w:val="21"/>
                <w:highlight w:val="none"/>
              </w:rPr>
            </w:pPr>
            <w:r>
              <w:rPr>
                <w:rFonts w:hint="eastAsia" w:ascii="宋体" w:hAnsi="宋体"/>
                <w:color w:val="auto"/>
                <w:szCs w:val="21"/>
                <w:highlight w:val="none"/>
              </w:rPr>
              <w:t>采用多点触控技术，在安卓和WINDOWS双系统下需支持≥40点触控和书写；</w:t>
            </w:r>
          </w:p>
          <w:p w14:paraId="09FCB1DF">
            <w:pPr>
              <w:widowControl/>
              <w:jc w:val="left"/>
              <w:textAlignment w:val="center"/>
              <w:rPr>
                <w:rFonts w:hint="eastAsia" w:ascii="宋体" w:hAnsi="宋体"/>
                <w:b/>
                <w:bCs/>
                <w:color w:val="auto"/>
                <w:szCs w:val="21"/>
                <w:highlight w:val="none"/>
              </w:rPr>
            </w:pPr>
            <w:r>
              <w:rPr>
                <w:rFonts w:hint="eastAsia" w:ascii="宋体" w:hAnsi="宋体"/>
                <w:b/>
                <w:bCs/>
                <w:color w:val="auto"/>
                <w:szCs w:val="21"/>
                <w:highlight w:val="none"/>
              </w:rPr>
              <w:t>三、整机安全性要求</w:t>
            </w:r>
          </w:p>
          <w:p w14:paraId="3E407D52">
            <w:pPr>
              <w:widowControl/>
              <w:numPr>
                <w:ilvl w:val="2"/>
                <w:numId w:val="228"/>
              </w:numPr>
              <w:jc w:val="left"/>
              <w:textAlignment w:val="center"/>
              <w:rPr>
                <w:rFonts w:hint="eastAsia" w:ascii="宋体" w:hAnsi="宋体"/>
                <w:color w:val="auto"/>
                <w:szCs w:val="21"/>
                <w:highlight w:val="none"/>
              </w:rPr>
            </w:pPr>
            <w:r>
              <w:rPr>
                <w:rFonts w:hint="eastAsia" w:ascii="宋体" w:hAnsi="宋体"/>
                <w:color w:val="auto"/>
                <w:szCs w:val="21"/>
                <w:highlight w:val="none"/>
              </w:rPr>
              <w:t>整机需支持硬件自检，包括对系统内存、存储、触控系统、光感系统、内置电脑、屏体信息、主板型号、CPU型号、CPU使用率、设备名称等进行状态提示及故障提示。</w:t>
            </w:r>
          </w:p>
          <w:p w14:paraId="4B148D4D">
            <w:pPr>
              <w:widowControl/>
              <w:numPr>
                <w:ilvl w:val="2"/>
                <w:numId w:val="228"/>
              </w:numPr>
              <w:jc w:val="left"/>
              <w:textAlignment w:val="center"/>
              <w:rPr>
                <w:rFonts w:hint="eastAsia" w:ascii="宋体" w:hAnsi="宋体"/>
                <w:color w:val="auto"/>
                <w:szCs w:val="21"/>
                <w:highlight w:val="none"/>
              </w:rPr>
            </w:pPr>
            <w:r>
              <w:rPr>
                <w:rFonts w:hint="eastAsia" w:ascii="宋体" w:hAnsi="宋体"/>
                <w:color w:val="auto"/>
                <w:szCs w:val="21"/>
                <w:highlight w:val="none"/>
              </w:rPr>
              <w:t>智慧黑板需支持纸质护眼模式，可实现画面纹理的实时调整；支持透明度调节与色温调节。</w:t>
            </w:r>
          </w:p>
          <w:p w14:paraId="6E7DACFE">
            <w:pPr>
              <w:widowControl/>
              <w:numPr>
                <w:ilvl w:val="2"/>
                <w:numId w:val="228"/>
              </w:numPr>
              <w:jc w:val="left"/>
              <w:textAlignment w:val="center"/>
              <w:rPr>
                <w:rFonts w:hint="eastAsia" w:ascii="宋体" w:hAnsi="宋体"/>
                <w:color w:val="auto"/>
                <w:szCs w:val="21"/>
                <w:highlight w:val="none"/>
              </w:rPr>
            </w:pPr>
            <w:r>
              <w:rPr>
                <w:rFonts w:hint="eastAsia" w:ascii="宋体" w:hAnsi="宋体"/>
                <w:color w:val="auto"/>
                <w:szCs w:val="21"/>
                <w:highlight w:val="none"/>
              </w:rPr>
              <w:t>智慧黑板需具备屏体温度实时监控、高温预警及断电保护等功能。</w:t>
            </w:r>
          </w:p>
          <w:p w14:paraId="66628D4C">
            <w:pPr>
              <w:widowControl/>
              <w:jc w:val="left"/>
              <w:textAlignment w:val="center"/>
              <w:rPr>
                <w:rFonts w:hint="eastAsia" w:ascii="宋体" w:hAnsi="宋体"/>
                <w:b/>
                <w:bCs/>
                <w:color w:val="auto"/>
                <w:szCs w:val="21"/>
                <w:highlight w:val="none"/>
              </w:rPr>
            </w:pPr>
            <w:r>
              <w:rPr>
                <w:rFonts w:hint="eastAsia" w:ascii="宋体" w:hAnsi="宋体"/>
                <w:b/>
                <w:bCs/>
                <w:color w:val="auto"/>
                <w:szCs w:val="21"/>
                <w:highlight w:val="none"/>
              </w:rPr>
              <w:t>四、整机接口按键要求</w:t>
            </w:r>
          </w:p>
          <w:p w14:paraId="6DD394B8">
            <w:pPr>
              <w:widowControl/>
              <w:numPr>
                <w:ilvl w:val="0"/>
                <w:numId w:val="229"/>
              </w:numPr>
              <w:jc w:val="left"/>
              <w:textAlignment w:val="center"/>
              <w:rPr>
                <w:rFonts w:hint="eastAsia" w:ascii="宋体" w:hAnsi="宋体"/>
                <w:color w:val="auto"/>
                <w:szCs w:val="21"/>
                <w:highlight w:val="none"/>
              </w:rPr>
            </w:pPr>
            <w:r>
              <w:rPr>
                <w:rFonts w:hint="eastAsia" w:ascii="宋体" w:hAnsi="宋体"/>
                <w:color w:val="auto"/>
                <w:szCs w:val="21"/>
                <w:highlight w:val="none"/>
              </w:rPr>
              <w:t>为方便外接拓展设备，智慧黑板前面板需具备带中文标识的接口，≥1路标准HDMI接口、≥2路USB3.0接口、≥1路Type-C接口。后置标配非扩展接口≥2路HDMI输入，≥1路HDMI输出。</w:t>
            </w:r>
          </w:p>
          <w:p w14:paraId="68FD3733">
            <w:pPr>
              <w:widowControl/>
              <w:numPr>
                <w:ilvl w:val="0"/>
                <w:numId w:val="229"/>
              </w:numPr>
              <w:jc w:val="left"/>
              <w:textAlignment w:val="center"/>
              <w:rPr>
                <w:rFonts w:hint="eastAsia" w:ascii="宋体" w:hAnsi="宋体"/>
                <w:color w:val="auto"/>
                <w:szCs w:val="21"/>
                <w:highlight w:val="none"/>
              </w:rPr>
            </w:pPr>
            <w:r>
              <w:rPr>
                <w:rFonts w:hint="eastAsia" w:ascii="宋体" w:hAnsi="宋体"/>
                <w:color w:val="auto"/>
                <w:szCs w:val="21"/>
                <w:highlight w:val="none"/>
              </w:rPr>
              <w:t>智慧黑板前置按键需实现音量加减、窗口关闭、触控开关、电脑还原按键等六个以上具有中文标识的常用按键。</w:t>
            </w:r>
          </w:p>
          <w:p w14:paraId="553B9025">
            <w:pPr>
              <w:widowControl/>
              <w:jc w:val="left"/>
              <w:textAlignment w:val="center"/>
              <w:rPr>
                <w:rFonts w:hint="eastAsia" w:ascii="宋体" w:hAnsi="宋体"/>
                <w:b/>
                <w:bCs/>
                <w:color w:val="auto"/>
                <w:szCs w:val="21"/>
                <w:highlight w:val="none"/>
              </w:rPr>
            </w:pPr>
            <w:r>
              <w:rPr>
                <w:rFonts w:hint="eastAsia" w:ascii="宋体" w:hAnsi="宋体"/>
                <w:b/>
                <w:bCs/>
                <w:color w:val="auto"/>
                <w:szCs w:val="21"/>
                <w:highlight w:val="none"/>
              </w:rPr>
              <w:t>五、安卓系统要求</w:t>
            </w:r>
          </w:p>
          <w:p w14:paraId="6915B581">
            <w:pPr>
              <w:widowControl/>
              <w:numPr>
                <w:ilvl w:val="2"/>
                <w:numId w:val="230"/>
              </w:numPr>
              <w:jc w:val="left"/>
              <w:textAlignment w:val="center"/>
              <w:rPr>
                <w:rFonts w:hint="eastAsia" w:ascii="宋体" w:hAnsi="宋体"/>
                <w:color w:val="auto"/>
                <w:szCs w:val="21"/>
                <w:highlight w:val="none"/>
              </w:rPr>
            </w:pPr>
            <w:r>
              <w:rPr>
                <w:rFonts w:hint="eastAsia" w:ascii="宋体" w:hAnsi="宋体"/>
                <w:color w:val="auto"/>
                <w:szCs w:val="21"/>
                <w:highlight w:val="none"/>
              </w:rPr>
              <w:t>智慧黑板需具备国产化芯片驱动，≥8核CPU、≥4核GPU。安卓系统版本≥14.0，内存≥4G，存储≥32G。</w:t>
            </w:r>
          </w:p>
          <w:p w14:paraId="00E0FC72">
            <w:pPr>
              <w:widowControl/>
              <w:jc w:val="left"/>
              <w:textAlignment w:val="center"/>
              <w:rPr>
                <w:rFonts w:hint="eastAsia" w:ascii="宋体" w:hAnsi="宋体"/>
                <w:b/>
                <w:bCs/>
                <w:color w:val="auto"/>
                <w:szCs w:val="21"/>
                <w:highlight w:val="none"/>
              </w:rPr>
            </w:pPr>
            <w:r>
              <w:rPr>
                <w:rFonts w:hint="eastAsia" w:ascii="宋体" w:hAnsi="宋体"/>
                <w:b/>
                <w:bCs/>
                <w:color w:val="auto"/>
                <w:szCs w:val="21"/>
                <w:highlight w:val="none"/>
              </w:rPr>
              <w:t>六、整机音视频要求</w:t>
            </w:r>
          </w:p>
          <w:p w14:paraId="52414814">
            <w:pPr>
              <w:widowControl/>
              <w:numPr>
                <w:ilvl w:val="0"/>
                <w:numId w:val="231"/>
              </w:numPr>
              <w:jc w:val="left"/>
              <w:textAlignment w:val="center"/>
              <w:rPr>
                <w:rFonts w:hint="eastAsia" w:ascii="宋体" w:hAnsi="宋体"/>
                <w:color w:val="auto"/>
                <w:szCs w:val="21"/>
                <w:highlight w:val="none"/>
              </w:rPr>
            </w:pPr>
            <w:r>
              <w:rPr>
                <w:rFonts w:hint="eastAsia" w:ascii="宋体" w:hAnsi="宋体"/>
                <w:color w:val="auto"/>
                <w:szCs w:val="21"/>
                <w:highlight w:val="none"/>
              </w:rPr>
              <w:t>需采用2.2声道，≥6个发声单元，功率≥60W。</w:t>
            </w:r>
          </w:p>
          <w:p w14:paraId="2D76F69E">
            <w:pPr>
              <w:widowControl/>
              <w:numPr>
                <w:ilvl w:val="0"/>
                <w:numId w:val="231"/>
              </w:numPr>
              <w:jc w:val="left"/>
              <w:textAlignment w:val="center"/>
              <w:rPr>
                <w:rFonts w:hint="eastAsia" w:ascii="宋体" w:hAnsi="宋体"/>
                <w:color w:val="auto"/>
                <w:szCs w:val="21"/>
                <w:highlight w:val="none"/>
              </w:rPr>
            </w:pPr>
            <w:r>
              <w:rPr>
                <w:rFonts w:hint="eastAsia" w:ascii="宋体" w:hAnsi="宋体"/>
                <w:color w:val="auto"/>
                <w:szCs w:val="21"/>
                <w:highlight w:val="none"/>
              </w:rPr>
              <w:t>需内置一体化超高清摄像头，摄像头≥1800W像素,镜头能向下倾斜。</w:t>
            </w:r>
          </w:p>
          <w:p w14:paraId="47DFD80D">
            <w:pPr>
              <w:widowControl/>
              <w:numPr>
                <w:ilvl w:val="0"/>
                <w:numId w:val="231"/>
              </w:numPr>
              <w:jc w:val="left"/>
              <w:textAlignment w:val="center"/>
              <w:rPr>
                <w:rFonts w:hint="eastAsia" w:ascii="宋体" w:hAnsi="宋体"/>
                <w:color w:val="auto"/>
                <w:szCs w:val="21"/>
                <w:highlight w:val="none"/>
              </w:rPr>
            </w:pPr>
            <w:r>
              <w:rPr>
                <w:rFonts w:hint="eastAsia" w:ascii="宋体" w:hAnsi="宋体"/>
                <w:color w:val="auto"/>
                <w:szCs w:val="21"/>
                <w:highlight w:val="none"/>
              </w:rPr>
              <w:t>内置摄像头需支持AI软件实现自动点名点数功能，支持远程巡课功能，具备指示灯工作状态提示。</w:t>
            </w:r>
          </w:p>
          <w:p w14:paraId="71703D97">
            <w:pPr>
              <w:widowControl/>
              <w:jc w:val="left"/>
              <w:textAlignment w:val="center"/>
              <w:rPr>
                <w:rFonts w:hint="eastAsia" w:ascii="宋体" w:hAnsi="宋体"/>
                <w:b/>
                <w:bCs/>
                <w:color w:val="auto"/>
                <w:szCs w:val="21"/>
                <w:highlight w:val="none"/>
              </w:rPr>
            </w:pPr>
            <w:r>
              <w:rPr>
                <w:rFonts w:hint="eastAsia" w:ascii="宋体" w:hAnsi="宋体"/>
                <w:b/>
                <w:bCs/>
                <w:color w:val="auto"/>
                <w:szCs w:val="21"/>
                <w:highlight w:val="none"/>
              </w:rPr>
              <w:t>七、其他与教学相关的常用功能</w:t>
            </w:r>
          </w:p>
          <w:p w14:paraId="79F7C602">
            <w:pPr>
              <w:widowControl/>
              <w:numPr>
                <w:ilvl w:val="0"/>
                <w:numId w:val="232"/>
              </w:numPr>
              <w:jc w:val="left"/>
              <w:textAlignment w:val="center"/>
              <w:rPr>
                <w:rFonts w:hint="eastAsia" w:ascii="宋体" w:hAnsi="宋体"/>
                <w:color w:val="auto"/>
                <w:szCs w:val="21"/>
                <w:highlight w:val="none"/>
              </w:rPr>
            </w:pPr>
            <w:r>
              <w:rPr>
                <w:rFonts w:hint="eastAsia" w:ascii="宋体" w:hAnsi="宋体"/>
                <w:color w:val="auto"/>
                <w:szCs w:val="21"/>
                <w:highlight w:val="none"/>
              </w:rPr>
              <w:t>智慧黑板需具有可放置书写笔、粉笔、水性笔的笔槽，笔槽具有漏灰孔设计。</w:t>
            </w:r>
          </w:p>
          <w:p w14:paraId="31743A2E">
            <w:pPr>
              <w:widowControl/>
              <w:numPr>
                <w:ilvl w:val="0"/>
                <w:numId w:val="232"/>
              </w:numPr>
              <w:jc w:val="left"/>
              <w:textAlignment w:val="center"/>
              <w:rPr>
                <w:rFonts w:hint="eastAsia" w:ascii="宋体" w:hAnsi="宋体"/>
                <w:color w:val="auto"/>
                <w:szCs w:val="21"/>
                <w:highlight w:val="none"/>
              </w:rPr>
            </w:pPr>
            <w:r>
              <w:rPr>
                <w:rFonts w:hint="eastAsia" w:ascii="宋体" w:hAnsi="宋体"/>
                <w:color w:val="auto"/>
                <w:szCs w:val="21"/>
                <w:highlight w:val="none"/>
              </w:rPr>
              <w:t>在任意信号源下向上滑动，可调用快捷设置菜单；无需切换系统可快速调节Windows和安卓的设置，如声音、亮度、网络等常用功能。</w:t>
            </w:r>
          </w:p>
          <w:p w14:paraId="52E8CF80">
            <w:pPr>
              <w:widowControl/>
              <w:numPr>
                <w:ilvl w:val="0"/>
                <w:numId w:val="232"/>
              </w:numPr>
              <w:jc w:val="left"/>
              <w:textAlignment w:val="center"/>
              <w:rPr>
                <w:rFonts w:hint="eastAsia" w:ascii="宋体" w:hAnsi="宋体"/>
                <w:color w:val="auto"/>
                <w:szCs w:val="21"/>
                <w:highlight w:val="none"/>
              </w:rPr>
            </w:pPr>
            <w:r>
              <w:rPr>
                <w:rFonts w:hint="eastAsia" w:ascii="宋体" w:hAnsi="宋体"/>
                <w:color w:val="auto"/>
                <w:szCs w:val="21"/>
                <w:highlight w:val="none"/>
              </w:rPr>
              <w:t>智慧黑板左右两侧需各具备≥10个与教学应用密切相关的快捷键，支持自定义设置时间、显示模式，单侧显示、双侧同时显示，快捷键至少需具备关闭窗口、展台、桌面、多屏互动等教学常用功能。</w:t>
            </w:r>
          </w:p>
          <w:p w14:paraId="486D44B4">
            <w:pPr>
              <w:widowControl/>
              <w:numPr>
                <w:ilvl w:val="0"/>
                <w:numId w:val="232"/>
              </w:numPr>
              <w:jc w:val="left"/>
              <w:textAlignment w:val="center"/>
              <w:rPr>
                <w:rFonts w:hint="eastAsia" w:ascii="宋体" w:hAnsi="宋体"/>
                <w:color w:val="auto"/>
                <w:szCs w:val="21"/>
                <w:highlight w:val="none"/>
              </w:rPr>
            </w:pPr>
            <w:r>
              <w:rPr>
                <w:rFonts w:hint="eastAsia" w:ascii="宋体" w:hAnsi="宋体"/>
                <w:color w:val="auto"/>
                <w:szCs w:val="21"/>
                <w:highlight w:val="none"/>
              </w:rPr>
              <w:t>智慧黑板具有快捷悬浮菜单，通过两指长按能快速移动悬浮菜单至按压位置，悬浮菜单能进行自定义分组，能够添加不少于三十个应用。</w:t>
            </w:r>
          </w:p>
          <w:p w14:paraId="22F19A1D">
            <w:pPr>
              <w:widowControl/>
              <w:numPr>
                <w:ilvl w:val="0"/>
                <w:numId w:val="232"/>
              </w:numPr>
              <w:jc w:val="left"/>
              <w:textAlignment w:val="center"/>
              <w:rPr>
                <w:rFonts w:hint="eastAsia" w:ascii="宋体" w:hAnsi="宋体"/>
                <w:color w:val="auto"/>
                <w:szCs w:val="21"/>
                <w:highlight w:val="none"/>
              </w:rPr>
            </w:pPr>
            <w:r>
              <w:rPr>
                <w:rFonts w:hint="eastAsia" w:ascii="宋体" w:hAnsi="宋体"/>
                <w:color w:val="auto"/>
                <w:szCs w:val="21"/>
                <w:highlight w:val="none"/>
              </w:rPr>
              <w:t>需支持手势实现悬浮窗快速调用、屏幕息屏或亮屏、屏幕下移、多任务等功能，方便课堂操作。</w:t>
            </w:r>
          </w:p>
          <w:p w14:paraId="29B21384">
            <w:pPr>
              <w:widowControl/>
              <w:numPr>
                <w:ilvl w:val="0"/>
                <w:numId w:val="232"/>
              </w:numPr>
              <w:jc w:val="left"/>
              <w:textAlignment w:val="center"/>
              <w:rPr>
                <w:rFonts w:hint="eastAsia" w:ascii="宋体" w:hAnsi="宋体"/>
                <w:color w:val="auto"/>
                <w:szCs w:val="21"/>
                <w:highlight w:val="none"/>
              </w:rPr>
            </w:pPr>
            <w:r>
              <w:rPr>
                <w:rFonts w:hint="eastAsia" w:ascii="宋体" w:hAnsi="宋体"/>
                <w:color w:val="auto"/>
                <w:szCs w:val="21"/>
                <w:highlight w:val="none"/>
              </w:rPr>
              <w:t>智慧黑板支持远程升级，及时给用户推送新版应用。</w:t>
            </w:r>
          </w:p>
          <w:p w14:paraId="2FA385A5">
            <w:pPr>
              <w:widowControl/>
              <w:jc w:val="left"/>
              <w:textAlignment w:val="center"/>
              <w:rPr>
                <w:rFonts w:hint="eastAsia" w:ascii="宋体" w:hAnsi="宋体"/>
                <w:b/>
                <w:bCs/>
                <w:color w:val="auto"/>
                <w:szCs w:val="21"/>
                <w:highlight w:val="none"/>
              </w:rPr>
            </w:pPr>
            <w:r>
              <w:rPr>
                <w:rFonts w:hint="eastAsia" w:ascii="宋体" w:hAnsi="宋体"/>
                <w:b/>
                <w:bCs/>
                <w:color w:val="auto"/>
                <w:szCs w:val="21"/>
                <w:highlight w:val="none"/>
              </w:rPr>
              <w:t>八、书写侧板要求</w:t>
            </w:r>
          </w:p>
          <w:p w14:paraId="2F4AEADA">
            <w:pPr>
              <w:widowControl/>
              <w:numPr>
                <w:ilvl w:val="2"/>
                <w:numId w:val="233"/>
              </w:numPr>
              <w:jc w:val="left"/>
              <w:textAlignment w:val="center"/>
              <w:rPr>
                <w:rFonts w:hint="eastAsia" w:ascii="宋体" w:hAnsi="宋体"/>
                <w:color w:val="auto"/>
                <w:szCs w:val="21"/>
                <w:highlight w:val="none"/>
              </w:rPr>
            </w:pPr>
            <w:r>
              <w:rPr>
                <w:rFonts w:hint="eastAsia" w:ascii="宋体" w:hAnsi="宋体"/>
                <w:color w:val="auto"/>
                <w:szCs w:val="21"/>
                <w:highlight w:val="none"/>
              </w:rPr>
              <w:t>书写侧板板面支持磁性材质教具吸附。</w:t>
            </w:r>
          </w:p>
          <w:p w14:paraId="682073DA">
            <w:pPr>
              <w:widowControl/>
              <w:numPr>
                <w:ilvl w:val="2"/>
                <w:numId w:val="233"/>
              </w:numPr>
              <w:jc w:val="left"/>
              <w:textAlignment w:val="center"/>
              <w:rPr>
                <w:rFonts w:hint="eastAsia" w:ascii="宋体" w:hAnsi="宋体"/>
                <w:color w:val="auto"/>
                <w:szCs w:val="21"/>
                <w:highlight w:val="none"/>
              </w:rPr>
            </w:pPr>
            <w:r>
              <w:rPr>
                <w:rFonts w:hint="eastAsia" w:ascii="宋体" w:hAnsi="宋体"/>
                <w:color w:val="auto"/>
                <w:szCs w:val="21"/>
                <w:highlight w:val="none"/>
              </w:rPr>
              <w:t>书写侧板板面光泽度需符合 GB28231-2011 标准，不高于8光泽度以免产生眩光。</w:t>
            </w:r>
          </w:p>
          <w:p w14:paraId="4009570D">
            <w:pPr>
              <w:widowControl/>
              <w:numPr>
                <w:ilvl w:val="2"/>
                <w:numId w:val="233"/>
              </w:numPr>
              <w:jc w:val="left"/>
              <w:textAlignment w:val="center"/>
              <w:rPr>
                <w:rFonts w:hint="eastAsia" w:ascii="宋体" w:hAnsi="宋体"/>
                <w:color w:val="auto"/>
                <w:szCs w:val="21"/>
                <w:highlight w:val="none"/>
              </w:rPr>
            </w:pPr>
            <w:r>
              <w:rPr>
                <w:rFonts w:hint="eastAsia" w:ascii="宋体" w:hAnsi="宋体"/>
                <w:color w:val="auto"/>
                <w:szCs w:val="21"/>
                <w:highlight w:val="none"/>
              </w:rPr>
              <w:t>书写侧板板面符合 GB/T9286-2021标准，支持色漆和清漆漆膜的划格试验，脱漆面积不明显大于 5%达到0级标准。</w:t>
            </w:r>
          </w:p>
          <w:p w14:paraId="415D53EE">
            <w:pPr>
              <w:widowControl/>
              <w:numPr>
                <w:ilvl w:val="2"/>
                <w:numId w:val="233"/>
              </w:numPr>
              <w:jc w:val="left"/>
              <w:textAlignment w:val="center"/>
              <w:rPr>
                <w:rFonts w:hint="eastAsia" w:ascii="宋体" w:hAnsi="宋体"/>
                <w:color w:val="auto"/>
                <w:szCs w:val="21"/>
                <w:highlight w:val="none"/>
              </w:rPr>
            </w:pPr>
            <w:r>
              <w:rPr>
                <w:rFonts w:hint="eastAsia" w:ascii="宋体" w:hAnsi="宋体"/>
                <w:color w:val="auto"/>
                <w:szCs w:val="21"/>
                <w:highlight w:val="none"/>
              </w:rPr>
              <w:t>书写侧板板面抗冲击性需符合GB/T 1732-2020标准，漆膜耐冲击无裂纹现象。</w:t>
            </w:r>
          </w:p>
          <w:p w14:paraId="3469B2DE">
            <w:pPr>
              <w:widowControl/>
              <w:numPr>
                <w:ilvl w:val="2"/>
                <w:numId w:val="233"/>
              </w:numPr>
              <w:jc w:val="left"/>
              <w:textAlignment w:val="center"/>
              <w:rPr>
                <w:rFonts w:hint="eastAsia" w:ascii="宋体" w:hAnsi="宋体"/>
                <w:color w:val="auto"/>
                <w:szCs w:val="21"/>
                <w:highlight w:val="none"/>
              </w:rPr>
            </w:pPr>
            <w:r>
              <w:rPr>
                <w:rFonts w:hint="eastAsia" w:ascii="宋体" w:hAnsi="宋体"/>
                <w:color w:val="auto"/>
                <w:szCs w:val="21"/>
                <w:highlight w:val="none"/>
              </w:rPr>
              <w:t>书写侧板与显示触摸屏为同品牌一体化设计，整体长度不小于4200mm。</w:t>
            </w:r>
          </w:p>
          <w:p w14:paraId="55FFCD95">
            <w:pPr>
              <w:widowControl/>
              <w:jc w:val="left"/>
              <w:textAlignment w:val="center"/>
              <w:rPr>
                <w:rFonts w:hint="eastAsia" w:ascii="宋体" w:hAnsi="宋体"/>
                <w:b/>
                <w:bCs/>
                <w:color w:val="auto"/>
                <w:szCs w:val="21"/>
                <w:highlight w:val="none"/>
              </w:rPr>
            </w:pPr>
            <w:r>
              <w:rPr>
                <w:rFonts w:hint="eastAsia" w:ascii="宋体" w:hAnsi="宋体"/>
                <w:b/>
                <w:bCs/>
                <w:color w:val="auto"/>
                <w:szCs w:val="21"/>
                <w:highlight w:val="none"/>
              </w:rPr>
              <w:t>九、内置电脑配置要求</w:t>
            </w:r>
          </w:p>
          <w:p w14:paraId="517EAC49">
            <w:pPr>
              <w:widowControl/>
              <w:numPr>
                <w:ilvl w:val="0"/>
                <w:numId w:val="234"/>
              </w:numPr>
              <w:jc w:val="left"/>
              <w:textAlignment w:val="center"/>
              <w:rPr>
                <w:rFonts w:hint="eastAsia" w:ascii="宋体" w:hAnsi="宋体"/>
                <w:color w:val="auto"/>
                <w:szCs w:val="21"/>
                <w:highlight w:val="none"/>
              </w:rPr>
            </w:pPr>
            <w:r>
              <w:rPr>
                <w:rFonts w:hint="eastAsia" w:ascii="宋体" w:hAnsi="宋体"/>
                <w:color w:val="auto"/>
                <w:szCs w:val="21"/>
                <w:highlight w:val="none"/>
              </w:rPr>
              <w:t>整机需易于维护，满足80pin通用标准接口，卡扣设计。</w:t>
            </w:r>
          </w:p>
          <w:p w14:paraId="03A46096">
            <w:pPr>
              <w:widowControl/>
              <w:numPr>
                <w:ilvl w:val="0"/>
                <w:numId w:val="234"/>
              </w:numPr>
              <w:jc w:val="left"/>
              <w:textAlignment w:val="center"/>
              <w:rPr>
                <w:rFonts w:hint="eastAsia" w:ascii="宋体" w:hAnsi="宋体"/>
                <w:color w:val="auto"/>
                <w:szCs w:val="21"/>
                <w:highlight w:val="none"/>
              </w:rPr>
            </w:pPr>
            <w:r>
              <w:rPr>
                <w:rFonts w:hint="eastAsia" w:ascii="宋体" w:hAnsi="宋体"/>
                <w:color w:val="auto"/>
                <w:szCs w:val="21"/>
                <w:highlight w:val="none"/>
              </w:rPr>
              <w:t>采用≥12代I5芯片，内存≥8G，硬盘≥256G SSD。</w:t>
            </w:r>
          </w:p>
          <w:p w14:paraId="541A1BD4">
            <w:pPr>
              <w:widowControl/>
              <w:jc w:val="left"/>
              <w:textAlignment w:val="center"/>
              <w:rPr>
                <w:rFonts w:hint="eastAsia" w:ascii="宋体" w:hAnsi="宋体"/>
                <w:b/>
                <w:bCs/>
                <w:color w:val="auto"/>
                <w:szCs w:val="21"/>
                <w:highlight w:val="none"/>
              </w:rPr>
            </w:pPr>
            <w:r>
              <w:rPr>
                <w:rFonts w:hint="eastAsia" w:ascii="宋体" w:hAnsi="宋体"/>
                <w:b/>
                <w:bCs/>
                <w:color w:val="auto"/>
                <w:szCs w:val="21"/>
                <w:highlight w:val="none"/>
              </w:rPr>
              <w:t>十、教学软件功能要求</w:t>
            </w:r>
          </w:p>
          <w:p w14:paraId="08AA7CD8">
            <w:pPr>
              <w:widowControl/>
              <w:jc w:val="left"/>
              <w:textAlignment w:val="center"/>
              <w:rPr>
                <w:rFonts w:hint="eastAsia" w:ascii="宋体" w:hAnsi="宋体"/>
                <w:color w:val="auto"/>
                <w:szCs w:val="21"/>
                <w:highlight w:val="none"/>
              </w:rPr>
            </w:pPr>
            <w:r>
              <w:rPr>
                <w:rFonts w:hint="eastAsia" w:ascii="宋体" w:hAnsi="宋体"/>
                <w:color w:val="auto"/>
                <w:szCs w:val="21"/>
                <w:highlight w:val="none"/>
              </w:rPr>
              <w:t>备课模式</w:t>
            </w:r>
          </w:p>
          <w:p w14:paraId="0F84225E">
            <w:pPr>
              <w:widowControl/>
              <w:numPr>
                <w:ilvl w:val="1"/>
                <w:numId w:val="235"/>
              </w:numPr>
              <w:jc w:val="left"/>
              <w:textAlignment w:val="center"/>
              <w:rPr>
                <w:rFonts w:hint="eastAsia" w:ascii="宋体" w:hAnsi="宋体"/>
                <w:color w:val="auto"/>
                <w:szCs w:val="21"/>
                <w:highlight w:val="none"/>
              </w:rPr>
            </w:pPr>
            <w:r>
              <w:rPr>
                <w:rFonts w:hint="eastAsia" w:ascii="宋体" w:hAnsi="宋体"/>
                <w:color w:val="auto"/>
                <w:szCs w:val="21"/>
                <w:highlight w:val="none"/>
              </w:rPr>
              <w:t>教师个人账号无需完成特定任务，即可获取≥200GB云端存储空间，可扩展至≥3TB或以上云存储空间。</w:t>
            </w:r>
          </w:p>
          <w:p w14:paraId="5B2736F4">
            <w:pPr>
              <w:widowControl/>
              <w:numPr>
                <w:ilvl w:val="1"/>
                <w:numId w:val="235"/>
              </w:numPr>
              <w:jc w:val="left"/>
              <w:textAlignment w:val="center"/>
              <w:rPr>
                <w:rFonts w:hint="eastAsia" w:ascii="宋体" w:hAnsi="宋体"/>
                <w:color w:val="auto"/>
                <w:szCs w:val="21"/>
                <w:highlight w:val="none"/>
              </w:rPr>
            </w:pPr>
            <w:r>
              <w:rPr>
                <w:rFonts w:hint="eastAsia" w:ascii="宋体" w:hAnsi="宋体"/>
                <w:color w:val="auto"/>
                <w:szCs w:val="21"/>
                <w:highlight w:val="none"/>
              </w:rPr>
              <w:t>需提供预置的课件素材，允许教师在网页端、移动端、电脑端进行内容的选择与组合，快速生成课件并浏览，所有制作的课件均实时保存至云端，登录即可查看。</w:t>
            </w:r>
          </w:p>
          <w:p w14:paraId="0A74216F">
            <w:pPr>
              <w:widowControl/>
              <w:numPr>
                <w:ilvl w:val="1"/>
                <w:numId w:val="235"/>
              </w:numPr>
              <w:jc w:val="left"/>
              <w:textAlignment w:val="center"/>
              <w:rPr>
                <w:rFonts w:hint="eastAsia" w:ascii="宋体" w:hAnsi="宋体"/>
                <w:color w:val="auto"/>
                <w:szCs w:val="21"/>
                <w:highlight w:val="none"/>
              </w:rPr>
            </w:pPr>
            <w:r>
              <w:rPr>
                <w:rFonts w:hint="eastAsia" w:ascii="宋体" w:hAnsi="宋体"/>
                <w:color w:val="auto"/>
                <w:szCs w:val="21"/>
                <w:highlight w:val="none"/>
              </w:rPr>
              <w:t>需支持教师根据教材章节目录、知识点选择对应的教学内容。教师仅需要按每个教学环节选择所需的教学模块即可快速生成一份课件。每个课时均提供过量的教学内容模块，满足教师的个性化需求。</w:t>
            </w:r>
          </w:p>
          <w:p w14:paraId="24335D4B">
            <w:pPr>
              <w:widowControl/>
              <w:numPr>
                <w:ilvl w:val="1"/>
                <w:numId w:val="235"/>
              </w:numPr>
              <w:jc w:val="left"/>
              <w:textAlignment w:val="center"/>
              <w:rPr>
                <w:rFonts w:hint="eastAsia" w:ascii="宋体" w:hAnsi="宋体"/>
                <w:color w:val="auto"/>
                <w:szCs w:val="21"/>
                <w:highlight w:val="none"/>
              </w:rPr>
            </w:pPr>
            <w:r>
              <w:rPr>
                <w:rFonts w:hint="eastAsia" w:ascii="宋体" w:hAnsi="宋体"/>
                <w:color w:val="auto"/>
                <w:szCs w:val="21"/>
                <w:highlight w:val="none"/>
              </w:rPr>
              <w:t>需提供模块化的课件素材和教案，课件支持组选：课堂导入，知识讲解，例题与变式，拓展延伸，课外活动等。</w:t>
            </w:r>
          </w:p>
          <w:p w14:paraId="618EC20A">
            <w:pPr>
              <w:widowControl/>
              <w:numPr>
                <w:ilvl w:val="1"/>
                <w:numId w:val="235"/>
              </w:numPr>
              <w:jc w:val="left"/>
              <w:textAlignment w:val="center"/>
              <w:rPr>
                <w:rFonts w:hint="eastAsia" w:ascii="宋体" w:hAnsi="宋体"/>
                <w:color w:val="auto"/>
                <w:szCs w:val="21"/>
                <w:highlight w:val="none"/>
              </w:rPr>
            </w:pPr>
            <w:r>
              <w:rPr>
                <w:rFonts w:hint="eastAsia" w:ascii="宋体" w:hAnsi="宋体"/>
                <w:color w:val="auto"/>
                <w:szCs w:val="21"/>
                <w:highlight w:val="none"/>
              </w:rPr>
              <w:t>需支持插入音频，对音频的剪辑，可拖动或输入音频的开始和结束位置。插入表格，表格支持设置行列数，在表格上可以进行行列的添加、删除、合并和拆分，可编辑文字格式和表格格式。插入思维导图，包括逻辑图、鱼骨图和组织结构图，思维导图可添加同级节点、下级节点、上级节点，可编辑文字格式和思维导图格式。</w:t>
            </w:r>
          </w:p>
          <w:p w14:paraId="3CB6D186">
            <w:pPr>
              <w:widowControl/>
              <w:jc w:val="left"/>
              <w:textAlignment w:val="center"/>
              <w:rPr>
                <w:rFonts w:hint="eastAsia" w:ascii="宋体" w:hAnsi="宋体"/>
                <w:color w:val="auto"/>
                <w:szCs w:val="21"/>
                <w:highlight w:val="none"/>
              </w:rPr>
            </w:pPr>
            <w:r>
              <w:rPr>
                <w:rFonts w:hint="eastAsia" w:ascii="宋体" w:hAnsi="宋体"/>
                <w:color w:val="auto"/>
                <w:szCs w:val="21"/>
                <w:highlight w:val="none"/>
              </w:rPr>
              <w:t>授课模式</w:t>
            </w:r>
          </w:p>
          <w:p w14:paraId="4C90DDFE">
            <w:pPr>
              <w:widowControl/>
              <w:numPr>
                <w:ilvl w:val="1"/>
                <w:numId w:val="235"/>
              </w:numPr>
              <w:jc w:val="left"/>
              <w:textAlignment w:val="center"/>
              <w:rPr>
                <w:rFonts w:hint="eastAsia" w:ascii="宋体" w:hAnsi="宋体"/>
                <w:color w:val="auto"/>
                <w:szCs w:val="21"/>
                <w:highlight w:val="none"/>
              </w:rPr>
            </w:pPr>
            <w:r>
              <w:rPr>
                <w:rFonts w:hint="eastAsia" w:ascii="宋体" w:hAnsi="宋体"/>
                <w:color w:val="auto"/>
                <w:szCs w:val="21"/>
                <w:highlight w:val="none"/>
              </w:rPr>
              <w:t>需支持显示文件、工具和应用的便捷入口，当开始批注且有笔迹时，自动隐藏便捷入口，清除笔迹时，自动恢复显示便捷入口。</w:t>
            </w:r>
          </w:p>
          <w:p w14:paraId="6CA12AB8">
            <w:pPr>
              <w:widowControl/>
              <w:numPr>
                <w:ilvl w:val="1"/>
                <w:numId w:val="235"/>
              </w:numPr>
              <w:jc w:val="left"/>
              <w:textAlignment w:val="center"/>
              <w:rPr>
                <w:rFonts w:hint="eastAsia" w:ascii="宋体" w:hAnsi="宋体"/>
                <w:color w:val="auto"/>
                <w:szCs w:val="21"/>
                <w:highlight w:val="none"/>
              </w:rPr>
            </w:pPr>
            <w:r>
              <w:rPr>
                <w:rFonts w:hint="eastAsia" w:ascii="宋体" w:hAnsi="宋体"/>
                <w:color w:val="auto"/>
                <w:szCs w:val="21"/>
                <w:highlight w:val="none"/>
              </w:rPr>
              <w:t>需支持多种教辅工具，包含截图、时钟、放大镜、聚光灯、黑屏、随机数、骰子和大转盘等。</w:t>
            </w:r>
          </w:p>
          <w:p w14:paraId="7DF0BFB0">
            <w:pPr>
              <w:widowControl/>
              <w:numPr>
                <w:ilvl w:val="1"/>
                <w:numId w:val="235"/>
              </w:numPr>
              <w:jc w:val="left"/>
              <w:textAlignment w:val="center"/>
              <w:rPr>
                <w:rFonts w:hint="eastAsia" w:ascii="宋体" w:hAnsi="宋体"/>
                <w:color w:val="auto"/>
                <w:szCs w:val="21"/>
                <w:highlight w:val="none"/>
              </w:rPr>
            </w:pPr>
            <w:r>
              <w:rPr>
                <w:rFonts w:hint="eastAsia" w:ascii="宋体" w:hAnsi="宋体"/>
                <w:color w:val="auto"/>
                <w:szCs w:val="21"/>
                <w:highlight w:val="none"/>
              </w:rPr>
              <w:t>需支持打开本机文件、U盘文件等本地文件；不需导入，可直接打开本地视频、音频、图片、离线教学课件、PPT、PPTX、PDF文件、DOC、DOCX文件及swf文件等；需支持多个文件窗口同屏播放显示，满足多素材授课需求。支持批注的文件类型包含PPT、PPTX、图片、PDF、DOC、DOCX。</w:t>
            </w:r>
          </w:p>
          <w:p w14:paraId="17F6C40B">
            <w:pPr>
              <w:widowControl/>
              <w:jc w:val="left"/>
              <w:textAlignment w:val="center"/>
              <w:rPr>
                <w:rFonts w:hint="eastAsia" w:ascii="宋体" w:hAnsi="宋体"/>
                <w:color w:val="auto"/>
                <w:szCs w:val="21"/>
                <w:highlight w:val="none"/>
              </w:rPr>
            </w:pPr>
            <w:r>
              <w:rPr>
                <w:rFonts w:hint="eastAsia" w:ascii="宋体" w:hAnsi="宋体"/>
                <w:color w:val="auto"/>
                <w:szCs w:val="21"/>
                <w:highlight w:val="none"/>
              </w:rPr>
              <w:t>录课助手</w:t>
            </w:r>
          </w:p>
          <w:p w14:paraId="70CB8C45">
            <w:pPr>
              <w:widowControl/>
              <w:numPr>
                <w:ilvl w:val="1"/>
                <w:numId w:val="235"/>
              </w:numPr>
              <w:jc w:val="left"/>
              <w:textAlignment w:val="center"/>
              <w:rPr>
                <w:rFonts w:hint="eastAsia" w:ascii="宋体" w:hAnsi="宋体"/>
                <w:color w:val="auto"/>
                <w:szCs w:val="21"/>
                <w:highlight w:val="none"/>
              </w:rPr>
            </w:pPr>
            <w:r>
              <w:rPr>
                <w:rFonts w:hint="eastAsia" w:ascii="宋体" w:hAnsi="宋体"/>
                <w:color w:val="auto"/>
                <w:szCs w:val="21"/>
                <w:highlight w:val="none"/>
              </w:rPr>
              <w:t>需支持屏幕、屏幕+摄像头等多种形式的录制，也可结合录播系统进行全景录制。需支持对视频清晰度的调整，提供高清、超清、超高清的切换，方便在手机、电脑或者大屏上观看。</w:t>
            </w:r>
          </w:p>
          <w:p w14:paraId="4BD12EB3">
            <w:pPr>
              <w:widowControl/>
              <w:numPr>
                <w:ilvl w:val="1"/>
                <w:numId w:val="235"/>
              </w:numPr>
              <w:jc w:val="left"/>
              <w:textAlignment w:val="center"/>
              <w:rPr>
                <w:rFonts w:hint="eastAsia" w:ascii="宋体" w:hAnsi="宋体"/>
                <w:color w:val="auto"/>
                <w:szCs w:val="21"/>
                <w:highlight w:val="none"/>
              </w:rPr>
            </w:pPr>
            <w:r>
              <w:rPr>
                <w:rFonts w:hint="eastAsia" w:ascii="宋体" w:hAnsi="宋体"/>
                <w:color w:val="auto"/>
                <w:szCs w:val="21"/>
                <w:highlight w:val="none"/>
              </w:rPr>
              <w:t>需支持快速录制，可移动，三秒无操作即变为半透明；可实时查看录制进度，进行暂停、 开始、结束操作。</w:t>
            </w:r>
          </w:p>
          <w:p w14:paraId="32F957C7">
            <w:pPr>
              <w:widowControl/>
              <w:numPr>
                <w:ilvl w:val="1"/>
                <w:numId w:val="235"/>
              </w:numPr>
              <w:jc w:val="left"/>
              <w:textAlignment w:val="center"/>
              <w:rPr>
                <w:rFonts w:hint="eastAsia" w:ascii="宋体" w:hAnsi="宋体"/>
                <w:color w:val="auto"/>
                <w:szCs w:val="21"/>
                <w:highlight w:val="none"/>
              </w:rPr>
            </w:pPr>
            <w:r>
              <w:rPr>
                <w:rFonts w:hint="eastAsia" w:ascii="宋体" w:hAnsi="宋体"/>
                <w:color w:val="auto"/>
                <w:szCs w:val="21"/>
                <w:highlight w:val="none"/>
              </w:rPr>
              <w:t>需支持随时开启分享功能，实现即时直播，听课端无需下载软件，扫描二维码即可进入直播课堂并进行互动。开通直播后生成直播海报、直播码，易于分享，多人观看无压力，且支持手机端、PC端观看直播，可实现课堂实时评论。</w:t>
            </w:r>
          </w:p>
          <w:p w14:paraId="22A94376">
            <w:pPr>
              <w:widowControl/>
              <w:numPr>
                <w:ilvl w:val="1"/>
                <w:numId w:val="235"/>
              </w:numPr>
              <w:jc w:val="left"/>
              <w:textAlignment w:val="center"/>
              <w:rPr>
                <w:rFonts w:hint="eastAsia" w:ascii="宋体" w:hAnsi="宋体"/>
                <w:color w:val="auto"/>
                <w:szCs w:val="21"/>
                <w:highlight w:val="none"/>
              </w:rPr>
            </w:pPr>
            <w:r>
              <w:rPr>
                <w:rFonts w:hint="eastAsia" w:ascii="宋体" w:hAnsi="宋体"/>
                <w:color w:val="auto"/>
                <w:szCs w:val="21"/>
                <w:highlight w:val="none"/>
              </w:rPr>
              <w:t>在桌面及摄像头录制场景下，能自动侦测摄像头，可识别出展台摄像头，同时支持摄像头 画面的切换、移动及大小的调整。录制视频可自动保存在本地，也可上传至云端教师空间，结束录制即生成回看视频，可快速浏览录制情况。</w:t>
            </w:r>
          </w:p>
          <w:p w14:paraId="528DDB5C">
            <w:pPr>
              <w:widowControl/>
              <w:numPr>
                <w:ilvl w:val="1"/>
                <w:numId w:val="235"/>
              </w:numPr>
              <w:jc w:val="left"/>
              <w:textAlignment w:val="center"/>
              <w:rPr>
                <w:rFonts w:hint="eastAsia" w:ascii="宋体" w:hAnsi="宋体"/>
                <w:color w:val="auto"/>
                <w:szCs w:val="21"/>
                <w:highlight w:val="none"/>
              </w:rPr>
            </w:pPr>
            <w:r>
              <w:rPr>
                <w:rFonts w:hint="eastAsia" w:ascii="宋体" w:hAnsi="宋体"/>
                <w:color w:val="auto"/>
                <w:szCs w:val="21"/>
                <w:highlight w:val="none"/>
              </w:rPr>
              <w:t>录制列表支持按时间查找所有已录制视频并可查看录制详情，包括录制日期、文件大小、 上传状态，同时可扫码回看所有已上传视频。录制视频支持点播、分享、编辑等功能，也可将视频共享到学校空间，方便校本资源的建设和管理。</w:t>
            </w:r>
          </w:p>
          <w:p w14:paraId="27253BEE">
            <w:pPr>
              <w:widowControl/>
              <w:jc w:val="left"/>
              <w:textAlignment w:val="center"/>
              <w:rPr>
                <w:rFonts w:hint="eastAsia" w:ascii="宋体" w:hAnsi="宋体"/>
                <w:b/>
                <w:bCs/>
                <w:color w:val="auto"/>
                <w:szCs w:val="21"/>
                <w:highlight w:val="none"/>
              </w:rPr>
            </w:pPr>
            <w:r>
              <w:rPr>
                <w:rFonts w:hint="eastAsia" w:ascii="宋体" w:hAnsi="宋体"/>
                <w:b/>
                <w:bCs/>
                <w:color w:val="auto"/>
                <w:szCs w:val="21"/>
                <w:highlight w:val="none"/>
              </w:rPr>
              <w:t>十一、AI教学功能</w:t>
            </w:r>
          </w:p>
          <w:p w14:paraId="5A78D554">
            <w:pPr>
              <w:widowControl/>
              <w:numPr>
                <w:ilvl w:val="0"/>
                <w:numId w:val="236"/>
              </w:numPr>
              <w:jc w:val="left"/>
              <w:textAlignment w:val="center"/>
              <w:rPr>
                <w:rFonts w:hint="eastAsia" w:ascii="宋体" w:hAnsi="宋体"/>
                <w:color w:val="auto"/>
                <w:szCs w:val="21"/>
                <w:highlight w:val="none"/>
              </w:rPr>
            </w:pPr>
            <w:r>
              <w:rPr>
                <w:rFonts w:hint="eastAsia" w:ascii="宋体" w:hAnsi="宋体"/>
                <w:color w:val="auto"/>
                <w:szCs w:val="21"/>
                <w:highlight w:val="none"/>
              </w:rPr>
              <w:t>提供符合教师授课场景的教学桌面系统。</w:t>
            </w:r>
          </w:p>
          <w:p w14:paraId="689CD65F">
            <w:pPr>
              <w:widowControl/>
              <w:numPr>
                <w:ilvl w:val="0"/>
                <w:numId w:val="236"/>
              </w:numPr>
              <w:jc w:val="left"/>
              <w:textAlignment w:val="center"/>
              <w:rPr>
                <w:rFonts w:hint="eastAsia" w:ascii="宋体" w:hAnsi="宋体"/>
                <w:color w:val="auto"/>
                <w:szCs w:val="21"/>
                <w:highlight w:val="none"/>
              </w:rPr>
            </w:pPr>
            <w:r>
              <w:rPr>
                <w:rFonts w:hint="eastAsia" w:ascii="宋体" w:hAnsi="宋体"/>
                <w:color w:val="auto"/>
                <w:szCs w:val="21"/>
                <w:highlight w:val="none"/>
              </w:rPr>
              <w:t>教师授课常用应用放至主页，单击即可打开应用，方便教师快捷调用软件，支持根据个人使用习惯，自定义主页应用。</w:t>
            </w:r>
          </w:p>
          <w:p w14:paraId="63D8F910">
            <w:pPr>
              <w:widowControl/>
              <w:numPr>
                <w:ilvl w:val="0"/>
                <w:numId w:val="236"/>
              </w:numPr>
              <w:jc w:val="left"/>
              <w:textAlignment w:val="center"/>
              <w:rPr>
                <w:rFonts w:hint="eastAsia" w:ascii="宋体" w:hAnsi="宋体"/>
                <w:color w:val="auto"/>
                <w:szCs w:val="21"/>
                <w:highlight w:val="none"/>
              </w:rPr>
            </w:pPr>
            <w:r>
              <w:rPr>
                <w:rFonts w:hint="eastAsia" w:ascii="宋体" w:hAnsi="宋体"/>
                <w:color w:val="auto"/>
                <w:szCs w:val="21"/>
                <w:highlight w:val="none"/>
              </w:rPr>
              <w:t>开机进入教学桌面，教师可按照自己使用习惯，更换常用软件、背景，形成教师的定制化桌面。可通过登录账户，在其他设备上同步展示教师定制化教学桌面，可添加常用教学互动AI小组件，包括班里挑一、击鼓传花、自动点名、时钟、计算器、文件管理器等。</w:t>
            </w:r>
          </w:p>
          <w:p w14:paraId="15D7D300">
            <w:pPr>
              <w:widowControl/>
              <w:numPr>
                <w:ilvl w:val="0"/>
                <w:numId w:val="236"/>
              </w:numPr>
              <w:jc w:val="left"/>
              <w:textAlignment w:val="center"/>
              <w:rPr>
                <w:rFonts w:hint="eastAsia" w:ascii="宋体" w:hAnsi="宋体"/>
                <w:color w:val="auto"/>
                <w:szCs w:val="21"/>
                <w:highlight w:val="none"/>
              </w:rPr>
            </w:pPr>
            <w:r>
              <w:rPr>
                <w:rFonts w:hint="eastAsia" w:ascii="宋体" w:hAnsi="宋体"/>
                <w:color w:val="auto"/>
                <w:szCs w:val="21"/>
                <w:highlight w:val="none"/>
              </w:rPr>
              <w:t>不少于4种登录方式，包括账号密码登录、验证码登录、人脸登录、声纹登录等，教师登录系统后打开其他应用及空间，可进行快捷登录，无需再次输入账户密码。</w:t>
            </w:r>
          </w:p>
          <w:p w14:paraId="13C667F7">
            <w:pPr>
              <w:widowControl/>
              <w:numPr>
                <w:ilvl w:val="0"/>
                <w:numId w:val="236"/>
              </w:numPr>
              <w:jc w:val="left"/>
              <w:textAlignment w:val="center"/>
              <w:rPr>
                <w:rFonts w:hint="eastAsia" w:ascii="宋体" w:hAnsi="宋体"/>
                <w:color w:val="auto"/>
                <w:szCs w:val="21"/>
                <w:highlight w:val="none"/>
              </w:rPr>
            </w:pPr>
            <w:r>
              <w:rPr>
                <w:rFonts w:hint="eastAsia" w:ascii="宋体" w:hAnsi="宋体"/>
                <w:color w:val="auto"/>
                <w:szCs w:val="21"/>
                <w:highlight w:val="none"/>
              </w:rPr>
              <w:t>具备AI教学管理功能模块，包括AI一键备课、教学资源、课程设计、我的资源等常用教学功能模块。</w:t>
            </w:r>
          </w:p>
          <w:p w14:paraId="3D8F34B7">
            <w:pPr>
              <w:widowControl/>
              <w:numPr>
                <w:ilvl w:val="0"/>
                <w:numId w:val="236"/>
              </w:numPr>
              <w:jc w:val="left"/>
              <w:textAlignment w:val="center"/>
              <w:rPr>
                <w:rFonts w:hint="eastAsia" w:ascii="宋体" w:hAnsi="宋体"/>
                <w:color w:val="auto"/>
                <w:szCs w:val="21"/>
                <w:highlight w:val="none"/>
              </w:rPr>
            </w:pPr>
            <w:r>
              <w:rPr>
                <w:rFonts w:hint="eastAsia" w:ascii="宋体" w:hAnsi="宋体"/>
                <w:color w:val="auto"/>
                <w:szCs w:val="21"/>
                <w:highlight w:val="none"/>
              </w:rPr>
              <w:t>用户可以通过学段、年级、学科/专业、页数的筛选设置，实现AI一键备课；具备AI一键生成教学大纲的功能，教学大纲具备简洁、标准、丰富等不少于三种样式可选；课件内容支持内容AI重写，可实现对文字内容进行文案重写、丰富内容、精简内容、改写语气、文本翻译等，图片AI优化功能，支持图片AI优化，可实现AI重新生成图片、AI智能抠图、提取图片内文字内容等。</w:t>
            </w:r>
          </w:p>
          <w:p w14:paraId="39E61CFC">
            <w:pPr>
              <w:widowControl/>
              <w:numPr>
                <w:ilvl w:val="0"/>
                <w:numId w:val="236"/>
              </w:numPr>
              <w:jc w:val="left"/>
              <w:textAlignment w:val="center"/>
              <w:rPr>
                <w:rFonts w:hint="eastAsia" w:ascii="宋体" w:hAnsi="宋体"/>
                <w:color w:val="auto"/>
                <w:szCs w:val="21"/>
                <w:highlight w:val="none"/>
              </w:rPr>
            </w:pPr>
            <w:r>
              <w:rPr>
                <w:rFonts w:hint="eastAsia" w:ascii="宋体" w:hAnsi="宋体"/>
                <w:color w:val="auto"/>
                <w:szCs w:val="21"/>
                <w:highlight w:val="none"/>
              </w:rPr>
              <w:t>用户可以通过输入关键词筛选学科资源，也可以通过设置教育类型、学段、年级、学科、教材版本等信息条件筛选学科资源，可通过窗口化预览学科资源（图片、文档、视频）。</w:t>
            </w:r>
          </w:p>
          <w:p w14:paraId="4BF2B47B">
            <w:pPr>
              <w:widowControl/>
              <w:numPr>
                <w:ilvl w:val="0"/>
                <w:numId w:val="236"/>
              </w:numPr>
              <w:jc w:val="left"/>
              <w:textAlignment w:val="center"/>
              <w:rPr>
                <w:rFonts w:hint="eastAsia" w:ascii="宋体" w:hAnsi="宋体"/>
                <w:color w:val="auto"/>
                <w:szCs w:val="21"/>
                <w:highlight w:val="none"/>
              </w:rPr>
            </w:pPr>
            <w:r>
              <w:rPr>
                <w:rFonts w:hint="eastAsia" w:ascii="宋体" w:hAnsi="宋体"/>
                <w:color w:val="auto"/>
                <w:szCs w:val="21"/>
                <w:highlight w:val="none"/>
              </w:rPr>
              <w:t>具备课程管理管理功能，可创建、修改课程信息，可设置课程日期、地点、开始时间、结束时间、重复周期，支持上传多种格式文档，文档格式包括txt、pdf、doc、docx、xls、xlsx、cvs、xml、ppt、pptx等，可通过日、周、月等不同时间维度查看课表信息。</w:t>
            </w:r>
          </w:p>
          <w:p w14:paraId="3902B0B8">
            <w:pPr>
              <w:widowControl/>
              <w:numPr>
                <w:ilvl w:val="0"/>
                <w:numId w:val="236"/>
              </w:numPr>
              <w:jc w:val="left"/>
              <w:textAlignment w:val="center"/>
              <w:rPr>
                <w:rFonts w:hint="eastAsia" w:ascii="宋体" w:hAnsi="宋体"/>
                <w:color w:val="auto"/>
                <w:szCs w:val="21"/>
                <w:highlight w:val="none"/>
              </w:rPr>
            </w:pPr>
            <w:r>
              <w:rPr>
                <w:rFonts w:hint="eastAsia" w:ascii="宋体" w:hAnsi="宋体"/>
                <w:color w:val="auto"/>
                <w:szCs w:val="21"/>
                <w:highlight w:val="none"/>
              </w:rPr>
              <w:t>具备个人教学管理功能，可对个人资源进行预览、下载、删除、编辑、修改、重命名等操作，可查看历史生成课件记录、历史浏览课件记录。</w:t>
            </w:r>
          </w:p>
          <w:p w14:paraId="37425B1C">
            <w:pPr>
              <w:widowControl/>
              <w:numPr>
                <w:ilvl w:val="0"/>
                <w:numId w:val="236"/>
              </w:numPr>
              <w:jc w:val="left"/>
              <w:textAlignment w:val="center"/>
              <w:rPr>
                <w:rFonts w:hint="eastAsia" w:ascii="宋体" w:hAnsi="宋体"/>
                <w:color w:val="auto"/>
                <w:szCs w:val="21"/>
                <w:highlight w:val="none"/>
              </w:rPr>
            </w:pPr>
            <w:r>
              <w:rPr>
                <w:rFonts w:hint="eastAsia" w:ascii="宋体" w:hAnsi="宋体"/>
                <w:color w:val="auto"/>
                <w:szCs w:val="21"/>
                <w:highlight w:val="none"/>
              </w:rPr>
              <w:t>具备AI口语对练功能模块，支持跟读训练、场景对话、自由对话等≥3种口语对练方式。</w:t>
            </w:r>
          </w:p>
          <w:p w14:paraId="07AE19F7">
            <w:pPr>
              <w:widowControl/>
              <w:numPr>
                <w:ilvl w:val="0"/>
                <w:numId w:val="236"/>
              </w:numPr>
              <w:jc w:val="left"/>
              <w:textAlignment w:val="center"/>
              <w:rPr>
                <w:rFonts w:hint="eastAsia" w:ascii="宋体" w:hAnsi="宋体"/>
                <w:color w:val="auto"/>
                <w:szCs w:val="21"/>
                <w:highlight w:val="none"/>
              </w:rPr>
            </w:pPr>
            <w:r>
              <w:rPr>
                <w:rFonts w:hint="eastAsia" w:ascii="宋体" w:hAnsi="宋体"/>
                <w:color w:val="auto"/>
                <w:szCs w:val="21"/>
                <w:highlight w:val="none"/>
              </w:rPr>
              <w:t>支持AI语音对话，支持语音资源检索，并可一键将获取的文本内容、图片、视频等资源插入白板，提高教学效率。</w:t>
            </w:r>
          </w:p>
          <w:p w14:paraId="3D26D593">
            <w:pPr>
              <w:widowControl/>
              <w:numPr>
                <w:ilvl w:val="0"/>
                <w:numId w:val="236"/>
              </w:numPr>
              <w:jc w:val="left"/>
              <w:textAlignment w:val="center"/>
              <w:rPr>
                <w:rFonts w:hint="eastAsia" w:ascii="宋体" w:hAnsi="宋体"/>
                <w:color w:val="auto"/>
                <w:szCs w:val="21"/>
                <w:highlight w:val="none"/>
              </w:rPr>
            </w:pPr>
            <w:r>
              <w:rPr>
                <w:rFonts w:hint="eastAsia" w:ascii="宋体" w:hAnsi="宋体"/>
                <w:color w:val="auto"/>
                <w:szCs w:val="21"/>
                <w:highlight w:val="none"/>
              </w:rPr>
              <w:t>AI语音对话具备大模型对话功能，最大支持50轮对话；具备查看历史对话的功能。</w:t>
            </w:r>
          </w:p>
          <w:p w14:paraId="15DC2EC3">
            <w:pPr>
              <w:widowControl/>
              <w:numPr>
                <w:ilvl w:val="0"/>
                <w:numId w:val="236"/>
              </w:numPr>
              <w:jc w:val="left"/>
              <w:textAlignment w:val="center"/>
              <w:rPr>
                <w:rFonts w:hint="eastAsia" w:ascii="宋体" w:hAnsi="宋体"/>
                <w:color w:val="auto"/>
                <w:szCs w:val="21"/>
                <w:highlight w:val="none"/>
              </w:rPr>
            </w:pPr>
            <w:r>
              <w:rPr>
                <w:rFonts w:hint="eastAsia" w:ascii="宋体" w:hAnsi="宋体"/>
                <w:color w:val="auto"/>
                <w:szCs w:val="21"/>
                <w:highlight w:val="none"/>
              </w:rPr>
              <w:t>可通过手动唤醒和语音唤醒两种方式唤醒悬浮窗AI助教的功能，支持通过语音控制设备的控制，例如音量、亮度、信号源设置等，可通过语音一键进入备课界面、资源界面、课程设计界面、我的资源界面。</w:t>
            </w:r>
          </w:p>
          <w:p w14:paraId="3AFAB7D2">
            <w:pPr>
              <w:widowControl/>
              <w:numPr>
                <w:ilvl w:val="0"/>
                <w:numId w:val="236"/>
              </w:numPr>
              <w:jc w:val="left"/>
              <w:textAlignment w:val="center"/>
              <w:rPr>
                <w:rFonts w:hint="eastAsia" w:ascii="宋体" w:hAnsi="宋体"/>
                <w:color w:val="auto"/>
                <w:szCs w:val="21"/>
                <w:highlight w:val="none"/>
              </w:rPr>
            </w:pPr>
            <w:r>
              <w:rPr>
                <w:rFonts w:hint="eastAsia" w:ascii="宋体" w:hAnsi="宋体"/>
                <w:color w:val="auto"/>
                <w:szCs w:val="21"/>
                <w:highlight w:val="none"/>
              </w:rPr>
              <w:t>可在大屏端和电脑端实现教师空间功能，个人电脑端也支持账号密码登录、验证码登录、人脸登录、声纹登录等不少于四种登录方式，可通过教师空间一键启动AI教学管理、课堂评价、班里挑一、击鼓传花、自动点名、时钟、计算器、文件管理器等功能。</w:t>
            </w:r>
          </w:p>
        </w:tc>
        <w:tc>
          <w:tcPr>
            <w:tcW w:w="863" w:type="dxa"/>
            <w:gridSpan w:val="4"/>
            <w:vAlign w:val="center"/>
          </w:tcPr>
          <w:p w14:paraId="3F6AC9FB">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套</w:t>
            </w:r>
          </w:p>
        </w:tc>
        <w:tc>
          <w:tcPr>
            <w:tcW w:w="925" w:type="dxa"/>
            <w:gridSpan w:val="3"/>
            <w:vAlign w:val="center"/>
          </w:tcPr>
          <w:p w14:paraId="7ED38217">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5</w:t>
            </w:r>
          </w:p>
        </w:tc>
      </w:tr>
      <w:tr w14:paraId="4BE4B4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1732DCCE">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w:t>
            </w:r>
          </w:p>
        </w:tc>
        <w:tc>
          <w:tcPr>
            <w:tcW w:w="1227" w:type="dxa"/>
            <w:shd w:val="clear" w:color="auto" w:fill="FFFFFF"/>
            <w:vAlign w:val="center"/>
          </w:tcPr>
          <w:p w14:paraId="154D9804">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展台</w:t>
            </w:r>
          </w:p>
        </w:tc>
        <w:tc>
          <w:tcPr>
            <w:tcW w:w="6167" w:type="dxa"/>
            <w:vAlign w:val="center"/>
          </w:tcPr>
          <w:p w14:paraId="5CCD8860">
            <w:pPr>
              <w:widowControl/>
              <w:numPr>
                <w:ilvl w:val="0"/>
                <w:numId w:val="237"/>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整机采用高清摄像头设计，</w:t>
            </w:r>
            <w:r>
              <w:rPr>
                <w:rFonts w:hint="eastAsia" w:ascii="宋体" w:hAnsi="宋体"/>
                <w:color w:val="auto"/>
                <w:szCs w:val="21"/>
                <w:highlight w:val="none"/>
              </w:rPr>
              <w:t>≥</w:t>
            </w:r>
            <w:r>
              <w:rPr>
                <w:rFonts w:hint="eastAsia" w:ascii="宋体" w:hAnsi="宋体"/>
                <w:color w:val="auto"/>
                <w:kern w:val="0"/>
                <w:szCs w:val="21"/>
                <w:highlight w:val="none"/>
                <w:lang w:bidi="ar"/>
              </w:rPr>
              <w:t>1600万像素定焦镜头，解析度</w:t>
            </w:r>
            <w:r>
              <w:rPr>
                <w:rFonts w:hint="eastAsia" w:ascii="宋体" w:hAnsi="宋体"/>
                <w:color w:val="auto"/>
                <w:szCs w:val="21"/>
                <w:highlight w:val="none"/>
              </w:rPr>
              <w:t>≥</w:t>
            </w:r>
            <w:r>
              <w:rPr>
                <w:rFonts w:hint="eastAsia" w:ascii="宋体" w:hAnsi="宋体"/>
                <w:color w:val="auto"/>
                <w:kern w:val="0"/>
                <w:szCs w:val="21"/>
                <w:highlight w:val="none"/>
                <w:lang w:bidi="ar"/>
              </w:rPr>
              <w:t>1400TV线，使画面展示更加清晰。</w:t>
            </w:r>
          </w:p>
          <w:p w14:paraId="53F5AA2F">
            <w:pPr>
              <w:widowControl/>
              <w:numPr>
                <w:ilvl w:val="0"/>
                <w:numId w:val="237"/>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光源补偿：LED五级光源补偿。</w:t>
            </w:r>
          </w:p>
          <w:p w14:paraId="128EA8B7">
            <w:pPr>
              <w:widowControl/>
              <w:numPr>
                <w:ilvl w:val="0"/>
                <w:numId w:val="237"/>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支持六张图片及以上同屏对比，每张图片独立批注，不可跨区域批注，并可对单张图片进行旋转、全屏、缩放、删除等操作。</w:t>
            </w:r>
          </w:p>
          <w:p w14:paraId="05EB2D94">
            <w:pPr>
              <w:widowControl/>
              <w:numPr>
                <w:ilvl w:val="0"/>
                <w:numId w:val="237"/>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为增强文字显示对比度，具备AI拍照的功能，并可根据的实际使用需求开启或关闭。</w:t>
            </w:r>
          </w:p>
          <w:p w14:paraId="2A4049FA">
            <w:pPr>
              <w:widowControl/>
              <w:numPr>
                <w:ilvl w:val="0"/>
                <w:numId w:val="237"/>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可通过屏幕左下画面缩略图，在展示画面放大的情况下，快速移动到达画面任意位置，实现鸟瞰功能。</w:t>
            </w:r>
          </w:p>
          <w:p w14:paraId="7F62D309">
            <w:pPr>
              <w:widowControl/>
              <w:numPr>
                <w:ilvl w:val="0"/>
                <w:numId w:val="237"/>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支持多指长按屏幕实现漫游，手背擦除，两指捏合放大缩小等多种手势操作，方便使用。</w:t>
            </w:r>
          </w:p>
          <w:p w14:paraId="0D46EA99">
            <w:pPr>
              <w:widowControl/>
              <w:numPr>
                <w:ilvl w:val="0"/>
                <w:numId w:val="237"/>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需支持对展台性能进行检测，包含但不限于硬件连线连接情况与摄像头占用情况。</w:t>
            </w:r>
          </w:p>
        </w:tc>
        <w:tc>
          <w:tcPr>
            <w:tcW w:w="863" w:type="dxa"/>
            <w:gridSpan w:val="4"/>
            <w:vAlign w:val="center"/>
          </w:tcPr>
          <w:p w14:paraId="74A29977">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套</w:t>
            </w:r>
          </w:p>
        </w:tc>
        <w:tc>
          <w:tcPr>
            <w:tcW w:w="925" w:type="dxa"/>
            <w:gridSpan w:val="3"/>
            <w:vAlign w:val="center"/>
          </w:tcPr>
          <w:p w14:paraId="1CE658AD">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5</w:t>
            </w:r>
          </w:p>
        </w:tc>
      </w:tr>
      <w:tr w14:paraId="38464B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1FF8C8AF">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3</w:t>
            </w:r>
          </w:p>
        </w:tc>
        <w:tc>
          <w:tcPr>
            <w:tcW w:w="1227" w:type="dxa"/>
            <w:shd w:val="clear" w:color="auto" w:fill="FFFFFF"/>
            <w:vAlign w:val="center"/>
          </w:tcPr>
          <w:p w14:paraId="26379B7F">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连接软件</w:t>
            </w:r>
          </w:p>
        </w:tc>
        <w:tc>
          <w:tcPr>
            <w:tcW w:w="6167" w:type="dxa"/>
            <w:vAlign w:val="center"/>
          </w:tcPr>
          <w:p w14:paraId="3E551A46">
            <w:pPr>
              <w:widowControl/>
              <w:jc w:val="left"/>
              <w:textAlignment w:val="center"/>
              <w:rPr>
                <w:rFonts w:hint="eastAsia" w:ascii="宋体" w:hAnsi="宋体"/>
                <w:b/>
                <w:bCs/>
                <w:color w:val="auto"/>
                <w:szCs w:val="21"/>
                <w:highlight w:val="none"/>
              </w:rPr>
            </w:pPr>
            <w:r>
              <w:rPr>
                <w:rFonts w:hint="eastAsia" w:ascii="宋体" w:hAnsi="宋体"/>
                <w:b/>
                <w:bCs/>
                <w:color w:val="auto"/>
                <w:szCs w:val="21"/>
                <w:highlight w:val="none"/>
              </w:rPr>
              <w:t>一、基础平台</w:t>
            </w:r>
          </w:p>
          <w:p w14:paraId="61DDBFAD">
            <w:pPr>
              <w:widowControl/>
              <w:numPr>
                <w:ilvl w:val="1"/>
                <w:numId w:val="238"/>
              </w:numPr>
              <w:jc w:val="left"/>
              <w:textAlignment w:val="center"/>
              <w:rPr>
                <w:rFonts w:hint="eastAsia" w:ascii="宋体" w:hAnsi="宋体"/>
                <w:color w:val="auto"/>
                <w:szCs w:val="21"/>
                <w:highlight w:val="none"/>
              </w:rPr>
            </w:pPr>
            <w:r>
              <w:rPr>
                <w:rFonts w:hint="eastAsia" w:ascii="宋体" w:hAnsi="宋体"/>
                <w:color w:val="auto"/>
                <w:szCs w:val="21"/>
                <w:highlight w:val="none"/>
              </w:rPr>
              <w:t>基础平台支持账号密码、扫码登录用户基础平台。</w:t>
            </w:r>
          </w:p>
          <w:p w14:paraId="130F3E4C">
            <w:pPr>
              <w:widowControl/>
              <w:numPr>
                <w:ilvl w:val="1"/>
                <w:numId w:val="238"/>
              </w:numPr>
              <w:jc w:val="left"/>
              <w:textAlignment w:val="center"/>
              <w:rPr>
                <w:rFonts w:hint="eastAsia" w:ascii="宋体" w:hAnsi="宋体"/>
                <w:color w:val="auto"/>
                <w:szCs w:val="21"/>
                <w:highlight w:val="none"/>
              </w:rPr>
            </w:pPr>
            <w:r>
              <w:rPr>
                <w:rFonts w:hint="eastAsia" w:ascii="宋体" w:hAnsi="宋体"/>
                <w:color w:val="auto"/>
                <w:szCs w:val="21"/>
                <w:highlight w:val="none"/>
              </w:rPr>
              <w:t>权限应用，基础平台设置模块管理员，模块管理员设置使用人员，并为使用人员设置权限，使用人员只能使用授权部分的功能。</w:t>
            </w:r>
          </w:p>
          <w:p w14:paraId="4AD5930B">
            <w:pPr>
              <w:widowControl/>
              <w:numPr>
                <w:ilvl w:val="1"/>
                <w:numId w:val="238"/>
              </w:numPr>
              <w:jc w:val="left"/>
              <w:textAlignment w:val="center"/>
              <w:rPr>
                <w:rFonts w:hint="eastAsia" w:ascii="宋体" w:hAnsi="宋体"/>
                <w:color w:val="auto"/>
                <w:szCs w:val="21"/>
                <w:highlight w:val="none"/>
              </w:rPr>
            </w:pPr>
            <w:r>
              <w:rPr>
                <w:rFonts w:hint="eastAsia" w:ascii="宋体" w:hAnsi="宋体"/>
                <w:color w:val="auto"/>
                <w:szCs w:val="21"/>
                <w:highlight w:val="none"/>
              </w:rPr>
              <w:t>支持移动端、PC网页同时操作，包含用户管理、单位管理、基础设置、应用管理、日志管理等。</w:t>
            </w:r>
          </w:p>
          <w:p w14:paraId="7E76F7FD">
            <w:pPr>
              <w:widowControl/>
              <w:jc w:val="left"/>
              <w:textAlignment w:val="center"/>
              <w:rPr>
                <w:rFonts w:hint="eastAsia" w:ascii="宋体" w:hAnsi="宋体"/>
                <w:b/>
                <w:bCs/>
                <w:color w:val="auto"/>
                <w:szCs w:val="21"/>
                <w:highlight w:val="none"/>
              </w:rPr>
            </w:pPr>
            <w:r>
              <w:rPr>
                <w:rFonts w:hint="eastAsia" w:ascii="宋体" w:hAnsi="宋体"/>
                <w:b/>
                <w:bCs/>
                <w:color w:val="auto"/>
                <w:szCs w:val="21"/>
                <w:highlight w:val="none"/>
              </w:rPr>
              <w:t>二、教师工作台</w:t>
            </w:r>
          </w:p>
          <w:p w14:paraId="3514B3CD">
            <w:pPr>
              <w:widowControl/>
              <w:numPr>
                <w:ilvl w:val="0"/>
                <w:numId w:val="239"/>
              </w:numPr>
              <w:jc w:val="left"/>
              <w:textAlignment w:val="center"/>
              <w:rPr>
                <w:rFonts w:hint="eastAsia" w:ascii="宋体" w:hAnsi="宋体"/>
                <w:color w:val="auto"/>
                <w:szCs w:val="21"/>
                <w:highlight w:val="none"/>
              </w:rPr>
            </w:pPr>
            <w:r>
              <w:rPr>
                <w:rFonts w:hint="eastAsia" w:ascii="宋体" w:hAnsi="宋体"/>
                <w:color w:val="auto"/>
                <w:szCs w:val="21"/>
                <w:highlight w:val="none"/>
              </w:rPr>
              <w:t>通过教师工作台客户端使用。</w:t>
            </w:r>
          </w:p>
          <w:p w14:paraId="764281EE">
            <w:pPr>
              <w:widowControl/>
              <w:numPr>
                <w:ilvl w:val="0"/>
                <w:numId w:val="239"/>
              </w:numPr>
              <w:jc w:val="left"/>
              <w:textAlignment w:val="center"/>
              <w:rPr>
                <w:rFonts w:hint="eastAsia" w:ascii="宋体" w:hAnsi="宋体"/>
                <w:color w:val="auto"/>
                <w:szCs w:val="21"/>
                <w:highlight w:val="none"/>
              </w:rPr>
            </w:pPr>
            <w:r>
              <w:rPr>
                <w:rFonts w:hint="eastAsia" w:ascii="宋体" w:hAnsi="宋体"/>
                <w:color w:val="auto"/>
                <w:szCs w:val="21"/>
                <w:highlight w:val="none"/>
              </w:rPr>
              <w:t xml:space="preserve">教师工作台客户端包含备课、授课、听评课、教研、阅卷、培训。 </w:t>
            </w:r>
          </w:p>
          <w:p w14:paraId="707F8C15">
            <w:pPr>
              <w:widowControl/>
              <w:numPr>
                <w:ilvl w:val="0"/>
                <w:numId w:val="239"/>
              </w:numPr>
              <w:jc w:val="left"/>
              <w:textAlignment w:val="center"/>
              <w:rPr>
                <w:rFonts w:hint="eastAsia" w:ascii="宋体" w:hAnsi="宋体"/>
                <w:color w:val="auto"/>
                <w:szCs w:val="21"/>
                <w:highlight w:val="none"/>
              </w:rPr>
            </w:pPr>
            <w:r>
              <w:rPr>
                <w:rFonts w:hint="eastAsia" w:ascii="宋体" w:hAnsi="宋体"/>
                <w:color w:val="auto"/>
                <w:szCs w:val="21"/>
                <w:highlight w:val="none"/>
              </w:rPr>
              <w:t>备课：包含备课、备课记录。依据教师工作台－教务教导－教务的分班和教师分工，自动生成备课目录。①备课支持点击未备课去备课；支持模拟授课；支持查看备课预览；支持编辑已备课内容；支持云端保存备课内容；支持教案预览；支持授课模拟；支持备课设置；支持编辑教学环节；支持删除教学环节；支持备课列表、资源列表、题库等线上资源的引用；支持本地资源上传PPT、文档、图片、视频、音频资源。②备课记录支持展示已备课列表；支持选择学期查看备课记录；支持引用备课；支持授课。</w:t>
            </w:r>
          </w:p>
          <w:p w14:paraId="682DEEF2">
            <w:pPr>
              <w:widowControl/>
              <w:numPr>
                <w:ilvl w:val="0"/>
                <w:numId w:val="239"/>
              </w:numPr>
              <w:jc w:val="left"/>
              <w:textAlignment w:val="center"/>
              <w:rPr>
                <w:rFonts w:hint="eastAsia" w:ascii="宋体" w:hAnsi="宋体"/>
                <w:color w:val="auto"/>
                <w:szCs w:val="21"/>
                <w:highlight w:val="none"/>
              </w:rPr>
            </w:pPr>
            <w:r>
              <w:rPr>
                <w:rFonts w:hint="eastAsia" w:ascii="宋体" w:hAnsi="宋体"/>
                <w:color w:val="auto"/>
                <w:szCs w:val="21"/>
                <w:highlight w:val="none"/>
              </w:rPr>
              <w:t>授课：包含授课、授课记录。①授课支持点击授课、选择班级进入授课页面。授课页面包含资源、鼠标、画笔、板擦、撤销、应用、退出。授课资源支持大屏展示PPT、文档、图片、视频、音频等资源。鼠标支持点击鼠标播放功能。画笔支持选择颜色在大屏进行标记操作。板擦支持点击擦线对标记内容擦拭；支持点击清屏清空标记内容；支持点击撤销标记操作；支持点击恢复标记操作。撤销支持撤销之前操作。应用包含通用（包含设置、手机、展台、文本、计时、截图、框选、网络、听评码）、工具（包含考勤、点名）、学科（包含作图、计算器）。通用－设置支持查看/选择默认展台设置、绿板颜色设置；设置－手机支持教师在APP端输入码用手机控制大屏操作；设置－文本支持编辑文字内容；设置－计时支持开始计时/倒计时；支持重置计时；设置－截图支持对屏幕进行截图；设置－框选支持框选内容；设置－网络支持输入内容直接在网页版查询；设置－听评码支持在APP端扫码或输入听评码进行听评课。工具－考勤支持导入班级学生名单；支持显示班级人数。工具－点名支持抽取随机点名；支持评价。学科－作图支持线条、颜色等进行作图；学科－计算器支持使用计算器功能。②授课记录支持展示已授课列表；支持选择学期查看授课记录；支持教师直接授课。</w:t>
            </w:r>
          </w:p>
          <w:p w14:paraId="4534BAB7">
            <w:pPr>
              <w:widowControl/>
              <w:numPr>
                <w:ilvl w:val="0"/>
                <w:numId w:val="239"/>
              </w:numPr>
              <w:jc w:val="left"/>
              <w:textAlignment w:val="center"/>
              <w:rPr>
                <w:rFonts w:hint="eastAsia" w:ascii="宋体" w:hAnsi="宋体"/>
                <w:color w:val="auto"/>
                <w:szCs w:val="21"/>
                <w:highlight w:val="none"/>
              </w:rPr>
            </w:pPr>
            <w:r>
              <w:rPr>
                <w:rFonts w:hint="eastAsia" w:ascii="宋体" w:hAnsi="宋体"/>
                <w:color w:val="auto"/>
                <w:szCs w:val="21"/>
                <w:highlight w:val="none"/>
              </w:rPr>
              <w:t xml:space="preserve">听评课：包含听课、听课记录。①听课支持教师进入课堂听课；支持签到；支持查看教师备课素材和备课教案；支持添加课堂笔记；支持教师互动；支持教师对听课内容进行评价。②听课记录支持查看听课记录列表，包含序号、授课学校、授课班级、授课教师、授课标题、操作。 </w:t>
            </w:r>
          </w:p>
          <w:p w14:paraId="12EBE18A">
            <w:pPr>
              <w:widowControl/>
              <w:numPr>
                <w:ilvl w:val="0"/>
                <w:numId w:val="239"/>
              </w:numPr>
              <w:jc w:val="left"/>
              <w:textAlignment w:val="center"/>
              <w:rPr>
                <w:rFonts w:hint="eastAsia" w:ascii="宋体" w:hAnsi="宋体"/>
                <w:color w:val="auto"/>
                <w:szCs w:val="21"/>
                <w:highlight w:val="none"/>
              </w:rPr>
            </w:pPr>
            <w:r>
              <w:rPr>
                <w:rFonts w:hint="eastAsia" w:ascii="宋体" w:hAnsi="宋体"/>
                <w:color w:val="auto"/>
                <w:szCs w:val="21"/>
                <w:highlight w:val="none"/>
              </w:rPr>
              <w:t xml:space="preserve">教研：包含教研动态、优秀资源、优秀授课、优秀课例。教研动态支持学校工作台－教务教导－教研管理－教研文章发布的文章在教研动态展示。优秀资源支持查看推优的资源列表，列表包含序号、资源名称、学校、教师、日期。优秀授课支持查看优秀授课列表，列表包含序号、课题、学校、授课教师、日期。优秀课例支持查看优秀课例列表，列表包含序号、课题、学校、备课教师、日期。 </w:t>
            </w:r>
          </w:p>
          <w:p w14:paraId="7E38238D">
            <w:pPr>
              <w:widowControl/>
              <w:numPr>
                <w:ilvl w:val="0"/>
                <w:numId w:val="239"/>
              </w:numPr>
              <w:jc w:val="left"/>
              <w:textAlignment w:val="center"/>
              <w:rPr>
                <w:rFonts w:hint="eastAsia" w:ascii="宋体" w:hAnsi="宋体"/>
                <w:color w:val="auto"/>
                <w:szCs w:val="21"/>
                <w:highlight w:val="none"/>
              </w:rPr>
            </w:pPr>
            <w:r>
              <w:rPr>
                <w:rFonts w:hint="eastAsia" w:ascii="宋体" w:hAnsi="宋体"/>
                <w:color w:val="auto"/>
                <w:szCs w:val="21"/>
                <w:highlight w:val="none"/>
              </w:rPr>
              <w:t xml:space="preserve">阅卷：支持展示教师工作台创建的考试项目列表；支持对考试项目进行评卷进度查询、评卷质量监控；支持教师阅卷；支持查看教师阅卷进度。 </w:t>
            </w:r>
          </w:p>
          <w:p w14:paraId="4AB8CFCF">
            <w:pPr>
              <w:widowControl/>
              <w:numPr>
                <w:ilvl w:val="0"/>
                <w:numId w:val="239"/>
              </w:numPr>
              <w:jc w:val="left"/>
              <w:textAlignment w:val="center"/>
              <w:rPr>
                <w:rFonts w:hint="eastAsia" w:ascii="宋体" w:hAnsi="宋体"/>
                <w:color w:val="auto"/>
                <w:szCs w:val="21"/>
                <w:highlight w:val="none"/>
              </w:rPr>
            </w:pPr>
            <w:r>
              <w:rPr>
                <w:rFonts w:hint="eastAsia" w:ascii="宋体" w:hAnsi="宋体"/>
                <w:color w:val="auto"/>
                <w:szCs w:val="21"/>
                <w:highlight w:val="none"/>
              </w:rPr>
              <w:t>培训：包含学习、继续教育。①学习包含未学习、已学习。未学习支持查看教师工作台－行政－学习管理发布的文章/视频列表。已学习支持查看已经完成学习的文章/视频列表；支持查看文章/视频详情。②继续教育自动获取教师工作台－个人－继续教育的数据，包含选课中心、学习记录。选课中心支持选择年度、科目查看课程。学习记录支持选择时间查询学习情况，包含序号、名称、开始学习时间、是否完成、累计学习时间、学时、操作。</w:t>
            </w:r>
          </w:p>
          <w:p w14:paraId="2F090E25">
            <w:pPr>
              <w:widowControl/>
              <w:jc w:val="left"/>
              <w:textAlignment w:val="center"/>
              <w:rPr>
                <w:rFonts w:hint="eastAsia" w:ascii="宋体" w:hAnsi="宋体"/>
                <w:b/>
                <w:bCs/>
                <w:color w:val="auto"/>
                <w:szCs w:val="21"/>
                <w:highlight w:val="none"/>
              </w:rPr>
            </w:pPr>
            <w:r>
              <w:rPr>
                <w:rFonts w:hint="eastAsia" w:ascii="宋体" w:hAnsi="宋体"/>
                <w:b/>
                <w:bCs/>
                <w:color w:val="auto"/>
                <w:szCs w:val="21"/>
                <w:highlight w:val="none"/>
              </w:rPr>
              <w:t>三、教育活动管理平台</w:t>
            </w:r>
          </w:p>
          <w:p w14:paraId="09706209">
            <w:pPr>
              <w:widowControl/>
              <w:numPr>
                <w:ilvl w:val="0"/>
                <w:numId w:val="240"/>
              </w:numPr>
              <w:jc w:val="left"/>
              <w:textAlignment w:val="center"/>
              <w:rPr>
                <w:rFonts w:hint="eastAsia" w:ascii="宋体" w:hAnsi="宋体"/>
                <w:color w:val="auto"/>
                <w:szCs w:val="21"/>
                <w:highlight w:val="none"/>
              </w:rPr>
            </w:pPr>
            <w:r>
              <w:rPr>
                <w:rFonts w:hint="eastAsia" w:ascii="宋体" w:hAnsi="宋体"/>
                <w:color w:val="auto"/>
                <w:szCs w:val="21"/>
                <w:highlight w:val="none"/>
              </w:rPr>
              <w:t>通过学校工作台使用该模块，支持移动端、PC网页同时操作，包含赛事管理、证书管理等。</w:t>
            </w:r>
          </w:p>
          <w:p w14:paraId="376D9669">
            <w:pPr>
              <w:widowControl/>
              <w:numPr>
                <w:ilvl w:val="0"/>
                <w:numId w:val="240"/>
              </w:numPr>
              <w:jc w:val="left"/>
              <w:textAlignment w:val="center"/>
              <w:rPr>
                <w:rFonts w:hint="eastAsia" w:ascii="宋体" w:hAnsi="宋体"/>
                <w:color w:val="auto"/>
                <w:szCs w:val="21"/>
                <w:highlight w:val="none"/>
              </w:rPr>
            </w:pPr>
            <w:r>
              <w:rPr>
                <w:rFonts w:hint="eastAsia" w:ascii="宋体" w:hAnsi="宋体"/>
                <w:color w:val="auto"/>
                <w:szCs w:val="21"/>
                <w:highlight w:val="none"/>
              </w:rPr>
              <w:t xml:space="preserve">赛事管理包含赛事列表、设置。①赛事列表：支持输入项目标题搜索相应赛事项目；支持查看赛事项目列表，列表包含序号、项目标题、发布单位、报名时间；支持点击作品列表查看上传信息，包含序号、用户名称、学校名称、参赛学段、学科、课题名称、上传作品、上传时间；支持推优和回退；支持查看作品详情；支持选择学段、学科、推优、输入关键字进行搜索；支持导出报名列表； ②设置：权限管理支持添加/删除权限用户；支持输入姓名搜索权限用户；支持勾选授权权限用户全部/部分功能。 </w:t>
            </w:r>
          </w:p>
          <w:p w14:paraId="02301B41">
            <w:pPr>
              <w:widowControl/>
              <w:numPr>
                <w:ilvl w:val="0"/>
                <w:numId w:val="240"/>
              </w:numPr>
              <w:jc w:val="left"/>
              <w:textAlignment w:val="center"/>
              <w:rPr>
                <w:rFonts w:hint="eastAsia" w:ascii="宋体" w:hAnsi="宋体"/>
                <w:color w:val="auto"/>
                <w:szCs w:val="21"/>
                <w:highlight w:val="none"/>
              </w:rPr>
            </w:pPr>
            <w:r>
              <w:rPr>
                <w:rFonts w:hint="eastAsia" w:ascii="宋体" w:hAnsi="宋体"/>
                <w:color w:val="auto"/>
                <w:szCs w:val="21"/>
                <w:highlight w:val="none"/>
              </w:rPr>
              <w:t>证书管理包含证书管理、证书发布、证书审核、模板制作和设置。 ①证书管理：包含办理中、审核中、已办结。办理中支持新建证书事项，支持查看证书列表，支持查看证书、编辑、排版生成、提交审核、删除等操作；审核中支持输入标题进行搜索，支持查看证书审核列表，包含标题、印证材料&amp;证书名单、制作情况等；已办结支持输入标题进行搜索，支持查看证书办结记录；支持查看证书；支持查看审核信息。 ②证书发布：包含未发布、已发布。未发布支持输入标题进行搜索，支持查看证书列表，支持查看证书、申请盖章、发布和退回等操作；已发布支持输入标题进行搜索，支持已发布的证书列表，支持查看证书、提交作废证书、查看审核信息等操作。 ③证书审核：包含待审核、已审核。待审核支持输入标题进行搜索，支持查看待审核的证书列表；已审核支持查看已审核的证书列表，支持查看证书和审核信息等操作。 ④模板制作：支持新建证书模板，支持证书背景设置，支持选择模板版式、模板类型、模板名称等维度进行搜索。⑤设置：权限管理支持添加/删除权限用户；支持输入姓名搜索权限用户；支持勾选授权权限用户全部/部分功能。</w:t>
            </w:r>
          </w:p>
          <w:p w14:paraId="0A924FAD">
            <w:pPr>
              <w:widowControl/>
              <w:jc w:val="left"/>
              <w:textAlignment w:val="center"/>
              <w:rPr>
                <w:rFonts w:hint="eastAsia" w:ascii="宋体" w:hAnsi="宋体"/>
                <w:b/>
                <w:bCs/>
                <w:color w:val="auto"/>
                <w:szCs w:val="21"/>
                <w:highlight w:val="none"/>
              </w:rPr>
            </w:pPr>
            <w:r>
              <w:rPr>
                <w:rFonts w:hint="eastAsia" w:ascii="宋体" w:hAnsi="宋体"/>
                <w:b/>
                <w:bCs/>
                <w:color w:val="auto"/>
                <w:szCs w:val="21"/>
                <w:highlight w:val="none"/>
              </w:rPr>
              <w:t>四、资产管理与报修</w:t>
            </w:r>
          </w:p>
          <w:p w14:paraId="2A076922">
            <w:pPr>
              <w:widowControl/>
              <w:numPr>
                <w:ilvl w:val="0"/>
                <w:numId w:val="241"/>
              </w:numPr>
              <w:jc w:val="left"/>
              <w:textAlignment w:val="center"/>
              <w:rPr>
                <w:rFonts w:hint="eastAsia" w:ascii="宋体" w:hAnsi="宋体"/>
                <w:color w:val="auto"/>
                <w:szCs w:val="21"/>
                <w:highlight w:val="none"/>
              </w:rPr>
            </w:pPr>
            <w:r>
              <w:rPr>
                <w:rFonts w:hint="eastAsia" w:ascii="宋体" w:hAnsi="宋体"/>
                <w:color w:val="auto"/>
                <w:szCs w:val="21"/>
                <w:highlight w:val="none"/>
              </w:rPr>
              <w:t>通过学校工作台使用该模块，支持移动端、PC网页同时操作，包含电教项目、电教经费、电教资产、电教维修等。</w:t>
            </w:r>
          </w:p>
          <w:p w14:paraId="7958FA2E">
            <w:pPr>
              <w:widowControl/>
              <w:numPr>
                <w:ilvl w:val="0"/>
                <w:numId w:val="241"/>
              </w:numPr>
              <w:jc w:val="left"/>
              <w:textAlignment w:val="center"/>
              <w:rPr>
                <w:rFonts w:hint="eastAsia" w:ascii="宋体" w:hAnsi="宋体"/>
                <w:color w:val="auto"/>
                <w:szCs w:val="21"/>
                <w:highlight w:val="none"/>
              </w:rPr>
            </w:pPr>
            <w:r>
              <w:rPr>
                <w:rFonts w:hint="eastAsia" w:ascii="宋体" w:hAnsi="宋体"/>
                <w:color w:val="auto"/>
                <w:szCs w:val="21"/>
                <w:highlight w:val="none"/>
              </w:rPr>
              <w:t>电教项目包含项目审核、项目管理、设置等。①项目审核：支持采购单位、采购类型、审核状态、项目名称筛选搜索；支持查看电教项目详情。②项目管理：支持审核状态、项目名称筛选搜索；支持新增项目，包含立项日期、项目名称、项目编号、项目预算、资金来源、自己文件；支持项目列表查看、包含项目名称、立项日期、项目编号、项目预算和审核状态；支持详情查看，包含合同上传、项目信息查询。③设置：审核人员、权限管理。审核设置支持审核级数设置，指定审核人；权限管理：支持添加/删除权限用户；支持输入姓名搜索权限用户；支持勾选授权权限用户全部/部分功能。</w:t>
            </w:r>
          </w:p>
          <w:p w14:paraId="6582BA8C">
            <w:pPr>
              <w:widowControl/>
              <w:numPr>
                <w:ilvl w:val="0"/>
                <w:numId w:val="241"/>
              </w:numPr>
              <w:jc w:val="left"/>
              <w:textAlignment w:val="center"/>
              <w:rPr>
                <w:rFonts w:hint="eastAsia" w:ascii="宋体" w:hAnsi="宋体"/>
                <w:color w:val="auto"/>
                <w:szCs w:val="21"/>
                <w:highlight w:val="none"/>
              </w:rPr>
            </w:pPr>
            <w:r>
              <w:rPr>
                <w:rFonts w:hint="eastAsia" w:ascii="宋体" w:hAnsi="宋体"/>
                <w:color w:val="auto"/>
                <w:szCs w:val="21"/>
                <w:highlight w:val="none"/>
              </w:rPr>
              <w:t>电教经费包含审核管理、经费上报、报表、设置。 ①审核管理：支持查看审核管理列表，包含序号、标题、上报时间、经费类别、上报金额、剩余金额、上报人、审核状态。 ②经费上报：支持上报电教经费；支持输入标题/选择项目类别/选择上报时间搜索；支持查看经费上报列表，包含序号、标题、上报时间、经费类别、上报金额、剩余金额、审核状态、操作列；支持修改上报内容。 ③报表：支持选择年度搜索；支持查看经费合计、已上报合计、经费剩余数；支持查看经费报表列表，包含序号、经费类别、上报合计。④设置：包含审核人员、权限管理。审核人员支持设置每级审核人员；支持添加/删除审核层级；支持保存；权限管理支持添加/删除权限用户；支持输入姓名搜索权限用户；支持勾选授权权限用户全部/部分功能。</w:t>
            </w:r>
          </w:p>
          <w:p w14:paraId="633B6A71">
            <w:pPr>
              <w:widowControl/>
              <w:numPr>
                <w:ilvl w:val="0"/>
                <w:numId w:val="241"/>
              </w:numPr>
              <w:jc w:val="left"/>
              <w:textAlignment w:val="center"/>
              <w:rPr>
                <w:rFonts w:hint="eastAsia" w:ascii="宋体" w:hAnsi="宋体"/>
                <w:color w:val="auto"/>
                <w:szCs w:val="21"/>
                <w:highlight w:val="none"/>
              </w:rPr>
            </w:pPr>
            <w:r>
              <w:rPr>
                <w:rFonts w:hint="eastAsia" w:ascii="宋体" w:hAnsi="宋体"/>
                <w:color w:val="auto"/>
                <w:szCs w:val="21"/>
                <w:highlight w:val="none"/>
              </w:rPr>
              <w:t>电教资产包含资产管理、资产登记、资产报废、审核管理、设置。①资产管理：支持查看资产总数、脱保总计数、在保总计数、资产总计数；支持查看资产管理列表，包含序号、资产类别、数量、在保数量、脱保数量、资产合计；支持点击数量查看资产详情。②资产登记：支持添加资产；支持删除资产。 ③资产报废：支持申请资产报废；支持选择申请日期/输入资产名称/选择审核状态搜索；支持查看资产报废列表，包含序号、资产名称、品牌型号、资产类别、申请日期、报废数量、供货商、备注、经手人、审核状态。④审核管理：支持查看资产审核列表；支持选择审核状态搜索。 ⑤设置：包含审核人员、权限管理。审核人员支持设置每级审核人员；支持添加/删除审核层级；支持保存；权限管理支持添加/删除权限用户；支持输入姓名搜索权限用户；支持勾选授权权限用户全部/部分功能。</w:t>
            </w:r>
          </w:p>
          <w:p w14:paraId="796F6C3B">
            <w:pPr>
              <w:widowControl/>
              <w:numPr>
                <w:ilvl w:val="0"/>
                <w:numId w:val="241"/>
              </w:numPr>
              <w:jc w:val="left"/>
              <w:textAlignment w:val="center"/>
              <w:rPr>
                <w:rFonts w:hint="eastAsia" w:ascii="宋体" w:hAnsi="宋体"/>
                <w:color w:val="auto"/>
                <w:szCs w:val="21"/>
                <w:highlight w:val="none"/>
              </w:rPr>
            </w:pPr>
            <w:r>
              <w:rPr>
                <w:rFonts w:hint="eastAsia" w:ascii="宋体" w:hAnsi="宋体"/>
                <w:color w:val="auto"/>
                <w:szCs w:val="21"/>
                <w:highlight w:val="none"/>
              </w:rPr>
              <w:t>电教维修包含保修管理、项目管理、设置等。 ①报修管理：包含报修列表、图表统计、设置公章、人员设置、企业设置。报修列表支持时间筛选搜索；支持查看、打印、导出数据表格；支持查看报修详情、维修处理情况、查看详情、查看打印维修方案；图表统计支持时间筛选，总金额查询及年度金额图表展示；设置公章支持维修公章生成及保存上传；人员设置支持指定审核员；企业设置支持指定维修企业设置。②项目管理：项目列表支持项目添加及维修清单上传、查看、下载、打印功能；支持下载合同清单模板。③设置：权限管理支持添加/删除权限用户；支持输入姓名搜索权限用户；支持勾选授权权限用户全部/部分功能。</w:t>
            </w:r>
          </w:p>
          <w:p w14:paraId="429804F3">
            <w:pPr>
              <w:widowControl/>
              <w:jc w:val="left"/>
              <w:textAlignment w:val="center"/>
              <w:rPr>
                <w:rFonts w:hint="eastAsia" w:ascii="宋体" w:hAnsi="宋体"/>
                <w:b/>
                <w:bCs/>
                <w:color w:val="auto"/>
                <w:szCs w:val="21"/>
                <w:highlight w:val="none"/>
              </w:rPr>
            </w:pPr>
            <w:r>
              <w:rPr>
                <w:rFonts w:hint="eastAsia" w:ascii="宋体" w:hAnsi="宋体"/>
                <w:b/>
                <w:bCs/>
                <w:color w:val="auto"/>
                <w:szCs w:val="21"/>
                <w:highlight w:val="none"/>
              </w:rPr>
              <w:t>五、校园安全</w:t>
            </w:r>
          </w:p>
          <w:p w14:paraId="5D02BF4F">
            <w:pPr>
              <w:widowControl/>
              <w:numPr>
                <w:ilvl w:val="0"/>
                <w:numId w:val="242"/>
              </w:numPr>
              <w:jc w:val="left"/>
              <w:textAlignment w:val="center"/>
              <w:rPr>
                <w:rFonts w:hint="eastAsia" w:ascii="宋体" w:hAnsi="宋体"/>
                <w:color w:val="auto"/>
                <w:szCs w:val="21"/>
                <w:highlight w:val="none"/>
              </w:rPr>
            </w:pPr>
            <w:r>
              <w:rPr>
                <w:rFonts w:hint="eastAsia" w:ascii="宋体" w:hAnsi="宋体"/>
                <w:color w:val="auto"/>
                <w:szCs w:val="21"/>
                <w:highlight w:val="none"/>
              </w:rPr>
              <w:t>通过学校工作台使用该模块，支持移动端、PC网页同时操作，包含访客管理、双预防、安全台账、心理健康等。</w:t>
            </w:r>
          </w:p>
          <w:p w14:paraId="4D721C28">
            <w:pPr>
              <w:widowControl/>
              <w:numPr>
                <w:ilvl w:val="0"/>
                <w:numId w:val="242"/>
              </w:numPr>
              <w:jc w:val="left"/>
              <w:textAlignment w:val="center"/>
              <w:rPr>
                <w:rFonts w:hint="eastAsia" w:ascii="宋体" w:hAnsi="宋体"/>
                <w:color w:val="auto"/>
                <w:szCs w:val="21"/>
                <w:highlight w:val="none"/>
              </w:rPr>
            </w:pPr>
            <w:r>
              <w:rPr>
                <w:rFonts w:hint="eastAsia" w:ascii="宋体" w:hAnsi="宋体"/>
                <w:color w:val="auto"/>
                <w:szCs w:val="21"/>
                <w:highlight w:val="none"/>
              </w:rPr>
              <w:t>访客管理包含访客设置、访客档案、访客黑名单、设置。①访客设置：支持来访者扫码登记信息，包含姓名、身份证号、联系电话等信息，支持二维码打印。②访客档案：展示来访登记信息列表，支持查询登记详情，支持按单位、日期、关键字筛选数据，支持数据导出与打印。③访客黑名单：支持添加黑名单，禁止登记；支持查看黑名单列表；支持按单位、关键字筛选数据；支持导出表格。④设置：权限管理支持添加/删除权限用户；支持输入姓名搜索权限用户；支持勾选授权权限用户全部/部分功能。</w:t>
            </w:r>
          </w:p>
          <w:p w14:paraId="2DAEF7EF">
            <w:pPr>
              <w:widowControl/>
              <w:numPr>
                <w:ilvl w:val="0"/>
                <w:numId w:val="242"/>
              </w:numPr>
              <w:jc w:val="left"/>
              <w:textAlignment w:val="center"/>
              <w:rPr>
                <w:rFonts w:hint="eastAsia" w:ascii="宋体" w:hAnsi="宋体"/>
                <w:color w:val="auto"/>
                <w:szCs w:val="21"/>
                <w:highlight w:val="none"/>
              </w:rPr>
            </w:pPr>
            <w:r>
              <w:rPr>
                <w:rFonts w:hint="eastAsia" w:ascii="宋体" w:hAnsi="宋体"/>
                <w:color w:val="auto"/>
                <w:szCs w:val="21"/>
                <w:highlight w:val="none"/>
              </w:rPr>
              <w:t>双预防包含双预防管理、双预防设置、设置。①双预防管理：包含添加隐患类别、隐患类别巡查、隐患类别上报、隐患记录、报表、数据大屏。添加隐患类别支持添加该类别的风险点，包含风险点名称、等级、巡查人和巡查时间；支持查看已添加的风险点；隐患类别巡查支持按时间展示隐患列表，包含序号、隐患类别、主管负责人、风险等级、巡查周期、巡查图片、巡查状态；支持打印；隐患类别上报支持按时间展示隐患上报列表，包含序、隐患类别、上报人、上报时间、上报内容、上报图片、上报状态、风险等级、巡查周期；隐患记录支持展示隐患排查整改情况工作台账，包含上周已整改、上周未整改和本周新增；支持导出表格；报表支持查看隐患巡查统计列表，包含隐患类别、今日、本周、本月的隐患点合计、已巡查、未巡查数量统计；支持点击数字查看巡查详情，包含学校名称、风险点、风险等级、排查计划、排查员、排查进度、排查图片；支持打印报表；数据大屏：支持查看双预防风险等级；支持以柱状图形式展示风险等级图；支持以饼状图形式展示每日、每周、每月的双预防数据，包含已巡查和未巡查数量、隐患点合计数量；支持展示设置的四色图；支持查看日常隐患数据，包含巡查人、隐患内容、时间。 ②双预防设置：包含设置安全专管和四色结构图。设置安全专管支持选择人员姓名设置安全专管；四色/结构图支持设置四色图和结构图展示到数据大屏。③设置：权限管理支持添加/删除pc和app权限用户；支持输入姓名搜索权限用户；支持勾选授权权限用户全部/部分功能。</w:t>
            </w:r>
          </w:p>
          <w:p w14:paraId="2C6A57A7">
            <w:pPr>
              <w:widowControl/>
              <w:numPr>
                <w:ilvl w:val="0"/>
                <w:numId w:val="242"/>
              </w:numPr>
              <w:jc w:val="left"/>
              <w:textAlignment w:val="center"/>
              <w:rPr>
                <w:rFonts w:hint="eastAsia" w:ascii="宋体" w:hAnsi="宋体"/>
                <w:color w:val="auto"/>
                <w:szCs w:val="21"/>
                <w:highlight w:val="none"/>
              </w:rPr>
            </w:pPr>
            <w:r>
              <w:rPr>
                <w:rFonts w:hint="eastAsia" w:ascii="宋体" w:hAnsi="宋体"/>
                <w:color w:val="auto"/>
                <w:szCs w:val="21"/>
                <w:highlight w:val="none"/>
              </w:rPr>
              <w:t>安全台账包含安全台账上报、安全台账设置、设置。 ①安全台账上报：支持选择日期/输入标题搜索；支持查看上报列表，列表包含序号、日期、标题、发布人、状态、操作列；支持去上报/继续上报/查看操作；支持查看时下载。 ②安全台账设置：包含公章设置、台账。公章设置支持上传公章图片；支持删除已上传的公章图片。台账支持输入标题搜索相应内容；支持查看台账列表，列表包含序号、学校名称、学校负责人、主管负责人、监督人、整改人、验收人、操作列；支持去修改已设置人员。③设置：权限管理支持添加/删除权限用户；支持输入姓名搜索权限用户；支持勾选授权权限用户全部/部分功能。</w:t>
            </w:r>
          </w:p>
          <w:p w14:paraId="06B1749E">
            <w:pPr>
              <w:widowControl/>
              <w:numPr>
                <w:ilvl w:val="0"/>
                <w:numId w:val="242"/>
              </w:numPr>
              <w:jc w:val="left"/>
              <w:textAlignment w:val="center"/>
              <w:rPr>
                <w:rFonts w:hint="eastAsia" w:ascii="宋体" w:hAnsi="宋体"/>
                <w:color w:val="auto"/>
                <w:szCs w:val="21"/>
                <w:highlight w:val="none"/>
              </w:rPr>
            </w:pPr>
            <w:r>
              <w:rPr>
                <w:rFonts w:hint="eastAsia" w:ascii="宋体" w:hAnsi="宋体"/>
                <w:color w:val="auto"/>
                <w:szCs w:val="21"/>
                <w:highlight w:val="none"/>
              </w:rPr>
              <w:t>心理健康包含测评量表、量表任务、测评报告、测评档案、云测评、设置。①测评量表：支持添加量表，包含名称、标签、分析类型、整体分析、分数区间、状态及建议；支持量表分类、标签、名称筛选检索；支持查看量表名称、标签、分类、题目数量、量表总分发布状态等信息；支持查看量表发布、详情查看、内容编辑、删除量表操作。②量表任务：支持添加测评任务，包含名称、选择量表、测评类型；支持任务名称筛选检索；支持查看测评任务详情；支持线上任务发布、编辑、删除操作；支持线下任务发布、查看学生、统计成绩、编辑、删除操作。③测评报告：支持任务名称筛选检索；支持查看线上测评任务，包含测评信息、个体报告、团体报告；支持查看线下测评任务，包含测评信息、个体报告、团体报告；支持查看云测评详情、个体报告、团体报告。④测评档案：支持学段、年级、班级、学生姓名筛选检索；支持查看学生档案。⑤云测评：支持查看量表名称、介绍、创建时间、测评次数；支持查看详情，添加云测评任务，包含名称、测评人数、密码设置；支持任务名称筛选检索；支持云测评任务发布、导出测评账号、获取测评链接、个体报告、团体报告、删除操作。 ⑥设置：权限管理支持添加/删除权限用户；支持输入姓名搜索权限用户；支持勾选授权权限用户全部/部分功能。</w:t>
            </w:r>
          </w:p>
          <w:p w14:paraId="60D387CB">
            <w:pPr>
              <w:widowControl/>
              <w:jc w:val="left"/>
              <w:textAlignment w:val="center"/>
              <w:rPr>
                <w:rFonts w:hint="eastAsia" w:ascii="宋体" w:hAnsi="宋体"/>
                <w:b/>
                <w:bCs/>
                <w:color w:val="auto"/>
                <w:szCs w:val="21"/>
                <w:highlight w:val="none"/>
              </w:rPr>
            </w:pPr>
            <w:r>
              <w:rPr>
                <w:rFonts w:hint="eastAsia" w:ascii="宋体" w:hAnsi="宋体"/>
                <w:b/>
                <w:bCs/>
                <w:color w:val="auto"/>
                <w:szCs w:val="21"/>
                <w:highlight w:val="none"/>
              </w:rPr>
              <w:t>六、党建</w:t>
            </w:r>
          </w:p>
          <w:p w14:paraId="2E0D7201">
            <w:pPr>
              <w:widowControl/>
              <w:numPr>
                <w:ilvl w:val="0"/>
                <w:numId w:val="243"/>
              </w:numPr>
              <w:jc w:val="left"/>
              <w:textAlignment w:val="center"/>
              <w:rPr>
                <w:rFonts w:hint="eastAsia" w:ascii="宋体" w:hAnsi="宋体"/>
                <w:color w:val="auto"/>
                <w:szCs w:val="21"/>
                <w:highlight w:val="none"/>
              </w:rPr>
            </w:pPr>
            <w:r>
              <w:rPr>
                <w:rFonts w:hint="eastAsia" w:ascii="宋体" w:hAnsi="宋体"/>
                <w:color w:val="auto"/>
                <w:szCs w:val="21"/>
                <w:highlight w:val="none"/>
              </w:rPr>
              <w:t>通过学校工作台使用该模块，支持移动端、PC网页同时操作，包含内容管理、党建课程、党建板报、党员管理、数据报表、党建中台。</w:t>
            </w:r>
          </w:p>
          <w:p w14:paraId="54DB627C">
            <w:pPr>
              <w:widowControl/>
              <w:numPr>
                <w:ilvl w:val="0"/>
                <w:numId w:val="243"/>
              </w:numPr>
              <w:jc w:val="left"/>
              <w:textAlignment w:val="center"/>
              <w:rPr>
                <w:rFonts w:hint="eastAsia" w:ascii="宋体" w:hAnsi="宋体"/>
                <w:color w:val="auto"/>
                <w:szCs w:val="21"/>
                <w:highlight w:val="none"/>
              </w:rPr>
            </w:pPr>
            <w:r>
              <w:rPr>
                <w:rFonts w:hint="eastAsia" w:ascii="宋体" w:hAnsi="宋体"/>
                <w:color w:val="auto"/>
                <w:szCs w:val="21"/>
                <w:highlight w:val="none"/>
              </w:rPr>
              <w:t>内容管理：①主题党日内容；支持查看内容列表，包含标题、备注、封面图地址、编辑、删除等操作；支持添加党日内容，包含标题、选择分类、封面图及备注；②指数看板内容；支持查看内容列表，包含标题、备注、类型、封面图地址及编辑操作；支持添加内容，包含标题、选择分类、封面图、描述③支部风采内容；可支持查看内容列表，包含标题、备注、封面图地址、编辑、删除等操作；</w:t>
            </w:r>
          </w:p>
          <w:p w14:paraId="7F5E0BE1">
            <w:pPr>
              <w:widowControl/>
              <w:numPr>
                <w:ilvl w:val="0"/>
                <w:numId w:val="243"/>
              </w:numPr>
              <w:jc w:val="left"/>
              <w:textAlignment w:val="center"/>
              <w:rPr>
                <w:rFonts w:hint="eastAsia" w:ascii="宋体" w:hAnsi="宋体"/>
                <w:color w:val="auto"/>
                <w:szCs w:val="21"/>
                <w:highlight w:val="none"/>
              </w:rPr>
            </w:pPr>
            <w:r>
              <w:rPr>
                <w:rFonts w:hint="eastAsia" w:ascii="宋体" w:hAnsi="宋体"/>
                <w:color w:val="auto"/>
                <w:szCs w:val="21"/>
                <w:highlight w:val="none"/>
              </w:rPr>
              <w:t>党建课程：①课程列表：支持查看所有课程列表，支持选择分类、输入标题进行搜索，支持查看课程的标题、分类、学时、支持查看课程的详情，支持编辑，支持是否启用课程，支持删除课程；②课程资源；支持添加的课程会显示在课程资源内，支持查看资源列表，包含课程标题、课程描述、学习时长、文章类型；③课程添加；支持添加视频课程与文章课程，视频课程包含课程标题、选择分类、课程封面图、课程视频、课程描述、课程学时，文章课程包含课程标题、选择分类、课程封面图、课程描述、课程学时、学习时限、课程内容。</w:t>
            </w:r>
          </w:p>
          <w:p w14:paraId="55FAB8F6">
            <w:pPr>
              <w:widowControl/>
              <w:numPr>
                <w:ilvl w:val="0"/>
                <w:numId w:val="243"/>
              </w:numPr>
              <w:jc w:val="left"/>
              <w:textAlignment w:val="center"/>
              <w:rPr>
                <w:rFonts w:hint="eastAsia" w:ascii="宋体" w:hAnsi="宋体"/>
                <w:color w:val="auto"/>
                <w:szCs w:val="21"/>
                <w:highlight w:val="none"/>
              </w:rPr>
            </w:pPr>
            <w:r>
              <w:rPr>
                <w:rFonts w:hint="eastAsia" w:ascii="宋体" w:hAnsi="宋体"/>
                <w:color w:val="auto"/>
                <w:szCs w:val="21"/>
                <w:highlight w:val="none"/>
              </w:rPr>
              <w:t>党建板报：①党建板报；支持编辑板报的展示顺序以及删除板报②添加板报；支持添加板报标题、图片以及图片排序。</w:t>
            </w:r>
          </w:p>
          <w:p w14:paraId="0E96A9E2">
            <w:pPr>
              <w:widowControl/>
              <w:numPr>
                <w:ilvl w:val="0"/>
                <w:numId w:val="243"/>
              </w:numPr>
              <w:jc w:val="left"/>
              <w:textAlignment w:val="center"/>
              <w:rPr>
                <w:rFonts w:hint="eastAsia" w:ascii="宋体" w:hAnsi="宋体"/>
                <w:color w:val="auto"/>
                <w:szCs w:val="21"/>
                <w:highlight w:val="none"/>
              </w:rPr>
            </w:pPr>
            <w:r>
              <w:rPr>
                <w:rFonts w:hint="eastAsia" w:ascii="宋体" w:hAnsi="宋体"/>
                <w:color w:val="auto"/>
                <w:szCs w:val="21"/>
                <w:highlight w:val="none"/>
              </w:rPr>
              <w:t>党员管理：支持添加党员、上传头像。支持查看、编辑、删除党员信息。</w:t>
            </w:r>
          </w:p>
          <w:p w14:paraId="450007E3">
            <w:pPr>
              <w:widowControl/>
              <w:numPr>
                <w:ilvl w:val="0"/>
                <w:numId w:val="243"/>
              </w:numPr>
              <w:jc w:val="left"/>
              <w:textAlignment w:val="center"/>
              <w:rPr>
                <w:rFonts w:hint="eastAsia" w:ascii="宋体" w:hAnsi="宋体"/>
                <w:color w:val="auto"/>
                <w:szCs w:val="21"/>
                <w:highlight w:val="none"/>
              </w:rPr>
            </w:pPr>
            <w:r>
              <w:rPr>
                <w:rFonts w:hint="eastAsia" w:ascii="宋体" w:hAnsi="宋体"/>
                <w:color w:val="auto"/>
                <w:szCs w:val="21"/>
                <w:highlight w:val="none"/>
              </w:rPr>
              <w:t>数据报表：支持输入姓名、选择职务进行搜索，支持打印，支持导出表格，支持查看党员的学习列表，包含姓名、职位、学习总时长、已学课程数、上传心得总数。</w:t>
            </w:r>
          </w:p>
          <w:p w14:paraId="2D3B5F91">
            <w:pPr>
              <w:widowControl/>
              <w:numPr>
                <w:ilvl w:val="0"/>
                <w:numId w:val="243"/>
              </w:numPr>
              <w:jc w:val="left"/>
              <w:textAlignment w:val="center"/>
              <w:rPr>
                <w:rFonts w:hint="eastAsia" w:ascii="宋体" w:hAnsi="宋体"/>
                <w:color w:val="auto"/>
                <w:szCs w:val="21"/>
                <w:highlight w:val="none"/>
              </w:rPr>
            </w:pPr>
            <w:r>
              <w:rPr>
                <w:rFonts w:hint="eastAsia" w:ascii="宋体" w:hAnsi="宋体"/>
                <w:color w:val="auto"/>
                <w:szCs w:val="21"/>
                <w:highlight w:val="none"/>
              </w:rPr>
              <w:t>党建中台：支持查看党建板报、党建课程、数据展示和支部信息。</w:t>
            </w:r>
          </w:p>
          <w:p w14:paraId="59CDF7D2">
            <w:pPr>
              <w:widowControl/>
              <w:numPr>
                <w:ilvl w:val="0"/>
                <w:numId w:val="243"/>
              </w:numPr>
              <w:jc w:val="left"/>
              <w:textAlignment w:val="center"/>
              <w:rPr>
                <w:rFonts w:hint="eastAsia" w:ascii="宋体" w:hAnsi="宋体"/>
                <w:color w:val="auto"/>
                <w:szCs w:val="21"/>
                <w:highlight w:val="none"/>
              </w:rPr>
            </w:pPr>
            <w:r>
              <w:rPr>
                <w:rFonts w:hint="eastAsia" w:ascii="宋体" w:hAnsi="宋体"/>
                <w:color w:val="auto"/>
                <w:szCs w:val="21"/>
                <w:highlight w:val="none"/>
              </w:rPr>
              <w:t>设置：①党建设置；进行设置支部信息、分类设置②权限管理：支持添加/删除权限用户；支持输入姓名搜索权限用户；支持勾选授权权限用户全部/部分功能。</w:t>
            </w:r>
          </w:p>
        </w:tc>
        <w:tc>
          <w:tcPr>
            <w:tcW w:w="863" w:type="dxa"/>
            <w:gridSpan w:val="4"/>
            <w:vAlign w:val="center"/>
          </w:tcPr>
          <w:p w14:paraId="4DA90B54">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套</w:t>
            </w:r>
          </w:p>
        </w:tc>
        <w:tc>
          <w:tcPr>
            <w:tcW w:w="925" w:type="dxa"/>
            <w:gridSpan w:val="3"/>
            <w:vAlign w:val="center"/>
          </w:tcPr>
          <w:p w14:paraId="69247FC3">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5</w:t>
            </w:r>
          </w:p>
        </w:tc>
      </w:tr>
      <w:tr w14:paraId="392C1C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9931" w:type="dxa"/>
            <w:gridSpan w:val="10"/>
            <w:noWrap/>
            <w:vAlign w:val="center"/>
          </w:tcPr>
          <w:p w14:paraId="7BC7C060">
            <w:pPr>
              <w:widowControl/>
              <w:jc w:val="center"/>
              <w:textAlignment w:val="center"/>
              <w:rPr>
                <w:rFonts w:hint="eastAsia" w:ascii="宋体" w:hAnsi="宋体"/>
                <w:b/>
                <w:bCs/>
                <w:color w:val="auto"/>
                <w:szCs w:val="21"/>
                <w:highlight w:val="none"/>
              </w:rPr>
            </w:pPr>
            <w:r>
              <w:rPr>
                <w:rFonts w:hint="eastAsia" w:ascii="宋体" w:hAnsi="宋体"/>
                <w:b/>
                <w:bCs/>
                <w:color w:val="auto"/>
                <w:kern w:val="0"/>
                <w:szCs w:val="21"/>
                <w:highlight w:val="none"/>
                <w:lang w:bidi="ar"/>
              </w:rPr>
              <w:t>五、教室无感扩声</w:t>
            </w:r>
          </w:p>
        </w:tc>
      </w:tr>
      <w:tr w14:paraId="026697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noWrap/>
            <w:vAlign w:val="center"/>
          </w:tcPr>
          <w:p w14:paraId="6C5912E0">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c>
          <w:tcPr>
            <w:tcW w:w="1227" w:type="dxa"/>
            <w:noWrap/>
            <w:vAlign w:val="center"/>
          </w:tcPr>
          <w:p w14:paraId="3035FCA2">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多媒体教学音箱</w:t>
            </w:r>
          </w:p>
        </w:tc>
        <w:tc>
          <w:tcPr>
            <w:tcW w:w="6167" w:type="dxa"/>
            <w:noWrap/>
            <w:vAlign w:val="center"/>
          </w:tcPr>
          <w:p w14:paraId="2229A400">
            <w:pPr>
              <w:widowControl/>
              <w:numPr>
                <w:ilvl w:val="0"/>
                <w:numId w:val="244"/>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主副箱采用高密度木质箱体，铁板冲孔面网（孔径≤3mm，透声率≥85%）；</w:t>
            </w:r>
          </w:p>
          <w:p w14:paraId="328562FA">
            <w:pPr>
              <w:widowControl/>
              <w:numPr>
                <w:ilvl w:val="0"/>
                <w:numId w:val="244"/>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低音单元：5.5 英寸低音扬声器</w:t>
            </w:r>
            <w:r>
              <w:rPr>
                <w:rFonts w:hint="eastAsia" w:ascii="宋体" w:hAnsi="宋体"/>
                <w:color w:val="auto"/>
                <w:szCs w:val="21"/>
                <w:highlight w:val="none"/>
              </w:rPr>
              <w:t>≥</w:t>
            </w:r>
            <w:r>
              <w:rPr>
                <w:rFonts w:hint="eastAsia" w:ascii="宋体" w:hAnsi="宋体"/>
                <w:color w:val="auto"/>
                <w:kern w:val="0"/>
                <w:szCs w:val="21"/>
                <w:highlight w:val="none"/>
                <w:lang w:bidi="ar"/>
              </w:rPr>
              <w:t>1个，高音单元：3 英寸纸盆全频高音单元</w:t>
            </w:r>
            <w:r>
              <w:rPr>
                <w:rFonts w:hint="eastAsia" w:ascii="宋体" w:hAnsi="宋体"/>
                <w:color w:val="auto"/>
                <w:szCs w:val="21"/>
                <w:highlight w:val="none"/>
              </w:rPr>
              <w:t>≥</w:t>
            </w:r>
            <w:r>
              <w:rPr>
                <w:rFonts w:hint="eastAsia" w:ascii="宋体" w:hAnsi="宋体"/>
                <w:color w:val="auto"/>
                <w:kern w:val="0"/>
                <w:szCs w:val="21"/>
                <w:highlight w:val="none"/>
                <w:lang w:bidi="ar"/>
              </w:rPr>
              <w:t>1个；</w:t>
            </w:r>
          </w:p>
          <w:p w14:paraId="4232D588">
            <w:pPr>
              <w:widowControl/>
              <w:numPr>
                <w:ilvl w:val="0"/>
                <w:numId w:val="244"/>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宽电压适配：支持 110V-230V~50/60Hz 全球通用电压，内置 EMI 滤波模块，适应复杂电网环境；</w:t>
            </w:r>
          </w:p>
          <w:p w14:paraId="33368B8A">
            <w:pPr>
              <w:widowControl/>
              <w:numPr>
                <w:ilvl w:val="0"/>
                <w:numId w:val="244"/>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★数字功放2×50W（8Ω，THD+N≤0.1%），低温低噪稳定运行，具有欠压及过载保护控制功能</w:t>
            </w:r>
            <w:r>
              <w:rPr>
                <w:rFonts w:hint="eastAsia" w:ascii="宋体" w:hAnsi="宋体"/>
                <w:color w:val="auto"/>
                <w:szCs w:val="21"/>
                <w:highlight w:val="none"/>
              </w:rPr>
              <w:t>（需提供检测报告）</w:t>
            </w:r>
            <w:r>
              <w:rPr>
                <w:rFonts w:hint="eastAsia" w:ascii="宋体" w:hAnsi="宋体"/>
                <w:color w:val="auto"/>
                <w:kern w:val="0"/>
                <w:szCs w:val="21"/>
                <w:highlight w:val="none"/>
                <w:lang w:bidi="ar"/>
              </w:rPr>
              <w:t>；</w:t>
            </w:r>
          </w:p>
          <w:p w14:paraId="4E93EB66">
            <w:pPr>
              <w:widowControl/>
              <w:numPr>
                <w:ilvl w:val="0"/>
                <w:numId w:val="244"/>
              </w:numPr>
              <w:jc w:val="left"/>
              <w:textAlignment w:val="center"/>
              <w:rPr>
                <w:rFonts w:hint="eastAsia" w:ascii="宋体" w:hAnsi="宋体"/>
                <w:color w:val="auto"/>
                <w:kern w:val="0"/>
                <w:szCs w:val="21"/>
                <w:highlight w:val="none"/>
                <w:lang w:bidi="ar"/>
              </w:rPr>
            </w:pPr>
            <w:r>
              <w:rPr>
                <w:rFonts w:hint="eastAsia" w:ascii="宋体" w:hAnsi="宋体"/>
                <w:color w:val="auto"/>
                <w:szCs w:val="21"/>
                <w:highlight w:val="none"/>
              </w:rPr>
              <w:t>≥</w:t>
            </w:r>
            <w:r>
              <w:rPr>
                <w:rFonts w:hint="eastAsia" w:ascii="宋体" w:hAnsi="宋体"/>
                <w:color w:val="auto"/>
                <w:kern w:val="0"/>
                <w:szCs w:val="21"/>
                <w:highlight w:val="none"/>
                <w:lang w:bidi="ar"/>
              </w:rPr>
              <w:t>2路立体声 RCA 线路输入（阻抗 10kΩ，增益范围0-12dB），独立音量调节（旋钮式 ±10dB）；</w:t>
            </w:r>
          </w:p>
          <w:p w14:paraId="1BBA7FB9">
            <w:pPr>
              <w:widowControl/>
              <w:numPr>
                <w:ilvl w:val="0"/>
                <w:numId w:val="244"/>
              </w:numPr>
              <w:jc w:val="left"/>
              <w:textAlignment w:val="center"/>
              <w:rPr>
                <w:rFonts w:hint="eastAsia" w:ascii="宋体" w:hAnsi="宋体"/>
                <w:color w:val="auto"/>
                <w:szCs w:val="21"/>
                <w:highlight w:val="none"/>
              </w:rPr>
            </w:pPr>
            <w:r>
              <w:rPr>
                <w:rFonts w:hint="eastAsia" w:ascii="宋体" w:hAnsi="宋体"/>
                <w:color w:val="auto"/>
                <w:szCs w:val="21"/>
                <w:highlight w:val="none"/>
              </w:rPr>
              <w:t>≥</w:t>
            </w:r>
            <w:r>
              <w:rPr>
                <w:rFonts w:hint="eastAsia" w:ascii="宋体" w:hAnsi="宋体"/>
                <w:color w:val="auto"/>
                <w:kern w:val="0"/>
                <w:szCs w:val="21"/>
                <w:highlight w:val="none"/>
                <w:lang w:bidi="ar"/>
              </w:rPr>
              <w:t>1路 6.35mm 直插麦克风接口，支持幻象供电，</w:t>
            </w:r>
            <w:r>
              <w:rPr>
                <w:rFonts w:hint="eastAsia" w:ascii="宋体" w:hAnsi="宋体"/>
                <w:color w:val="auto"/>
                <w:szCs w:val="21"/>
                <w:highlight w:val="none"/>
              </w:rPr>
              <w:t>≥</w:t>
            </w:r>
            <w:r>
              <w:rPr>
                <w:rFonts w:hint="eastAsia" w:ascii="宋体" w:hAnsi="宋体"/>
                <w:color w:val="auto"/>
                <w:kern w:val="0"/>
                <w:szCs w:val="21"/>
                <w:highlight w:val="none"/>
                <w:lang w:bidi="ar"/>
              </w:rPr>
              <w:t>1路 TYPE-A 外置无线话筒扩展接口（5V/500mA 供电），</w:t>
            </w:r>
            <w:r>
              <w:rPr>
                <w:rFonts w:hint="eastAsia" w:ascii="宋体" w:hAnsi="宋体"/>
                <w:color w:val="auto"/>
                <w:szCs w:val="21"/>
                <w:highlight w:val="none"/>
              </w:rPr>
              <w:t>≥</w:t>
            </w:r>
            <w:r>
              <w:rPr>
                <w:rFonts w:hint="eastAsia" w:ascii="宋体" w:hAnsi="宋体"/>
                <w:color w:val="auto"/>
                <w:kern w:val="0"/>
                <w:szCs w:val="21"/>
                <w:highlight w:val="none"/>
                <w:lang w:bidi="ar"/>
              </w:rPr>
              <w:t>1路RJ45接口，</w:t>
            </w:r>
            <w:r>
              <w:rPr>
                <w:rFonts w:hint="eastAsia" w:ascii="宋体" w:hAnsi="宋体"/>
                <w:color w:val="auto"/>
                <w:szCs w:val="21"/>
                <w:highlight w:val="none"/>
              </w:rPr>
              <w:t>≥</w:t>
            </w:r>
            <w:r>
              <w:rPr>
                <w:rFonts w:hint="eastAsia" w:ascii="宋体" w:hAnsi="宋体"/>
                <w:color w:val="auto"/>
                <w:kern w:val="0"/>
                <w:szCs w:val="21"/>
                <w:highlight w:val="none"/>
                <w:lang w:bidi="ar"/>
              </w:rPr>
              <w:t>1路立体声 RCA 线路输出；（需提供上述设备接口截图）。</w:t>
            </w:r>
          </w:p>
        </w:tc>
        <w:tc>
          <w:tcPr>
            <w:tcW w:w="863" w:type="dxa"/>
            <w:gridSpan w:val="4"/>
            <w:vAlign w:val="center"/>
          </w:tcPr>
          <w:p w14:paraId="5CC2A39D">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对</w:t>
            </w:r>
          </w:p>
        </w:tc>
        <w:tc>
          <w:tcPr>
            <w:tcW w:w="925" w:type="dxa"/>
            <w:gridSpan w:val="3"/>
            <w:vAlign w:val="center"/>
          </w:tcPr>
          <w:p w14:paraId="320B9BD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120</w:t>
            </w:r>
          </w:p>
        </w:tc>
      </w:tr>
      <w:tr w14:paraId="4D34FC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34C317F4">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w:t>
            </w:r>
          </w:p>
        </w:tc>
        <w:tc>
          <w:tcPr>
            <w:tcW w:w="1227" w:type="dxa"/>
            <w:vAlign w:val="center"/>
          </w:tcPr>
          <w:p w14:paraId="3B7ACDBA">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麦克风</w:t>
            </w:r>
          </w:p>
        </w:tc>
        <w:tc>
          <w:tcPr>
            <w:tcW w:w="6167" w:type="dxa"/>
            <w:vAlign w:val="center"/>
          </w:tcPr>
          <w:p w14:paraId="71331A21">
            <w:pPr>
              <w:widowControl/>
              <w:numPr>
                <w:ilvl w:val="0"/>
                <w:numId w:val="245"/>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工作频率与连接特性，采用 UHF 频段无线传输技术，支持单话筒与任意接收机自由配对，实现设备间即连即用的灵活协作；</w:t>
            </w:r>
          </w:p>
          <w:p w14:paraId="507E61B8">
            <w:pPr>
              <w:widowControl/>
              <w:numPr>
                <w:ilvl w:val="0"/>
                <w:numId w:val="245"/>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无障碍环境下有效传输距离≥50 米，拾音半径≥40cm，采用NFC对频技术，通过物理接触触发配对，彻底杜绝邻近房间的串频干扰问题；</w:t>
            </w:r>
          </w:p>
          <w:p w14:paraId="1B77A1E5">
            <w:pPr>
              <w:widowControl/>
              <w:numPr>
                <w:ilvl w:val="0"/>
                <w:numId w:val="245"/>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内置≥800mAh锂电池，支持≥6小时连续工作续航；</w:t>
            </w:r>
          </w:p>
          <w:p w14:paraId="578A7DB2">
            <w:pPr>
              <w:widowControl/>
              <w:numPr>
                <w:ilvl w:val="0"/>
                <w:numId w:val="245"/>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搭载OLED显示屏，实时显示电量、频道、连接状态等信息；</w:t>
            </w:r>
          </w:p>
          <w:p w14:paraId="7704F5A5">
            <w:pPr>
              <w:widowControl/>
              <w:numPr>
                <w:ilvl w:val="0"/>
                <w:numId w:val="245"/>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信噪比：≥85dB | 动态范围：≥82dB | 采样频率：48KHz；</w:t>
            </w:r>
          </w:p>
          <w:p w14:paraId="1450AEEF">
            <w:pPr>
              <w:widowControl/>
              <w:numPr>
                <w:ilvl w:val="0"/>
                <w:numId w:val="245"/>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★支持 "一发多收" 工作模式，单话筒可同时适配多台接收机协同工作，满足多设备音频分发场景</w:t>
            </w:r>
            <w:r>
              <w:rPr>
                <w:rFonts w:hint="eastAsia" w:ascii="宋体" w:hAnsi="宋体"/>
                <w:color w:val="auto"/>
                <w:szCs w:val="21"/>
                <w:highlight w:val="none"/>
              </w:rPr>
              <w:t>（需提供检测报告）</w:t>
            </w:r>
            <w:r>
              <w:rPr>
                <w:rFonts w:hint="eastAsia" w:ascii="宋体" w:hAnsi="宋体"/>
                <w:color w:val="auto"/>
                <w:kern w:val="0"/>
                <w:szCs w:val="21"/>
                <w:highlight w:val="none"/>
                <w:lang w:bidi="ar"/>
              </w:rPr>
              <w:t>；</w:t>
            </w:r>
          </w:p>
          <w:p w14:paraId="7653C131">
            <w:pPr>
              <w:widowControl/>
              <w:numPr>
                <w:ilvl w:val="0"/>
                <w:numId w:val="245"/>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内置 AGC 自动增益控制模块，实时动态调节输出音量，避免突发音量对听力造成损伤；</w:t>
            </w:r>
          </w:p>
          <w:p w14:paraId="062761C0">
            <w:pPr>
              <w:widowControl/>
              <w:numPr>
                <w:ilvl w:val="0"/>
                <w:numId w:val="245"/>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集成人声频谱优化算法与动态反馈抑制技术，有效提升语音清晰度并抑制环境啸叫，确保扩声系统稳定运行；</w:t>
            </w:r>
          </w:p>
          <w:p w14:paraId="2FDDBA6C">
            <w:pPr>
              <w:widowControl/>
              <w:numPr>
                <w:ilvl w:val="0"/>
                <w:numId w:val="245"/>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标配可调节背夹组件，支持领夹式、手持模式及头戴麦克风外接3.5mm音频输入接口；</w:t>
            </w:r>
          </w:p>
          <w:p w14:paraId="6845997F">
            <w:pPr>
              <w:widowControl/>
              <w:numPr>
                <w:ilvl w:val="0"/>
                <w:numId w:val="245"/>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磁吸式配件系统，通过磁吸背夹实现服装表面快速佩戴，支持胸前悬挂等多元化使用场景；</w:t>
            </w:r>
          </w:p>
          <w:p w14:paraId="511E9C4A">
            <w:pPr>
              <w:widowControl/>
              <w:numPr>
                <w:ilvl w:val="0"/>
                <w:numId w:val="245"/>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具有人声还原度处理功能及主动动态反馈抑制功能,最大限度还原人声及有效防止啸叫；</w:t>
            </w:r>
          </w:p>
          <w:p w14:paraId="1E5EA617">
            <w:pPr>
              <w:widowControl/>
              <w:numPr>
                <w:ilvl w:val="0"/>
                <w:numId w:val="245"/>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配备 Type-C 标准充电接口及镀金外置充电触点，支持有线充电与触点式充电双模式，满足不同使用环境的续航需求；</w:t>
            </w:r>
          </w:p>
        </w:tc>
        <w:tc>
          <w:tcPr>
            <w:tcW w:w="863" w:type="dxa"/>
            <w:gridSpan w:val="4"/>
            <w:vAlign w:val="center"/>
          </w:tcPr>
          <w:p w14:paraId="301686B7">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只</w:t>
            </w:r>
          </w:p>
        </w:tc>
        <w:tc>
          <w:tcPr>
            <w:tcW w:w="925" w:type="dxa"/>
            <w:gridSpan w:val="3"/>
            <w:vAlign w:val="center"/>
          </w:tcPr>
          <w:p w14:paraId="6B3AE375">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120</w:t>
            </w:r>
          </w:p>
        </w:tc>
      </w:tr>
      <w:tr w14:paraId="377501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04C9D9F0">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3</w:t>
            </w:r>
          </w:p>
        </w:tc>
        <w:tc>
          <w:tcPr>
            <w:tcW w:w="1227" w:type="dxa"/>
            <w:vAlign w:val="center"/>
          </w:tcPr>
          <w:p w14:paraId="4EBA7373">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AI降噪接收器</w:t>
            </w:r>
          </w:p>
        </w:tc>
        <w:tc>
          <w:tcPr>
            <w:tcW w:w="6167" w:type="dxa"/>
            <w:vAlign w:val="center"/>
          </w:tcPr>
          <w:p w14:paraId="61EBE382">
            <w:pPr>
              <w:widowControl/>
              <w:numPr>
                <w:ilvl w:val="0"/>
                <w:numId w:val="246"/>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AI降噪及反馈抑制处理功能：内置基于神经网络的自适应AFC（反馈抑制）和ANC（降噪）算法，档位可调；可有效消除风噪、键盘声、空调底噪、电流声等多重噪音，开启后传声增益提升不小于15dB，同步实现稳态噪声25～35dB、非稳态噪声15～25dB的降噪量，算法延时小于16mS</w:t>
            </w:r>
            <w:r>
              <w:rPr>
                <w:rFonts w:hint="eastAsia" w:ascii="宋体" w:hAnsi="宋体"/>
                <w:color w:val="auto"/>
                <w:szCs w:val="21"/>
                <w:highlight w:val="none"/>
              </w:rPr>
              <w:t>（需提供检测报告）</w:t>
            </w:r>
            <w:r>
              <w:rPr>
                <w:rFonts w:hint="eastAsia" w:ascii="宋体" w:hAnsi="宋体"/>
                <w:color w:val="auto"/>
                <w:kern w:val="0"/>
                <w:szCs w:val="21"/>
                <w:highlight w:val="none"/>
                <w:lang w:bidi="ar"/>
              </w:rPr>
              <w:t>；</w:t>
            </w:r>
          </w:p>
          <w:p w14:paraId="3183DF2C">
            <w:pPr>
              <w:widowControl/>
              <w:numPr>
                <w:ilvl w:val="0"/>
                <w:numId w:val="246"/>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核心拾音及处理功能：支持实时低延迟处理、智能人声分离、多麦阵列拾音、全场景自适应、动态增益调节、AI人声增强。</w:t>
            </w:r>
          </w:p>
          <w:p w14:paraId="2B1578DF">
            <w:pPr>
              <w:widowControl/>
              <w:numPr>
                <w:ilvl w:val="0"/>
                <w:numId w:val="246"/>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对频及控制功能：支持手动、NFC无源刷卡式对频，可有效避免误对频至相邻设备；可直接连接PC实现PPT翻页控制，翻页信号通过U段频率传输，传输距离远、抗干扰能力强。</w:t>
            </w:r>
          </w:p>
          <w:p w14:paraId="71CACD56">
            <w:pPr>
              <w:widowControl/>
              <w:numPr>
                <w:ilvl w:val="0"/>
                <w:numId w:val="246"/>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频率及音频参数：工作频率为UHF频段；频率响应20Hz-20KHz，采用48KHz@24bit标准；音频输出支持模拟、数字两种模式，可灵活配置适配不同设备需求。</w:t>
            </w:r>
          </w:p>
          <w:p w14:paraId="0C3463A4">
            <w:pPr>
              <w:widowControl/>
              <w:numPr>
                <w:ilvl w:val="0"/>
                <w:numId w:val="246"/>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显示屏：采用OLED显示屏，可清晰显示频道、对频状态，以及所连接无线麦克风的当前电量、信号强度。</w:t>
            </w:r>
          </w:p>
          <w:p w14:paraId="50DF46BF">
            <w:pPr>
              <w:widowControl/>
              <w:numPr>
                <w:ilvl w:val="0"/>
                <w:numId w:val="246"/>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按键配置：配备两个可自定义按键，可用于设置接收频道号及算法开关控制。</w:t>
            </w:r>
          </w:p>
          <w:p w14:paraId="20A9E1C2">
            <w:pPr>
              <w:widowControl/>
              <w:numPr>
                <w:ilvl w:val="0"/>
                <w:numId w:val="246"/>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接口配置：3.5mm音频输出口×1、TYPE-A USB PPT翻页控制接口×1、TYPE-C供电口×1、SMA天线座×1，接口丰富，适配多种设备。</w:t>
            </w:r>
          </w:p>
          <w:p w14:paraId="3046972F">
            <w:pPr>
              <w:widowControl/>
              <w:numPr>
                <w:ilvl w:val="0"/>
                <w:numId w:val="246"/>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频道配置：包含</w:t>
            </w:r>
            <w:r>
              <w:rPr>
                <w:rFonts w:hint="eastAsia" w:ascii="宋体" w:hAnsi="宋体"/>
                <w:color w:val="auto"/>
                <w:szCs w:val="21"/>
                <w:highlight w:val="none"/>
              </w:rPr>
              <w:t>≥</w:t>
            </w:r>
            <w:r>
              <w:rPr>
                <w:rFonts w:hint="eastAsia" w:ascii="宋体" w:hAnsi="宋体"/>
                <w:color w:val="auto"/>
                <w:kern w:val="0"/>
                <w:szCs w:val="21"/>
                <w:highlight w:val="none"/>
                <w:lang w:bidi="ar"/>
              </w:rPr>
              <w:t>50个基础频道及</w:t>
            </w:r>
            <w:r>
              <w:rPr>
                <w:rFonts w:hint="eastAsia" w:ascii="宋体" w:hAnsi="宋体"/>
                <w:color w:val="auto"/>
                <w:szCs w:val="21"/>
                <w:highlight w:val="none"/>
              </w:rPr>
              <w:t>≥</w:t>
            </w:r>
            <w:r>
              <w:rPr>
                <w:rFonts w:hint="eastAsia" w:ascii="宋体" w:hAnsi="宋体"/>
                <w:color w:val="auto"/>
                <w:kern w:val="0"/>
                <w:szCs w:val="21"/>
                <w:highlight w:val="none"/>
                <w:lang w:bidi="ar"/>
              </w:rPr>
              <w:t>100个扩展频道，总可用频道达</w:t>
            </w:r>
            <w:r>
              <w:rPr>
                <w:rFonts w:hint="eastAsia" w:ascii="宋体" w:hAnsi="宋体"/>
                <w:color w:val="auto"/>
                <w:szCs w:val="21"/>
                <w:highlight w:val="none"/>
              </w:rPr>
              <w:t>≥</w:t>
            </w:r>
            <w:r>
              <w:rPr>
                <w:rFonts w:hint="eastAsia" w:ascii="宋体" w:hAnsi="宋体"/>
                <w:color w:val="auto"/>
                <w:kern w:val="0"/>
                <w:szCs w:val="21"/>
                <w:highlight w:val="none"/>
                <w:lang w:bidi="ar"/>
              </w:rPr>
              <w:t>150个，可灵活避开干扰频段。</w:t>
            </w:r>
          </w:p>
        </w:tc>
        <w:tc>
          <w:tcPr>
            <w:tcW w:w="863" w:type="dxa"/>
            <w:gridSpan w:val="4"/>
            <w:vAlign w:val="center"/>
          </w:tcPr>
          <w:p w14:paraId="1F22B966">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台</w:t>
            </w:r>
          </w:p>
        </w:tc>
        <w:tc>
          <w:tcPr>
            <w:tcW w:w="925" w:type="dxa"/>
            <w:gridSpan w:val="3"/>
            <w:vAlign w:val="center"/>
          </w:tcPr>
          <w:p w14:paraId="122F30EF">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120</w:t>
            </w:r>
          </w:p>
        </w:tc>
      </w:tr>
      <w:tr w14:paraId="16E594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1EB88988">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4</w:t>
            </w:r>
          </w:p>
        </w:tc>
        <w:tc>
          <w:tcPr>
            <w:tcW w:w="1227" w:type="dxa"/>
            <w:vAlign w:val="center"/>
          </w:tcPr>
          <w:p w14:paraId="2880F1A3">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单通道充电仓</w:t>
            </w:r>
          </w:p>
        </w:tc>
        <w:tc>
          <w:tcPr>
            <w:tcW w:w="6167" w:type="dxa"/>
            <w:vAlign w:val="center"/>
          </w:tcPr>
          <w:p w14:paraId="75C2BBC6">
            <w:pPr>
              <w:widowControl/>
              <w:numPr>
                <w:ilvl w:val="0"/>
                <w:numId w:val="247"/>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单充电位无线话筒充电仓，可为无线麦克风充电和消毒；</w:t>
            </w:r>
          </w:p>
          <w:p w14:paraId="4AAA98A9">
            <w:pPr>
              <w:widowControl/>
              <w:numPr>
                <w:ilvl w:val="0"/>
                <w:numId w:val="247"/>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具有防尘效果，麦克风在充电时应完全收纳于充电仓内，无暴露在外的部分；</w:t>
            </w:r>
          </w:p>
          <w:p w14:paraId="0DAF5D72">
            <w:pPr>
              <w:widowControl/>
              <w:numPr>
                <w:ilvl w:val="0"/>
                <w:numId w:val="247"/>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支持麦克风插入充电仓进行充电时，无线麦克风自动关机；</w:t>
            </w:r>
          </w:p>
          <w:p w14:paraId="1BA08DEC">
            <w:pPr>
              <w:widowControl/>
              <w:numPr>
                <w:ilvl w:val="0"/>
                <w:numId w:val="247"/>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具备紫外线消毒功能，避免细菌病毒交叉感染；</w:t>
            </w:r>
          </w:p>
          <w:p w14:paraId="7971505A">
            <w:pPr>
              <w:widowControl/>
              <w:numPr>
                <w:ilvl w:val="0"/>
                <w:numId w:val="247"/>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采用阻燃材质生产，避免起火风险；</w:t>
            </w:r>
          </w:p>
          <w:p w14:paraId="0B2480B0">
            <w:pPr>
              <w:widowControl/>
              <w:numPr>
                <w:ilvl w:val="0"/>
                <w:numId w:val="247"/>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具有通电指示灯及充电状态指示灯；</w:t>
            </w:r>
          </w:p>
          <w:p w14:paraId="12699A4F">
            <w:pPr>
              <w:widowControl/>
              <w:numPr>
                <w:ilvl w:val="0"/>
                <w:numId w:val="247"/>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充电触点及活动部件，使用寿命不低于一万次；</w:t>
            </w:r>
          </w:p>
          <w:p w14:paraId="78518F47">
            <w:pPr>
              <w:widowControl/>
              <w:numPr>
                <w:ilvl w:val="0"/>
                <w:numId w:val="247"/>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附带的壁挂安装支架，直插防拔功能，安装好后充电线无法直接拔出；</w:t>
            </w:r>
          </w:p>
        </w:tc>
        <w:tc>
          <w:tcPr>
            <w:tcW w:w="863" w:type="dxa"/>
            <w:gridSpan w:val="4"/>
            <w:vAlign w:val="center"/>
          </w:tcPr>
          <w:p w14:paraId="6BF29B0A">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台</w:t>
            </w:r>
          </w:p>
        </w:tc>
        <w:tc>
          <w:tcPr>
            <w:tcW w:w="925" w:type="dxa"/>
            <w:gridSpan w:val="3"/>
            <w:vAlign w:val="center"/>
          </w:tcPr>
          <w:p w14:paraId="5532BF66">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120</w:t>
            </w:r>
          </w:p>
        </w:tc>
      </w:tr>
      <w:tr w14:paraId="7B0255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9931" w:type="dxa"/>
            <w:gridSpan w:val="10"/>
            <w:noWrap/>
            <w:vAlign w:val="center"/>
          </w:tcPr>
          <w:p w14:paraId="00709B4C">
            <w:pPr>
              <w:widowControl/>
              <w:jc w:val="center"/>
              <w:textAlignment w:val="center"/>
              <w:rPr>
                <w:rFonts w:hint="eastAsia" w:ascii="宋体" w:hAnsi="宋体"/>
                <w:b/>
                <w:bCs/>
                <w:color w:val="auto"/>
                <w:szCs w:val="21"/>
                <w:highlight w:val="none"/>
              </w:rPr>
            </w:pPr>
            <w:r>
              <w:rPr>
                <w:rFonts w:hint="eastAsia" w:ascii="宋体" w:hAnsi="宋体"/>
                <w:b/>
                <w:bCs/>
                <w:color w:val="auto"/>
                <w:kern w:val="0"/>
                <w:szCs w:val="21"/>
                <w:highlight w:val="none"/>
                <w:lang w:bidi="ar"/>
              </w:rPr>
              <w:t>六、语音教室</w:t>
            </w:r>
          </w:p>
        </w:tc>
      </w:tr>
      <w:tr w14:paraId="7E80CC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noWrap/>
            <w:vAlign w:val="center"/>
          </w:tcPr>
          <w:p w14:paraId="23A6479A">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c>
          <w:tcPr>
            <w:tcW w:w="1227" w:type="dxa"/>
            <w:shd w:val="clear" w:color="auto" w:fill="FFFFFF"/>
            <w:noWrap/>
            <w:vAlign w:val="center"/>
          </w:tcPr>
          <w:p w14:paraId="3D15A54E">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数字语音系统</w:t>
            </w:r>
          </w:p>
        </w:tc>
        <w:tc>
          <w:tcPr>
            <w:tcW w:w="6167" w:type="dxa"/>
            <w:noWrap/>
            <w:vAlign w:val="center"/>
          </w:tcPr>
          <w:p w14:paraId="02736A52">
            <w:pPr>
              <w:widowControl/>
              <w:numPr>
                <w:ilvl w:val="0"/>
                <w:numId w:val="248"/>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全面支持Windows XP/7/8/10（32位、64位）操作系统，支持云桌面及其它教学软件。</w:t>
            </w:r>
          </w:p>
          <w:p w14:paraId="20C27C1F">
            <w:pPr>
              <w:widowControl/>
              <w:numPr>
                <w:ilvl w:val="0"/>
                <w:numId w:val="248"/>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能够按照系统说明书正确完整进行安装，可以通过执行系统的卸载命令或软件本身提供的卸载命令卸载该软件，系统启动成功率≥99%。</w:t>
            </w:r>
          </w:p>
          <w:p w14:paraId="60206ACF">
            <w:pPr>
              <w:widowControl/>
              <w:numPr>
                <w:ilvl w:val="0"/>
                <w:numId w:val="248"/>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界面简洁直观，集合互动、评测、管控功能，所有教学及管理功能都在同一软件界面里实现。</w:t>
            </w:r>
          </w:p>
          <w:p w14:paraId="56AE64DC">
            <w:pPr>
              <w:widowControl/>
              <w:numPr>
                <w:ilvl w:val="0"/>
                <w:numId w:val="248"/>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屏幕广播：把教师计算机屏幕广播给全体学生或指定的部分学生，在广播的过程中教师随时可以添加或取消选定的学生。学生能同时听到教师麦克风、教师计算机播放的声音，学生在未登录windows前即可接受广播，广播响应时间&lt;0.1秒。广播教学的同时可进行屏幕录制，把整个讲课过程录制成ASF视频文件，可作为精品课程，方便学生回顾学习。</w:t>
            </w:r>
          </w:p>
          <w:p w14:paraId="7B6027B5">
            <w:pPr>
              <w:widowControl/>
              <w:numPr>
                <w:ilvl w:val="0"/>
                <w:numId w:val="248"/>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声音广播：可将教师的麦克风、电脑声音和外界音源的声音广播给学生，并可组织学生发言、讨论、对讲。</w:t>
            </w:r>
          </w:p>
          <w:p w14:paraId="32E03826">
            <w:pPr>
              <w:widowControl/>
              <w:numPr>
                <w:ilvl w:val="0"/>
                <w:numId w:val="248"/>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个别通话：教师可以在广播教学、声音广播、远程命令、文件收集、口语训练时邀请指定学生进行个别通话，其他学生听不到通话内容。</w:t>
            </w:r>
          </w:p>
          <w:p w14:paraId="5ED6EB23">
            <w:pPr>
              <w:widowControl/>
              <w:numPr>
                <w:ilvl w:val="0"/>
                <w:numId w:val="248"/>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远程命令：教师可以在计算机上本地启动/关闭所选应用程序或在学生计算机上远程启动/关闭所选应用程序，支持教师远程开机、关机、重新启动学生计算机，支持教师远程登陆Windows、远程退出学生端等功能。</w:t>
            </w:r>
          </w:p>
          <w:p w14:paraId="760775AD">
            <w:pPr>
              <w:widowControl/>
              <w:numPr>
                <w:ilvl w:val="0"/>
                <w:numId w:val="248"/>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学生示范：教师可以选择一名学生向其他学生演示他的桌面操作，在示范过程中，教师可以控制该学生电脑，也可以与该学生一起控制。在示范过程中，教师还可以与选中的学生进行对话，并允许其他学生听到对话内容。</w:t>
            </w:r>
          </w:p>
          <w:p w14:paraId="173A777E">
            <w:pPr>
              <w:widowControl/>
              <w:numPr>
                <w:ilvl w:val="0"/>
                <w:numId w:val="248"/>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口语训练：支持教师对口语训练的题目内容进行编辑、可下发多个口语训练任务，让学生进行单人训练或者多人训练，并支持各种不同场景下的口语、听力考试，对口语训练结果进行统计，并可对优秀学生的训练录音推荐至全班。</w:t>
            </w:r>
          </w:p>
          <w:p w14:paraId="3906EA2D">
            <w:pPr>
              <w:widowControl/>
              <w:numPr>
                <w:ilvl w:val="0"/>
                <w:numId w:val="248"/>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支持教师编辑口语训练的题目内容，支持同时插入多个mp3、mp4、png、jpg、txt、doc等格式的练习资料，支持对所插入的音视频文件转码上传、选段上传，支持对所插入的图片及文本资料进行框选截题。</w:t>
            </w:r>
          </w:p>
          <w:p w14:paraId="59528C2D">
            <w:pPr>
              <w:widowControl/>
              <w:numPr>
                <w:ilvl w:val="0"/>
                <w:numId w:val="248"/>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支持教师编辑多个口语训练的任务，在教学过程中，支持教师在课堂教学的不同环节种，发起不同的口语训练任务，每个任务中支持多道练习题。</w:t>
            </w:r>
          </w:p>
          <w:p w14:paraId="4ED86D4B">
            <w:pPr>
              <w:widowControl/>
              <w:numPr>
                <w:ilvl w:val="0"/>
                <w:numId w:val="248"/>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支持将教师已导入的文档、图片资源自动保存，并支持在后续的口语训练题目编辑中反复调用。</w:t>
            </w:r>
          </w:p>
          <w:p w14:paraId="5FE5B301">
            <w:pPr>
              <w:widowControl/>
              <w:numPr>
                <w:ilvl w:val="0"/>
                <w:numId w:val="248"/>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支持教师将不同任务下的不同题目快速自定义为新的口语训练，并即时发起单人或多人口语训练。</w:t>
            </w:r>
          </w:p>
          <w:p w14:paraId="0A1128A0">
            <w:pPr>
              <w:widowControl/>
              <w:numPr>
                <w:ilvl w:val="0"/>
                <w:numId w:val="248"/>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教师可将口语训练资料下发至每一个学生，并实时监听每个学生训练情况；学生可查看训练资料，自主完成录音、回放录音、推荐音对比等口语训练。</w:t>
            </w:r>
          </w:p>
          <w:p w14:paraId="4F502DE2">
            <w:pPr>
              <w:widowControl/>
              <w:numPr>
                <w:ilvl w:val="0"/>
                <w:numId w:val="248"/>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教师可依据不同分组方式发起多人训练，支持基于座位表的横向、纵向、田字格快速分组，支持基于座位表的教师手动分组，支持学生自荐组长的互动分组；训练过程中，学生可查看训练资料，各小组可协作完成录音、回放录音、推荐音对比等口语训练。</w:t>
            </w:r>
          </w:p>
          <w:p w14:paraId="51FD13F0">
            <w:pPr>
              <w:widowControl/>
              <w:numPr>
                <w:ilvl w:val="0"/>
                <w:numId w:val="248"/>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口语训练过程中，支持教师预览题目内容、实时查看训练完成情况，并支持教师在座位表中快速定位学生，实时监听学生训练状态、点播学生已完成录音。</w:t>
            </w:r>
          </w:p>
          <w:p w14:paraId="74F2BA0C">
            <w:pPr>
              <w:widowControl/>
              <w:numPr>
                <w:ilvl w:val="0"/>
                <w:numId w:val="248"/>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支持教师将优秀学生的训练录音推荐至全班，支持学生将个人录音与所推荐录音进行对比练习。</w:t>
            </w:r>
          </w:p>
          <w:p w14:paraId="1ED852BA">
            <w:pPr>
              <w:widowControl/>
              <w:numPr>
                <w:ilvl w:val="0"/>
                <w:numId w:val="248"/>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支持导入音视频文件作为仿读训练资料，并支持将视频文件的音频进行提取后导入。已导入的音视频文件系统自动语句切断，并可对所切断的语句进行单个句子或整个段落的语句批注。</w:t>
            </w:r>
          </w:p>
          <w:p w14:paraId="6BEA607E">
            <w:pPr>
              <w:widowControl/>
              <w:numPr>
                <w:ilvl w:val="0"/>
                <w:numId w:val="248"/>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全程录音：教师和学生在上课过程中可随时能进行全程录音，录音源可设定：麦克风，电脑声音，麦克风+电脑声音，麦克风+电脑声音+教师声音。录音结束后，教师一键打开所有学生录音文件。</w:t>
            </w:r>
          </w:p>
          <w:p w14:paraId="1984A116">
            <w:pPr>
              <w:widowControl/>
              <w:numPr>
                <w:ilvl w:val="0"/>
                <w:numId w:val="248"/>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设备检测：教师端统一检测学生端语音设备，提示教师学生端语音设备存在的问题（包括：智能语言训练系统软件、耳机和麦克风问题）</w:t>
            </w:r>
          </w:p>
        </w:tc>
        <w:tc>
          <w:tcPr>
            <w:tcW w:w="863" w:type="dxa"/>
            <w:gridSpan w:val="4"/>
            <w:vAlign w:val="center"/>
          </w:tcPr>
          <w:p w14:paraId="10247E45">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点</w:t>
            </w:r>
          </w:p>
        </w:tc>
        <w:tc>
          <w:tcPr>
            <w:tcW w:w="925" w:type="dxa"/>
            <w:gridSpan w:val="3"/>
            <w:vAlign w:val="center"/>
          </w:tcPr>
          <w:p w14:paraId="630CD62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56</w:t>
            </w:r>
          </w:p>
        </w:tc>
      </w:tr>
      <w:tr w14:paraId="076FDD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2E30EED0">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w:t>
            </w:r>
          </w:p>
        </w:tc>
        <w:tc>
          <w:tcPr>
            <w:tcW w:w="1227" w:type="dxa"/>
            <w:shd w:val="clear" w:color="auto" w:fill="FFFFFF"/>
            <w:vAlign w:val="center"/>
          </w:tcPr>
          <w:p w14:paraId="26466586">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数字语音终端</w:t>
            </w:r>
          </w:p>
        </w:tc>
        <w:tc>
          <w:tcPr>
            <w:tcW w:w="6167" w:type="dxa"/>
            <w:vAlign w:val="center"/>
          </w:tcPr>
          <w:p w14:paraId="75B195DA">
            <w:pPr>
              <w:widowControl/>
              <w:numPr>
                <w:ilvl w:val="0"/>
                <w:numId w:val="249"/>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400MHz的数字信号处理器，</w:t>
            </w:r>
            <w:r>
              <w:rPr>
                <w:rFonts w:hint="eastAsia" w:ascii="宋体" w:hAnsi="宋体"/>
                <w:color w:val="auto"/>
                <w:szCs w:val="21"/>
                <w:highlight w:val="none"/>
              </w:rPr>
              <w:t>≥</w:t>
            </w:r>
            <w:r>
              <w:rPr>
                <w:rFonts w:hint="eastAsia" w:ascii="宋体" w:hAnsi="宋体"/>
                <w:color w:val="auto"/>
                <w:kern w:val="0"/>
                <w:szCs w:val="21"/>
                <w:highlight w:val="none"/>
                <w:lang w:bidi="ar"/>
              </w:rPr>
              <w:t>32MB的SDRAM内存，</w:t>
            </w:r>
            <w:r>
              <w:rPr>
                <w:rFonts w:hint="eastAsia" w:ascii="宋体" w:hAnsi="宋体"/>
                <w:color w:val="auto"/>
                <w:szCs w:val="21"/>
                <w:highlight w:val="none"/>
              </w:rPr>
              <w:t>≥</w:t>
            </w:r>
            <w:r>
              <w:rPr>
                <w:rFonts w:hint="eastAsia" w:ascii="宋体" w:hAnsi="宋体"/>
                <w:color w:val="auto"/>
                <w:kern w:val="0"/>
                <w:szCs w:val="21"/>
                <w:highlight w:val="none"/>
                <w:lang w:bidi="ar"/>
              </w:rPr>
              <w:t>1个MIC接口、</w:t>
            </w:r>
            <w:r>
              <w:rPr>
                <w:rFonts w:hint="eastAsia" w:ascii="宋体" w:hAnsi="宋体"/>
                <w:color w:val="auto"/>
                <w:szCs w:val="21"/>
                <w:highlight w:val="none"/>
              </w:rPr>
              <w:t>≥</w:t>
            </w:r>
            <w:r>
              <w:rPr>
                <w:rFonts w:hint="eastAsia" w:ascii="宋体" w:hAnsi="宋体"/>
                <w:color w:val="auto"/>
                <w:kern w:val="0"/>
                <w:szCs w:val="21"/>
                <w:highlight w:val="none"/>
                <w:lang w:bidi="ar"/>
              </w:rPr>
              <w:t>1个PHONE接口、</w:t>
            </w:r>
            <w:r>
              <w:rPr>
                <w:rFonts w:hint="eastAsia" w:ascii="宋体" w:hAnsi="宋体"/>
                <w:color w:val="auto"/>
                <w:szCs w:val="21"/>
                <w:highlight w:val="none"/>
              </w:rPr>
              <w:t>≥</w:t>
            </w:r>
            <w:r>
              <w:rPr>
                <w:rFonts w:hint="eastAsia" w:ascii="宋体" w:hAnsi="宋体"/>
                <w:color w:val="auto"/>
                <w:kern w:val="0"/>
                <w:szCs w:val="21"/>
                <w:highlight w:val="none"/>
                <w:lang w:bidi="ar"/>
              </w:rPr>
              <w:t>1个LINE IN 接口，并带有设备指示灯，USB 2.0设备接口与电脑连接。</w:t>
            </w:r>
          </w:p>
          <w:p w14:paraId="38CEB3AC">
            <w:pPr>
              <w:widowControl/>
              <w:numPr>
                <w:ilvl w:val="0"/>
                <w:numId w:val="249"/>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音频压缩 ADPCM/MP3硬件音频压缩</w:t>
            </w:r>
          </w:p>
          <w:p w14:paraId="6CCFA17A">
            <w:pPr>
              <w:widowControl/>
              <w:numPr>
                <w:ilvl w:val="0"/>
                <w:numId w:val="249"/>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采样速率：</w:t>
            </w:r>
            <w:r>
              <w:rPr>
                <w:rFonts w:hint="eastAsia" w:ascii="宋体" w:hAnsi="宋体"/>
                <w:color w:val="auto"/>
                <w:szCs w:val="21"/>
                <w:highlight w:val="none"/>
              </w:rPr>
              <w:t>≥</w:t>
            </w:r>
            <w:r>
              <w:rPr>
                <w:rFonts w:hint="eastAsia" w:ascii="宋体" w:hAnsi="宋体"/>
                <w:color w:val="auto"/>
                <w:kern w:val="0"/>
                <w:szCs w:val="21"/>
                <w:highlight w:val="none"/>
                <w:lang w:bidi="ar"/>
              </w:rPr>
              <w:t>48kHz</w:t>
            </w:r>
          </w:p>
          <w:p w14:paraId="7472B6E9">
            <w:pPr>
              <w:widowControl/>
              <w:numPr>
                <w:ilvl w:val="0"/>
                <w:numId w:val="249"/>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采样精度：</w:t>
            </w:r>
            <w:r>
              <w:rPr>
                <w:rFonts w:hint="eastAsia" w:ascii="宋体" w:hAnsi="宋体"/>
                <w:color w:val="auto"/>
                <w:szCs w:val="21"/>
                <w:highlight w:val="none"/>
              </w:rPr>
              <w:t>≥</w:t>
            </w:r>
            <w:r>
              <w:rPr>
                <w:rFonts w:hint="eastAsia" w:ascii="宋体" w:hAnsi="宋体"/>
                <w:color w:val="auto"/>
                <w:kern w:val="0"/>
                <w:szCs w:val="21"/>
                <w:highlight w:val="none"/>
                <w:lang w:bidi="ar"/>
              </w:rPr>
              <w:t>16位</w:t>
            </w:r>
          </w:p>
          <w:p w14:paraId="6FDFF091">
            <w:pPr>
              <w:widowControl/>
              <w:numPr>
                <w:ilvl w:val="0"/>
                <w:numId w:val="249"/>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音视频信号失真度：≤0.5%</w:t>
            </w:r>
          </w:p>
          <w:p w14:paraId="7D1CE87A">
            <w:pPr>
              <w:widowControl/>
              <w:numPr>
                <w:ilvl w:val="0"/>
                <w:numId w:val="249"/>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音视频信号信噪比：≥ 60dB"</w:t>
            </w:r>
          </w:p>
        </w:tc>
        <w:tc>
          <w:tcPr>
            <w:tcW w:w="863" w:type="dxa"/>
            <w:gridSpan w:val="4"/>
            <w:vAlign w:val="center"/>
          </w:tcPr>
          <w:p w14:paraId="590F8F9F">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台</w:t>
            </w:r>
          </w:p>
        </w:tc>
        <w:tc>
          <w:tcPr>
            <w:tcW w:w="925" w:type="dxa"/>
            <w:gridSpan w:val="3"/>
            <w:vAlign w:val="center"/>
          </w:tcPr>
          <w:p w14:paraId="4505B7FA">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12ECA3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698865AC">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3</w:t>
            </w:r>
          </w:p>
        </w:tc>
        <w:tc>
          <w:tcPr>
            <w:tcW w:w="1227" w:type="dxa"/>
            <w:shd w:val="clear" w:color="auto" w:fill="FFFFFF"/>
            <w:vAlign w:val="center"/>
          </w:tcPr>
          <w:p w14:paraId="30B16DDF">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教师/学生耳机</w:t>
            </w:r>
          </w:p>
        </w:tc>
        <w:tc>
          <w:tcPr>
            <w:tcW w:w="6167" w:type="dxa"/>
            <w:vAlign w:val="center"/>
          </w:tcPr>
          <w:p w14:paraId="21D0DD8E">
            <w:pPr>
              <w:widowControl/>
              <w:numPr>
                <w:ilvl w:val="1"/>
                <w:numId w:val="250"/>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采用优质材料，包耳式耳罩，保证隔音效果，耳罩采用耐磨人造蛋白皮，先进的热压缩技术，可方便更换，应用人体工程学原理，佩戴自然舒服。</w:t>
            </w:r>
          </w:p>
          <w:p w14:paraId="64D04662">
            <w:pPr>
              <w:widowControl/>
              <w:numPr>
                <w:ilvl w:val="1"/>
                <w:numId w:val="250"/>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免驱动程序，整体无任何线控或按钮调节装置，确保考试过程不会出现人为控制耳机导致考试失败，加强型抗拉线扣，抗拉扯耐磨，线长</w:t>
            </w:r>
            <w:r>
              <w:rPr>
                <w:rFonts w:hint="eastAsia" w:ascii="宋体" w:hAnsi="宋体"/>
                <w:color w:val="auto"/>
                <w:szCs w:val="21"/>
                <w:highlight w:val="none"/>
              </w:rPr>
              <w:t>≥</w:t>
            </w:r>
            <w:r>
              <w:rPr>
                <w:rFonts w:hint="eastAsia" w:ascii="宋体" w:hAnsi="宋体"/>
                <w:color w:val="auto"/>
                <w:kern w:val="0"/>
                <w:szCs w:val="21"/>
                <w:highlight w:val="none"/>
                <w:lang w:bidi="ar"/>
              </w:rPr>
              <w:t>1.5 米。</w:t>
            </w:r>
          </w:p>
          <w:p w14:paraId="2529077A">
            <w:pPr>
              <w:widowControl/>
              <w:numPr>
                <w:ilvl w:val="1"/>
                <w:numId w:val="250"/>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采用指向近场拾音麦克，喇叭采用Φ40.0x7.2钕铁硼单元，频响范围20Hz-20KHz，阻抗：32Ω±3dB，标准 3.5 立体声耳机接口，自适应弹压式头梁，适合不同头型佩戴无需手动调节。</w:t>
            </w:r>
          </w:p>
          <w:p w14:paraId="3210A00C">
            <w:pPr>
              <w:widowControl/>
              <w:numPr>
                <w:ilvl w:val="1"/>
                <w:numId w:val="250"/>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采用环境音消除降噪设计，可过滤周围环境声，并且压制周围其他人口语考试的声音，提高考生录音信噪比，有利于自动评分。</w:t>
            </w:r>
          </w:p>
          <w:p w14:paraId="42D8C633">
            <w:pPr>
              <w:widowControl/>
              <w:numPr>
                <w:ilvl w:val="1"/>
                <w:numId w:val="250"/>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具有可视化唯一设备编码，并能被程序识别。</w:t>
            </w:r>
          </w:p>
          <w:p w14:paraId="11386434">
            <w:pPr>
              <w:widowControl/>
              <w:numPr>
                <w:ilvl w:val="1"/>
                <w:numId w:val="250"/>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具备机考所需功能，包括考场环境声学自适应、软件实时状态检测。</w:t>
            </w:r>
          </w:p>
        </w:tc>
        <w:tc>
          <w:tcPr>
            <w:tcW w:w="863" w:type="dxa"/>
            <w:gridSpan w:val="4"/>
            <w:vAlign w:val="center"/>
          </w:tcPr>
          <w:p w14:paraId="3B68D1EB">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副</w:t>
            </w:r>
          </w:p>
        </w:tc>
        <w:tc>
          <w:tcPr>
            <w:tcW w:w="925" w:type="dxa"/>
            <w:gridSpan w:val="3"/>
            <w:vAlign w:val="center"/>
          </w:tcPr>
          <w:p w14:paraId="3F49F29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57</w:t>
            </w:r>
          </w:p>
        </w:tc>
      </w:tr>
      <w:tr w14:paraId="77A107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1B42E63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4</w:t>
            </w:r>
          </w:p>
        </w:tc>
        <w:tc>
          <w:tcPr>
            <w:tcW w:w="1227" w:type="dxa"/>
            <w:shd w:val="clear" w:color="auto" w:fill="FFFFFF"/>
            <w:vAlign w:val="center"/>
          </w:tcPr>
          <w:p w14:paraId="7086D33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管理服务器</w:t>
            </w:r>
          </w:p>
        </w:tc>
        <w:tc>
          <w:tcPr>
            <w:tcW w:w="6167" w:type="dxa"/>
            <w:vAlign w:val="center"/>
          </w:tcPr>
          <w:p w14:paraId="7F622C96">
            <w:pPr>
              <w:widowControl/>
              <w:numPr>
                <w:ilvl w:val="1"/>
                <w:numId w:val="251"/>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尺寸：1U机短尺寸机箱</w:t>
            </w:r>
          </w:p>
          <w:p w14:paraId="7455727F">
            <w:pPr>
              <w:widowControl/>
              <w:numPr>
                <w:ilvl w:val="1"/>
                <w:numId w:val="251"/>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处理器 ：Intel C3000系列 八核处理器 ，主频≥2.2GHz，缓存≥16M *1颗</w:t>
            </w:r>
          </w:p>
          <w:p w14:paraId="0D1663A8">
            <w:pPr>
              <w:widowControl/>
              <w:numPr>
                <w:ilvl w:val="1"/>
                <w:numId w:val="251"/>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内存：≥16GB DDR4 *1 SO-DIMM DDR4 2400/2666MHZ 双通道 最大可支持64GB</w:t>
            </w:r>
          </w:p>
          <w:p w14:paraId="2EF9DEB4">
            <w:pPr>
              <w:widowControl/>
              <w:numPr>
                <w:ilvl w:val="1"/>
                <w:numId w:val="251"/>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 xml:space="preserve">硬盘 ：≥256G SSD硬盘*1块 ，≥960G SSD硬盘*1块 </w:t>
            </w:r>
          </w:p>
          <w:p w14:paraId="42E15B7C">
            <w:pPr>
              <w:widowControl/>
              <w:numPr>
                <w:ilvl w:val="1"/>
                <w:numId w:val="251"/>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网卡：≥5千兆以太网卡</w:t>
            </w:r>
          </w:p>
          <w:p w14:paraId="5A7F7172">
            <w:pPr>
              <w:widowControl/>
              <w:numPr>
                <w:ilvl w:val="1"/>
                <w:numId w:val="251"/>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外部接口：≥1 x VGA、≥1 x COM、≥3 x USB、≥2 x RJ45网口</w:t>
            </w:r>
          </w:p>
        </w:tc>
        <w:tc>
          <w:tcPr>
            <w:tcW w:w="863" w:type="dxa"/>
            <w:gridSpan w:val="4"/>
            <w:vAlign w:val="center"/>
          </w:tcPr>
          <w:p w14:paraId="6630149A">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台</w:t>
            </w:r>
          </w:p>
        </w:tc>
        <w:tc>
          <w:tcPr>
            <w:tcW w:w="925" w:type="dxa"/>
            <w:gridSpan w:val="3"/>
            <w:vAlign w:val="center"/>
          </w:tcPr>
          <w:p w14:paraId="5D935141">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5F6FA9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77A4C2C4">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5</w:t>
            </w:r>
          </w:p>
        </w:tc>
        <w:tc>
          <w:tcPr>
            <w:tcW w:w="1227" w:type="dxa"/>
            <w:vAlign w:val="center"/>
          </w:tcPr>
          <w:p w14:paraId="06D0D1C4">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云终端</w:t>
            </w:r>
          </w:p>
        </w:tc>
        <w:tc>
          <w:tcPr>
            <w:tcW w:w="6167" w:type="dxa"/>
            <w:vAlign w:val="center"/>
          </w:tcPr>
          <w:p w14:paraId="140C09B9">
            <w:pPr>
              <w:widowControl/>
              <w:numPr>
                <w:ilvl w:val="0"/>
                <w:numId w:val="252"/>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配置CPU性能不低于Intel第十三代i5八核十二线程处理器；性能核心数量≥4个；内存容量≥8GB，本地存储≥512 GB SSD</w:t>
            </w:r>
          </w:p>
          <w:p w14:paraId="2CDDB68E">
            <w:pPr>
              <w:widowControl/>
              <w:numPr>
                <w:ilvl w:val="0"/>
                <w:numId w:val="252"/>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为节约桌面空间，终端主体尺寸≤200mm（宽）×200mm（深）×44.4mm（高），提供官网截图</w:t>
            </w:r>
          </w:p>
          <w:p w14:paraId="50B12FD7">
            <w:pPr>
              <w:widowControl/>
              <w:numPr>
                <w:ilvl w:val="0"/>
                <w:numId w:val="252"/>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USB接口数量≥8个（其中USB 3.0接口≥4个，USB 2.0接口≥4个），千兆网口≥1个，VGA接口≥1个，HDMI接口≥1个，音频输入输出接口≥2个，支持4段式耳机音频输入及输出。提供官网截图。</w:t>
            </w:r>
          </w:p>
          <w:p w14:paraId="3885252C">
            <w:pPr>
              <w:widowControl/>
              <w:numPr>
                <w:ilvl w:val="0"/>
                <w:numId w:val="252"/>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配置M.2 SSD槽位≥2个，2.5英寸硬盘位≥1个，提供产品图片证明。</w:t>
            </w:r>
          </w:p>
          <w:p w14:paraId="66EFC932">
            <w:pPr>
              <w:pStyle w:val="53"/>
              <w:widowControl/>
              <w:numPr>
                <w:ilvl w:val="0"/>
                <w:numId w:val="252"/>
              </w:numPr>
              <w:ind w:firstLineChars="0"/>
              <w:jc w:val="left"/>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★为防止因雷电影响而导致设备损坏，要求对所投设备施加电源端口试验电压4kV后，设备不出现故障，提供测试证书复印件。</w:t>
            </w:r>
          </w:p>
          <w:p w14:paraId="1806768E">
            <w:pPr>
              <w:widowControl/>
              <w:numPr>
                <w:ilvl w:val="0"/>
                <w:numId w:val="252"/>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★为避免机房噪声污染影响学生健康，要求设备满载噪声指标≤32.06dB，提供测试证书复印件。</w:t>
            </w:r>
          </w:p>
        </w:tc>
        <w:tc>
          <w:tcPr>
            <w:tcW w:w="863" w:type="dxa"/>
            <w:gridSpan w:val="4"/>
            <w:vAlign w:val="center"/>
          </w:tcPr>
          <w:p w14:paraId="4AFEF4EF">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台</w:t>
            </w:r>
          </w:p>
        </w:tc>
        <w:tc>
          <w:tcPr>
            <w:tcW w:w="925" w:type="dxa"/>
            <w:gridSpan w:val="3"/>
            <w:vAlign w:val="center"/>
          </w:tcPr>
          <w:p w14:paraId="32075C60">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57</w:t>
            </w:r>
          </w:p>
        </w:tc>
      </w:tr>
      <w:tr w14:paraId="14A14C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59D08457">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6</w:t>
            </w:r>
          </w:p>
        </w:tc>
        <w:tc>
          <w:tcPr>
            <w:tcW w:w="1227" w:type="dxa"/>
            <w:vAlign w:val="center"/>
          </w:tcPr>
          <w:p w14:paraId="2F71EA07">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云终端授权</w:t>
            </w:r>
          </w:p>
        </w:tc>
        <w:tc>
          <w:tcPr>
            <w:tcW w:w="6167" w:type="dxa"/>
            <w:vAlign w:val="center"/>
          </w:tcPr>
          <w:p w14:paraId="402BE203">
            <w:pPr>
              <w:widowControl/>
              <w:numPr>
                <w:ilvl w:val="0"/>
                <w:numId w:val="253"/>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采用B/S（Broswer/Server）软件架构，中文图形化管理页面。</w:t>
            </w:r>
          </w:p>
          <w:p w14:paraId="6E8A7443">
            <w:pPr>
              <w:widowControl/>
              <w:numPr>
                <w:ilvl w:val="0"/>
                <w:numId w:val="253"/>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为了方便管理和使用，管理平台要包括镜像管理、教室管理、用户管理等关键功能模块。</w:t>
            </w:r>
          </w:p>
          <w:p w14:paraId="509B331D">
            <w:pPr>
              <w:widowControl/>
              <w:numPr>
                <w:ilvl w:val="0"/>
                <w:numId w:val="253"/>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为满足基本教学的使用需求，要求镜像模版可以使用多种类型的操作系统，包括且不限于：win 10、win11、win server 2016、UOS、KOS、Ubuntu等操作系统版本，。</w:t>
            </w:r>
          </w:p>
          <w:p w14:paraId="6D04B447">
            <w:pPr>
              <w:widowControl/>
              <w:numPr>
                <w:ilvl w:val="0"/>
                <w:numId w:val="253"/>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支持镜像模版链接分享功能，管理员可将编辑镜像模板的链接分享给任课老师，在浏览器中直接输入链接地址即可对镜像模板进行编辑，支持分享链接的失效期、分享验证码设置，要求提供实际界面截图证明。</w:t>
            </w:r>
          </w:p>
          <w:p w14:paraId="6884F257">
            <w:pPr>
              <w:widowControl/>
              <w:numPr>
                <w:ilvl w:val="0"/>
                <w:numId w:val="253"/>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支持按照教室规模创建不同的虚拟教室，每个虚拟教室能够独立管理和配置。</w:t>
            </w:r>
          </w:p>
          <w:p w14:paraId="4F51D8D5">
            <w:pPr>
              <w:widowControl/>
              <w:numPr>
                <w:ilvl w:val="0"/>
                <w:numId w:val="253"/>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为了方便后期的扩展性，要求同一虚拟教室的学生机可以按需工作在IDV、TCI、VDI任意一种模式下，要求提供实际界面截图证明。</w:t>
            </w:r>
          </w:p>
          <w:p w14:paraId="11F84C6E">
            <w:pPr>
              <w:widowControl/>
              <w:numPr>
                <w:ilvl w:val="0"/>
                <w:numId w:val="253"/>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为降低单个镜像大小获取更好的下发部署体验，平台支持对镜像进行瘦身操作来减少镜像占用空间，瘦身操作包含标准瘦身和深度瘦身，提供实际界面截图证明。</w:t>
            </w:r>
          </w:p>
          <w:p w14:paraId="7D98E4C2">
            <w:pPr>
              <w:widowControl/>
              <w:numPr>
                <w:ilvl w:val="0"/>
                <w:numId w:val="253"/>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为满足教学过程数据存储，可以对学生单个镜像内设置数据盘，数据盘可以按每月、每周、每日或指定时间设置还原策略，提供实际界面截图证明。</w:t>
            </w:r>
          </w:p>
          <w:p w14:paraId="6D8CEDA5">
            <w:pPr>
              <w:widowControl/>
              <w:numPr>
                <w:ilvl w:val="0"/>
                <w:numId w:val="253"/>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为方便对终端上镜像异常情况处理，管理员可以在web管理平台对终端内指定镜像的系统分区、数据分区远程还原操作，快速恢复教学环境，提供实际界面截图证明。</w:t>
            </w:r>
          </w:p>
          <w:p w14:paraId="5285C6DB">
            <w:pPr>
              <w:widowControl/>
              <w:numPr>
                <w:ilvl w:val="0"/>
                <w:numId w:val="253"/>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为了管理的便捷性，支持管理员通过服务器集群的web管理平台唤醒远程不同网段的终端，中间无需使用跳板机转发。</w:t>
            </w:r>
          </w:p>
        </w:tc>
        <w:tc>
          <w:tcPr>
            <w:tcW w:w="863" w:type="dxa"/>
            <w:gridSpan w:val="4"/>
            <w:vAlign w:val="center"/>
          </w:tcPr>
          <w:p w14:paraId="712A9965">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点</w:t>
            </w:r>
          </w:p>
        </w:tc>
        <w:tc>
          <w:tcPr>
            <w:tcW w:w="925" w:type="dxa"/>
            <w:gridSpan w:val="3"/>
            <w:vAlign w:val="center"/>
          </w:tcPr>
          <w:p w14:paraId="0A4BAFBB">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56</w:t>
            </w:r>
          </w:p>
        </w:tc>
      </w:tr>
      <w:tr w14:paraId="2FE2CD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0AF1AA56">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7</w:t>
            </w:r>
          </w:p>
        </w:tc>
        <w:tc>
          <w:tcPr>
            <w:tcW w:w="1227" w:type="dxa"/>
            <w:vAlign w:val="center"/>
          </w:tcPr>
          <w:p w14:paraId="742068C0">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键鼠</w:t>
            </w:r>
          </w:p>
        </w:tc>
        <w:tc>
          <w:tcPr>
            <w:tcW w:w="6167" w:type="dxa"/>
            <w:vAlign w:val="center"/>
          </w:tcPr>
          <w:p w14:paraId="1A5F80D8">
            <w:pPr>
              <w:widowControl/>
              <w:numPr>
                <w:ilvl w:val="0"/>
                <w:numId w:val="254"/>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有线键鼠套装，内含有线键盘、鼠标、带有品牌logo的鼠标垫。</w:t>
            </w:r>
          </w:p>
        </w:tc>
        <w:tc>
          <w:tcPr>
            <w:tcW w:w="863" w:type="dxa"/>
            <w:gridSpan w:val="4"/>
            <w:vAlign w:val="center"/>
          </w:tcPr>
          <w:p w14:paraId="5CDE91F1">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套</w:t>
            </w:r>
          </w:p>
        </w:tc>
        <w:tc>
          <w:tcPr>
            <w:tcW w:w="925" w:type="dxa"/>
            <w:gridSpan w:val="3"/>
            <w:vAlign w:val="center"/>
          </w:tcPr>
          <w:p w14:paraId="6191C296">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57</w:t>
            </w:r>
          </w:p>
        </w:tc>
      </w:tr>
      <w:tr w14:paraId="389FB1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2B012554">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8</w:t>
            </w:r>
          </w:p>
        </w:tc>
        <w:tc>
          <w:tcPr>
            <w:tcW w:w="1227" w:type="dxa"/>
            <w:vAlign w:val="center"/>
          </w:tcPr>
          <w:p w14:paraId="6601D344">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显示器</w:t>
            </w:r>
          </w:p>
        </w:tc>
        <w:tc>
          <w:tcPr>
            <w:tcW w:w="6167" w:type="dxa"/>
            <w:vAlign w:val="center"/>
          </w:tcPr>
          <w:p w14:paraId="6F12CA0B">
            <w:pPr>
              <w:widowControl/>
              <w:numPr>
                <w:ilvl w:val="0"/>
                <w:numId w:val="255"/>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配置WLED尺寸≥23.8英寸，分辨率≥1920×1080，刷新率≥100Hz(HDMI)，VGA接口≥1个，HDMI接口≥1个；</w:t>
            </w:r>
          </w:p>
          <w:p w14:paraId="3EDDE8E1">
            <w:pPr>
              <w:widowControl/>
              <w:numPr>
                <w:ilvl w:val="0"/>
                <w:numId w:val="255"/>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硬件形态：为保障使用时的动态清晰度、色彩还原准确、可视角度等方面的体验，需采用IPS屏，窄边框设计，水平及垂直可视角度≥178°，亮度≥250 cd/m²，对比度≥1,000:1，原生8bit色深。</w:t>
            </w:r>
          </w:p>
        </w:tc>
        <w:tc>
          <w:tcPr>
            <w:tcW w:w="863" w:type="dxa"/>
            <w:gridSpan w:val="4"/>
            <w:vAlign w:val="center"/>
          </w:tcPr>
          <w:p w14:paraId="623BD455">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台</w:t>
            </w:r>
          </w:p>
        </w:tc>
        <w:tc>
          <w:tcPr>
            <w:tcW w:w="925" w:type="dxa"/>
            <w:gridSpan w:val="3"/>
            <w:vAlign w:val="center"/>
          </w:tcPr>
          <w:p w14:paraId="2C4D9D7E">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57</w:t>
            </w:r>
          </w:p>
        </w:tc>
      </w:tr>
      <w:tr w14:paraId="6C93F9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61722D4C">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9</w:t>
            </w:r>
          </w:p>
        </w:tc>
        <w:tc>
          <w:tcPr>
            <w:tcW w:w="1227" w:type="dxa"/>
            <w:vAlign w:val="center"/>
          </w:tcPr>
          <w:p w14:paraId="744098B2">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教室管理软件</w:t>
            </w:r>
          </w:p>
        </w:tc>
        <w:tc>
          <w:tcPr>
            <w:tcW w:w="6167" w:type="dxa"/>
            <w:vAlign w:val="center"/>
          </w:tcPr>
          <w:p w14:paraId="6D2EC791">
            <w:pPr>
              <w:widowControl/>
              <w:numPr>
                <w:ilvl w:val="0"/>
                <w:numId w:val="256"/>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提供多种教学模式以匹配不同的教学需求，支持老师通过教学管理软件对学生一键切换教学镜像；切换镜像时，云终端硬件无需重新启动。</w:t>
            </w:r>
          </w:p>
          <w:p w14:paraId="36AAFCE3">
            <w:pPr>
              <w:widowControl/>
              <w:numPr>
                <w:ilvl w:val="0"/>
                <w:numId w:val="256"/>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为简化教学、方便上课前的学生点名，教学管理软件远程终端编号功能，并与云桌面编号一一对应，提供产品功能截图。</w:t>
            </w:r>
          </w:p>
          <w:p w14:paraId="58B46A01">
            <w:pPr>
              <w:widowControl/>
              <w:numPr>
                <w:ilvl w:val="0"/>
                <w:numId w:val="256"/>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支持老师对单一、部分或全体学生进行黑屏操作，黑屏状态下，学生的机器被锁定。</w:t>
            </w:r>
          </w:p>
          <w:p w14:paraId="1C538487">
            <w:pPr>
              <w:widowControl/>
              <w:numPr>
                <w:ilvl w:val="0"/>
                <w:numId w:val="256"/>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为保证正常教学使用，在教师机可以实现屏幕广播；学生可以调整老师广播屏幕大小；老师可以选择是否广播声音给学生；提供产品功能截图。</w:t>
            </w:r>
          </w:p>
          <w:p w14:paraId="4B0FF28E">
            <w:pPr>
              <w:widowControl/>
              <w:numPr>
                <w:ilvl w:val="0"/>
                <w:numId w:val="256"/>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为方便教学控制，支持通过教学管理软件实现一键禁止任意学生上网，禁网的同时仍需要支持屏幕广播、屏幕查看等正常教学应用。</w:t>
            </w:r>
          </w:p>
          <w:p w14:paraId="3DD8FE50">
            <w:pPr>
              <w:widowControl/>
              <w:numPr>
                <w:ilvl w:val="0"/>
                <w:numId w:val="256"/>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教学管理软件默认提供作业布置、批改、管理和成绩统计功能组件，提供学生作业的归档和下载；支持老师在作业空间为多个或单个班级的学生布置作业，布置内容可支持word等文件格式；支持老师对作业上交截止时间进行设置。</w:t>
            </w:r>
          </w:p>
          <w:p w14:paraId="48A11CE7">
            <w:pPr>
              <w:widowControl/>
              <w:numPr>
                <w:ilvl w:val="0"/>
                <w:numId w:val="256"/>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支持老师在个人空间选择要布置作业的班级和年级，支持附件上传；完成作业布置后，学生账号登陆后可立即能收到老师布置的作业。</w:t>
            </w:r>
          </w:p>
          <w:p w14:paraId="67DE9B96">
            <w:pPr>
              <w:widowControl/>
              <w:numPr>
                <w:ilvl w:val="0"/>
                <w:numId w:val="256"/>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支持老师在线打开学生作业；支持txt、图片等学生作业格式。在线查看学生作业后，可以在个人空间中打分，提供产品功能截图。</w:t>
            </w:r>
          </w:p>
          <w:p w14:paraId="6203C93E">
            <w:pPr>
              <w:widowControl/>
              <w:numPr>
                <w:ilvl w:val="0"/>
                <w:numId w:val="256"/>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支持老师将学生作业标记为公开作业；支持学生通过学生端软件查看本年级所有老师标记的公开作业；提供产品功能截图。</w:t>
            </w:r>
          </w:p>
          <w:p w14:paraId="464C441D">
            <w:pPr>
              <w:widowControl/>
              <w:numPr>
                <w:ilvl w:val="0"/>
                <w:numId w:val="256"/>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支持老师对学生分组功能；支持根据学生姓名手动分组或随机分组；支持老师和组长对组名重命名功能；支持小组总得分记录、支持各学生组员对小组贡献值记录；支持组内文件互传功能；提供产品功能截图。</w:t>
            </w:r>
          </w:p>
          <w:p w14:paraId="76DDD849">
            <w:pPr>
              <w:widowControl/>
              <w:numPr>
                <w:ilvl w:val="0"/>
                <w:numId w:val="256"/>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支持自主注册账号、支持管理员统一账号导入；老师账号仅支持密码登陆个人空间；学生账号支持密码登陆和无密码登陆；提供产品功能截图。</w:t>
            </w:r>
          </w:p>
          <w:p w14:paraId="37BF5ADC">
            <w:pPr>
              <w:widowControl/>
              <w:numPr>
                <w:ilvl w:val="0"/>
                <w:numId w:val="256"/>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支持通过标识码邀请方式来创建班级，即老师通过唯一的标识码邀请学生加入，提供产品功能截图。</w:t>
            </w:r>
          </w:p>
          <w:p w14:paraId="430D8AF4">
            <w:pPr>
              <w:widowControl/>
              <w:numPr>
                <w:ilvl w:val="0"/>
                <w:numId w:val="256"/>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随堂测试：为方便老师快速出题，支持老师通过教师端导入word、pdf、txt等题库文件，也可以通过截屏方式快速出题。老师可以通过全班答题、抢答、随机答题多种方式发起测试，发起测试时为防止作弊老师可选择全屏答题或窗口答题。</w:t>
            </w:r>
          </w:p>
          <w:p w14:paraId="79989518">
            <w:pPr>
              <w:widowControl/>
              <w:numPr>
                <w:ilvl w:val="0"/>
                <w:numId w:val="256"/>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随堂测试出题可支持单选、多选、判断、填空、问答等多种课堂测试，对于客观题老师可以设置答题卡录入正确答案并赋分，方便快速评分批改。</w:t>
            </w:r>
          </w:p>
        </w:tc>
        <w:tc>
          <w:tcPr>
            <w:tcW w:w="863" w:type="dxa"/>
            <w:gridSpan w:val="4"/>
            <w:vAlign w:val="center"/>
          </w:tcPr>
          <w:p w14:paraId="6D9CAD7B">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套</w:t>
            </w:r>
          </w:p>
        </w:tc>
        <w:tc>
          <w:tcPr>
            <w:tcW w:w="925" w:type="dxa"/>
            <w:gridSpan w:val="3"/>
            <w:vAlign w:val="center"/>
          </w:tcPr>
          <w:p w14:paraId="2EB839F3">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1F2173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03CE8551">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10</w:t>
            </w:r>
          </w:p>
        </w:tc>
        <w:tc>
          <w:tcPr>
            <w:tcW w:w="1227" w:type="dxa"/>
            <w:vAlign w:val="center"/>
          </w:tcPr>
          <w:p w14:paraId="24DD1F36">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24口交换机</w:t>
            </w:r>
          </w:p>
        </w:tc>
        <w:tc>
          <w:tcPr>
            <w:tcW w:w="6167" w:type="dxa"/>
            <w:vAlign w:val="center"/>
          </w:tcPr>
          <w:p w14:paraId="52032997">
            <w:pPr>
              <w:widowControl/>
              <w:numPr>
                <w:ilvl w:val="0"/>
                <w:numId w:val="257"/>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交换容量≥432Gbps/4.32Tbps，转发性能≥108Mpps/126Mpps。</w:t>
            </w:r>
          </w:p>
          <w:p w14:paraId="5E5F70ED">
            <w:pPr>
              <w:widowControl/>
              <w:numPr>
                <w:ilvl w:val="0"/>
                <w:numId w:val="257"/>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固化10/100/1000M以太网端口≥24个，1G/2.5G SFP非复用光接口≥4个，提供官网截图。</w:t>
            </w:r>
          </w:p>
          <w:p w14:paraId="0E7C2398">
            <w:pPr>
              <w:widowControl/>
              <w:numPr>
                <w:ilvl w:val="0"/>
                <w:numId w:val="257"/>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绿色节能：要求支持高效节能以太网特性。端口如果在连续一段时间之内空闲，系统会将该端口设置为节能模式，当有报文收发时再通过定时发送的监听码流唤醒端口恢复业务，达到节能的效果。</w:t>
            </w:r>
          </w:p>
          <w:p w14:paraId="4B6E3C7C">
            <w:pPr>
              <w:widowControl/>
              <w:numPr>
                <w:ilvl w:val="0"/>
                <w:numId w:val="257"/>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支持专门针对CPU的保护机制，能够针对发往CPU处理的各种报文进行流区分和优先级队列分级处理，保护远端模块在各种环境下稳定工作。</w:t>
            </w:r>
          </w:p>
          <w:p w14:paraId="5F1338B6">
            <w:pPr>
              <w:widowControl/>
              <w:numPr>
                <w:ilvl w:val="0"/>
                <w:numId w:val="257"/>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支持快速以太网链路检测协议，可检测端口下的环路问题，当设备端口检测到环路时，执行关联策略并可通告控制器，发生环路的接口告警信息并记录。。</w:t>
            </w:r>
          </w:p>
          <w:p w14:paraId="7F738BE2">
            <w:pPr>
              <w:widowControl/>
              <w:numPr>
                <w:ilvl w:val="0"/>
                <w:numId w:val="257"/>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支持即插即用，零配置开局上线。开箱上电即可被主机发现和纳管，无需刷入配置。</w:t>
            </w:r>
          </w:p>
          <w:p w14:paraId="0ECA6147">
            <w:pPr>
              <w:widowControl/>
              <w:numPr>
                <w:ilvl w:val="0"/>
                <w:numId w:val="257"/>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无需单台逐一配置，可在控制器端通过图形化界面批量配置设备，可针对VLAN、端口状态、防环路等参数进行配置。</w:t>
            </w:r>
          </w:p>
          <w:p w14:paraId="0502A428">
            <w:pPr>
              <w:widowControl/>
              <w:numPr>
                <w:ilvl w:val="0"/>
                <w:numId w:val="257"/>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无需单台逐一升级，可在控制器端通过图形化界面批量升级设备。</w:t>
            </w:r>
          </w:p>
        </w:tc>
        <w:tc>
          <w:tcPr>
            <w:tcW w:w="863" w:type="dxa"/>
            <w:gridSpan w:val="4"/>
            <w:vAlign w:val="center"/>
          </w:tcPr>
          <w:p w14:paraId="51605152">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台</w:t>
            </w:r>
          </w:p>
        </w:tc>
        <w:tc>
          <w:tcPr>
            <w:tcW w:w="925" w:type="dxa"/>
            <w:gridSpan w:val="3"/>
            <w:vAlign w:val="center"/>
          </w:tcPr>
          <w:p w14:paraId="771C98DE">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3</w:t>
            </w:r>
          </w:p>
        </w:tc>
      </w:tr>
      <w:tr w14:paraId="7249F7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61697841">
            <w:pPr>
              <w:widowControl/>
              <w:jc w:val="center"/>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11</w:t>
            </w:r>
          </w:p>
        </w:tc>
        <w:tc>
          <w:tcPr>
            <w:tcW w:w="1227" w:type="dxa"/>
            <w:vAlign w:val="center"/>
          </w:tcPr>
          <w:p w14:paraId="26374D0D">
            <w:pPr>
              <w:widowControl/>
              <w:jc w:val="center"/>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云终端控制器</w:t>
            </w:r>
          </w:p>
        </w:tc>
        <w:tc>
          <w:tcPr>
            <w:tcW w:w="6167" w:type="dxa"/>
            <w:vAlign w:val="center"/>
          </w:tcPr>
          <w:p w14:paraId="3293B3BB">
            <w:pPr>
              <w:pStyle w:val="53"/>
              <w:widowControl/>
              <w:numPr>
                <w:ilvl w:val="0"/>
                <w:numId w:val="258"/>
              </w:numPr>
              <w:ind w:firstLineChars="0"/>
              <w:jc w:val="left"/>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单台控制器可以同时支持≥200点云终端的连接、管理和配置，以满足学校后期的扩容需求。</w:t>
            </w:r>
          </w:p>
          <w:p w14:paraId="6762D5C3">
            <w:pPr>
              <w:pStyle w:val="53"/>
              <w:widowControl/>
              <w:numPr>
                <w:ilvl w:val="0"/>
                <w:numId w:val="258"/>
              </w:numPr>
              <w:ind w:firstLineChars="0"/>
              <w:jc w:val="left"/>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配置性能不低于Intel i5的处理器（处理器主频≥2.5GHz）。</w:t>
            </w:r>
          </w:p>
          <w:p w14:paraId="55AF88F5">
            <w:pPr>
              <w:pStyle w:val="53"/>
              <w:widowControl/>
              <w:numPr>
                <w:ilvl w:val="0"/>
                <w:numId w:val="258"/>
              </w:numPr>
              <w:ind w:firstLineChars="0"/>
              <w:jc w:val="left"/>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内存：内存容量≥16GB。</w:t>
            </w:r>
          </w:p>
          <w:p w14:paraId="4A260727">
            <w:pPr>
              <w:pStyle w:val="53"/>
              <w:widowControl/>
              <w:numPr>
                <w:ilvl w:val="0"/>
                <w:numId w:val="258"/>
              </w:numPr>
              <w:ind w:firstLineChars="0"/>
              <w:jc w:val="left"/>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存储：配置SSD容量≥512GB 。</w:t>
            </w:r>
          </w:p>
          <w:p w14:paraId="2FED4F71">
            <w:pPr>
              <w:pStyle w:val="53"/>
              <w:widowControl/>
              <w:numPr>
                <w:ilvl w:val="0"/>
                <w:numId w:val="258"/>
              </w:numPr>
              <w:ind w:firstLineChars="0"/>
              <w:jc w:val="left"/>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显卡：配置显卡性能不低于Intel UHD 730。</w:t>
            </w:r>
          </w:p>
          <w:p w14:paraId="3E0D6796">
            <w:pPr>
              <w:pStyle w:val="53"/>
              <w:widowControl/>
              <w:numPr>
                <w:ilvl w:val="0"/>
                <w:numId w:val="258"/>
              </w:numPr>
              <w:ind w:firstLineChars="0"/>
              <w:jc w:val="left"/>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网口：千兆网口≥1个。</w:t>
            </w:r>
          </w:p>
          <w:p w14:paraId="234BAE8D">
            <w:pPr>
              <w:pStyle w:val="53"/>
              <w:widowControl/>
              <w:numPr>
                <w:ilvl w:val="0"/>
                <w:numId w:val="258"/>
              </w:numPr>
              <w:ind w:firstLineChars="0"/>
              <w:jc w:val="left"/>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★所投设备质量优异，可适应宽泛的环境温度变化范围，经过-10℃~50℃的环境考验，依旧可以正常使用，提供测试机构出具的证书。</w:t>
            </w:r>
          </w:p>
          <w:p w14:paraId="29740E85">
            <w:pPr>
              <w:pStyle w:val="53"/>
              <w:widowControl/>
              <w:numPr>
                <w:ilvl w:val="0"/>
                <w:numId w:val="258"/>
              </w:numPr>
              <w:ind w:firstLineChars="0"/>
              <w:jc w:val="left"/>
              <w:textAlignment w:val="center"/>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★为适应夏季高温炎热多雨季节出现的潮热环境，对设备造成损害，要求所投设备在温度≤50℃、湿度≤95%RH的潮热环境下不会受损，提供证书复印件。</w:t>
            </w:r>
          </w:p>
          <w:p w14:paraId="645DE01A">
            <w:pPr>
              <w:pStyle w:val="53"/>
              <w:widowControl/>
              <w:numPr>
                <w:ilvl w:val="0"/>
                <w:numId w:val="258"/>
              </w:numPr>
              <w:ind w:firstLineChars="0"/>
              <w:jc w:val="left"/>
              <w:textAlignment w:val="center"/>
              <w:rPr>
                <w:rFonts w:hint="eastAsia" w:ascii="宋体" w:hAnsi="宋体" w:cs="宋体"/>
                <w:color w:val="auto"/>
                <w:kern w:val="0"/>
                <w:szCs w:val="21"/>
                <w:highlight w:val="none"/>
                <w:lang w:bidi="ar"/>
              </w:rPr>
            </w:pPr>
            <w:r>
              <w:rPr>
                <w:rFonts w:hint="eastAsia" w:ascii="宋体" w:hAnsi="宋体"/>
                <w:color w:val="auto"/>
                <w:kern w:val="0"/>
                <w:szCs w:val="21"/>
                <w:highlight w:val="none"/>
                <w:lang w:bidi="ar"/>
              </w:rPr>
              <w:t>控制器内置超融合云平台软件。</w:t>
            </w:r>
          </w:p>
        </w:tc>
        <w:tc>
          <w:tcPr>
            <w:tcW w:w="863" w:type="dxa"/>
            <w:gridSpan w:val="4"/>
            <w:vAlign w:val="center"/>
          </w:tcPr>
          <w:p w14:paraId="006B32D8">
            <w:pPr>
              <w:widowControl/>
              <w:jc w:val="center"/>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台</w:t>
            </w:r>
          </w:p>
        </w:tc>
        <w:tc>
          <w:tcPr>
            <w:tcW w:w="925" w:type="dxa"/>
            <w:gridSpan w:val="3"/>
            <w:vAlign w:val="center"/>
          </w:tcPr>
          <w:p w14:paraId="2B8A4370">
            <w:pPr>
              <w:widowControl/>
              <w:jc w:val="center"/>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1</w:t>
            </w:r>
          </w:p>
        </w:tc>
      </w:tr>
      <w:tr w14:paraId="732885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1AAEB074">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12</w:t>
            </w:r>
          </w:p>
        </w:tc>
        <w:tc>
          <w:tcPr>
            <w:tcW w:w="1227" w:type="dxa"/>
            <w:vAlign w:val="center"/>
          </w:tcPr>
          <w:p w14:paraId="3AB407DD">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教师桌椅</w:t>
            </w:r>
          </w:p>
        </w:tc>
        <w:tc>
          <w:tcPr>
            <w:tcW w:w="6167" w:type="dxa"/>
            <w:vAlign w:val="center"/>
          </w:tcPr>
          <w:p w14:paraId="279E8C31">
            <w:pPr>
              <w:widowControl/>
              <w:numPr>
                <w:ilvl w:val="0"/>
                <w:numId w:val="259"/>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规格≥2000mm×600mm×760mm</w:t>
            </w:r>
          </w:p>
          <w:p w14:paraId="087504A7">
            <w:pPr>
              <w:widowControl/>
              <w:numPr>
                <w:ilvl w:val="0"/>
                <w:numId w:val="259"/>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台面：采用≥12mm厚抗倍特板倍边加工，四周边缘总厚度为≥25mm；台面易清洁、耐磨、耐腐蚀、耐辐射、耐高温、耐冲击；甲醛释放量达到E1级标准。</w:t>
            </w:r>
          </w:p>
          <w:p w14:paraId="0C402DC6">
            <w:pPr>
              <w:widowControl/>
              <w:numPr>
                <w:ilvl w:val="0"/>
                <w:numId w:val="259"/>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台体：喷塑铝合金框架结构，框架内镶嵌≥16mm 厚环保E1级浸渍胶膜纸饰面刨花板，立柱采用D形铝合金型材,规格≥33 mm×60 mm，壁厚≥1.5 mm；横梁≥35 mm×32 mm壁厚≥1.5 mm，卡锁式连接件组装；立柱下部镶嵌ABS地脚座，预埋铜质螺母，安装高强度可调地脚；组合严密、牢固、稳定；</w:t>
            </w:r>
          </w:p>
          <w:p w14:paraId="1528B3C3">
            <w:pPr>
              <w:widowControl/>
              <w:numPr>
                <w:ilvl w:val="0"/>
                <w:numId w:val="259"/>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椅子：座高≥450mm。</w:t>
            </w:r>
          </w:p>
          <w:p w14:paraId="55850778">
            <w:pPr>
              <w:widowControl/>
              <w:numPr>
                <w:ilvl w:val="0"/>
                <w:numId w:val="259"/>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靠背:1.材质:采用PP耐冲击塑料一体注塑成型，2.尺寸：靠背规格≥340mm*390mm。 3.靠背中间有50mm内凹式曲线弧度设计，能很好的支撑着正在成长中学童的背部脊椎，使其免于侧弯，靠背有有最小直径5mm至最大长16mm*宽椭圆形发散通风孔4.功能：椅背背面设计有把手功能部件、方便提拿，同时也是挂钩功能，可挂书包、衣服等。</w:t>
            </w:r>
          </w:p>
          <w:p w14:paraId="6B7C794E">
            <w:pPr>
              <w:widowControl/>
              <w:numPr>
                <w:ilvl w:val="0"/>
                <w:numId w:val="259"/>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坐垫：1.材质：采用PP耐冲击塑料一体注塑成型。2.尺寸：≥415mm×380mm。</w:t>
            </w:r>
          </w:p>
          <w:p w14:paraId="2146A910">
            <w:pPr>
              <w:widowControl/>
              <w:numPr>
                <w:ilvl w:val="0"/>
                <w:numId w:val="259"/>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椅面采用人体工程学设计，坐垫中间有45mm内凹式设计，坐垫前端有波浪形加瀑布型设计，能让学生整个臀部坐在内凹处，借此可分散上半身的所有重量，使学童在学习时更舒服，更健康地成长，椅面有最小直径5mm至最大长16mm宽椭圆形发散通风孔。</w:t>
            </w:r>
          </w:p>
          <w:p w14:paraId="2ED08AE1">
            <w:pPr>
              <w:widowControl/>
              <w:numPr>
                <w:ilvl w:val="0"/>
                <w:numId w:val="259"/>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钢架部分：1.采用满焊焊接。2.管材直径尺寸：≥管长38mm*宽20mm*厚2.0mm眼睛管；横杆≥长32mm*宽22mm*厚1.5mm鱼眼管。</w:t>
            </w:r>
          </w:p>
          <w:p w14:paraId="116C98D5">
            <w:pPr>
              <w:widowControl/>
              <w:numPr>
                <w:ilvl w:val="0"/>
                <w:numId w:val="259"/>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表面涂装：钢管架焊接完成后，经抛丸除锈，静电喷塑。</w:t>
            </w:r>
          </w:p>
        </w:tc>
        <w:tc>
          <w:tcPr>
            <w:tcW w:w="863" w:type="dxa"/>
            <w:gridSpan w:val="4"/>
            <w:vAlign w:val="center"/>
          </w:tcPr>
          <w:p w14:paraId="0E2FD49C">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套</w:t>
            </w:r>
          </w:p>
        </w:tc>
        <w:tc>
          <w:tcPr>
            <w:tcW w:w="925" w:type="dxa"/>
            <w:gridSpan w:val="3"/>
            <w:vAlign w:val="center"/>
          </w:tcPr>
          <w:p w14:paraId="5BFC251C">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652604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74871FCB">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13</w:t>
            </w:r>
          </w:p>
        </w:tc>
        <w:tc>
          <w:tcPr>
            <w:tcW w:w="1227" w:type="dxa"/>
            <w:vAlign w:val="center"/>
          </w:tcPr>
          <w:p w14:paraId="7EDB9791">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学生桌</w:t>
            </w:r>
          </w:p>
        </w:tc>
        <w:tc>
          <w:tcPr>
            <w:tcW w:w="6167" w:type="dxa"/>
            <w:vAlign w:val="center"/>
          </w:tcPr>
          <w:p w14:paraId="49529A60">
            <w:pPr>
              <w:widowControl/>
              <w:numPr>
                <w:ilvl w:val="0"/>
                <w:numId w:val="260"/>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规格：≥2200mm×1200mm×760mm（根据教室长度适当增加或减小)</w:t>
            </w:r>
          </w:p>
          <w:p w14:paraId="00F922BB">
            <w:pPr>
              <w:widowControl/>
              <w:numPr>
                <w:ilvl w:val="0"/>
                <w:numId w:val="260"/>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台面：采用≥12mm厚抗倍特板倍边加工，四周边缘总厚度≥25mm；台面易清洁、耐磨、耐腐蚀、耐辐射、耐高温、耐冲击。</w:t>
            </w:r>
          </w:p>
          <w:p w14:paraId="70B608D8">
            <w:pPr>
              <w:widowControl/>
              <w:numPr>
                <w:ilvl w:val="0"/>
                <w:numId w:val="260"/>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台体：喷塑铝合金框架结构，框架内镶嵌≥16mm厚环保E1级浸渍胶膜纸饰面刨花板，立柱采用D形铝合金型材,规格≥33 mm×60 mm，壁厚≥1.5 mm；横梁≥35 mm×32 mm壁厚≥1.5 mm，卡锁式连接件组装；立柱下部镶嵌ABS地脚座，预埋铜质螺母，安装高强度可调地脚；组合严密、牢固、稳定。</w:t>
            </w:r>
          </w:p>
        </w:tc>
        <w:tc>
          <w:tcPr>
            <w:tcW w:w="863" w:type="dxa"/>
            <w:gridSpan w:val="4"/>
            <w:vAlign w:val="center"/>
          </w:tcPr>
          <w:p w14:paraId="127E270E">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位</w:t>
            </w:r>
          </w:p>
        </w:tc>
        <w:tc>
          <w:tcPr>
            <w:tcW w:w="925" w:type="dxa"/>
            <w:gridSpan w:val="3"/>
            <w:vAlign w:val="center"/>
          </w:tcPr>
          <w:p w14:paraId="0CAD085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56</w:t>
            </w:r>
          </w:p>
        </w:tc>
      </w:tr>
      <w:tr w14:paraId="468F51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7E74E471">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14</w:t>
            </w:r>
          </w:p>
        </w:tc>
        <w:tc>
          <w:tcPr>
            <w:tcW w:w="1227" w:type="dxa"/>
            <w:vAlign w:val="center"/>
          </w:tcPr>
          <w:p w14:paraId="656CBED5">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学生椅</w:t>
            </w:r>
          </w:p>
        </w:tc>
        <w:tc>
          <w:tcPr>
            <w:tcW w:w="6167" w:type="dxa"/>
            <w:vAlign w:val="center"/>
          </w:tcPr>
          <w:p w14:paraId="17E1CDEB">
            <w:pPr>
              <w:widowControl/>
              <w:numPr>
                <w:ilvl w:val="0"/>
                <w:numId w:val="261"/>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椅子：座高≥450mm。</w:t>
            </w:r>
          </w:p>
          <w:p w14:paraId="4CA5705C">
            <w:pPr>
              <w:widowControl/>
              <w:numPr>
                <w:ilvl w:val="0"/>
                <w:numId w:val="261"/>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靠背:1.材质:采用PP耐冲击塑料一体注塑成型，2.尺寸：靠背规格≥340mm*390mm。 3.靠背中间有50mm内凹式曲线弧度设计，能很好的支撑着正在成长中学童的背部脊椎，使其免于侧弯，靠背有有最小直径5mm至最大长16mm*宽椭圆形发散通风孔4.功能：椅背背面设计有把手功能部件、方便提拿，同时也是挂钩功能，可挂书包、衣服等。</w:t>
            </w:r>
          </w:p>
          <w:p w14:paraId="01D457E9">
            <w:pPr>
              <w:widowControl/>
              <w:numPr>
                <w:ilvl w:val="0"/>
                <w:numId w:val="261"/>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坐垫：1.材质：采用PP耐冲击塑料一体注塑成型。2.尺寸：≥415mm×380mm。</w:t>
            </w:r>
          </w:p>
          <w:p w14:paraId="4A3D3AFE">
            <w:pPr>
              <w:widowControl/>
              <w:numPr>
                <w:ilvl w:val="0"/>
                <w:numId w:val="261"/>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椅面采用人体工程学设计，坐垫中间有45mm内凹式设计，坐垫前端有波浪形加瀑布型设计，能让学生整个臀部坐在内凹处，借此可分散上半身的所有重量，使学童在学习时更舒服，更健康地成长，椅面有最小直径5mm至最大长16mm宽椭圆形发散通风孔。</w:t>
            </w:r>
          </w:p>
          <w:p w14:paraId="2A0D08B4">
            <w:pPr>
              <w:widowControl/>
              <w:numPr>
                <w:ilvl w:val="0"/>
                <w:numId w:val="261"/>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钢架部分：1.采用满焊焊接。2.管材直径尺寸：≥管长38mm*宽20mm*厚2.0mm眼睛管；横杆≥长32mm*宽22mm*厚1.5mm鱼眼管。</w:t>
            </w:r>
          </w:p>
          <w:p w14:paraId="5113B77C">
            <w:pPr>
              <w:widowControl/>
              <w:numPr>
                <w:ilvl w:val="0"/>
                <w:numId w:val="261"/>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 xml:space="preserve">表面涂装：钢管架焊接完成后，经抛丸除锈，静电喷塑。 </w:t>
            </w:r>
          </w:p>
        </w:tc>
        <w:tc>
          <w:tcPr>
            <w:tcW w:w="863" w:type="dxa"/>
            <w:gridSpan w:val="4"/>
            <w:vAlign w:val="center"/>
          </w:tcPr>
          <w:p w14:paraId="7C72DE92">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25" w:type="dxa"/>
            <w:gridSpan w:val="3"/>
            <w:vAlign w:val="center"/>
          </w:tcPr>
          <w:p w14:paraId="5DD16EAA">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56</w:t>
            </w:r>
          </w:p>
        </w:tc>
      </w:tr>
      <w:tr w14:paraId="7EC49C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033DB64A">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15</w:t>
            </w:r>
          </w:p>
        </w:tc>
        <w:tc>
          <w:tcPr>
            <w:tcW w:w="1227" w:type="dxa"/>
            <w:vAlign w:val="center"/>
          </w:tcPr>
          <w:p w14:paraId="7186F731">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功放</w:t>
            </w:r>
          </w:p>
        </w:tc>
        <w:tc>
          <w:tcPr>
            <w:tcW w:w="6167" w:type="dxa"/>
            <w:vAlign w:val="center"/>
          </w:tcPr>
          <w:p w14:paraId="61C6097D">
            <w:pPr>
              <w:widowControl/>
              <w:numPr>
                <w:ilvl w:val="0"/>
                <w:numId w:val="262"/>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输出功率：150W*2</w:t>
            </w:r>
          </w:p>
          <w:p w14:paraId="0566E68B">
            <w:pPr>
              <w:widowControl/>
              <w:numPr>
                <w:ilvl w:val="0"/>
                <w:numId w:val="262"/>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频率响应：20Hz-20KHz</w:t>
            </w:r>
          </w:p>
          <w:p w14:paraId="57A705B6">
            <w:pPr>
              <w:widowControl/>
              <w:numPr>
                <w:ilvl w:val="0"/>
                <w:numId w:val="262"/>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信噪比：≥80dB</w:t>
            </w:r>
          </w:p>
          <w:p w14:paraId="3D92FF31">
            <w:pPr>
              <w:widowControl/>
              <w:numPr>
                <w:ilvl w:val="0"/>
                <w:numId w:val="262"/>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音调控制 高音/低音：10KHz±12Db/10Hz±12dB</w:t>
            </w:r>
          </w:p>
          <w:p w14:paraId="4B54E01A">
            <w:pPr>
              <w:widowControl/>
              <w:numPr>
                <w:ilvl w:val="0"/>
                <w:numId w:val="262"/>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功放噪音电压：≤10mV</w:t>
            </w:r>
          </w:p>
          <w:p w14:paraId="12263577">
            <w:pPr>
              <w:widowControl/>
              <w:numPr>
                <w:ilvl w:val="0"/>
                <w:numId w:val="262"/>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安装调试简单、扩音清晰、灵敏度高、性能稳定、保护功能完善。</w:t>
            </w:r>
          </w:p>
        </w:tc>
        <w:tc>
          <w:tcPr>
            <w:tcW w:w="863" w:type="dxa"/>
            <w:gridSpan w:val="4"/>
            <w:vAlign w:val="center"/>
          </w:tcPr>
          <w:p w14:paraId="5EDDDEE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套</w:t>
            </w:r>
          </w:p>
        </w:tc>
        <w:tc>
          <w:tcPr>
            <w:tcW w:w="925" w:type="dxa"/>
            <w:gridSpan w:val="3"/>
            <w:vAlign w:val="center"/>
          </w:tcPr>
          <w:p w14:paraId="00BD71D5">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1C73C8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57A33D85">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16</w:t>
            </w:r>
          </w:p>
        </w:tc>
        <w:tc>
          <w:tcPr>
            <w:tcW w:w="1227" w:type="dxa"/>
            <w:vAlign w:val="center"/>
          </w:tcPr>
          <w:p w14:paraId="2C7BEF82">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音箱</w:t>
            </w:r>
          </w:p>
        </w:tc>
        <w:tc>
          <w:tcPr>
            <w:tcW w:w="6167" w:type="dxa"/>
            <w:vAlign w:val="center"/>
          </w:tcPr>
          <w:p w14:paraId="29A0200D">
            <w:pPr>
              <w:widowControl/>
              <w:numPr>
                <w:ilvl w:val="0"/>
                <w:numId w:val="263"/>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输出功率：60W-120W</w:t>
            </w:r>
          </w:p>
          <w:p w14:paraId="7EFA53AF">
            <w:pPr>
              <w:widowControl/>
              <w:numPr>
                <w:ilvl w:val="0"/>
                <w:numId w:val="263"/>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阻抗：8Ω</w:t>
            </w:r>
          </w:p>
          <w:p w14:paraId="64694CEB">
            <w:pPr>
              <w:widowControl/>
              <w:numPr>
                <w:ilvl w:val="0"/>
                <w:numId w:val="263"/>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灵敏度：96dB±2dB</w:t>
            </w:r>
          </w:p>
          <w:p w14:paraId="36B8C663">
            <w:pPr>
              <w:widowControl/>
              <w:numPr>
                <w:ilvl w:val="0"/>
                <w:numId w:val="263"/>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频率响应：80Hz-16KHz</w:t>
            </w:r>
          </w:p>
          <w:p w14:paraId="699F96D5">
            <w:pPr>
              <w:widowControl/>
              <w:numPr>
                <w:ilvl w:val="0"/>
                <w:numId w:val="263"/>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尺寸：450*140*180mm</w:t>
            </w:r>
          </w:p>
          <w:p w14:paraId="2A6A6589">
            <w:pPr>
              <w:widowControl/>
              <w:numPr>
                <w:ilvl w:val="0"/>
                <w:numId w:val="263"/>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采用磨沙MDF箱体，烤漆铁网罩，保真度高、声音穿透力强、层次感好、音色清晰自然，传输距离远，安装方便。</w:t>
            </w:r>
          </w:p>
        </w:tc>
        <w:tc>
          <w:tcPr>
            <w:tcW w:w="863" w:type="dxa"/>
            <w:gridSpan w:val="4"/>
            <w:vAlign w:val="center"/>
          </w:tcPr>
          <w:p w14:paraId="4EC611C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对</w:t>
            </w:r>
          </w:p>
        </w:tc>
        <w:tc>
          <w:tcPr>
            <w:tcW w:w="925" w:type="dxa"/>
            <w:gridSpan w:val="3"/>
            <w:vAlign w:val="center"/>
          </w:tcPr>
          <w:p w14:paraId="1FA51DC5">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688E38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20E2066B">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17</w:t>
            </w:r>
          </w:p>
        </w:tc>
        <w:tc>
          <w:tcPr>
            <w:tcW w:w="1227" w:type="dxa"/>
            <w:vAlign w:val="center"/>
          </w:tcPr>
          <w:p w14:paraId="1A1D0300">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网络机柜</w:t>
            </w:r>
          </w:p>
        </w:tc>
        <w:tc>
          <w:tcPr>
            <w:tcW w:w="6167" w:type="dxa"/>
            <w:vAlign w:val="center"/>
          </w:tcPr>
          <w:p w14:paraId="6608DF74">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600*600*1200（mm）</w:t>
            </w:r>
          </w:p>
        </w:tc>
        <w:tc>
          <w:tcPr>
            <w:tcW w:w="863" w:type="dxa"/>
            <w:gridSpan w:val="4"/>
            <w:vAlign w:val="center"/>
          </w:tcPr>
          <w:p w14:paraId="7D7157C7">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25" w:type="dxa"/>
            <w:gridSpan w:val="3"/>
            <w:vAlign w:val="center"/>
          </w:tcPr>
          <w:p w14:paraId="00416A0E">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7A0A62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3327217E">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18</w:t>
            </w:r>
          </w:p>
        </w:tc>
        <w:tc>
          <w:tcPr>
            <w:tcW w:w="1227" w:type="dxa"/>
            <w:vAlign w:val="center"/>
          </w:tcPr>
          <w:p w14:paraId="7F3CA607">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环境布置</w:t>
            </w:r>
          </w:p>
        </w:tc>
        <w:tc>
          <w:tcPr>
            <w:tcW w:w="6167" w:type="dxa"/>
          </w:tcPr>
          <w:p w14:paraId="54BA50C7">
            <w:pPr>
              <w:widowControl/>
              <w:jc w:val="left"/>
              <w:textAlignment w:val="top"/>
              <w:rPr>
                <w:rFonts w:hint="eastAsia" w:ascii="宋体" w:hAnsi="宋体"/>
                <w:color w:val="auto"/>
                <w:szCs w:val="21"/>
                <w:highlight w:val="none"/>
              </w:rPr>
            </w:pPr>
            <w:r>
              <w:rPr>
                <w:rFonts w:hint="eastAsia" w:ascii="宋体" w:hAnsi="宋体"/>
                <w:color w:val="auto"/>
                <w:kern w:val="0"/>
                <w:szCs w:val="21"/>
                <w:highlight w:val="none"/>
                <w:lang w:bidi="ar"/>
              </w:rPr>
              <w:t>需满足项目学校功能室基本环境需求：包含综合布线、地面复原、垃圾清运、设备安装、货物搬运、基础装修等</w:t>
            </w:r>
          </w:p>
        </w:tc>
        <w:tc>
          <w:tcPr>
            <w:tcW w:w="863" w:type="dxa"/>
            <w:gridSpan w:val="4"/>
            <w:vAlign w:val="center"/>
          </w:tcPr>
          <w:p w14:paraId="0AB9D46A">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室</w:t>
            </w:r>
          </w:p>
        </w:tc>
        <w:tc>
          <w:tcPr>
            <w:tcW w:w="925" w:type="dxa"/>
            <w:gridSpan w:val="3"/>
            <w:vAlign w:val="center"/>
          </w:tcPr>
          <w:p w14:paraId="16168C20">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457928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9931" w:type="dxa"/>
            <w:gridSpan w:val="10"/>
            <w:noWrap/>
            <w:vAlign w:val="center"/>
          </w:tcPr>
          <w:p w14:paraId="7B63F9F5">
            <w:pPr>
              <w:widowControl/>
              <w:jc w:val="center"/>
              <w:textAlignment w:val="center"/>
              <w:rPr>
                <w:rFonts w:hint="eastAsia" w:ascii="宋体" w:hAnsi="宋体"/>
                <w:b/>
                <w:bCs/>
                <w:color w:val="auto"/>
                <w:szCs w:val="21"/>
                <w:highlight w:val="none"/>
              </w:rPr>
            </w:pPr>
            <w:r>
              <w:rPr>
                <w:rFonts w:hint="eastAsia" w:ascii="宋体" w:hAnsi="宋体"/>
                <w:b/>
                <w:bCs/>
                <w:color w:val="auto"/>
                <w:kern w:val="0"/>
                <w:szCs w:val="21"/>
                <w:highlight w:val="none"/>
                <w:lang w:bidi="ar"/>
              </w:rPr>
              <w:t>七、录播教室</w:t>
            </w:r>
          </w:p>
        </w:tc>
      </w:tr>
      <w:tr w14:paraId="05887B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noWrap/>
            <w:vAlign w:val="center"/>
          </w:tcPr>
          <w:p w14:paraId="5400C63E">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c>
          <w:tcPr>
            <w:tcW w:w="1227" w:type="dxa"/>
            <w:noWrap/>
            <w:vAlign w:val="center"/>
          </w:tcPr>
          <w:p w14:paraId="3CC2197B">
            <w:pPr>
              <w:widowControl/>
              <w:jc w:val="center"/>
              <w:textAlignment w:val="center"/>
              <w:rPr>
                <w:rFonts w:hint="eastAsia" w:ascii="宋体" w:hAnsi="宋体"/>
                <w:color w:val="auto"/>
                <w:szCs w:val="21"/>
                <w:highlight w:val="none"/>
              </w:rPr>
            </w:pPr>
            <w:r>
              <w:rPr>
                <w:rFonts w:hint="eastAsia" w:ascii="宋体" w:hAnsi="宋体" w:cstheme="minorEastAsia"/>
                <w:color w:val="auto"/>
                <w:kern w:val="0"/>
                <w:szCs w:val="21"/>
                <w:highlight w:val="none"/>
                <w:lang w:bidi="ar"/>
              </w:rPr>
              <w:t>智慧黑板</w:t>
            </w:r>
          </w:p>
        </w:tc>
        <w:tc>
          <w:tcPr>
            <w:tcW w:w="6167" w:type="dxa"/>
            <w:noWrap/>
            <w:vAlign w:val="center"/>
          </w:tcPr>
          <w:p w14:paraId="7D585F2B">
            <w:pPr>
              <w:widowControl/>
              <w:spacing w:line="276" w:lineRule="auto"/>
              <w:jc w:val="left"/>
              <w:textAlignment w:val="center"/>
              <w:rPr>
                <w:rFonts w:hint="eastAsia" w:ascii="宋体" w:hAnsi="宋体"/>
                <w:b/>
                <w:bCs/>
                <w:color w:val="auto"/>
                <w:szCs w:val="21"/>
                <w:highlight w:val="none"/>
              </w:rPr>
            </w:pPr>
            <w:r>
              <w:rPr>
                <w:rFonts w:hint="eastAsia" w:ascii="宋体" w:hAnsi="宋体"/>
                <w:b/>
                <w:bCs/>
                <w:color w:val="auto"/>
                <w:szCs w:val="21"/>
                <w:highlight w:val="none"/>
              </w:rPr>
              <w:t>一、显示部分要求</w:t>
            </w:r>
          </w:p>
          <w:p w14:paraId="4247EC82">
            <w:pPr>
              <w:pStyle w:val="53"/>
              <w:widowControl/>
              <w:numPr>
                <w:ilvl w:val="2"/>
                <w:numId w:val="264"/>
              </w:numPr>
              <w:spacing w:line="276" w:lineRule="auto"/>
              <w:ind w:firstLineChars="0"/>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智慧黑板显示尺寸≥86英寸，分辨率：3840*2160。</w:t>
            </w:r>
          </w:p>
          <w:p w14:paraId="5C4902AE">
            <w:pPr>
              <w:pStyle w:val="53"/>
              <w:widowControl/>
              <w:numPr>
                <w:ilvl w:val="2"/>
                <w:numId w:val="264"/>
              </w:numPr>
              <w:spacing w:line="276" w:lineRule="auto"/>
              <w:ind w:firstLineChars="0"/>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智慧黑板表面玻璃须采用高强度钢化玻璃，防眩光，厚度不超过3.5mm，硬度不低于莫氏7级，石墨硬度不低于9H。</w:t>
            </w:r>
          </w:p>
          <w:p w14:paraId="77F8A3AD">
            <w:pPr>
              <w:pStyle w:val="53"/>
              <w:widowControl/>
              <w:numPr>
                <w:ilvl w:val="2"/>
                <w:numId w:val="264"/>
              </w:numPr>
              <w:spacing w:line="276" w:lineRule="auto"/>
              <w:ind w:firstLineChars="0"/>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智慧黑板背光系统需支持多级亮度调节，拍摄时画面无条纹闪烁。光源稳定无频闪，防止眼睛疲劳，需具备开机默认防蓝光功能无需按键调节。</w:t>
            </w:r>
          </w:p>
          <w:p w14:paraId="18AC1538">
            <w:pPr>
              <w:widowControl/>
              <w:spacing w:line="276" w:lineRule="auto"/>
              <w:jc w:val="left"/>
              <w:textAlignment w:val="center"/>
              <w:rPr>
                <w:rFonts w:hint="eastAsia" w:ascii="宋体" w:hAnsi="宋体"/>
                <w:b/>
                <w:bCs/>
                <w:color w:val="auto"/>
                <w:szCs w:val="21"/>
                <w:highlight w:val="none"/>
              </w:rPr>
            </w:pPr>
            <w:r>
              <w:rPr>
                <w:rFonts w:hint="eastAsia" w:ascii="宋体" w:hAnsi="宋体"/>
                <w:b/>
                <w:bCs/>
                <w:color w:val="auto"/>
                <w:szCs w:val="21"/>
                <w:highlight w:val="none"/>
              </w:rPr>
              <w:t>二、触控部分要求</w:t>
            </w:r>
          </w:p>
          <w:p w14:paraId="1CB6B214">
            <w:pPr>
              <w:pStyle w:val="53"/>
              <w:widowControl/>
              <w:numPr>
                <w:ilvl w:val="0"/>
                <w:numId w:val="265"/>
              </w:numPr>
              <w:spacing w:line="276" w:lineRule="auto"/>
              <w:ind w:firstLineChars="0"/>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采用多点触控技术，在安卓和WINDOWS双系统下需支持不少于40点触控和书写；</w:t>
            </w:r>
          </w:p>
          <w:p w14:paraId="27DA6D9A">
            <w:pPr>
              <w:widowControl/>
              <w:spacing w:line="276" w:lineRule="auto"/>
              <w:jc w:val="left"/>
              <w:textAlignment w:val="center"/>
              <w:rPr>
                <w:rFonts w:hint="eastAsia" w:ascii="宋体" w:hAnsi="宋体"/>
                <w:b/>
                <w:bCs/>
                <w:color w:val="auto"/>
                <w:szCs w:val="21"/>
                <w:highlight w:val="none"/>
              </w:rPr>
            </w:pPr>
            <w:r>
              <w:rPr>
                <w:rFonts w:hint="eastAsia" w:ascii="宋体" w:hAnsi="宋体"/>
                <w:b/>
                <w:bCs/>
                <w:color w:val="auto"/>
                <w:szCs w:val="21"/>
                <w:highlight w:val="none"/>
              </w:rPr>
              <w:t>三、整机安全性要求</w:t>
            </w:r>
          </w:p>
          <w:p w14:paraId="01AB799A">
            <w:pPr>
              <w:pStyle w:val="53"/>
              <w:widowControl/>
              <w:numPr>
                <w:ilvl w:val="2"/>
                <w:numId w:val="266"/>
              </w:numPr>
              <w:spacing w:line="276" w:lineRule="auto"/>
              <w:ind w:firstLineChars="0"/>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整机需支持硬件自检，包括对系统内存、存储、触控系统、光感系统、内置电脑、屏体信息、主板型号、CPU型号、CPU使用率、设备名称等进行状态提示及故障提示。</w:t>
            </w:r>
          </w:p>
          <w:p w14:paraId="2A64B574">
            <w:pPr>
              <w:pStyle w:val="53"/>
              <w:widowControl/>
              <w:numPr>
                <w:ilvl w:val="2"/>
                <w:numId w:val="266"/>
              </w:numPr>
              <w:spacing w:line="276" w:lineRule="auto"/>
              <w:ind w:firstLineChars="0"/>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智慧黑板需支持纸质护眼模式，可实现画面纹理的实时调整；支持透明度调节与色温调节。</w:t>
            </w:r>
          </w:p>
          <w:p w14:paraId="7491F8EF">
            <w:pPr>
              <w:pStyle w:val="53"/>
              <w:widowControl/>
              <w:numPr>
                <w:ilvl w:val="2"/>
                <w:numId w:val="266"/>
              </w:numPr>
              <w:spacing w:line="276" w:lineRule="auto"/>
              <w:ind w:firstLineChars="0"/>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智慧黑板需具备屏体温度实时监控、高温预警及断电保护等功能。</w:t>
            </w:r>
          </w:p>
          <w:p w14:paraId="1F07D8D8">
            <w:pPr>
              <w:widowControl/>
              <w:spacing w:line="276" w:lineRule="auto"/>
              <w:jc w:val="left"/>
              <w:textAlignment w:val="center"/>
              <w:rPr>
                <w:rFonts w:hint="eastAsia" w:ascii="宋体" w:hAnsi="宋体"/>
                <w:b/>
                <w:bCs/>
                <w:color w:val="auto"/>
                <w:szCs w:val="21"/>
                <w:highlight w:val="none"/>
              </w:rPr>
            </w:pPr>
            <w:r>
              <w:rPr>
                <w:rFonts w:hint="eastAsia" w:ascii="宋体" w:hAnsi="宋体"/>
                <w:b/>
                <w:bCs/>
                <w:color w:val="auto"/>
                <w:szCs w:val="21"/>
                <w:highlight w:val="none"/>
              </w:rPr>
              <w:t>四、整机接口按键要求</w:t>
            </w:r>
          </w:p>
          <w:p w14:paraId="0B169F3A">
            <w:pPr>
              <w:pStyle w:val="53"/>
              <w:widowControl/>
              <w:numPr>
                <w:ilvl w:val="0"/>
                <w:numId w:val="267"/>
              </w:numPr>
              <w:spacing w:line="276" w:lineRule="auto"/>
              <w:ind w:firstLineChars="0"/>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为方便外接拓展设备，智慧黑板前面板需具备带中文标识的接口，不少于1路标准HDMI接口、2路USB3.0接口、1路Type-C接口。后置标配非扩展接口不少于2路HDMI输入，1路HDMI输出。</w:t>
            </w:r>
          </w:p>
          <w:p w14:paraId="7DE735DB">
            <w:pPr>
              <w:pStyle w:val="53"/>
              <w:widowControl/>
              <w:numPr>
                <w:ilvl w:val="0"/>
                <w:numId w:val="267"/>
              </w:numPr>
              <w:spacing w:line="276" w:lineRule="auto"/>
              <w:ind w:firstLineChars="0"/>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智慧黑板前置按键需实现音量加减、窗口关闭、触控开关、电脑还原按键等六个以上具有中文标识的常用按键。</w:t>
            </w:r>
          </w:p>
          <w:p w14:paraId="2A09FED5">
            <w:pPr>
              <w:widowControl/>
              <w:spacing w:line="276" w:lineRule="auto"/>
              <w:jc w:val="left"/>
              <w:textAlignment w:val="center"/>
              <w:rPr>
                <w:rFonts w:hint="eastAsia" w:ascii="宋体" w:hAnsi="宋体"/>
                <w:b/>
                <w:bCs/>
                <w:color w:val="auto"/>
                <w:szCs w:val="21"/>
                <w:highlight w:val="none"/>
              </w:rPr>
            </w:pPr>
            <w:r>
              <w:rPr>
                <w:rFonts w:hint="eastAsia" w:ascii="宋体" w:hAnsi="宋体"/>
                <w:b/>
                <w:bCs/>
                <w:color w:val="auto"/>
                <w:szCs w:val="21"/>
                <w:highlight w:val="none"/>
              </w:rPr>
              <w:t>五、安卓系统要求</w:t>
            </w:r>
          </w:p>
          <w:p w14:paraId="5C81F6FC">
            <w:pPr>
              <w:pStyle w:val="53"/>
              <w:widowControl/>
              <w:numPr>
                <w:ilvl w:val="2"/>
                <w:numId w:val="268"/>
              </w:numPr>
              <w:spacing w:line="276" w:lineRule="auto"/>
              <w:ind w:firstLineChars="0"/>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智慧黑板需具备国产化芯片驱动，不低于8核CPU、4核GPU。安卓系统版本不低于14.0，内存不小于4G，存储不小于32G。</w:t>
            </w:r>
          </w:p>
          <w:p w14:paraId="00ED17F0">
            <w:pPr>
              <w:widowControl/>
              <w:spacing w:line="276" w:lineRule="auto"/>
              <w:jc w:val="left"/>
              <w:textAlignment w:val="center"/>
              <w:rPr>
                <w:rFonts w:hint="eastAsia" w:ascii="宋体" w:hAnsi="宋体"/>
                <w:b/>
                <w:bCs/>
                <w:color w:val="auto"/>
                <w:szCs w:val="21"/>
                <w:highlight w:val="none"/>
              </w:rPr>
            </w:pPr>
            <w:r>
              <w:rPr>
                <w:rFonts w:hint="eastAsia" w:ascii="宋体" w:hAnsi="宋体"/>
                <w:b/>
                <w:bCs/>
                <w:color w:val="auto"/>
                <w:szCs w:val="21"/>
                <w:highlight w:val="none"/>
              </w:rPr>
              <w:t>六、整机音视频要求</w:t>
            </w:r>
          </w:p>
          <w:p w14:paraId="22BC055E">
            <w:pPr>
              <w:pStyle w:val="53"/>
              <w:widowControl/>
              <w:numPr>
                <w:ilvl w:val="0"/>
                <w:numId w:val="269"/>
              </w:numPr>
              <w:spacing w:line="276" w:lineRule="auto"/>
              <w:ind w:firstLineChars="0"/>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需采用2.2声道，不少于6个发声单元，功率不小于60W。</w:t>
            </w:r>
          </w:p>
          <w:p w14:paraId="22269CF3">
            <w:pPr>
              <w:pStyle w:val="53"/>
              <w:widowControl/>
              <w:numPr>
                <w:ilvl w:val="0"/>
                <w:numId w:val="269"/>
              </w:numPr>
              <w:spacing w:line="276" w:lineRule="auto"/>
              <w:ind w:firstLineChars="0"/>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需内置一体化超高清摄像头，摄像头不低于1800W像素,镜头能向下倾斜。</w:t>
            </w:r>
          </w:p>
          <w:p w14:paraId="3E5FE54A">
            <w:pPr>
              <w:pStyle w:val="53"/>
              <w:widowControl/>
              <w:numPr>
                <w:ilvl w:val="0"/>
                <w:numId w:val="269"/>
              </w:numPr>
              <w:spacing w:line="276" w:lineRule="auto"/>
              <w:ind w:firstLineChars="0"/>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内置摄像头需支持AI软件实现自动点名点数功能，支持远程巡课功能，具备指示灯工作状态提示。</w:t>
            </w:r>
          </w:p>
          <w:p w14:paraId="7FEC2341">
            <w:pPr>
              <w:widowControl/>
              <w:spacing w:line="276" w:lineRule="auto"/>
              <w:jc w:val="left"/>
              <w:textAlignment w:val="center"/>
              <w:rPr>
                <w:rFonts w:hint="eastAsia" w:ascii="宋体" w:hAnsi="宋体"/>
                <w:b/>
                <w:bCs/>
                <w:color w:val="auto"/>
                <w:szCs w:val="21"/>
                <w:highlight w:val="none"/>
              </w:rPr>
            </w:pPr>
            <w:r>
              <w:rPr>
                <w:rFonts w:hint="eastAsia" w:ascii="宋体" w:hAnsi="宋体"/>
                <w:b/>
                <w:bCs/>
                <w:color w:val="auto"/>
                <w:szCs w:val="21"/>
                <w:highlight w:val="none"/>
              </w:rPr>
              <w:t>七、其他与教学相关的常用功能</w:t>
            </w:r>
          </w:p>
          <w:p w14:paraId="21117531">
            <w:pPr>
              <w:pStyle w:val="53"/>
              <w:widowControl/>
              <w:numPr>
                <w:ilvl w:val="0"/>
                <w:numId w:val="270"/>
              </w:numPr>
              <w:spacing w:line="276" w:lineRule="auto"/>
              <w:ind w:firstLineChars="0"/>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智慧黑板需具有可放置书写笔、粉笔、水性笔的笔槽，笔槽具有漏灰孔设计。</w:t>
            </w:r>
          </w:p>
          <w:p w14:paraId="35C9A6F4">
            <w:pPr>
              <w:pStyle w:val="53"/>
              <w:widowControl/>
              <w:numPr>
                <w:ilvl w:val="0"/>
                <w:numId w:val="270"/>
              </w:numPr>
              <w:spacing w:line="276" w:lineRule="auto"/>
              <w:ind w:firstLineChars="0"/>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在任意信号源下向上滑动，可调用快捷设置菜单；无需切换系统可快速调节Windows和安卓的设置，如声音、亮度、网络等常用功能。</w:t>
            </w:r>
          </w:p>
          <w:p w14:paraId="1416A36E">
            <w:pPr>
              <w:pStyle w:val="53"/>
              <w:widowControl/>
              <w:numPr>
                <w:ilvl w:val="0"/>
                <w:numId w:val="270"/>
              </w:numPr>
              <w:spacing w:line="276" w:lineRule="auto"/>
              <w:ind w:firstLineChars="0"/>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智慧黑板左右两侧需各具备不少于10个与教学应用密切相关的快捷键，支持自定义设置时间、显示模式，单侧显示、双侧同时显示，快捷键至少需具备关闭窗口、展台、桌面、多屏互动等教学常用功能。</w:t>
            </w:r>
          </w:p>
          <w:p w14:paraId="43885CB2">
            <w:pPr>
              <w:pStyle w:val="53"/>
              <w:widowControl/>
              <w:numPr>
                <w:ilvl w:val="0"/>
                <w:numId w:val="270"/>
              </w:numPr>
              <w:spacing w:line="276" w:lineRule="auto"/>
              <w:ind w:firstLineChars="0"/>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智慧黑板具有快捷悬浮菜单，通过两指长按能快速移动悬浮菜单至按压位置，悬浮菜单能进行自定义分组，能够添加不少于三十个应用。</w:t>
            </w:r>
          </w:p>
          <w:p w14:paraId="6158F92C">
            <w:pPr>
              <w:pStyle w:val="53"/>
              <w:widowControl/>
              <w:numPr>
                <w:ilvl w:val="0"/>
                <w:numId w:val="270"/>
              </w:numPr>
              <w:spacing w:line="276" w:lineRule="auto"/>
              <w:ind w:firstLineChars="0"/>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需支持手势实现悬浮窗快速调用、屏幕息屏或亮屏、屏幕下移、多任务等功能，方便课堂操作。</w:t>
            </w:r>
          </w:p>
          <w:p w14:paraId="2D5BE507">
            <w:pPr>
              <w:pStyle w:val="53"/>
              <w:widowControl/>
              <w:numPr>
                <w:ilvl w:val="0"/>
                <w:numId w:val="270"/>
              </w:numPr>
              <w:spacing w:line="276" w:lineRule="auto"/>
              <w:ind w:firstLineChars="0"/>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智慧黑板支持远程升级，及时给用户推送新版应用。</w:t>
            </w:r>
          </w:p>
          <w:p w14:paraId="396E016E">
            <w:pPr>
              <w:widowControl/>
              <w:spacing w:line="276" w:lineRule="auto"/>
              <w:jc w:val="left"/>
              <w:textAlignment w:val="center"/>
              <w:rPr>
                <w:rFonts w:hint="eastAsia" w:ascii="宋体" w:hAnsi="宋体"/>
                <w:b/>
                <w:bCs/>
                <w:color w:val="auto"/>
                <w:szCs w:val="21"/>
                <w:highlight w:val="none"/>
              </w:rPr>
            </w:pPr>
            <w:r>
              <w:rPr>
                <w:rFonts w:hint="eastAsia" w:ascii="宋体" w:hAnsi="宋体"/>
                <w:b/>
                <w:bCs/>
                <w:color w:val="auto"/>
                <w:szCs w:val="21"/>
                <w:highlight w:val="none"/>
              </w:rPr>
              <w:t>八、书写侧板要求</w:t>
            </w:r>
          </w:p>
          <w:p w14:paraId="4C39A22A">
            <w:pPr>
              <w:pStyle w:val="53"/>
              <w:widowControl/>
              <w:numPr>
                <w:ilvl w:val="2"/>
                <w:numId w:val="271"/>
              </w:numPr>
              <w:spacing w:line="276" w:lineRule="auto"/>
              <w:ind w:firstLineChars="0"/>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书写侧板板面支持磁性材质教具吸附。</w:t>
            </w:r>
          </w:p>
          <w:p w14:paraId="5A0F10DB">
            <w:pPr>
              <w:pStyle w:val="53"/>
              <w:widowControl/>
              <w:numPr>
                <w:ilvl w:val="2"/>
                <w:numId w:val="271"/>
              </w:numPr>
              <w:spacing w:line="276" w:lineRule="auto"/>
              <w:ind w:firstLineChars="0"/>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书写侧板板面光泽度需符合 GB28231-2011 标准，不高于8光泽度以免产生眩光。</w:t>
            </w:r>
          </w:p>
          <w:p w14:paraId="0F06751B">
            <w:pPr>
              <w:pStyle w:val="53"/>
              <w:widowControl/>
              <w:numPr>
                <w:ilvl w:val="2"/>
                <w:numId w:val="271"/>
              </w:numPr>
              <w:spacing w:line="276" w:lineRule="auto"/>
              <w:ind w:firstLineChars="0"/>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书写侧板板面符合 GB/T9286-2021标准，支持色漆和清漆漆膜的划格试验，脱漆面积不明显大于 5%达到0级标准。</w:t>
            </w:r>
          </w:p>
          <w:p w14:paraId="05C75498">
            <w:pPr>
              <w:pStyle w:val="53"/>
              <w:widowControl/>
              <w:numPr>
                <w:ilvl w:val="2"/>
                <w:numId w:val="271"/>
              </w:numPr>
              <w:spacing w:line="276" w:lineRule="auto"/>
              <w:ind w:firstLineChars="0"/>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书写侧板板面抗冲击性需符合GB/T 1732-2020标准，漆膜耐冲击无裂纹现象。</w:t>
            </w:r>
          </w:p>
          <w:p w14:paraId="4B04FF25">
            <w:pPr>
              <w:pStyle w:val="53"/>
              <w:widowControl/>
              <w:numPr>
                <w:ilvl w:val="2"/>
                <w:numId w:val="271"/>
              </w:numPr>
              <w:spacing w:line="276" w:lineRule="auto"/>
              <w:ind w:firstLineChars="0"/>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书写侧板与显示触摸屏为同品牌一体化设计，整体长度不小于4200mm。</w:t>
            </w:r>
          </w:p>
          <w:p w14:paraId="19BD0390">
            <w:pPr>
              <w:widowControl/>
              <w:spacing w:line="276" w:lineRule="auto"/>
              <w:jc w:val="left"/>
              <w:textAlignment w:val="center"/>
              <w:rPr>
                <w:rFonts w:hint="eastAsia" w:ascii="宋体" w:hAnsi="宋体"/>
                <w:b/>
                <w:bCs/>
                <w:color w:val="auto"/>
                <w:szCs w:val="21"/>
                <w:highlight w:val="none"/>
              </w:rPr>
            </w:pPr>
            <w:r>
              <w:rPr>
                <w:rFonts w:hint="eastAsia" w:ascii="宋体" w:hAnsi="宋体"/>
                <w:b/>
                <w:bCs/>
                <w:color w:val="auto"/>
                <w:szCs w:val="21"/>
                <w:highlight w:val="none"/>
              </w:rPr>
              <w:t>九、内置电脑配置要求</w:t>
            </w:r>
          </w:p>
          <w:p w14:paraId="033E6BFB">
            <w:pPr>
              <w:pStyle w:val="53"/>
              <w:widowControl/>
              <w:numPr>
                <w:ilvl w:val="0"/>
                <w:numId w:val="272"/>
              </w:numPr>
              <w:spacing w:line="276" w:lineRule="auto"/>
              <w:ind w:firstLineChars="0"/>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整机需易于维护，满足80pin通用标准接口，卡扣设计。</w:t>
            </w:r>
          </w:p>
          <w:p w14:paraId="0CC1264C">
            <w:pPr>
              <w:pStyle w:val="53"/>
              <w:widowControl/>
              <w:numPr>
                <w:ilvl w:val="0"/>
                <w:numId w:val="272"/>
              </w:numPr>
              <w:spacing w:line="276" w:lineRule="auto"/>
              <w:ind w:firstLineChars="0"/>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采用不低于12代I5芯片，内存不小于8G，硬盘256G SSD。</w:t>
            </w:r>
          </w:p>
          <w:p w14:paraId="68E6E83B">
            <w:pPr>
              <w:widowControl/>
              <w:spacing w:line="276" w:lineRule="auto"/>
              <w:jc w:val="left"/>
              <w:textAlignment w:val="center"/>
              <w:rPr>
                <w:rFonts w:hint="eastAsia" w:ascii="宋体" w:hAnsi="宋体"/>
                <w:b/>
                <w:bCs/>
                <w:color w:val="auto"/>
                <w:szCs w:val="21"/>
                <w:highlight w:val="none"/>
              </w:rPr>
            </w:pPr>
            <w:r>
              <w:rPr>
                <w:rFonts w:hint="eastAsia" w:ascii="宋体" w:hAnsi="宋体"/>
                <w:b/>
                <w:bCs/>
                <w:color w:val="auto"/>
                <w:szCs w:val="21"/>
                <w:highlight w:val="none"/>
              </w:rPr>
              <w:t>十、教学软件功能要求</w:t>
            </w:r>
          </w:p>
          <w:p w14:paraId="7D682039">
            <w:pPr>
              <w:pStyle w:val="53"/>
              <w:widowControl/>
              <w:spacing w:line="276" w:lineRule="auto"/>
              <w:ind w:firstLine="0" w:firstLineChars="0"/>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备课模式</w:t>
            </w:r>
          </w:p>
          <w:p w14:paraId="1EA924D8">
            <w:pPr>
              <w:pStyle w:val="53"/>
              <w:widowControl/>
              <w:numPr>
                <w:ilvl w:val="1"/>
                <w:numId w:val="273"/>
              </w:numPr>
              <w:spacing w:line="276" w:lineRule="auto"/>
              <w:ind w:firstLineChars="0"/>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教师个人账号无需完成特定任务，即可获取不少于200GB云端存储空间，可扩展至3TB或以上云存储空间。</w:t>
            </w:r>
          </w:p>
          <w:p w14:paraId="59F728F1">
            <w:pPr>
              <w:pStyle w:val="53"/>
              <w:widowControl/>
              <w:numPr>
                <w:ilvl w:val="1"/>
                <w:numId w:val="273"/>
              </w:numPr>
              <w:spacing w:line="276" w:lineRule="auto"/>
              <w:ind w:firstLineChars="0"/>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需提供预置的课件素材，允许教师在网页端、移动端、电脑端进行内容的选择与组合，快速生成课件并浏览，所有制作的课件均实时保存至云端，登录即可查看。</w:t>
            </w:r>
          </w:p>
          <w:p w14:paraId="79EA8169">
            <w:pPr>
              <w:pStyle w:val="53"/>
              <w:widowControl/>
              <w:numPr>
                <w:ilvl w:val="1"/>
                <w:numId w:val="273"/>
              </w:numPr>
              <w:spacing w:line="276" w:lineRule="auto"/>
              <w:ind w:firstLineChars="0"/>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需支持教师根据教材章节目录、知识点选择对应的教学内容。教师仅需要按每个教学环节选择所需的教学模块即可快速生成一份课件。每个课时均提供过量的教学内容模块，满足教师的个性化需求。</w:t>
            </w:r>
          </w:p>
          <w:p w14:paraId="34738D82">
            <w:pPr>
              <w:pStyle w:val="53"/>
              <w:widowControl/>
              <w:numPr>
                <w:ilvl w:val="1"/>
                <w:numId w:val="273"/>
              </w:numPr>
              <w:spacing w:line="276" w:lineRule="auto"/>
              <w:ind w:firstLineChars="0"/>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需提供模块化的课件素材和教案，课件支持组选：课堂导入，知识讲解，例题与变式，拓展延伸，课外活动等。</w:t>
            </w:r>
          </w:p>
          <w:p w14:paraId="50089183">
            <w:pPr>
              <w:pStyle w:val="53"/>
              <w:widowControl/>
              <w:numPr>
                <w:ilvl w:val="1"/>
                <w:numId w:val="273"/>
              </w:numPr>
              <w:spacing w:line="276" w:lineRule="auto"/>
              <w:ind w:firstLineChars="0"/>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需支持插入音频，对音频的剪辑，可拖动或输入音频的开始和结束位置。插入表格，表格支持设置行列数，在表格上可以进行行列的添加、删除、合并和拆分，可编辑文字格式和表格格式。插入思维导图，包括逻辑图、鱼骨图和组织结构图，思维导图可添加同级节点、下级节点、上级节点，可编辑文字格式和思维导图格式。</w:t>
            </w:r>
          </w:p>
          <w:p w14:paraId="73C32DE5">
            <w:pPr>
              <w:pStyle w:val="53"/>
              <w:widowControl/>
              <w:spacing w:line="276" w:lineRule="auto"/>
              <w:ind w:firstLine="0" w:firstLineChars="0"/>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授课模式</w:t>
            </w:r>
          </w:p>
          <w:p w14:paraId="21C4AC32">
            <w:pPr>
              <w:pStyle w:val="53"/>
              <w:widowControl/>
              <w:numPr>
                <w:ilvl w:val="1"/>
                <w:numId w:val="273"/>
              </w:numPr>
              <w:spacing w:line="276" w:lineRule="auto"/>
              <w:ind w:firstLineChars="0"/>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需支持显示文件、工具和应用的便捷入口，当开始批注且有笔迹时，自动隐藏便捷入口，清除笔迹时，自动恢复显示便捷入口。</w:t>
            </w:r>
          </w:p>
          <w:p w14:paraId="110EB356">
            <w:pPr>
              <w:pStyle w:val="53"/>
              <w:widowControl/>
              <w:numPr>
                <w:ilvl w:val="1"/>
                <w:numId w:val="273"/>
              </w:numPr>
              <w:spacing w:line="276" w:lineRule="auto"/>
              <w:ind w:firstLineChars="0"/>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需支持多种教辅工具，包含截图、时钟、放大镜、聚光灯、黑屏、随机数、骰子和大转盘等。</w:t>
            </w:r>
          </w:p>
          <w:p w14:paraId="7C02B46B">
            <w:pPr>
              <w:pStyle w:val="53"/>
              <w:widowControl/>
              <w:numPr>
                <w:ilvl w:val="1"/>
                <w:numId w:val="273"/>
              </w:numPr>
              <w:spacing w:line="276" w:lineRule="auto"/>
              <w:ind w:firstLineChars="0"/>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需支持打开本机文件、U盘文件等本地文件；不需导入，可直接打开本地视频、音频、图片、离线教学课件、PPT、PPTX、PDF文件、DOC、DOCX文件及swf文件等；需支持多个文件窗口同屏播放显示，满足多素材授课需求。支持批注的文件类型包含PPT、PPTX、图片、PDF、DOC、DOCX。</w:t>
            </w:r>
          </w:p>
          <w:p w14:paraId="0ED06655">
            <w:pPr>
              <w:pStyle w:val="53"/>
              <w:widowControl/>
              <w:spacing w:line="276" w:lineRule="auto"/>
              <w:ind w:firstLine="0" w:firstLineChars="0"/>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录课助手</w:t>
            </w:r>
          </w:p>
          <w:p w14:paraId="6BF28F49">
            <w:pPr>
              <w:pStyle w:val="53"/>
              <w:widowControl/>
              <w:numPr>
                <w:ilvl w:val="1"/>
                <w:numId w:val="273"/>
              </w:numPr>
              <w:spacing w:line="276" w:lineRule="auto"/>
              <w:ind w:firstLineChars="0"/>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需支持屏幕、屏幕+摄像头等多种形式的录制，也可结合录播系统进行全景录制。需支持对视频清晰度的调整，提供高清、超清、超高清的切换，方便在手机、电脑或者大屏上观看。</w:t>
            </w:r>
          </w:p>
          <w:p w14:paraId="536FDD80">
            <w:pPr>
              <w:pStyle w:val="53"/>
              <w:widowControl/>
              <w:numPr>
                <w:ilvl w:val="1"/>
                <w:numId w:val="273"/>
              </w:numPr>
              <w:spacing w:line="276" w:lineRule="auto"/>
              <w:ind w:firstLineChars="0"/>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需支持快速录制，可移动，三秒无操作即变为半透明；可实时查看录制进度，进行暂停、 开始、结束操作。</w:t>
            </w:r>
          </w:p>
          <w:p w14:paraId="05916C9E">
            <w:pPr>
              <w:pStyle w:val="53"/>
              <w:widowControl/>
              <w:numPr>
                <w:ilvl w:val="1"/>
                <w:numId w:val="273"/>
              </w:numPr>
              <w:spacing w:line="276" w:lineRule="auto"/>
              <w:ind w:firstLineChars="0"/>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需支持随时开启分享功能，实现即时直播，听课端无需下载软件，扫描二维码即可进入直播课堂并进行互动。开通直播后生成直播海报、直播码，易于分享，多人观看无压力，且支持手机端、PC端观看直播，可实现课堂实时评论。</w:t>
            </w:r>
          </w:p>
          <w:p w14:paraId="37009934">
            <w:pPr>
              <w:pStyle w:val="53"/>
              <w:widowControl/>
              <w:numPr>
                <w:ilvl w:val="1"/>
                <w:numId w:val="273"/>
              </w:numPr>
              <w:spacing w:line="276" w:lineRule="auto"/>
              <w:ind w:firstLineChars="0"/>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在桌面及摄像头录制场景下，能自动侦测摄像头，可识别出展台摄像头，同时支持摄像头 画面的切换、移动及大小的调整。录制视频可自动保存在本地，也可上传至云端教师空间，结束录制即生成回看视频，可快速浏览录制情况。</w:t>
            </w:r>
          </w:p>
          <w:p w14:paraId="2D023563">
            <w:pPr>
              <w:pStyle w:val="53"/>
              <w:widowControl/>
              <w:numPr>
                <w:ilvl w:val="1"/>
                <w:numId w:val="273"/>
              </w:numPr>
              <w:spacing w:line="276" w:lineRule="auto"/>
              <w:ind w:firstLineChars="0"/>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录制列表支持按时间查找所有已录制视频并可查看录制详情，包括录制日期、文件大小、 上传状态，同时可扫码回看所有已上传视频。录制视频支持点播、分享、编辑等功能，也可将视频共享到学校空间，方便校本资源的建设和管理。</w:t>
            </w:r>
          </w:p>
          <w:p w14:paraId="48C6D41B">
            <w:pPr>
              <w:widowControl/>
              <w:spacing w:line="276" w:lineRule="auto"/>
              <w:jc w:val="left"/>
              <w:textAlignment w:val="center"/>
              <w:rPr>
                <w:rFonts w:hint="eastAsia" w:ascii="宋体" w:hAnsi="宋体"/>
                <w:b/>
                <w:bCs/>
                <w:color w:val="auto"/>
                <w:szCs w:val="21"/>
                <w:highlight w:val="none"/>
              </w:rPr>
            </w:pPr>
            <w:r>
              <w:rPr>
                <w:rFonts w:hint="eastAsia" w:ascii="宋体" w:hAnsi="宋体"/>
                <w:b/>
                <w:bCs/>
                <w:color w:val="auto"/>
                <w:szCs w:val="21"/>
                <w:highlight w:val="none"/>
              </w:rPr>
              <w:t>十一、AI教学功能</w:t>
            </w:r>
          </w:p>
          <w:p w14:paraId="0EC3F20B">
            <w:pPr>
              <w:pStyle w:val="53"/>
              <w:widowControl/>
              <w:numPr>
                <w:ilvl w:val="0"/>
                <w:numId w:val="274"/>
              </w:numPr>
              <w:spacing w:line="276" w:lineRule="auto"/>
              <w:ind w:firstLineChars="0"/>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提供符合教师授课场景的教学桌面系统。</w:t>
            </w:r>
          </w:p>
          <w:p w14:paraId="0E29487F">
            <w:pPr>
              <w:pStyle w:val="53"/>
              <w:widowControl/>
              <w:numPr>
                <w:ilvl w:val="0"/>
                <w:numId w:val="274"/>
              </w:numPr>
              <w:spacing w:line="276" w:lineRule="auto"/>
              <w:ind w:firstLineChars="0"/>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教师授课常用应用放至主页，单击即可打开应用，方便教师快捷调用软件，支持根据个人使用习惯，自定义主页应用。</w:t>
            </w:r>
          </w:p>
          <w:p w14:paraId="60CEE1F6">
            <w:pPr>
              <w:pStyle w:val="53"/>
              <w:widowControl/>
              <w:numPr>
                <w:ilvl w:val="0"/>
                <w:numId w:val="274"/>
              </w:numPr>
              <w:spacing w:line="276" w:lineRule="auto"/>
              <w:ind w:firstLineChars="0"/>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开机进入教学桌面，教师可按照自己使用习惯，更换常用软件、背景，形成教师的定制化桌面。可通过登录账户，在其他设备上同步展示教师定制化教学桌面，可添加常用教学互动AI小组件，包括班里挑一、击鼓传花、自动点名、时钟、计算器、文件管理器等。</w:t>
            </w:r>
          </w:p>
          <w:p w14:paraId="7BBF928D">
            <w:pPr>
              <w:pStyle w:val="53"/>
              <w:widowControl/>
              <w:numPr>
                <w:ilvl w:val="0"/>
                <w:numId w:val="274"/>
              </w:numPr>
              <w:spacing w:line="276" w:lineRule="auto"/>
              <w:ind w:firstLineChars="0"/>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不少于4种登录方式，包括账号密码登录、验证码登录、人脸登录、声纹登录等，教师登录系统后打开其他应用及空间，可进行快捷登录，无需再次输入账户密码。</w:t>
            </w:r>
          </w:p>
          <w:p w14:paraId="7F66128C">
            <w:pPr>
              <w:pStyle w:val="53"/>
              <w:widowControl/>
              <w:numPr>
                <w:ilvl w:val="0"/>
                <w:numId w:val="274"/>
              </w:numPr>
              <w:spacing w:line="276" w:lineRule="auto"/>
              <w:ind w:firstLineChars="0"/>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具备AI教学管理功能模块，包括AI一键备课、教学资源、课程设计、我的资源等常用教学功能模块。</w:t>
            </w:r>
          </w:p>
          <w:p w14:paraId="09E27149">
            <w:pPr>
              <w:pStyle w:val="53"/>
              <w:widowControl/>
              <w:numPr>
                <w:ilvl w:val="0"/>
                <w:numId w:val="274"/>
              </w:numPr>
              <w:spacing w:line="276" w:lineRule="auto"/>
              <w:ind w:firstLineChars="0"/>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用户可以通过学段、年级、学科/专业、页数的筛选设置，实现AI一键备课；具备AI一键生成教学大纲的功能，教学大纲具备简洁、标准、丰富等不少于三种样式可选；课件内容支持内容AI重写，可实现对文字内容进行文案重写、丰富内容、精简内容、改写语气、文本翻译等，图片AI优化功能，支持图片AI优化，可实现AI重新生成图片、AI智能抠图、提取图片内文字内容等。</w:t>
            </w:r>
          </w:p>
          <w:p w14:paraId="4F20AAB3">
            <w:pPr>
              <w:pStyle w:val="53"/>
              <w:widowControl/>
              <w:numPr>
                <w:ilvl w:val="0"/>
                <w:numId w:val="274"/>
              </w:numPr>
              <w:spacing w:line="276" w:lineRule="auto"/>
              <w:ind w:firstLineChars="0"/>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用户可以通过输入关键词筛选学科资源，也可以通过设置教育类型、学段、年级、学科、教材版本等信息条件筛选学科资源，可通过窗口化预览学科资源（图片、文档、视频）。</w:t>
            </w:r>
          </w:p>
          <w:p w14:paraId="3341832C">
            <w:pPr>
              <w:pStyle w:val="53"/>
              <w:widowControl/>
              <w:numPr>
                <w:ilvl w:val="0"/>
                <w:numId w:val="274"/>
              </w:numPr>
              <w:spacing w:line="276" w:lineRule="auto"/>
              <w:ind w:firstLineChars="0"/>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具备课程管理管理功能，可创建、修改课程信息，可设置课程日期、地点、开始时间、结束时间、重复周期，支持上传多种格式文档，文档格式包括txt、pdf、doc、docx、xls、xlsx、cvs、xml、ppt、pptx等，可通过日、周、月等不同时间维度查看课表信息。</w:t>
            </w:r>
          </w:p>
          <w:p w14:paraId="73520945">
            <w:pPr>
              <w:pStyle w:val="53"/>
              <w:widowControl/>
              <w:numPr>
                <w:ilvl w:val="0"/>
                <w:numId w:val="274"/>
              </w:numPr>
              <w:spacing w:line="276" w:lineRule="auto"/>
              <w:ind w:firstLineChars="0"/>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具备个人教学管理功能，可对个人资源进行预览、下载、删除、编辑、修改、重命名等操作，可查看历史生成课件记录、历史浏览课件记录。</w:t>
            </w:r>
          </w:p>
          <w:p w14:paraId="2D3A978D">
            <w:pPr>
              <w:pStyle w:val="53"/>
              <w:widowControl/>
              <w:numPr>
                <w:ilvl w:val="0"/>
                <w:numId w:val="274"/>
              </w:numPr>
              <w:spacing w:line="276" w:lineRule="auto"/>
              <w:ind w:firstLineChars="0"/>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具备AI口语对练功能模块，支持跟读训练、场景对话、自由对话等不少于3种口语对练方式。</w:t>
            </w:r>
          </w:p>
          <w:p w14:paraId="3BD4BCE3">
            <w:pPr>
              <w:pStyle w:val="53"/>
              <w:widowControl/>
              <w:numPr>
                <w:ilvl w:val="0"/>
                <w:numId w:val="274"/>
              </w:numPr>
              <w:spacing w:line="276" w:lineRule="auto"/>
              <w:ind w:firstLineChars="0"/>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支持AI语音对话，支持语音资源检索，并可一键将获取的文本内容、图片、视频等资源插入白板，提高教学效率。</w:t>
            </w:r>
          </w:p>
          <w:p w14:paraId="6B5F20EF">
            <w:pPr>
              <w:pStyle w:val="53"/>
              <w:widowControl/>
              <w:numPr>
                <w:ilvl w:val="0"/>
                <w:numId w:val="274"/>
              </w:numPr>
              <w:spacing w:line="276" w:lineRule="auto"/>
              <w:ind w:firstLineChars="0"/>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AI语音对话具备大模型对话功能，最大支持50轮对话；具备查看历史对话的功能。</w:t>
            </w:r>
          </w:p>
          <w:p w14:paraId="3B7F742D">
            <w:pPr>
              <w:pStyle w:val="53"/>
              <w:widowControl/>
              <w:numPr>
                <w:ilvl w:val="0"/>
                <w:numId w:val="274"/>
              </w:numPr>
              <w:spacing w:line="276" w:lineRule="auto"/>
              <w:ind w:firstLineChars="0"/>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可通过手动唤醒和语音唤醒两种方式唤醒悬浮窗AI助教的功能，支持通过语音控制设备的控制，例如音量、亮度、信号源设置等，可通过语音一键进入备课界面、资源界面、课程设计界面、我的资源界面。</w:t>
            </w:r>
          </w:p>
        </w:tc>
        <w:tc>
          <w:tcPr>
            <w:tcW w:w="863" w:type="dxa"/>
            <w:gridSpan w:val="4"/>
            <w:vAlign w:val="center"/>
          </w:tcPr>
          <w:p w14:paraId="2398A5DC">
            <w:pPr>
              <w:widowControl/>
              <w:jc w:val="center"/>
              <w:textAlignment w:val="center"/>
              <w:rPr>
                <w:rFonts w:hint="eastAsia" w:ascii="宋体" w:hAnsi="宋体"/>
                <w:color w:val="auto"/>
                <w:szCs w:val="21"/>
                <w:highlight w:val="none"/>
              </w:rPr>
            </w:pPr>
            <w:r>
              <w:rPr>
                <w:rFonts w:hint="eastAsia" w:ascii="宋体" w:hAnsi="宋体"/>
                <w:color w:val="auto"/>
                <w:szCs w:val="21"/>
                <w:highlight w:val="none"/>
              </w:rPr>
              <w:t>台</w:t>
            </w:r>
          </w:p>
        </w:tc>
        <w:tc>
          <w:tcPr>
            <w:tcW w:w="925" w:type="dxa"/>
            <w:gridSpan w:val="3"/>
            <w:vAlign w:val="center"/>
          </w:tcPr>
          <w:p w14:paraId="321FB5A6">
            <w:pPr>
              <w:widowControl/>
              <w:jc w:val="center"/>
              <w:textAlignment w:val="center"/>
              <w:rPr>
                <w:rFonts w:hint="eastAsia" w:ascii="宋体" w:hAnsi="宋体"/>
                <w:color w:val="auto"/>
                <w:szCs w:val="21"/>
                <w:highlight w:val="none"/>
              </w:rPr>
            </w:pPr>
            <w:r>
              <w:rPr>
                <w:rFonts w:hint="eastAsia" w:ascii="宋体" w:hAnsi="宋体"/>
                <w:color w:val="auto"/>
                <w:szCs w:val="21"/>
                <w:highlight w:val="none"/>
              </w:rPr>
              <w:t>1</w:t>
            </w:r>
          </w:p>
        </w:tc>
      </w:tr>
      <w:tr w14:paraId="50968A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5FE90C1D">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w:t>
            </w:r>
          </w:p>
        </w:tc>
        <w:tc>
          <w:tcPr>
            <w:tcW w:w="1227" w:type="dxa"/>
            <w:vAlign w:val="center"/>
          </w:tcPr>
          <w:p w14:paraId="0A828DEE">
            <w:pPr>
              <w:widowControl/>
              <w:jc w:val="center"/>
              <w:textAlignment w:val="center"/>
              <w:rPr>
                <w:rFonts w:hint="eastAsia" w:ascii="宋体" w:hAnsi="宋体"/>
                <w:color w:val="auto"/>
                <w:szCs w:val="21"/>
                <w:highlight w:val="none"/>
              </w:rPr>
            </w:pPr>
            <w:r>
              <w:rPr>
                <w:rFonts w:hint="eastAsia" w:ascii="宋体" w:hAnsi="宋体" w:cstheme="minorEastAsia"/>
                <w:color w:val="auto"/>
                <w:kern w:val="0"/>
                <w:szCs w:val="21"/>
                <w:highlight w:val="none"/>
                <w:lang w:bidi="ar"/>
              </w:rPr>
              <w:t>多媒体讲桌</w:t>
            </w:r>
          </w:p>
        </w:tc>
        <w:tc>
          <w:tcPr>
            <w:tcW w:w="6167" w:type="dxa"/>
            <w:vAlign w:val="center"/>
          </w:tcPr>
          <w:p w14:paraId="4D8B8B53">
            <w:pPr>
              <w:pStyle w:val="53"/>
              <w:widowControl/>
              <w:numPr>
                <w:ilvl w:val="0"/>
                <w:numId w:val="275"/>
              </w:numPr>
              <w:spacing w:line="276" w:lineRule="auto"/>
              <w:ind w:firstLineChars="0"/>
              <w:jc w:val="left"/>
              <w:textAlignment w:val="center"/>
              <w:rPr>
                <w:rFonts w:hint="eastAsia" w:ascii="宋体" w:hAnsi="宋体" w:cstheme="minorEastAsia"/>
                <w:color w:val="auto"/>
                <w:kern w:val="0"/>
                <w:szCs w:val="21"/>
                <w:highlight w:val="none"/>
                <w:lang w:bidi="ar"/>
              </w:rPr>
            </w:pPr>
            <w:r>
              <w:rPr>
                <w:rFonts w:hint="eastAsia" w:ascii="宋体" w:hAnsi="宋体" w:cstheme="minorEastAsia"/>
                <w:color w:val="auto"/>
                <w:kern w:val="0"/>
                <w:szCs w:val="21"/>
                <w:highlight w:val="none"/>
                <w:lang w:bidi="ar"/>
              </w:rPr>
              <w:t>规格：≥1150*780*1000（长宽高）mm。</w:t>
            </w:r>
          </w:p>
          <w:p w14:paraId="7D6CBAE7">
            <w:pPr>
              <w:pStyle w:val="53"/>
              <w:widowControl/>
              <w:numPr>
                <w:ilvl w:val="0"/>
                <w:numId w:val="275"/>
              </w:numPr>
              <w:spacing w:line="276" w:lineRule="auto"/>
              <w:ind w:firstLineChars="0"/>
              <w:jc w:val="left"/>
              <w:textAlignment w:val="center"/>
              <w:rPr>
                <w:rFonts w:hint="eastAsia" w:ascii="宋体" w:hAnsi="宋体" w:cstheme="minorEastAsia"/>
                <w:color w:val="auto"/>
                <w:kern w:val="0"/>
                <w:szCs w:val="21"/>
                <w:highlight w:val="none"/>
                <w:lang w:bidi="ar"/>
              </w:rPr>
            </w:pPr>
            <w:r>
              <w:rPr>
                <w:rFonts w:hint="eastAsia" w:ascii="宋体" w:hAnsi="宋体" w:cstheme="minorEastAsia"/>
                <w:color w:val="auto"/>
                <w:kern w:val="0"/>
                <w:szCs w:val="21"/>
                <w:highlight w:val="none"/>
                <w:lang w:bidi="ar"/>
              </w:rPr>
              <w:t>讲桌主体材料采用1.0-1.5mm冷轧钢板。讲桌采用钢木结合构造，桌体上部分采用圆弧设计。讲台整体设计符合人体力学原理，提供左右海南橡木实木扶手，供使用者扶用。</w:t>
            </w:r>
          </w:p>
          <w:p w14:paraId="4F4B2242">
            <w:pPr>
              <w:pStyle w:val="53"/>
              <w:widowControl/>
              <w:numPr>
                <w:ilvl w:val="0"/>
                <w:numId w:val="275"/>
              </w:numPr>
              <w:spacing w:line="276" w:lineRule="auto"/>
              <w:ind w:firstLineChars="0"/>
              <w:jc w:val="left"/>
              <w:textAlignment w:val="center"/>
              <w:rPr>
                <w:rFonts w:hint="eastAsia" w:ascii="宋体" w:hAnsi="宋体" w:cstheme="minorEastAsia"/>
                <w:color w:val="auto"/>
                <w:kern w:val="0"/>
                <w:szCs w:val="21"/>
                <w:highlight w:val="none"/>
                <w:lang w:bidi="ar"/>
              </w:rPr>
            </w:pPr>
            <w:r>
              <w:rPr>
                <w:rFonts w:hint="eastAsia" w:ascii="宋体" w:hAnsi="宋体" w:cstheme="minorEastAsia"/>
                <w:color w:val="auto"/>
                <w:kern w:val="0"/>
                <w:szCs w:val="21"/>
                <w:highlight w:val="none"/>
                <w:lang w:bidi="ar"/>
              </w:rPr>
              <w:t>工艺：脱脂、磷化、静电喷塑、溜平固化，重点部位须采用一次冲压成型技术；所有钣金部分均采用激光切割加工，所有尖角倒圆角不小于R3，保证使用者和维护者不划伤。</w:t>
            </w:r>
          </w:p>
          <w:p w14:paraId="106E1F03">
            <w:pPr>
              <w:pStyle w:val="53"/>
              <w:widowControl/>
              <w:numPr>
                <w:ilvl w:val="0"/>
                <w:numId w:val="275"/>
              </w:numPr>
              <w:spacing w:line="276" w:lineRule="auto"/>
              <w:ind w:firstLineChars="0"/>
              <w:jc w:val="left"/>
              <w:textAlignment w:val="center"/>
              <w:rPr>
                <w:rFonts w:hint="eastAsia" w:ascii="宋体" w:hAnsi="宋体" w:cstheme="minorEastAsia"/>
                <w:color w:val="auto"/>
                <w:kern w:val="0"/>
                <w:szCs w:val="21"/>
                <w:highlight w:val="none"/>
                <w:lang w:bidi="ar"/>
              </w:rPr>
            </w:pPr>
            <w:r>
              <w:rPr>
                <w:rFonts w:hint="eastAsia" w:ascii="宋体" w:hAnsi="宋体" w:cstheme="minorEastAsia"/>
                <w:color w:val="auto"/>
                <w:kern w:val="0"/>
                <w:szCs w:val="21"/>
                <w:highlight w:val="none"/>
                <w:lang w:bidi="ar"/>
              </w:rPr>
              <w:t>讲桌桌面采用木黄色耐划木质材料，耐腐蚀环保台面（非吸塑工艺），扶手采用橡木扶手，L型橡木装饰板，整体布局简洁、美观。</w:t>
            </w:r>
          </w:p>
          <w:p w14:paraId="6BA8722E">
            <w:pPr>
              <w:pStyle w:val="53"/>
              <w:widowControl/>
              <w:numPr>
                <w:ilvl w:val="0"/>
                <w:numId w:val="275"/>
              </w:numPr>
              <w:spacing w:line="276" w:lineRule="auto"/>
              <w:ind w:firstLineChars="0"/>
              <w:jc w:val="left"/>
              <w:textAlignment w:val="center"/>
              <w:rPr>
                <w:rFonts w:hint="eastAsia" w:ascii="宋体" w:hAnsi="宋体" w:cstheme="minorEastAsia"/>
                <w:color w:val="auto"/>
                <w:kern w:val="0"/>
                <w:szCs w:val="21"/>
                <w:highlight w:val="none"/>
                <w:lang w:bidi="ar"/>
              </w:rPr>
            </w:pPr>
            <w:r>
              <w:rPr>
                <w:rFonts w:hint="eastAsia" w:ascii="宋体" w:hAnsi="宋体" w:cstheme="minorEastAsia"/>
                <w:color w:val="auto"/>
                <w:kern w:val="0"/>
                <w:szCs w:val="21"/>
                <w:highlight w:val="none"/>
                <w:lang w:bidi="ar"/>
              </w:rPr>
              <w:t>桌面由一把机械锁控制，采用环环相扣设计，显示器盖板、键盘打开，展示台抽屉逐步打开。关闭时只要把显示器翻转锁住，此时整个桌面成一个平面状态，操作更简易，使用更安全。或者讲台上设置输入电源控制总开关，用IC卡的形式，能防一定的技术性开启。桌面配有不少于4个USB接口，1个HDMI接口，1个网线接口，1个MIC,1个VGA,2个三孔电源接口。</w:t>
            </w:r>
          </w:p>
          <w:p w14:paraId="3831427A">
            <w:pPr>
              <w:pStyle w:val="53"/>
              <w:widowControl/>
              <w:numPr>
                <w:ilvl w:val="0"/>
                <w:numId w:val="275"/>
              </w:numPr>
              <w:spacing w:line="276" w:lineRule="auto"/>
              <w:ind w:firstLineChars="0"/>
              <w:jc w:val="left"/>
              <w:textAlignment w:val="center"/>
              <w:rPr>
                <w:rFonts w:hint="eastAsia" w:ascii="宋体" w:hAnsi="宋体" w:cstheme="minorEastAsia"/>
                <w:color w:val="auto"/>
                <w:kern w:val="0"/>
                <w:szCs w:val="21"/>
                <w:highlight w:val="none"/>
                <w:lang w:bidi="ar"/>
              </w:rPr>
            </w:pPr>
            <w:r>
              <w:rPr>
                <w:rFonts w:hint="eastAsia" w:ascii="宋体" w:hAnsi="宋体" w:cstheme="minorEastAsia"/>
                <w:color w:val="auto"/>
                <w:kern w:val="0"/>
                <w:szCs w:val="21"/>
                <w:highlight w:val="none"/>
                <w:lang w:bidi="ar"/>
              </w:rPr>
              <w:t>讲桌上下层采用分体式设计，桌面部分和桌体部分自成一体，方便进出设计比较窄的教室门。讲桌内置固定螺丝孔位，安装简单，安全防盗；独立包装，运输轻便。</w:t>
            </w:r>
          </w:p>
          <w:p w14:paraId="54D00E39">
            <w:pPr>
              <w:pStyle w:val="53"/>
              <w:widowControl/>
              <w:numPr>
                <w:ilvl w:val="0"/>
                <w:numId w:val="275"/>
              </w:numPr>
              <w:spacing w:line="276" w:lineRule="auto"/>
              <w:ind w:firstLineChars="0"/>
              <w:jc w:val="left"/>
              <w:textAlignment w:val="center"/>
              <w:rPr>
                <w:rFonts w:hint="eastAsia" w:ascii="宋体" w:hAnsi="宋体" w:cstheme="minorEastAsia"/>
                <w:color w:val="auto"/>
                <w:kern w:val="0"/>
                <w:szCs w:val="21"/>
                <w:highlight w:val="none"/>
                <w:lang w:bidi="ar"/>
              </w:rPr>
            </w:pPr>
            <w:r>
              <w:rPr>
                <w:rFonts w:hint="eastAsia" w:ascii="宋体" w:hAnsi="宋体" w:cstheme="minorEastAsia"/>
                <w:color w:val="auto"/>
                <w:kern w:val="0"/>
                <w:szCs w:val="21"/>
                <w:highlight w:val="none"/>
                <w:lang w:bidi="ar"/>
              </w:rPr>
              <w:t>显示器盖板和键盘、鼠标部分采用联动式设计。显示器盖板可装置不小于23.5寸液晶宽屏显示器；安装显示器无任何螺丝结构。键盘前面放置一体中控或者分体中控系统，7、右侧抽屉可放置实物展示台，承重不小于6公斤,关闭后,所有设备都隐藏在讲台内。</w:t>
            </w:r>
          </w:p>
        </w:tc>
        <w:tc>
          <w:tcPr>
            <w:tcW w:w="863" w:type="dxa"/>
            <w:gridSpan w:val="4"/>
            <w:vAlign w:val="center"/>
          </w:tcPr>
          <w:p w14:paraId="4CBE7A9F">
            <w:pPr>
              <w:widowControl/>
              <w:jc w:val="center"/>
              <w:textAlignment w:val="center"/>
              <w:rPr>
                <w:rFonts w:hint="eastAsia" w:ascii="宋体" w:hAnsi="宋体"/>
                <w:color w:val="auto"/>
                <w:szCs w:val="21"/>
                <w:highlight w:val="none"/>
              </w:rPr>
            </w:pPr>
            <w:r>
              <w:rPr>
                <w:rFonts w:hint="eastAsia" w:ascii="宋体" w:hAnsi="宋体"/>
                <w:color w:val="auto"/>
                <w:szCs w:val="21"/>
                <w:highlight w:val="none"/>
              </w:rPr>
              <w:t>台</w:t>
            </w:r>
          </w:p>
        </w:tc>
        <w:tc>
          <w:tcPr>
            <w:tcW w:w="925" w:type="dxa"/>
            <w:gridSpan w:val="3"/>
            <w:vAlign w:val="center"/>
          </w:tcPr>
          <w:p w14:paraId="4272FE67">
            <w:pPr>
              <w:widowControl/>
              <w:jc w:val="center"/>
              <w:textAlignment w:val="center"/>
              <w:rPr>
                <w:rFonts w:hint="eastAsia" w:ascii="宋体" w:hAnsi="宋体"/>
                <w:color w:val="auto"/>
                <w:szCs w:val="21"/>
                <w:highlight w:val="none"/>
              </w:rPr>
            </w:pPr>
            <w:r>
              <w:rPr>
                <w:rFonts w:hint="eastAsia" w:ascii="宋体" w:hAnsi="宋体"/>
                <w:color w:val="auto"/>
                <w:szCs w:val="21"/>
                <w:highlight w:val="none"/>
              </w:rPr>
              <w:t>1</w:t>
            </w:r>
          </w:p>
        </w:tc>
      </w:tr>
      <w:tr w14:paraId="6A6ED2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3A53508A">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3</w:t>
            </w:r>
          </w:p>
        </w:tc>
        <w:tc>
          <w:tcPr>
            <w:tcW w:w="1227" w:type="dxa"/>
            <w:vAlign w:val="center"/>
          </w:tcPr>
          <w:p w14:paraId="2945865E">
            <w:pPr>
              <w:widowControl/>
              <w:jc w:val="center"/>
              <w:textAlignment w:val="center"/>
              <w:rPr>
                <w:rFonts w:hint="eastAsia" w:ascii="宋体" w:hAnsi="宋体"/>
                <w:color w:val="auto"/>
                <w:szCs w:val="21"/>
                <w:highlight w:val="none"/>
              </w:rPr>
            </w:pPr>
            <w:r>
              <w:rPr>
                <w:rFonts w:hint="eastAsia" w:ascii="宋体" w:hAnsi="宋体" w:cstheme="minorEastAsia"/>
                <w:color w:val="auto"/>
                <w:kern w:val="0"/>
                <w:szCs w:val="21"/>
                <w:highlight w:val="none"/>
                <w:lang w:bidi="ar"/>
              </w:rPr>
              <w:t>录播主机</w:t>
            </w:r>
          </w:p>
        </w:tc>
        <w:tc>
          <w:tcPr>
            <w:tcW w:w="6167" w:type="dxa"/>
            <w:vAlign w:val="center"/>
          </w:tcPr>
          <w:p w14:paraId="6B407B85">
            <w:pPr>
              <w:pStyle w:val="53"/>
              <w:widowControl/>
              <w:numPr>
                <w:ilvl w:val="0"/>
                <w:numId w:val="276"/>
              </w:numPr>
              <w:ind w:firstLineChars="0"/>
              <w:jc w:val="left"/>
              <w:textAlignment w:val="center"/>
              <w:rPr>
                <w:rFonts w:hint="eastAsia" w:ascii="宋体" w:hAnsi="宋体" w:cs="宋体"/>
                <w:color w:val="auto"/>
                <w:kern w:val="0"/>
                <w:szCs w:val="21"/>
                <w:highlight w:val="none"/>
                <w:lang w:bidi="ar"/>
              </w:rPr>
            </w:pPr>
            <w:r>
              <w:rPr>
                <w:rFonts w:hint="eastAsia" w:ascii="宋体" w:hAnsi="宋体" w:cstheme="minorEastAsia"/>
                <w:color w:val="auto"/>
                <w:kern w:val="0"/>
                <w:szCs w:val="21"/>
                <w:highlight w:val="none"/>
                <w:lang w:bidi="ar"/>
              </w:rPr>
              <w:t>主机采用标准1U、嵌入式架构，集视音频处理、导播、编码、录制存储、直播、点播、远程音视频交互、管理等功能于一身，无需配合编码盒使用；</w:t>
            </w:r>
          </w:p>
          <w:p w14:paraId="23CF8013">
            <w:pPr>
              <w:pStyle w:val="53"/>
              <w:widowControl/>
              <w:numPr>
                <w:ilvl w:val="0"/>
                <w:numId w:val="276"/>
              </w:numPr>
              <w:ind w:firstLineChars="0"/>
              <w:jc w:val="left"/>
              <w:textAlignment w:val="center"/>
              <w:rPr>
                <w:rFonts w:hint="eastAsia" w:ascii="宋体" w:hAnsi="宋体" w:cs="宋体"/>
                <w:color w:val="auto"/>
                <w:kern w:val="0"/>
                <w:szCs w:val="21"/>
                <w:highlight w:val="none"/>
                <w:lang w:bidi="ar"/>
              </w:rPr>
            </w:pPr>
            <w:r>
              <w:rPr>
                <w:rFonts w:hint="eastAsia" w:ascii="宋体" w:hAnsi="宋体" w:cstheme="minorEastAsia"/>
                <w:color w:val="auto"/>
                <w:kern w:val="0"/>
                <w:szCs w:val="21"/>
                <w:highlight w:val="none"/>
                <w:lang w:bidi="ar"/>
              </w:rPr>
              <w:t>★视频输入接口不少于6个3G-SDI，2个HDMI，满足多机位及双屏教学应用；（需提供检测报告复印件）</w:t>
            </w:r>
          </w:p>
          <w:p w14:paraId="6A711BF6">
            <w:pPr>
              <w:pStyle w:val="53"/>
              <w:widowControl/>
              <w:numPr>
                <w:ilvl w:val="0"/>
                <w:numId w:val="276"/>
              </w:numPr>
              <w:ind w:firstLineChars="0"/>
              <w:jc w:val="left"/>
              <w:textAlignment w:val="center"/>
              <w:rPr>
                <w:rFonts w:hint="eastAsia" w:ascii="宋体" w:hAnsi="宋体" w:cs="宋体"/>
                <w:color w:val="auto"/>
                <w:kern w:val="0"/>
                <w:szCs w:val="21"/>
                <w:highlight w:val="none"/>
                <w:lang w:bidi="ar"/>
              </w:rPr>
            </w:pPr>
            <w:r>
              <w:rPr>
                <w:rFonts w:hint="eastAsia" w:ascii="宋体" w:hAnsi="宋体" w:cstheme="minorEastAsia"/>
                <w:color w:val="auto"/>
                <w:kern w:val="0"/>
                <w:szCs w:val="21"/>
                <w:highlight w:val="none"/>
                <w:lang w:bidi="ar"/>
              </w:rPr>
              <w:t>视频输出接口不少于2个高清HDMI输出接口，支持输出导播视频画面、远端互动画面；</w:t>
            </w:r>
          </w:p>
          <w:p w14:paraId="104A9C03">
            <w:pPr>
              <w:pStyle w:val="53"/>
              <w:widowControl/>
              <w:numPr>
                <w:ilvl w:val="0"/>
                <w:numId w:val="276"/>
              </w:numPr>
              <w:ind w:firstLineChars="0"/>
              <w:jc w:val="left"/>
              <w:textAlignment w:val="center"/>
              <w:rPr>
                <w:rFonts w:hint="eastAsia" w:ascii="宋体" w:hAnsi="宋体" w:cs="宋体"/>
                <w:color w:val="auto"/>
                <w:kern w:val="0"/>
                <w:szCs w:val="21"/>
                <w:highlight w:val="none"/>
                <w:lang w:bidi="ar"/>
              </w:rPr>
            </w:pPr>
            <w:r>
              <w:rPr>
                <w:rFonts w:hint="eastAsia" w:ascii="宋体" w:hAnsi="宋体" w:cstheme="minorEastAsia"/>
                <w:color w:val="auto"/>
                <w:kern w:val="0"/>
                <w:szCs w:val="21"/>
                <w:highlight w:val="none"/>
                <w:lang w:bidi="ar"/>
              </w:rPr>
              <w:t>不少于2路平衡48V幻像MIC输入接口，用于外接专业话筒；不少于1路无线麦克风音频输入接口，用于外接无线麦克风；不少于1路3.5mm音频输入接口，用于连接电脑音频信号；支持不少于2路3.5mm音频输出接口，1路用于现场监听，1路用于远程互动课堂输出；</w:t>
            </w:r>
          </w:p>
          <w:p w14:paraId="194FEB4B">
            <w:pPr>
              <w:pStyle w:val="53"/>
              <w:widowControl/>
              <w:numPr>
                <w:ilvl w:val="0"/>
                <w:numId w:val="276"/>
              </w:numPr>
              <w:ind w:firstLineChars="0"/>
              <w:jc w:val="left"/>
              <w:textAlignment w:val="center"/>
              <w:rPr>
                <w:rFonts w:hint="eastAsia" w:ascii="宋体" w:hAnsi="宋体" w:cs="宋体"/>
                <w:color w:val="auto"/>
                <w:kern w:val="0"/>
                <w:szCs w:val="21"/>
                <w:highlight w:val="none"/>
                <w:lang w:bidi="ar"/>
              </w:rPr>
            </w:pPr>
            <w:r>
              <w:rPr>
                <w:rFonts w:hint="eastAsia" w:ascii="宋体" w:hAnsi="宋体" w:cstheme="minorEastAsia"/>
                <w:color w:val="auto"/>
                <w:kern w:val="0"/>
                <w:szCs w:val="21"/>
                <w:highlight w:val="none"/>
                <w:lang w:bidi="ar"/>
              </w:rPr>
              <w:t>不少于4个USB接口，其中至少有2个USB3.0，用于外接控制面板、导播控制台等；老师插入U盘可直接对主机内的课件进行拷贝；</w:t>
            </w:r>
          </w:p>
          <w:p w14:paraId="2A026BAC">
            <w:pPr>
              <w:pStyle w:val="53"/>
              <w:widowControl/>
              <w:numPr>
                <w:ilvl w:val="0"/>
                <w:numId w:val="276"/>
              </w:numPr>
              <w:ind w:firstLineChars="0"/>
              <w:jc w:val="left"/>
              <w:textAlignment w:val="center"/>
              <w:rPr>
                <w:rFonts w:hint="eastAsia" w:ascii="宋体" w:hAnsi="宋体" w:cs="宋体"/>
                <w:color w:val="auto"/>
                <w:kern w:val="0"/>
                <w:szCs w:val="21"/>
                <w:highlight w:val="none"/>
                <w:lang w:bidi="ar"/>
              </w:rPr>
            </w:pPr>
            <w:r>
              <w:rPr>
                <w:rFonts w:hint="eastAsia" w:ascii="宋体" w:hAnsi="宋体" w:cstheme="minorEastAsia"/>
                <w:color w:val="auto"/>
                <w:kern w:val="0"/>
                <w:szCs w:val="21"/>
                <w:highlight w:val="none"/>
                <w:lang w:bidi="ar"/>
              </w:rPr>
              <w:t>不少于4路RS-232控制接口，用于外接摄像机、导播台、中控等设备；</w:t>
            </w:r>
          </w:p>
          <w:p w14:paraId="39E96DA4">
            <w:pPr>
              <w:pStyle w:val="53"/>
              <w:widowControl/>
              <w:numPr>
                <w:ilvl w:val="0"/>
                <w:numId w:val="276"/>
              </w:numPr>
              <w:ind w:firstLineChars="0"/>
              <w:jc w:val="left"/>
              <w:textAlignment w:val="center"/>
              <w:rPr>
                <w:rFonts w:hint="eastAsia" w:ascii="宋体" w:hAnsi="宋体" w:cs="宋体"/>
                <w:color w:val="auto"/>
                <w:kern w:val="0"/>
                <w:szCs w:val="21"/>
                <w:highlight w:val="none"/>
                <w:lang w:bidi="ar"/>
              </w:rPr>
            </w:pPr>
            <w:r>
              <w:rPr>
                <w:rFonts w:hint="eastAsia" w:ascii="宋体" w:hAnsi="宋体" w:cstheme="minorEastAsia"/>
                <w:color w:val="auto"/>
                <w:kern w:val="0"/>
                <w:szCs w:val="21"/>
                <w:highlight w:val="none"/>
                <w:lang w:bidi="ar"/>
              </w:rPr>
              <w:t>具有不少于2个千兆网络接口，支持网络管理；</w:t>
            </w:r>
          </w:p>
          <w:p w14:paraId="4B200358">
            <w:pPr>
              <w:pStyle w:val="53"/>
              <w:widowControl/>
              <w:numPr>
                <w:ilvl w:val="0"/>
                <w:numId w:val="276"/>
              </w:numPr>
              <w:ind w:firstLineChars="0"/>
              <w:jc w:val="left"/>
              <w:textAlignment w:val="center"/>
              <w:rPr>
                <w:rFonts w:hint="eastAsia" w:ascii="宋体" w:hAnsi="宋体" w:cs="宋体"/>
                <w:color w:val="auto"/>
                <w:kern w:val="0"/>
                <w:szCs w:val="21"/>
                <w:highlight w:val="none"/>
                <w:lang w:bidi="ar"/>
              </w:rPr>
            </w:pPr>
            <w:r>
              <w:rPr>
                <w:rFonts w:hint="eastAsia" w:ascii="宋体" w:hAnsi="宋体" w:cstheme="minorEastAsia"/>
                <w:color w:val="auto"/>
                <w:kern w:val="0"/>
                <w:szCs w:val="21"/>
                <w:highlight w:val="none"/>
                <w:lang w:bidi="ar"/>
              </w:rPr>
              <w:t>音频编码方式至少支持AAC编码；</w:t>
            </w:r>
          </w:p>
          <w:p w14:paraId="262D2DD9">
            <w:pPr>
              <w:pStyle w:val="53"/>
              <w:widowControl/>
              <w:numPr>
                <w:ilvl w:val="0"/>
                <w:numId w:val="276"/>
              </w:numPr>
              <w:ind w:firstLineChars="0"/>
              <w:jc w:val="left"/>
              <w:textAlignment w:val="center"/>
              <w:rPr>
                <w:rFonts w:hint="eastAsia" w:ascii="宋体" w:hAnsi="宋体" w:cs="宋体"/>
                <w:color w:val="auto"/>
                <w:kern w:val="0"/>
                <w:szCs w:val="21"/>
                <w:highlight w:val="none"/>
                <w:lang w:bidi="ar"/>
              </w:rPr>
            </w:pPr>
            <w:r>
              <w:rPr>
                <w:rFonts w:hint="eastAsia" w:ascii="宋体" w:hAnsi="宋体" w:cstheme="minorEastAsia"/>
                <w:color w:val="auto"/>
                <w:kern w:val="0"/>
                <w:szCs w:val="21"/>
                <w:highlight w:val="none"/>
                <w:lang w:bidi="ar"/>
              </w:rPr>
              <w:t>视频编码方式至少支持H.265标准，同时兼容H.264标准；支持分辨率自适应调整；视频帧率支持25帧、30帧、50帧、60帧可调；视频码率可调；视频封装格式MP4；支持4K视频录制；</w:t>
            </w:r>
          </w:p>
          <w:p w14:paraId="2E44A05F">
            <w:pPr>
              <w:pStyle w:val="53"/>
              <w:widowControl/>
              <w:numPr>
                <w:ilvl w:val="0"/>
                <w:numId w:val="276"/>
              </w:numPr>
              <w:ind w:firstLineChars="0"/>
              <w:jc w:val="left"/>
              <w:textAlignment w:val="center"/>
              <w:rPr>
                <w:rFonts w:hint="eastAsia" w:ascii="宋体" w:hAnsi="宋体" w:cs="宋体"/>
                <w:color w:val="auto"/>
                <w:kern w:val="0"/>
                <w:szCs w:val="21"/>
                <w:highlight w:val="none"/>
                <w:lang w:bidi="ar"/>
              </w:rPr>
            </w:pPr>
            <w:r>
              <w:rPr>
                <w:rFonts w:hint="eastAsia" w:ascii="宋体" w:hAnsi="宋体" w:cstheme="minorEastAsia"/>
                <w:color w:val="auto"/>
                <w:kern w:val="0"/>
                <w:szCs w:val="21"/>
                <w:highlight w:val="none"/>
                <w:lang w:bidi="ar"/>
              </w:rPr>
              <w:t>★要求主机采用双硬盘结构，不少于128GB系统硬盘和2TB资源存储硬盘；（需提供检测报告复印件）</w:t>
            </w:r>
          </w:p>
          <w:p w14:paraId="19C91B61">
            <w:pPr>
              <w:pStyle w:val="53"/>
              <w:widowControl/>
              <w:numPr>
                <w:ilvl w:val="0"/>
                <w:numId w:val="276"/>
              </w:numPr>
              <w:ind w:firstLineChars="0"/>
              <w:jc w:val="left"/>
              <w:textAlignment w:val="center"/>
              <w:rPr>
                <w:rFonts w:hint="eastAsia" w:ascii="宋体" w:hAnsi="宋体" w:cs="宋体"/>
                <w:color w:val="auto"/>
                <w:kern w:val="0"/>
                <w:szCs w:val="21"/>
                <w:highlight w:val="none"/>
                <w:lang w:bidi="ar"/>
              </w:rPr>
            </w:pPr>
            <w:r>
              <w:rPr>
                <w:rFonts w:hint="eastAsia" w:ascii="宋体" w:hAnsi="宋体" w:cstheme="minorEastAsia"/>
                <w:color w:val="auto"/>
                <w:kern w:val="0"/>
                <w:szCs w:val="21"/>
                <w:highlight w:val="none"/>
                <w:lang w:bidi="ar"/>
              </w:rPr>
              <w:t>★为防止录课过程中异常断电，要求主机要求内置可充电备份电池，具有充放电管理功能、支持过充过放保护，可以确保设备在各种供电环境中能保证系统运行和录制课程数据的可靠性；（需提供检测报告复印件）</w:t>
            </w:r>
          </w:p>
        </w:tc>
        <w:tc>
          <w:tcPr>
            <w:tcW w:w="863" w:type="dxa"/>
            <w:gridSpan w:val="4"/>
            <w:vAlign w:val="center"/>
          </w:tcPr>
          <w:p w14:paraId="532C1AEC">
            <w:pPr>
              <w:widowControl/>
              <w:jc w:val="center"/>
              <w:textAlignment w:val="center"/>
              <w:rPr>
                <w:rFonts w:hint="eastAsia" w:ascii="宋体" w:hAnsi="宋体"/>
                <w:color w:val="auto"/>
                <w:szCs w:val="21"/>
                <w:highlight w:val="none"/>
              </w:rPr>
            </w:pPr>
            <w:r>
              <w:rPr>
                <w:rFonts w:hint="eastAsia" w:ascii="宋体" w:hAnsi="宋体"/>
                <w:color w:val="auto"/>
                <w:szCs w:val="21"/>
                <w:highlight w:val="none"/>
              </w:rPr>
              <w:t>套</w:t>
            </w:r>
          </w:p>
        </w:tc>
        <w:tc>
          <w:tcPr>
            <w:tcW w:w="925" w:type="dxa"/>
            <w:gridSpan w:val="3"/>
            <w:vAlign w:val="center"/>
          </w:tcPr>
          <w:p w14:paraId="5E11C2E6">
            <w:pPr>
              <w:widowControl/>
              <w:jc w:val="center"/>
              <w:textAlignment w:val="center"/>
              <w:rPr>
                <w:rFonts w:hint="eastAsia" w:ascii="宋体" w:hAnsi="宋体"/>
                <w:color w:val="auto"/>
                <w:szCs w:val="21"/>
                <w:highlight w:val="none"/>
              </w:rPr>
            </w:pPr>
            <w:r>
              <w:rPr>
                <w:rFonts w:hint="eastAsia" w:ascii="宋体" w:hAnsi="宋体"/>
                <w:color w:val="auto"/>
                <w:szCs w:val="21"/>
                <w:highlight w:val="none"/>
              </w:rPr>
              <w:t>1</w:t>
            </w:r>
          </w:p>
        </w:tc>
      </w:tr>
      <w:tr w14:paraId="52CFFB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38890756">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4</w:t>
            </w:r>
          </w:p>
        </w:tc>
        <w:tc>
          <w:tcPr>
            <w:tcW w:w="1227" w:type="dxa"/>
            <w:vAlign w:val="center"/>
          </w:tcPr>
          <w:p w14:paraId="7BEB4801">
            <w:pPr>
              <w:widowControl/>
              <w:jc w:val="center"/>
              <w:textAlignment w:val="center"/>
              <w:rPr>
                <w:rFonts w:hint="eastAsia" w:ascii="宋体" w:hAnsi="宋体"/>
                <w:color w:val="auto"/>
                <w:szCs w:val="21"/>
                <w:highlight w:val="none"/>
              </w:rPr>
            </w:pPr>
            <w:r>
              <w:rPr>
                <w:rFonts w:hint="eastAsia" w:ascii="宋体" w:hAnsi="宋体" w:cstheme="minorEastAsia"/>
                <w:color w:val="auto"/>
                <w:kern w:val="0"/>
                <w:szCs w:val="21"/>
                <w:highlight w:val="none"/>
                <w:lang w:bidi="ar"/>
              </w:rPr>
              <w:t>录播管理软件</w:t>
            </w:r>
          </w:p>
        </w:tc>
        <w:tc>
          <w:tcPr>
            <w:tcW w:w="6167" w:type="dxa"/>
            <w:vAlign w:val="center"/>
          </w:tcPr>
          <w:p w14:paraId="0C363F6F">
            <w:pPr>
              <w:pStyle w:val="53"/>
              <w:widowControl/>
              <w:numPr>
                <w:ilvl w:val="3"/>
                <w:numId w:val="277"/>
              </w:numPr>
              <w:ind w:firstLineChars="0"/>
              <w:jc w:val="left"/>
              <w:textAlignment w:val="center"/>
              <w:rPr>
                <w:rFonts w:hint="eastAsia" w:ascii="宋体" w:hAnsi="宋体" w:cstheme="minorEastAsia"/>
                <w:color w:val="auto"/>
                <w:kern w:val="0"/>
                <w:szCs w:val="21"/>
                <w:highlight w:val="none"/>
                <w:lang w:bidi="ar"/>
              </w:rPr>
            </w:pPr>
            <w:r>
              <w:rPr>
                <w:rFonts w:hint="eastAsia" w:ascii="宋体" w:hAnsi="宋体" w:cstheme="minorEastAsia"/>
                <w:color w:val="auto"/>
                <w:kern w:val="0"/>
                <w:szCs w:val="21"/>
                <w:highlight w:val="none"/>
                <w:lang w:bidi="ar"/>
              </w:rPr>
              <w:t>录播设备接入与集中管理：简便接入各类录播设备与摄像机，统一管理与实时监控，提升设备管理效率。</w:t>
            </w:r>
          </w:p>
          <w:p w14:paraId="182C3C8D">
            <w:pPr>
              <w:pStyle w:val="53"/>
              <w:widowControl/>
              <w:numPr>
                <w:ilvl w:val="3"/>
                <w:numId w:val="277"/>
              </w:numPr>
              <w:ind w:firstLineChars="0"/>
              <w:jc w:val="left"/>
              <w:textAlignment w:val="center"/>
              <w:rPr>
                <w:rFonts w:hint="eastAsia" w:ascii="宋体" w:hAnsi="宋体" w:cstheme="minorEastAsia"/>
                <w:color w:val="auto"/>
                <w:kern w:val="0"/>
                <w:szCs w:val="21"/>
                <w:highlight w:val="none"/>
                <w:lang w:bidi="ar"/>
              </w:rPr>
            </w:pPr>
            <w:r>
              <w:rPr>
                <w:rFonts w:hint="eastAsia" w:ascii="宋体" w:hAnsi="宋体" w:cstheme="minorEastAsia"/>
                <w:color w:val="auto"/>
                <w:kern w:val="0"/>
                <w:szCs w:val="21"/>
                <w:highlight w:val="none"/>
                <w:lang w:bidi="ar"/>
              </w:rPr>
              <w:t>远程控制与设备管理：实现远程控制，支持直播、录制、资源上传、系统设置等全面管理功能，确保设备随时可用。</w:t>
            </w:r>
          </w:p>
          <w:p w14:paraId="741B9BAD">
            <w:pPr>
              <w:pStyle w:val="53"/>
              <w:widowControl/>
              <w:numPr>
                <w:ilvl w:val="3"/>
                <w:numId w:val="277"/>
              </w:numPr>
              <w:ind w:firstLineChars="0"/>
              <w:jc w:val="left"/>
              <w:textAlignment w:val="center"/>
              <w:rPr>
                <w:rFonts w:hint="eastAsia" w:ascii="宋体" w:hAnsi="宋体" w:cstheme="minorEastAsia"/>
                <w:color w:val="auto"/>
                <w:kern w:val="0"/>
                <w:szCs w:val="21"/>
                <w:highlight w:val="none"/>
                <w:lang w:bidi="ar"/>
              </w:rPr>
            </w:pPr>
            <w:r>
              <w:rPr>
                <w:rFonts w:hint="eastAsia" w:ascii="宋体" w:hAnsi="宋体" w:cstheme="minorEastAsia"/>
                <w:color w:val="auto"/>
                <w:kern w:val="0"/>
                <w:szCs w:val="21"/>
                <w:highlight w:val="none"/>
                <w:lang w:bidi="ar"/>
              </w:rPr>
              <w:t>视频推流与流媒体管理：灵活配置与管理推流地址、码率、帧率和分辨率，支持多路视频流的并行管理，能精准控制每一路视频流的启动与停止。</w:t>
            </w:r>
          </w:p>
          <w:p w14:paraId="62302D5D">
            <w:pPr>
              <w:pStyle w:val="53"/>
              <w:widowControl/>
              <w:numPr>
                <w:ilvl w:val="3"/>
                <w:numId w:val="277"/>
              </w:numPr>
              <w:ind w:firstLineChars="0"/>
              <w:jc w:val="left"/>
              <w:textAlignment w:val="center"/>
              <w:rPr>
                <w:rFonts w:hint="eastAsia" w:ascii="宋体" w:hAnsi="宋体" w:cstheme="minorEastAsia"/>
                <w:color w:val="auto"/>
                <w:kern w:val="0"/>
                <w:szCs w:val="21"/>
                <w:highlight w:val="none"/>
                <w:lang w:bidi="ar"/>
              </w:rPr>
            </w:pPr>
            <w:r>
              <w:rPr>
                <w:rFonts w:hint="eastAsia" w:ascii="宋体" w:hAnsi="宋体" w:cstheme="minorEastAsia"/>
                <w:color w:val="auto"/>
                <w:kern w:val="0"/>
                <w:szCs w:val="21"/>
                <w:highlight w:val="none"/>
                <w:lang w:bidi="ar"/>
              </w:rPr>
              <w:t>自动化计划下发与课程同步：自动下发录像和直播计划，并与教务系统课程表无缝对接，实现直播和录制计划的自动化管理。</w:t>
            </w:r>
          </w:p>
          <w:p w14:paraId="6D4929D1">
            <w:pPr>
              <w:pStyle w:val="53"/>
              <w:widowControl/>
              <w:numPr>
                <w:ilvl w:val="3"/>
                <w:numId w:val="277"/>
              </w:numPr>
              <w:ind w:firstLineChars="0"/>
              <w:jc w:val="left"/>
              <w:textAlignment w:val="center"/>
              <w:rPr>
                <w:rFonts w:hint="eastAsia" w:ascii="宋体" w:hAnsi="宋体" w:cstheme="minorEastAsia"/>
                <w:color w:val="auto"/>
                <w:kern w:val="0"/>
                <w:szCs w:val="21"/>
                <w:highlight w:val="none"/>
                <w:lang w:bidi="ar"/>
              </w:rPr>
            </w:pPr>
            <w:r>
              <w:rPr>
                <w:rFonts w:hint="eastAsia" w:ascii="宋体" w:hAnsi="宋体" w:cstheme="minorEastAsia"/>
                <w:color w:val="auto"/>
                <w:kern w:val="0"/>
                <w:szCs w:val="21"/>
                <w:highlight w:val="none"/>
                <w:lang w:bidi="ar"/>
              </w:rPr>
              <w:t>智能视频上传管理：支持录播视频的自动上传，提供定时、限时等多种上传模式，优化资源管理与存储策略。</w:t>
            </w:r>
          </w:p>
          <w:p w14:paraId="2AD61962">
            <w:pPr>
              <w:pStyle w:val="53"/>
              <w:widowControl/>
              <w:numPr>
                <w:ilvl w:val="3"/>
                <w:numId w:val="277"/>
              </w:numPr>
              <w:ind w:firstLineChars="0"/>
              <w:jc w:val="left"/>
              <w:textAlignment w:val="center"/>
              <w:rPr>
                <w:rFonts w:hint="eastAsia" w:ascii="宋体" w:hAnsi="宋体" w:cstheme="minorEastAsia"/>
                <w:color w:val="auto"/>
                <w:kern w:val="0"/>
                <w:szCs w:val="21"/>
                <w:highlight w:val="none"/>
                <w:lang w:bidi="ar"/>
              </w:rPr>
            </w:pPr>
            <w:r>
              <w:rPr>
                <w:rFonts w:hint="eastAsia" w:ascii="宋体" w:hAnsi="宋体" w:cstheme="minorEastAsia"/>
                <w:color w:val="auto"/>
                <w:kern w:val="0"/>
                <w:szCs w:val="21"/>
                <w:highlight w:val="none"/>
                <w:lang w:bidi="ar"/>
              </w:rPr>
              <w:t>远程升级与维护：支持录播设备的远程升级，确保系统始终处于最新状态，提升设备稳定性与安全性。</w:t>
            </w:r>
          </w:p>
          <w:p w14:paraId="72989226">
            <w:pPr>
              <w:pStyle w:val="53"/>
              <w:widowControl/>
              <w:numPr>
                <w:ilvl w:val="3"/>
                <w:numId w:val="277"/>
              </w:numPr>
              <w:ind w:firstLineChars="0"/>
              <w:jc w:val="left"/>
              <w:textAlignment w:val="center"/>
              <w:rPr>
                <w:rFonts w:hint="eastAsia" w:ascii="宋体" w:hAnsi="宋体" w:cstheme="minorEastAsia"/>
                <w:color w:val="auto"/>
                <w:kern w:val="0"/>
                <w:szCs w:val="21"/>
                <w:highlight w:val="none"/>
                <w:lang w:bidi="ar"/>
              </w:rPr>
            </w:pPr>
            <w:r>
              <w:rPr>
                <w:rFonts w:hint="eastAsia" w:ascii="宋体" w:hAnsi="宋体" w:cstheme="minorEastAsia"/>
                <w:color w:val="auto"/>
                <w:kern w:val="0"/>
                <w:szCs w:val="21"/>
                <w:highlight w:val="none"/>
                <w:lang w:bidi="ar"/>
              </w:rPr>
              <w:t>多场景应用平台接入：无缝对接录播管理及应用平台，支持督导巡课、直播、点播、名师课堂、名校网络课堂、资源中心、课程中心等多种应用场景。</w:t>
            </w:r>
          </w:p>
          <w:p w14:paraId="622BBBEE">
            <w:pPr>
              <w:pStyle w:val="53"/>
              <w:widowControl/>
              <w:numPr>
                <w:ilvl w:val="3"/>
                <w:numId w:val="277"/>
              </w:numPr>
              <w:ind w:firstLineChars="0"/>
              <w:jc w:val="left"/>
              <w:textAlignment w:val="center"/>
              <w:rPr>
                <w:rFonts w:hint="eastAsia" w:ascii="宋体" w:hAnsi="宋体" w:cstheme="minorEastAsia"/>
                <w:color w:val="auto"/>
                <w:kern w:val="0"/>
                <w:szCs w:val="21"/>
                <w:highlight w:val="none"/>
                <w:lang w:bidi="ar"/>
              </w:rPr>
            </w:pPr>
            <w:r>
              <w:rPr>
                <w:rFonts w:hint="eastAsia" w:ascii="宋体" w:hAnsi="宋体" w:cstheme="minorEastAsia"/>
                <w:color w:val="auto"/>
                <w:kern w:val="0"/>
                <w:szCs w:val="21"/>
                <w:highlight w:val="none"/>
                <w:lang w:bidi="ar"/>
              </w:rPr>
              <w:t>AI课堂数据集成与管理：支持接入AI课堂分析平台，进行数据传输与管理，满足AI课堂应用的扩展需求，提升教学质量与智能化分析。</w:t>
            </w:r>
          </w:p>
        </w:tc>
        <w:tc>
          <w:tcPr>
            <w:tcW w:w="863" w:type="dxa"/>
            <w:gridSpan w:val="4"/>
            <w:vAlign w:val="center"/>
          </w:tcPr>
          <w:p w14:paraId="42D58AAE">
            <w:pPr>
              <w:widowControl/>
              <w:jc w:val="center"/>
              <w:textAlignment w:val="center"/>
              <w:rPr>
                <w:rFonts w:hint="eastAsia" w:ascii="宋体" w:hAnsi="宋体"/>
                <w:color w:val="auto"/>
                <w:szCs w:val="21"/>
                <w:highlight w:val="none"/>
              </w:rPr>
            </w:pPr>
            <w:r>
              <w:rPr>
                <w:rFonts w:hint="eastAsia" w:ascii="宋体" w:hAnsi="宋体"/>
                <w:color w:val="auto"/>
                <w:szCs w:val="21"/>
                <w:highlight w:val="none"/>
              </w:rPr>
              <w:t>套</w:t>
            </w:r>
          </w:p>
        </w:tc>
        <w:tc>
          <w:tcPr>
            <w:tcW w:w="925" w:type="dxa"/>
            <w:gridSpan w:val="3"/>
            <w:vAlign w:val="center"/>
          </w:tcPr>
          <w:p w14:paraId="1535FA4C">
            <w:pPr>
              <w:widowControl/>
              <w:jc w:val="center"/>
              <w:textAlignment w:val="center"/>
              <w:rPr>
                <w:rFonts w:hint="eastAsia" w:ascii="宋体" w:hAnsi="宋体"/>
                <w:color w:val="auto"/>
                <w:szCs w:val="21"/>
                <w:highlight w:val="none"/>
              </w:rPr>
            </w:pPr>
            <w:r>
              <w:rPr>
                <w:rFonts w:hint="eastAsia" w:ascii="宋体" w:hAnsi="宋体"/>
                <w:color w:val="auto"/>
                <w:szCs w:val="21"/>
                <w:highlight w:val="none"/>
              </w:rPr>
              <w:t>1</w:t>
            </w:r>
          </w:p>
        </w:tc>
      </w:tr>
      <w:tr w14:paraId="705487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0FE5635F">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5</w:t>
            </w:r>
          </w:p>
        </w:tc>
        <w:tc>
          <w:tcPr>
            <w:tcW w:w="1227" w:type="dxa"/>
            <w:vAlign w:val="center"/>
          </w:tcPr>
          <w:p w14:paraId="6E21E6AF">
            <w:pPr>
              <w:widowControl/>
              <w:jc w:val="center"/>
              <w:textAlignment w:val="center"/>
              <w:rPr>
                <w:rFonts w:hint="eastAsia" w:ascii="宋体" w:hAnsi="宋体"/>
                <w:color w:val="auto"/>
                <w:szCs w:val="21"/>
                <w:highlight w:val="none"/>
              </w:rPr>
            </w:pPr>
            <w:r>
              <w:rPr>
                <w:rFonts w:hint="eastAsia" w:ascii="宋体" w:hAnsi="宋体" w:cstheme="minorEastAsia"/>
                <w:color w:val="auto"/>
                <w:kern w:val="0"/>
                <w:szCs w:val="21"/>
                <w:highlight w:val="none"/>
                <w:lang w:bidi="ar"/>
              </w:rPr>
              <w:t>导播系统软件</w:t>
            </w:r>
          </w:p>
        </w:tc>
        <w:tc>
          <w:tcPr>
            <w:tcW w:w="6167" w:type="dxa"/>
            <w:vAlign w:val="center"/>
          </w:tcPr>
          <w:p w14:paraId="259BCA1A">
            <w:pPr>
              <w:pStyle w:val="53"/>
              <w:widowControl/>
              <w:numPr>
                <w:ilvl w:val="0"/>
                <w:numId w:val="278"/>
              </w:numPr>
              <w:ind w:firstLineChars="0"/>
              <w:jc w:val="left"/>
              <w:textAlignment w:val="center"/>
              <w:rPr>
                <w:rFonts w:hint="eastAsia" w:ascii="宋体" w:hAnsi="宋体" w:cs="宋体"/>
                <w:color w:val="auto"/>
                <w:szCs w:val="21"/>
                <w:highlight w:val="none"/>
              </w:rPr>
            </w:pPr>
            <w:r>
              <w:rPr>
                <w:rFonts w:hint="eastAsia" w:ascii="宋体" w:hAnsi="宋体" w:cstheme="minorEastAsia"/>
                <w:color w:val="auto"/>
                <w:kern w:val="0"/>
                <w:szCs w:val="21"/>
                <w:highlight w:val="none"/>
                <w:lang w:bidi="ar"/>
              </w:rPr>
              <w:t>1.采用嵌入式管理系统，内置于主机中，兼容IE、Chrome、360等主流浏览器；</w:t>
            </w:r>
          </w:p>
          <w:p w14:paraId="64A50B1B">
            <w:pPr>
              <w:pStyle w:val="53"/>
              <w:widowControl/>
              <w:numPr>
                <w:ilvl w:val="0"/>
                <w:numId w:val="278"/>
              </w:numPr>
              <w:ind w:firstLineChars="0"/>
              <w:jc w:val="left"/>
              <w:textAlignment w:val="center"/>
              <w:rPr>
                <w:rFonts w:hint="eastAsia" w:ascii="宋体" w:hAnsi="宋体" w:cs="宋体"/>
                <w:color w:val="auto"/>
                <w:szCs w:val="21"/>
                <w:highlight w:val="none"/>
              </w:rPr>
            </w:pPr>
            <w:r>
              <w:rPr>
                <w:rFonts w:hint="eastAsia" w:ascii="宋体" w:hAnsi="宋体" w:cstheme="minorEastAsia"/>
                <w:color w:val="auto"/>
                <w:kern w:val="0"/>
                <w:szCs w:val="21"/>
                <w:highlight w:val="none"/>
                <w:lang w:bidi="ar"/>
              </w:rPr>
              <w:t>支持电影模式、电影模式+资源模式同时录制；</w:t>
            </w:r>
          </w:p>
          <w:p w14:paraId="2AA7E579">
            <w:pPr>
              <w:pStyle w:val="53"/>
              <w:widowControl/>
              <w:numPr>
                <w:ilvl w:val="0"/>
                <w:numId w:val="278"/>
              </w:numPr>
              <w:ind w:firstLineChars="0"/>
              <w:jc w:val="left"/>
              <w:textAlignment w:val="center"/>
              <w:rPr>
                <w:rFonts w:hint="eastAsia" w:ascii="宋体" w:hAnsi="宋体" w:cs="宋体"/>
                <w:color w:val="auto"/>
                <w:szCs w:val="21"/>
                <w:highlight w:val="none"/>
              </w:rPr>
            </w:pPr>
            <w:r>
              <w:rPr>
                <w:rFonts w:hint="eastAsia" w:ascii="宋体" w:hAnsi="宋体" w:cstheme="minorEastAsia"/>
                <w:color w:val="auto"/>
                <w:kern w:val="0"/>
                <w:szCs w:val="21"/>
                <w:highlight w:val="none"/>
                <w:lang w:bidi="ar"/>
              </w:rPr>
              <w:t>支持设置跟踪屏蔽区域，所屏蔽的地方系统将不对其进行图像分析跟踪运算，以避免这些地方干扰整体的跟踪效果。</w:t>
            </w:r>
          </w:p>
          <w:p w14:paraId="061B248F">
            <w:pPr>
              <w:pStyle w:val="53"/>
              <w:widowControl/>
              <w:numPr>
                <w:ilvl w:val="0"/>
                <w:numId w:val="278"/>
              </w:numPr>
              <w:ind w:firstLineChars="0"/>
              <w:jc w:val="left"/>
              <w:textAlignment w:val="center"/>
              <w:rPr>
                <w:rFonts w:hint="eastAsia" w:ascii="宋体" w:hAnsi="宋体" w:cs="宋体"/>
                <w:color w:val="auto"/>
                <w:szCs w:val="21"/>
                <w:highlight w:val="none"/>
              </w:rPr>
            </w:pPr>
            <w:r>
              <w:rPr>
                <w:rFonts w:hint="eastAsia" w:ascii="宋体" w:hAnsi="宋体" w:cstheme="minorEastAsia"/>
                <w:color w:val="auto"/>
                <w:kern w:val="0"/>
                <w:szCs w:val="21"/>
                <w:highlight w:val="none"/>
                <w:lang w:bidi="ar"/>
              </w:rPr>
              <w:t>支持本地导播和远程导播，支持手动控制云台，变焦倍数调整等摄像机控制功能，每路摄像机支持 8 个或以上预置位设置，支持通过鼠标拖动设置画面至预置位数字按钮处实现预置位保存；</w:t>
            </w:r>
          </w:p>
          <w:p w14:paraId="5A562E01">
            <w:pPr>
              <w:pStyle w:val="53"/>
              <w:widowControl/>
              <w:numPr>
                <w:ilvl w:val="0"/>
                <w:numId w:val="278"/>
              </w:numPr>
              <w:ind w:firstLineChars="0"/>
              <w:jc w:val="left"/>
              <w:textAlignment w:val="center"/>
              <w:rPr>
                <w:rFonts w:hint="eastAsia" w:ascii="宋体" w:hAnsi="宋体" w:cs="宋体"/>
                <w:color w:val="auto"/>
                <w:szCs w:val="21"/>
                <w:highlight w:val="none"/>
              </w:rPr>
            </w:pPr>
            <w:r>
              <w:rPr>
                <w:rFonts w:hint="eastAsia" w:ascii="宋体" w:hAnsi="宋体" w:cstheme="minorEastAsia"/>
                <w:color w:val="auto"/>
                <w:kern w:val="0"/>
                <w:szCs w:val="21"/>
                <w:highlight w:val="none"/>
                <w:lang w:bidi="ar"/>
              </w:rPr>
              <w:t>支持单画面、画中画、双分屏、三分屏、四分屏以及自定义等 6 种分屏效果，画面位置可任意替换调整:支持擦除、覆盖、渐变、淡入淡出、开幕、关幕、百叶窗、上、下、左、右及4个角 8个方位任意调整等 20个特技切换特效录制和直播过程中分屏模式、转场特效可随意切换，使最终生成的视频效果更丰富，风格更多样鲜明；</w:t>
            </w:r>
          </w:p>
          <w:p w14:paraId="372FD513">
            <w:pPr>
              <w:pStyle w:val="53"/>
              <w:widowControl/>
              <w:numPr>
                <w:ilvl w:val="0"/>
                <w:numId w:val="278"/>
              </w:numPr>
              <w:ind w:firstLineChars="0"/>
              <w:jc w:val="left"/>
              <w:textAlignment w:val="center"/>
              <w:rPr>
                <w:rFonts w:hint="eastAsia" w:ascii="宋体" w:hAnsi="宋体" w:cs="宋体"/>
                <w:color w:val="auto"/>
                <w:szCs w:val="21"/>
                <w:highlight w:val="none"/>
              </w:rPr>
            </w:pPr>
            <w:r>
              <w:rPr>
                <w:rFonts w:hint="eastAsia" w:ascii="宋体" w:hAnsi="宋体" w:cstheme="minorEastAsia"/>
                <w:color w:val="auto"/>
                <w:kern w:val="0"/>
                <w:szCs w:val="21"/>
                <w:highlight w:val="none"/>
                <w:lang w:bidi="ar"/>
              </w:rPr>
              <w:t>支持台标、字幕插入功能，支持设置台标透明度和位置设置；</w:t>
            </w:r>
          </w:p>
          <w:p w14:paraId="410E0548">
            <w:pPr>
              <w:pStyle w:val="53"/>
              <w:widowControl/>
              <w:numPr>
                <w:ilvl w:val="0"/>
                <w:numId w:val="278"/>
              </w:numPr>
              <w:ind w:firstLineChars="0"/>
              <w:jc w:val="left"/>
              <w:textAlignment w:val="center"/>
              <w:rPr>
                <w:rFonts w:hint="eastAsia" w:ascii="宋体" w:hAnsi="宋体" w:cs="宋体"/>
                <w:color w:val="auto"/>
                <w:szCs w:val="21"/>
                <w:highlight w:val="none"/>
              </w:rPr>
            </w:pPr>
            <w:r>
              <w:rPr>
                <w:rFonts w:hint="eastAsia" w:ascii="宋体" w:hAnsi="宋体" w:cstheme="minorEastAsia"/>
                <w:color w:val="auto"/>
                <w:kern w:val="0"/>
                <w:szCs w:val="21"/>
                <w:highlight w:val="none"/>
                <w:lang w:bidi="ar"/>
              </w:rPr>
              <w:t>支持设置字幕预设功能，支持字幕字号、颜色、位置等设置；</w:t>
            </w:r>
          </w:p>
          <w:p w14:paraId="51ED6AA8">
            <w:pPr>
              <w:pStyle w:val="53"/>
              <w:widowControl/>
              <w:numPr>
                <w:ilvl w:val="0"/>
                <w:numId w:val="278"/>
              </w:numPr>
              <w:ind w:firstLineChars="0"/>
              <w:jc w:val="left"/>
              <w:textAlignment w:val="center"/>
              <w:rPr>
                <w:rFonts w:hint="eastAsia" w:ascii="宋体" w:hAnsi="宋体" w:cs="宋体"/>
                <w:color w:val="auto"/>
                <w:szCs w:val="21"/>
                <w:highlight w:val="none"/>
              </w:rPr>
            </w:pPr>
            <w:r>
              <w:rPr>
                <w:rFonts w:hint="eastAsia" w:ascii="宋体" w:hAnsi="宋体" w:cstheme="minorEastAsia"/>
                <w:color w:val="auto"/>
                <w:kern w:val="0"/>
                <w:szCs w:val="21"/>
                <w:highlight w:val="none"/>
                <w:lang w:bidi="ar"/>
              </w:rPr>
              <w:t>支持自动生成片头片尾，片头片尾支持自定义图片、时长、文字、颜色等并支持提前预览；</w:t>
            </w:r>
          </w:p>
          <w:p w14:paraId="1C217E28">
            <w:pPr>
              <w:pStyle w:val="53"/>
              <w:widowControl/>
              <w:numPr>
                <w:ilvl w:val="0"/>
                <w:numId w:val="278"/>
              </w:numPr>
              <w:ind w:firstLineChars="0"/>
              <w:jc w:val="left"/>
              <w:textAlignment w:val="center"/>
              <w:rPr>
                <w:rFonts w:hint="eastAsia" w:ascii="宋体" w:hAnsi="宋体" w:cs="宋体"/>
                <w:color w:val="auto"/>
                <w:szCs w:val="21"/>
                <w:highlight w:val="none"/>
              </w:rPr>
            </w:pPr>
            <w:r>
              <w:rPr>
                <w:rFonts w:hint="eastAsia" w:ascii="宋体" w:hAnsi="宋体" w:cstheme="minorEastAsia"/>
                <w:color w:val="auto"/>
                <w:kern w:val="0"/>
                <w:szCs w:val="21"/>
                <w:highlight w:val="none"/>
                <w:lang w:bidi="ar"/>
              </w:rPr>
              <w:t>导播策略可灵活配置，支持全自动、半自动、手动导播方式；</w:t>
            </w:r>
          </w:p>
          <w:p w14:paraId="4BF1972D">
            <w:pPr>
              <w:pStyle w:val="53"/>
              <w:widowControl/>
              <w:numPr>
                <w:ilvl w:val="0"/>
                <w:numId w:val="278"/>
              </w:numPr>
              <w:ind w:firstLineChars="0"/>
              <w:jc w:val="left"/>
              <w:textAlignment w:val="center"/>
              <w:rPr>
                <w:rFonts w:hint="eastAsia" w:ascii="宋体" w:hAnsi="宋体" w:cs="宋体"/>
                <w:color w:val="auto"/>
                <w:szCs w:val="21"/>
                <w:highlight w:val="none"/>
              </w:rPr>
            </w:pPr>
            <w:r>
              <w:rPr>
                <w:rFonts w:hint="eastAsia" w:ascii="宋体" w:hAnsi="宋体" w:cstheme="minorEastAsia"/>
                <w:color w:val="auto"/>
                <w:kern w:val="0"/>
                <w:szCs w:val="21"/>
                <w:highlight w:val="none"/>
                <w:lang w:bidi="ar"/>
              </w:rPr>
              <w:t>支持根据跟踪系统进行镜头自动切换，在切换前调节好摄像机的焦距和位置，有效避免垃圾镜头；</w:t>
            </w:r>
          </w:p>
          <w:p w14:paraId="0E41809A">
            <w:pPr>
              <w:pStyle w:val="53"/>
              <w:widowControl/>
              <w:numPr>
                <w:ilvl w:val="0"/>
                <w:numId w:val="278"/>
              </w:numPr>
              <w:ind w:firstLineChars="0"/>
              <w:jc w:val="left"/>
              <w:textAlignment w:val="center"/>
              <w:rPr>
                <w:rFonts w:hint="eastAsia" w:ascii="宋体" w:hAnsi="宋体" w:cs="宋体"/>
                <w:color w:val="auto"/>
                <w:szCs w:val="21"/>
                <w:highlight w:val="none"/>
              </w:rPr>
            </w:pPr>
            <w:r>
              <w:rPr>
                <w:rFonts w:hint="eastAsia" w:ascii="宋体" w:hAnsi="宋体" w:cstheme="minorEastAsia"/>
                <w:color w:val="auto"/>
                <w:kern w:val="0"/>
                <w:szCs w:val="21"/>
                <w:highlight w:val="none"/>
                <w:lang w:bidi="ar"/>
              </w:rPr>
              <w:t>内置授课电脑画面变化侦测算法，无需在教师授课电脑上安装任何程序就能够探测到教师动鼠标、PPT翻页等动作并将 VGA 画面切入导播画面。</w:t>
            </w:r>
          </w:p>
          <w:p w14:paraId="01EF52F7">
            <w:pPr>
              <w:pStyle w:val="53"/>
              <w:widowControl/>
              <w:numPr>
                <w:ilvl w:val="0"/>
                <w:numId w:val="278"/>
              </w:numPr>
              <w:ind w:firstLineChars="0"/>
              <w:jc w:val="left"/>
              <w:textAlignment w:val="center"/>
              <w:rPr>
                <w:rFonts w:hint="eastAsia" w:ascii="宋体" w:hAnsi="宋体" w:cs="宋体"/>
                <w:color w:val="auto"/>
                <w:szCs w:val="21"/>
                <w:highlight w:val="none"/>
              </w:rPr>
            </w:pPr>
            <w:r>
              <w:rPr>
                <w:rFonts w:hint="eastAsia" w:ascii="宋体" w:hAnsi="宋体" w:cstheme="minorEastAsia"/>
                <w:color w:val="auto"/>
                <w:kern w:val="0"/>
                <w:szCs w:val="21"/>
                <w:highlight w:val="none"/>
                <w:lang w:bidi="ar"/>
              </w:rPr>
              <w:t>支持用户手动对电脑变化检测区域进行设定，最多支持绘制 5个变化检测区，从而有限规避因电脑上程序的自动运行而导致的录播画面误切换。</w:t>
            </w:r>
          </w:p>
          <w:p w14:paraId="554E77FD">
            <w:pPr>
              <w:pStyle w:val="53"/>
              <w:widowControl/>
              <w:numPr>
                <w:ilvl w:val="0"/>
                <w:numId w:val="278"/>
              </w:numPr>
              <w:ind w:firstLineChars="0"/>
              <w:jc w:val="left"/>
              <w:textAlignment w:val="center"/>
              <w:rPr>
                <w:rFonts w:hint="eastAsia" w:ascii="宋体" w:hAnsi="宋体" w:cs="宋体"/>
                <w:color w:val="auto"/>
                <w:szCs w:val="21"/>
                <w:highlight w:val="none"/>
              </w:rPr>
            </w:pPr>
            <w:r>
              <w:rPr>
                <w:rFonts w:hint="eastAsia" w:ascii="宋体" w:hAnsi="宋体" w:cstheme="minorEastAsia"/>
                <w:color w:val="auto"/>
                <w:kern w:val="0"/>
                <w:szCs w:val="21"/>
                <w:highlight w:val="none"/>
                <w:lang w:bidi="ar"/>
              </w:rPr>
              <w:t xml:space="preserve"> 支持RTMP\RTSP流媒体协议；支持多码流同步直播，方便用户根据不同的场景选择合适的直播码流进行观看；</w:t>
            </w:r>
          </w:p>
          <w:p w14:paraId="3E5E0FD6">
            <w:pPr>
              <w:pStyle w:val="53"/>
              <w:widowControl/>
              <w:numPr>
                <w:ilvl w:val="0"/>
                <w:numId w:val="278"/>
              </w:numPr>
              <w:ind w:firstLineChars="0"/>
              <w:jc w:val="left"/>
              <w:textAlignment w:val="center"/>
              <w:rPr>
                <w:rFonts w:hint="eastAsia" w:ascii="宋体" w:hAnsi="宋体" w:cs="宋体"/>
                <w:color w:val="auto"/>
                <w:szCs w:val="21"/>
                <w:highlight w:val="none"/>
              </w:rPr>
            </w:pPr>
            <w:r>
              <w:rPr>
                <w:rFonts w:hint="eastAsia" w:ascii="宋体" w:hAnsi="宋体" w:cstheme="minorEastAsia"/>
                <w:color w:val="auto"/>
                <w:kern w:val="0"/>
                <w:szCs w:val="21"/>
                <w:highlight w:val="none"/>
                <w:lang w:bidi="ar"/>
              </w:rPr>
              <w:t>内置互动能力，支持1+N远程互动教学，N＞10，其中支持 N＞4情况支持多方同时互动；在网络正常情况下云到端音视频延时平均≤300ms；</w:t>
            </w:r>
          </w:p>
          <w:p w14:paraId="399256F0">
            <w:pPr>
              <w:widowControl/>
              <w:numPr>
                <w:ilvl w:val="0"/>
                <w:numId w:val="278"/>
              </w:numPr>
              <w:jc w:val="left"/>
              <w:textAlignment w:val="center"/>
              <w:rPr>
                <w:rFonts w:hint="eastAsia" w:ascii="宋体" w:hAnsi="宋体"/>
                <w:color w:val="auto"/>
                <w:szCs w:val="21"/>
                <w:highlight w:val="none"/>
              </w:rPr>
            </w:pPr>
            <w:r>
              <w:rPr>
                <w:rFonts w:hint="eastAsia" w:ascii="宋体" w:hAnsi="宋体" w:cstheme="minorEastAsia"/>
                <w:color w:val="auto"/>
                <w:kern w:val="0"/>
                <w:szCs w:val="21"/>
                <w:highlight w:val="none"/>
                <w:lang w:bidi="ar"/>
              </w:rPr>
              <w:t>支持搭配互动遥控器对互动课堂进行控制，切换视频源、开关听讲麦克风等操作。</w:t>
            </w:r>
          </w:p>
        </w:tc>
        <w:tc>
          <w:tcPr>
            <w:tcW w:w="863" w:type="dxa"/>
            <w:gridSpan w:val="4"/>
            <w:vAlign w:val="center"/>
          </w:tcPr>
          <w:p w14:paraId="3E1E18FE">
            <w:pPr>
              <w:widowControl/>
              <w:jc w:val="center"/>
              <w:textAlignment w:val="center"/>
              <w:rPr>
                <w:rFonts w:hint="eastAsia" w:ascii="宋体" w:hAnsi="宋体"/>
                <w:color w:val="auto"/>
                <w:szCs w:val="21"/>
                <w:highlight w:val="none"/>
              </w:rPr>
            </w:pPr>
            <w:r>
              <w:rPr>
                <w:rFonts w:hint="eastAsia" w:ascii="宋体" w:hAnsi="宋体"/>
                <w:color w:val="auto"/>
                <w:szCs w:val="21"/>
                <w:highlight w:val="none"/>
              </w:rPr>
              <w:t>套</w:t>
            </w:r>
          </w:p>
        </w:tc>
        <w:tc>
          <w:tcPr>
            <w:tcW w:w="925" w:type="dxa"/>
            <w:gridSpan w:val="3"/>
            <w:vAlign w:val="center"/>
          </w:tcPr>
          <w:p w14:paraId="23B1A004">
            <w:pPr>
              <w:widowControl/>
              <w:jc w:val="center"/>
              <w:textAlignment w:val="center"/>
              <w:rPr>
                <w:rFonts w:hint="eastAsia" w:ascii="宋体" w:hAnsi="宋体"/>
                <w:color w:val="auto"/>
                <w:szCs w:val="21"/>
                <w:highlight w:val="none"/>
              </w:rPr>
            </w:pPr>
            <w:r>
              <w:rPr>
                <w:rFonts w:hint="eastAsia" w:ascii="宋体" w:hAnsi="宋体"/>
                <w:color w:val="auto"/>
                <w:szCs w:val="21"/>
                <w:highlight w:val="none"/>
              </w:rPr>
              <w:t>1</w:t>
            </w:r>
          </w:p>
        </w:tc>
      </w:tr>
      <w:tr w14:paraId="156E1B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75EBA9B4">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6</w:t>
            </w:r>
          </w:p>
        </w:tc>
        <w:tc>
          <w:tcPr>
            <w:tcW w:w="1227" w:type="dxa"/>
            <w:vAlign w:val="center"/>
          </w:tcPr>
          <w:p w14:paraId="6CDA4890">
            <w:pPr>
              <w:widowControl/>
              <w:jc w:val="center"/>
              <w:textAlignment w:val="center"/>
              <w:rPr>
                <w:rFonts w:hint="eastAsia" w:ascii="宋体" w:hAnsi="宋体"/>
                <w:color w:val="auto"/>
                <w:szCs w:val="21"/>
                <w:highlight w:val="none"/>
              </w:rPr>
            </w:pPr>
            <w:r>
              <w:rPr>
                <w:rFonts w:hint="eastAsia" w:ascii="宋体" w:hAnsi="宋体" w:cstheme="minorEastAsia"/>
                <w:color w:val="auto"/>
                <w:kern w:val="0"/>
                <w:szCs w:val="21"/>
                <w:highlight w:val="none"/>
                <w:lang w:bidi="ar"/>
              </w:rPr>
              <w:t>教师摄像机</w:t>
            </w:r>
          </w:p>
        </w:tc>
        <w:tc>
          <w:tcPr>
            <w:tcW w:w="6167" w:type="dxa"/>
            <w:vAlign w:val="center"/>
          </w:tcPr>
          <w:p w14:paraId="0D1EA4FE">
            <w:pPr>
              <w:pStyle w:val="53"/>
              <w:widowControl/>
              <w:numPr>
                <w:ilvl w:val="0"/>
                <w:numId w:val="279"/>
              </w:numPr>
              <w:ind w:firstLineChars="0"/>
              <w:jc w:val="left"/>
              <w:textAlignment w:val="center"/>
              <w:rPr>
                <w:rFonts w:hint="eastAsia" w:ascii="宋体" w:hAnsi="宋体" w:cs="宋体"/>
                <w:color w:val="auto"/>
                <w:szCs w:val="21"/>
                <w:highlight w:val="none"/>
              </w:rPr>
            </w:pPr>
            <w:r>
              <w:rPr>
                <w:rFonts w:hint="eastAsia" w:ascii="宋体" w:hAnsi="宋体" w:cstheme="minorEastAsia"/>
                <w:color w:val="auto"/>
                <w:kern w:val="0"/>
                <w:szCs w:val="21"/>
                <w:highlight w:val="none"/>
                <w:lang w:bidi="ar"/>
              </w:rPr>
              <w:t>采用不小于4K Sensor和4K镜头，1/2.7英寸HD CMOS或以上图像传感器，有效像素不少于800万；</w:t>
            </w:r>
          </w:p>
          <w:p w14:paraId="6BAC4E4E">
            <w:pPr>
              <w:pStyle w:val="53"/>
              <w:widowControl/>
              <w:numPr>
                <w:ilvl w:val="0"/>
                <w:numId w:val="279"/>
              </w:numPr>
              <w:ind w:firstLineChars="0"/>
              <w:jc w:val="left"/>
              <w:textAlignment w:val="center"/>
              <w:rPr>
                <w:rFonts w:hint="eastAsia" w:ascii="宋体" w:hAnsi="宋体" w:cs="宋体"/>
                <w:color w:val="auto"/>
                <w:szCs w:val="21"/>
                <w:highlight w:val="none"/>
              </w:rPr>
            </w:pPr>
            <w:r>
              <w:rPr>
                <w:rFonts w:hint="eastAsia" w:ascii="宋体" w:hAnsi="宋体" w:cstheme="minorEastAsia"/>
                <w:color w:val="auto"/>
                <w:kern w:val="0"/>
                <w:szCs w:val="21"/>
                <w:highlight w:val="none"/>
                <w:lang w:bidi="ar"/>
              </w:rPr>
              <w:t>镜头应支持自动对焦，不小于M12 镜头卡口，水平视场角不少于44°；</w:t>
            </w:r>
          </w:p>
          <w:p w14:paraId="4C4502B7">
            <w:pPr>
              <w:pStyle w:val="53"/>
              <w:widowControl/>
              <w:numPr>
                <w:ilvl w:val="0"/>
                <w:numId w:val="279"/>
              </w:numPr>
              <w:ind w:firstLineChars="0"/>
              <w:jc w:val="left"/>
              <w:textAlignment w:val="center"/>
              <w:rPr>
                <w:rFonts w:hint="eastAsia" w:ascii="宋体" w:hAnsi="宋体" w:cs="宋体"/>
                <w:color w:val="auto"/>
                <w:szCs w:val="21"/>
                <w:highlight w:val="none"/>
              </w:rPr>
            </w:pPr>
            <w:r>
              <w:rPr>
                <w:rFonts w:hint="eastAsia" w:ascii="宋体" w:hAnsi="宋体" w:cstheme="minorEastAsia"/>
                <w:color w:val="auto"/>
                <w:kern w:val="0"/>
                <w:szCs w:val="21"/>
                <w:highlight w:val="none"/>
                <w:lang w:bidi="ar"/>
              </w:rPr>
              <w:t>支持自动变焦和手动变焦，变焦倍数≥8倍；</w:t>
            </w:r>
          </w:p>
          <w:p w14:paraId="0E861467">
            <w:pPr>
              <w:pStyle w:val="53"/>
              <w:widowControl/>
              <w:numPr>
                <w:ilvl w:val="0"/>
                <w:numId w:val="279"/>
              </w:numPr>
              <w:ind w:firstLineChars="0"/>
              <w:jc w:val="left"/>
              <w:textAlignment w:val="center"/>
              <w:rPr>
                <w:rFonts w:hint="eastAsia" w:ascii="宋体" w:hAnsi="宋体" w:cs="宋体"/>
                <w:color w:val="auto"/>
                <w:szCs w:val="21"/>
                <w:highlight w:val="none"/>
              </w:rPr>
            </w:pPr>
            <w:r>
              <w:rPr>
                <w:rFonts w:hint="eastAsia" w:ascii="宋体" w:hAnsi="宋体" w:cstheme="minorEastAsia"/>
                <w:color w:val="auto"/>
                <w:kern w:val="0"/>
                <w:szCs w:val="21"/>
                <w:highlight w:val="none"/>
                <w:lang w:bidi="ar"/>
              </w:rPr>
              <w:t>最低照度：0.5 Lux @ (F1.8， AGC ON)；电子快门1/30s ~ 1/10000s；</w:t>
            </w:r>
          </w:p>
          <w:p w14:paraId="48C978CD">
            <w:pPr>
              <w:pStyle w:val="53"/>
              <w:widowControl/>
              <w:numPr>
                <w:ilvl w:val="0"/>
                <w:numId w:val="279"/>
              </w:numPr>
              <w:ind w:firstLineChars="0"/>
              <w:jc w:val="left"/>
              <w:textAlignment w:val="center"/>
              <w:rPr>
                <w:rFonts w:hint="eastAsia" w:ascii="宋体" w:hAnsi="宋体" w:cs="宋体"/>
                <w:color w:val="auto"/>
                <w:szCs w:val="21"/>
                <w:highlight w:val="none"/>
              </w:rPr>
            </w:pPr>
            <w:r>
              <w:rPr>
                <w:rFonts w:hint="eastAsia" w:ascii="宋体" w:hAnsi="宋体" w:cstheme="minorEastAsia"/>
                <w:color w:val="auto"/>
                <w:kern w:val="0"/>
                <w:szCs w:val="21"/>
                <w:highlight w:val="none"/>
                <w:lang w:bidi="ar"/>
              </w:rPr>
              <w:t>支持自动、手动等多种白平衡模式；</w:t>
            </w:r>
          </w:p>
          <w:p w14:paraId="742C31F4">
            <w:pPr>
              <w:pStyle w:val="53"/>
              <w:widowControl/>
              <w:numPr>
                <w:ilvl w:val="0"/>
                <w:numId w:val="279"/>
              </w:numPr>
              <w:ind w:firstLineChars="0"/>
              <w:jc w:val="left"/>
              <w:textAlignment w:val="center"/>
              <w:rPr>
                <w:rFonts w:hint="eastAsia" w:ascii="宋体" w:hAnsi="宋体" w:cs="宋体"/>
                <w:color w:val="auto"/>
                <w:szCs w:val="21"/>
                <w:highlight w:val="none"/>
              </w:rPr>
            </w:pPr>
            <w:r>
              <w:rPr>
                <w:rFonts w:hint="eastAsia" w:ascii="宋体" w:hAnsi="宋体" w:cstheme="minorEastAsia"/>
                <w:color w:val="auto"/>
                <w:kern w:val="0"/>
                <w:szCs w:val="21"/>
                <w:highlight w:val="none"/>
                <w:lang w:bidi="ar"/>
              </w:rPr>
              <w:t>数字降噪支持2D和3D降噪算法；</w:t>
            </w:r>
          </w:p>
          <w:p w14:paraId="5E85438B">
            <w:pPr>
              <w:pStyle w:val="53"/>
              <w:widowControl/>
              <w:numPr>
                <w:ilvl w:val="0"/>
                <w:numId w:val="279"/>
              </w:numPr>
              <w:ind w:firstLineChars="0"/>
              <w:jc w:val="left"/>
              <w:textAlignment w:val="center"/>
              <w:rPr>
                <w:rFonts w:hint="eastAsia" w:ascii="宋体" w:hAnsi="宋体" w:cs="宋体"/>
                <w:color w:val="auto"/>
                <w:szCs w:val="21"/>
                <w:highlight w:val="none"/>
              </w:rPr>
            </w:pPr>
            <w:r>
              <w:rPr>
                <w:rFonts w:hint="eastAsia" w:ascii="宋体" w:hAnsi="宋体" w:cstheme="minorEastAsia"/>
                <w:color w:val="auto"/>
                <w:kern w:val="0"/>
                <w:szCs w:val="21"/>
                <w:highlight w:val="none"/>
                <w:lang w:bidi="ar"/>
              </w:rPr>
              <w:t>图像信噪：≤55dB；</w:t>
            </w:r>
          </w:p>
          <w:p w14:paraId="397D0689">
            <w:pPr>
              <w:pStyle w:val="53"/>
              <w:widowControl/>
              <w:numPr>
                <w:ilvl w:val="0"/>
                <w:numId w:val="279"/>
              </w:numPr>
              <w:ind w:firstLineChars="0"/>
              <w:jc w:val="left"/>
              <w:textAlignment w:val="center"/>
              <w:rPr>
                <w:rFonts w:hint="eastAsia" w:ascii="宋体" w:hAnsi="宋体" w:cs="宋体"/>
                <w:color w:val="auto"/>
                <w:szCs w:val="21"/>
                <w:highlight w:val="none"/>
              </w:rPr>
            </w:pPr>
            <w:r>
              <w:rPr>
                <w:rFonts w:hint="eastAsia" w:ascii="宋体" w:hAnsi="宋体" w:cstheme="minorEastAsia"/>
                <w:color w:val="auto"/>
                <w:kern w:val="0"/>
                <w:szCs w:val="21"/>
                <w:highlight w:val="none"/>
                <w:lang w:bidi="ar"/>
              </w:rPr>
              <w:t>支持背光补偿功能；</w:t>
            </w:r>
          </w:p>
          <w:p w14:paraId="0C7083D9">
            <w:pPr>
              <w:pStyle w:val="53"/>
              <w:widowControl/>
              <w:numPr>
                <w:ilvl w:val="0"/>
                <w:numId w:val="279"/>
              </w:numPr>
              <w:ind w:firstLineChars="0"/>
              <w:jc w:val="left"/>
              <w:textAlignment w:val="center"/>
              <w:rPr>
                <w:rFonts w:hint="eastAsia" w:ascii="宋体" w:hAnsi="宋体" w:cs="宋体"/>
                <w:color w:val="auto"/>
                <w:szCs w:val="21"/>
                <w:highlight w:val="none"/>
              </w:rPr>
            </w:pPr>
            <w:r>
              <w:rPr>
                <w:rFonts w:hint="eastAsia" w:ascii="宋体" w:hAnsi="宋体" w:cstheme="minorEastAsia"/>
                <w:color w:val="auto"/>
                <w:kern w:val="0"/>
                <w:szCs w:val="21"/>
                <w:highlight w:val="none"/>
                <w:lang w:bidi="ar"/>
              </w:rPr>
              <w:t>支持EPTZ电子云台控制方式，实现画面的上下左右移动、放大缩小变焦等操作；</w:t>
            </w:r>
          </w:p>
          <w:p w14:paraId="537ED9A6">
            <w:pPr>
              <w:pStyle w:val="53"/>
              <w:widowControl/>
              <w:numPr>
                <w:ilvl w:val="0"/>
                <w:numId w:val="279"/>
              </w:numPr>
              <w:ind w:firstLineChars="0"/>
              <w:jc w:val="left"/>
              <w:textAlignment w:val="center"/>
              <w:rPr>
                <w:rFonts w:hint="eastAsia" w:ascii="宋体" w:hAnsi="宋体" w:cs="宋体"/>
                <w:color w:val="auto"/>
                <w:szCs w:val="21"/>
                <w:highlight w:val="none"/>
              </w:rPr>
            </w:pPr>
            <w:r>
              <w:rPr>
                <w:rFonts w:hint="eastAsia" w:ascii="宋体" w:hAnsi="宋体" w:cstheme="minorEastAsia"/>
                <w:color w:val="auto"/>
                <w:kern w:val="0"/>
                <w:szCs w:val="21"/>
                <w:highlight w:val="none"/>
                <w:lang w:bidi="ar"/>
              </w:rPr>
              <w:t>视频编码支持不少于H.265 / H.264 / MJEPG三种格式；</w:t>
            </w:r>
          </w:p>
          <w:p w14:paraId="44708986">
            <w:pPr>
              <w:pStyle w:val="53"/>
              <w:widowControl/>
              <w:numPr>
                <w:ilvl w:val="0"/>
                <w:numId w:val="279"/>
              </w:numPr>
              <w:ind w:firstLineChars="0"/>
              <w:jc w:val="left"/>
              <w:textAlignment w:val="center"/>
              <w:rPr>
                <w:rFonts w:hint="eastAsia" w:ascii="宋体" w:hAnsi="宋体" w:cs="宋体"/>
                <w:color w:val="auto"/>
                <w:szCs w:val="21"/>
                <w:highlight w:val="none"/>
              </w:rPr>
            </w:pPr>
            <w:r>
              <w:rPr>
                <w:rFonts w:hint="eastAsia" w:ascii="宋体" w:hAnsi="宋体" w:cstheme="minorEastAsia"/>
                <w:color w:val="auto"/>
                <w:kern w:val="0"/>
                <w:szCs w:val="21"/>
                <w:highlight w:val="none"/>
                <w:lang w:bidi="ar"/>
              </w:rPr>
              <w:t>单台摄像机支持进行4路视频流编码输出，输出视频分辨率支持4K和1080P等标准视频分辨率格式；视频码率32Kbps ~ 16384Kbps可调；帧率1~30fps可调；</w:t>
            </w:r>
          </w:p>
          <w:p w14:paraId="2C58B9D0">
            <w:pPr>
              <w:pStyle w:val="53"/>
              <w:widowControl/>
              <w:numPr>
                <w:ilvl w:val="0"/>
                <w:numId w:val="279"/>
              </w:numPr>
              <w:ind w:firstLineChars="0"/>
              <w:jc w:val="left"/>
              <w:textAlignment w:val="center"/>
              <w:rPr>
                <w:rFonts w:hint="eastAsia" w:ascii="宋体" w:hAnsi="宋体" w:cs="宋体"/>
                <w:color w:val="auto"/>
                <w:szCs w:val="21"/>
                <w:highlight w:val="none"/>
              </w:rPr>
            </w:pPr>
            <w:r>
              <w:rPr>
                <w:rFonts w:hint="eastAsia" w:ascii="宋体" w:hAnsi="宋体" w:cstheme="minorEastAsia"/>
                <w:color w:val="auto"/>
                <w:kern w:val="0"/>
                <w:szCs w:val="21"/>
                <w:highlight w:val="none"/>
                <w:lang w:bidi="ar"/>
              </w:rPr>
              <w:t>音频编码支持不少于AAC/G.711a两种格式；</w:t>
            </w:r>
          </w:p>
          <w:p w14:paraId="62DD3C20">
            <w:pPr>
              <w:pStyle w:val="53"/>
              <w:widowControl/>
              <w:numPr>
                <w:ilvl w:val="0"/>
                <w:numId w:val="279"/>
              </w:numPr>
              <w:ind w:firstLineChars="0"/>
              <w:jc w:val="left"/>
              <w:textAlignment w:val="center"/>
              <w:rPr>
                <w:rFonts w:hint="eastAsia" w:ascii="宋体" w:hAnsi="宋体" w:cs="宋体"/>
                <w:color w:val="auto"/>
                <w:szCs w:val="21"/>
                <w:highlight w:val="none"/>
              </w:rPr>
            </w:pPr>
            <w:r>
              <w:rPr>
                <w:rFonts w:hint="eastAsia" w:ascii="宋体" w:hAnsi="宋体" w:cstheme="minorEastAsia"/>
                <w:color w:val="auto"/>
                <w:kern w:val="0"/>
                <w:szCs w:val="21"/>
                <w:highlight w:val="none"/>
                <w:lang w:bidi="ar"/>
              </w:rPr>
              <w:t>支持TCP/IP、 HTTP、RTSP、RTMP、Onvif、DHCP、GB28181、组播等协议；</w:t>
            </w:r>
          </w:p>
          <w:p w14:paraId="5C58701D">
            <w:pPr>
              <w:pStyle w:val="53"/>
              <w:widowControl/>
              <w:numPr>
                <w:ilvl w:val="0"/>
                <w:numId w:val="279"/>
              </w:numPr>
              <w:ind w:firstLineChars="0"/>
              <w:jc w:val="left"/>
              <w:textAlignment w:val="center"/>
              <w:rPr>
                <w:rFonts w:hint="eastAsia" w:ascii="宋体" w:hAnsi="宋体" w:cs="宋体"/>
                <w:color w:val="auto"/>
                <w:szCs w:val="21"/>
                <w:highlight w:val="none"/>
              </w:rPr>
            </w:pPr>
            <w:r>
              <w:rPr>
                <w:rFonts w:hint="eastAsia" w:ascii="宋体" w:hAnsi="宋体" w:cstheme="minorEastAsia"/>
                <w:color w:val="auto"/>
                <w:kern w:val="0"/>
                <w:szCs w:val="21"/>
                <w:highlight w:val="none"/>
                <w:lang w:bidi="ar"/>
              </w:rPr>
              <w:t>不少于1个Type C接口，支持1080P导播画面输出。</w:t>
            </w:r>
            <w:r>
              <w:rPr>
                <w:rFonts w:hint="eastAsia" w:ascii="宋体" w:hAnsi="宋体" w:cstheme="minorEastAsia"/>
                <w:color w:val="auto"/>
                <w:kern w:val="0"/>
                <w:szCs w:val="21"/>
                <w:highlight w:val="none"/>
                <w:lang w:bidi="ar"/>
              </w:rPr>
              <w:br w:type="textWrapping"/>
            </w:r>
            <w:r>
              <w:rPr>
                <w:rFonts w:hint="eastAsia" w:ascii="宋体" w:hAnsi="宋体" w:cstheme="minorEastAsia"/>
                <w:color w:val="auto"/>
                <w:kern w:val="0"/>
                <w:szCs w:val="21"/>
                <w:highlight w:val="none"/>
                <w:lang w:bidi="ar"/>
              </w:rPr>
              <w:t>15.不少于1个RJ45接口，支持PoE功能并支持系统管理和RTSP协议网络视频输出；</w:t>
            </w:r>
          </w:p>
          <w:p w14:paraId="47D1F63B">
            <w:pPr>
              <w:pStyle w:val="53"/>
              <w:widowControl/>
              <w:numPr>
                <w:ilvl w:val="0"/>
                <w:numId w:val="279"/>
              </w:numPr>
              <w:ind w:firstLineChars="0"/>
              <w:jc w:val="left"/>
              <w:textAlignment w:val="center"/>
              <w:rPr>
                <w:rFonts w:hint="eastAsia" w:ascii="宋体" w:hAnsi="宋体" w:cs="宋体"/>
                <w:color w:val="auto"/>
                <w:szCs w:val="21"/>
                <w:highlight w:val="none"/>
              </w:rPr>
            </w:pPr>
            <w:r>
              <w:rPr>
                <w:rFonts w:hint="eastAsia" w:ascii="宋体" w:hAnsi="宋体" w:cstheme="minorEastAsia"/>
                <w:color w:val="auto"/>
                <w:kern w:val="0"/>
                <w:szCs w:val="21"/>
                <w:highlight w:val="none"/>
                <w:lang w:bidi="ar"/>
              </w:rPr>
              <w:t>支持通用浏览器直接访问进行管理，支持曝光模式设置、摄像机图像质量调节；</w:t>
            </w:r>
          </w:p>
          <w:p w14:paraId="5CE00C46">
            <w:pPr>
              <w:pStyle w:val="53"/>
              <w:widowControl/>
              <w:numPr>
                <w:ilvl w:val="0"/>
                <w:numId w:val="279"/>
              </w:numPr>
              <w:ind w:firstLineChars="0"/>
              <w:jc w:val="left"/>
              <w:textAlignment w:val="center"/>
              <w:rPr>
                <w:rFonts w:hint="eastAsia" w:ascii="宋体" w:hAnsi="宋体" w:cs="宋体"/>
                <w:color w:val="auto"/>
                <w:szCs w:val="21"/>
                <w:highlight w:val="none"/>
              </w:rPr>
            </w:pPr>
            <w:r>
              <w:rPr>
                <w:rFonts w:hint="eastAsia" w:ascii="宋体" w:hAnsi="宋体" w:cstheme="minorEastAsia"/>
                <w:color w:val="auto"/>
                <w:kern w:val="0"/>
                <w:szCs w:val="21"/>
                <w:highlight w:val="none"/>
                <w:lang w:bidi="ar"/>
              </w:rPr>
              <w:t>音频接口不少于1路3.5mm LINE IN接口和1路3.5mm LINE OUT接口；</w:t>
            </w:r>
          </w:p>
          <w:p w14:paraId="1A43C747">
            <w:pPr>
              <w:pStyle w:val="53"/>
              <w:widowControl/>
              <w:numPr>
                <w:ilvl w:val="0"/>
                <w:numId w:val="279"/>
              </w:numPr>
              <w:ind w:firstLineChars="0"/>
              <w:jc w:val="left"/>
              <w:textAlignment w:val="center"/>
              <w:rPr>
                <w:rFonts w:hint="eastAsia" w:ascii="宋体" w:hAnsi="宋体" w:cs="宋体"/>
                <w:color w:val="auto"/>
                <w:szCs w:val="21"/>
                <w:highlight w:val="none"/>
              </w:rPr>
            </w:pPr>
            <w:r>
              <w:rPr>
                <w:rFonts w:hint="eastAsia" w:ascii="宋体" w:hAnsi="宋体" w:cstheme="minorEastAsia"/>
                <w:color w:val="auto"/>
                <w:kern w:val="0"/>
                <w:szCs w:val="21"/>
                <w:highlight w:val="none"/>
                <w:lang w:bidi="ar"/>
              </w:rPr>
              <w:t>供电方式采用POE 供电、电源适配器供电方式，根据环境实际情况可灵活选择。</w:t>
            </w:r>
          </w:p>
          <w:p w14:paraId="3540AD36">
            <w:pPr>
              <w:pStyle w:val="53"/>
              <w:widowControl/>
              <w:numPr>
                <w:ilvl w:val="0"/>
                <w:numId w:val="279"/>
              </w:numPr>
              <w:ind w:firstLineChars="0"/>
              <w:jc w:val="left"/>
              <w:textAlignment w:val="center"/>
              <w:rPr>
                <w:rFonts w:hint="eastAsia" w:ascii="宋体" w:hAnsi="宋体" w:cs="宋体"/>
                <w:color w:val="auto"/>
                <w:szCs w:val="21"/>
                <w:highlight w:val="none"/>
              </w:rPr>
            </w:pPr>
            <w:r>
              <w:rPr>
                <w:rFonts w:hint="eastAsia" w:ascii="宋体" w:hAnsi="宋体" w:cstheme="minorEastAsia"/>
                <w:color w:val="auto"/>
                <w:kern w:val="0"/>
                <w:szCs w:val="21"/>
                <w:highlight w:val="none"/>
                <w:lang w:bidi="ar"/>
              </w:rPr>
              <w:t>图像翻转：要求支持图像水平、垂直翻转，适应摄像机不同的安装方式要求；</w:t>
            </w:r>
          </w:p>
          <w:p w14:paraId="0D41AFDC">
            <w:pPr>
              <w:pStyle w:val="53"/>
              <w:widowControl/>
              <w:numPr>
                <w:ilvl w:val="0"/>
                <w:numId w:val="279"/>
              </w:numPr>
              <w:ind w:firstLineChars="0"/>
              <w:jc w:val="left"/>
              <w:textAlignment w:val="center"/>
              <w:rPr>
                <w:rFonts w:hint="eastAsia" w:ascii="宋体" w:hAnsi="宋体" w:cs="宋体"/>
                <w:color w:val="auto"/>
                <w:szCs w:val="21"/>
                <w:highlight w:val="none"/>
              </w:rPr>
            </w:pPr>
            <w:r>
              <w:rPr>
                <w:rFonts w:hint="eastAsia" w:ascii="宋体" w:hAnsi="宋体" w:cstheme="minorEastAsia"/>
                <w:color w:val="auto"/>
                <w:kern w:val="0"/>
                <w:szCs w:val="21"/>
                <w:highlight w:val="none"/>
                <w:lang w:bidi="ar"/>
              </w:rPr>
              <w:t>支持教师和学生的AI自动识别切换，根据部署位置、模式自主适配教师或学生的跟踪逻辑。</w:t>
            </w:r>
          </w:p>
          <w:p w14:paraId="2C044A17">
            <w:pPr>
              <w:pStyle w:val="53"/>
              <w:widowControl/>
              <w:numPr>
                <w:ilvl w:val="0"/>
                <w:numId w:val="279"/>
              </w:numPr>
              <w:ind w:firstLineChars="0"/>
              <w:jc w:val="left"/>
              <w:textAlignment w:val="center"/>
              <w:rPr>
                <w:rFonts w:hint="eastAsia" w:ascii="宋体" w:hAnsi="宋体" w:cs="宋体"/>
                <w:color w:val="auto"/>
                <w:szCs w:val="21"/>
                <w:highlight w:val="none"/>
              </w:rPr>
            </w:pPr>
            <w:r>
              <w:rPr>
                <w:rFonts w:hint="eastAsia" w:ascii="宋体" w:hAnsi="宋体" w:cstheme="minorEastAsia"/>
                <w:color w:val="auto"/>
                <w:kern w:val="0"/>
                <w:szCs w:val="21"/>
                <w:highlight w:val="none"/>
                <w:lang w:bidi="ar"/>
              </w:rPr>
              <w:t>支持AI人体特征识别，能够自动识别并锁定跟踪人，人物丢失后再进入拍摄区域可以继续识别锁定进行跟踪。</w:t>
            </w:r>
          </w:p>
          <w:p w14:paraId="3B9B0C8D">
            <w:pPr>
              <w:pStyle w:val="53"/>
              <w:widowControl/>
              <w:numPr>
                <w:ilvl w:val="0"/>
                <w:numId w:val="279"/>
              </w:numPr>
              <w:ind w:firstLineChars="0"/>
              <w:jc w:val="left"/>
              <w:textAlignment w:val="center"/>
              <w:rPr>
                <w:rFonts w:hint="eastAsia" w:ascii="宋体" w:hAnsi="宋体" w:cs="宋体"/>
                <w:color w:val="auto"/>
                <w:szCs w:val="21"/>
                <w:highlight w:val="none"/>
              </w:rPr>
            </w:pPr>
            <w:r>
              <w:rPr>
                <w:rFonts w:hint="eastAsia" w:ascii="宋体" w:hAnsi="宋体" w:cstheme="minorEastAsia"/>
                <w:color w:val="auto"/>
                <w:kern w:val="0"/>
                <w:szCs w:val="21"/>
                <w:highlight w:val="none"/>
                <w:lang w:bidi="ar"/>
              </w:rPr>
              <w:t>采用教师角色识别逻辑，可基于站立姿态、面/背向状态等多维判定，快速识别教师，避免学生站立影响；</w:t>
            </w:r>
          </w:p>
          <w:p w14:paraId="463D5FE7">
            <w:pPr>
              <w:pStyle w:val="53"/>
              <w:widowControl/>
              <w:numPr>
                <w:ilvl w:val="0"/>
                <w:numId w:val="279"/>
              </w:numPr>
              <w:ind w:firstLineChars="0"/>
              <w:jc w:val="left"/>
              <w:textAlignment w:val="center"/>
              <w:rPr>
                <w:rFonts w:hint="eastAsia" w:ascii="宋体" w:hAnsi="宋体" w:cs="宋体"/>
                <w:color w:val="auto"/>
                <w:szCs w:val="21"/>
                <w:highlight w:val="none"/>
              </w:rPr>
            </w:pPr>
            <w:r>
              <w:rPr>
                <w:rFonts w:hint="eastAsia" w:ascii="宋体" w:hAnsi="宋体" w:cstheme="minorEastAsia"/>
                <w:color w:val="auto"/>
                <w:kern w:val="0"/>
                <w:szCs w:val="21"/>
                <w:highlight w:val="none"/>
                <w:lang w:bidi="ar"/>
              </w:rPr>
              <w:t>支持划分自动跟踪区域，当锁定跟踪人物走出自动跟踪区域时即停止跟踪，直到重新回到区域出现在画面中为止；</w:t>
            </w:r>
          </w:p>
          <w:p w14:paraId="3B950339">
            <w:pPr>
              <w:pStyle w:val="53"/>
              <w:widowControl/>
              <w:numPr>
                <w:ilvl w:val="0"/>
                <w:numId w:val="279"/>
              </w:numPr>
              <w:ind w:firstLineChars="0"/>
              <w:jc w:val="left"/>
              <w:textAlignment w:val="center"/>
              <w:rPr>
                <w:rFonts w:hint="eastAsia" w:ascii="宋体" w:hAnsi="宋体" w:cs="宋体"/>
                <w:color w:val="auto"/>
                <w:szCs w:val="21"/>
                <w:highlight w:val="none"/>
              </w:rPr>
            </w:pPr>
            <w:r>
              <w:rPr>
                <w:rFonts w:hint="eastAsia" w:ascii="宋体" w:hAnsi="宋体" w:cstheme="minorEastAsia"/>
                <w:color w:val="auto"/>
                <w:kern w:val="0"/>
                <w:szCs w:val="21"/>
                <w:highlight w:val="none"/>
                <w:lang w:bidi="ar"/>
              </w:rPr>
              <w:t>检测区域设置：支持对接入摄像机的AI跟踪检测区域设置，可根据实景拍摄画面中框选跟踪区域，框选后只在区域中方能触发跟踪。</w:t>
            </w:r>
          </w:p>
          <w:p w14:paraId="5EA98788">
            <w:pPr>
              <w:pStyle w:val="53"/>
              <w:widowControl/>
              <w:numPr>
                <w:ilvl w:val="0"/>
                <w:numId w:val="279"/>
              </w:numPr>
              <w:ind w:firstLineChars="0"/>
              <w:jc w:val="left"/>
              <w:textAlignment w:val="center"/>
              <w:rPr>
                <w:rFonts w:hint="eastAsia" w:ascii="宋体" w:hAnsi="宋体" w:cs="宋体"/>
                <w:color w:val="auto"/>
                <w:szCs w:val="21"/>
                <w:highlight w:val="none"/>
              </w:rPr>
            </w:pPr>
            <w:r>
              <w:rPr>
                <w:rFonts w:hint="eastAsia" w:ascii="宋体" w:hAnsi="宋体" w:cstheme="minorEastAsia"/>
                <w:color w:val="auto"/>
                <w:kern w:val="0"/>
                <w:szCs w:val="21"/>
                <w:highlight w:val="none"/>
                <w:lang w:bidi="ar"/>
              </w:rPr>
              <w:t>录制跟踪切换：根据设定的跟踪策略形成跟踪指令，实现多路接入摄像机的全自动AI跟踪画面切换。</w:t>
            </w:r>
          </w:p>
          <w:p w14:paraId="28C166D7">
            <w:pPr>
              <w:widowControl/>
              <w:numPr>
                <w:ilvl w:val="0"/>
                <w:numId w:val="279"/>
              </w:numPr>
              <w:jc w:val="left"/>
              <w:textAlignment w:val="center"/>
              <w:rPr>
                <w:rFonts w:hint="eastAsia" w:ascii="宋体" w:hAnsi="宋体"/>
                <w:color w:val="auto"/>
                <w:szCs w:val="21"/>
                <w:highlight w:val="none"/>
              </w:rPr>
            </w:pPr>
            <w:r>
              <w:rPr>
                <w:rFonts w:hint="eastAsia" w:ascii="宋体" w:hAnsi="宋体" w:cstheme="minorEastAsia"/>
                <w:color w:val="auto"/>
                <w:kern w:val="0"/>
                <w:szCs w:val="21"/>
                <w:highlight w:val="none"/>
                <w:lang w:bidi="ar"/>
              </w:rPr>
              <w:t>支持透明板书（板书悬浮在教师身前）、板书快照、教师快照。</w:t>
            </w:r>
          </w:p>
        </w:tc>
        <w:tc>
          <w:tcPr>
            <w:tcW w:w="863" w:type="dxa"/>
            <w:gridSpan w:val="4"/>
            <w:vAlign w:val="center"/>
          </w:tcPr>
          <w:p w14:paraId="1E93184E">
            <w:pPr>
              <w:widowControl/>
              <w:jc w:val="center"/>
              <w:textAlignment w:val="center"/>
              <w:rPr>
                <w:rFonts w:hint="eastAsia" w:ascii="宋体" w:hAnsi="宋体"/>
                <w:color w:val="auto"/>
                <w:szCs w:val="21"/>
                <w:highlight w:val="none"/>
              </w:rPr>
            </w:pPr>
            <w:r>
              <w:rPr>
                <w:rFonts w:hint="eastAsia" w:ascii="宋体" w:hAnsi="宋体"/>
                <w:color w:val="auto"/>
                <w:szCs w:val="21"/>
                <w:highlight w:val="none"/>
              </w:rPr>
              <w:t>套</w:t>
            </w:r>
          </w:p>
        </w:tc>
        <w:tc>
          <w:tcPr>
            <w:tcW w:w="925" w:type="dxa"/>
            <w:gridSpan w:val="3"/>
            <w:vAlign w:val="center"/>
          </w:tcPr>
          <w:p w14:paraId="0C1825C8">
            <w:pPr>
              <w:widowControl/>
              <w:jc w:val="center"/>
              <w:textAlignment w:val="center"/>
              <w:rPr>
                <w:rFonts w:hint="eastAsia" w:ascii="宋体" w:hAnsi="宋体"/>
                <w:color w:val="auto"/>
                <w:szCs w:val="21"/>
                <w:highlight w:val="none"/>
              </w:rPr>
            </w:pPr>
            <w:r>
              <w:rPr>
                <w:rFonts w:hint="eastAsia" w:ascii="宋体" w:hAnsi="宋体"/>
                <w:color w:val="auto"/>
                <w:szCs w:val="21"/>
                <w:highlight w:val="none"/>
              </w:rPr>
              <w:t>1</w:t>
            </w:r>
          </w:p>
        </w:tc>
      </w:tr>
      <w:tr w14:paraId="0EDE27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3C0FF6A5">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7</w:t>
            </w:r>
          </w:p>
        </w:tc>
        <w:tc>
          <w:tcPr>
            <w:tcW w:w="1227" w:type="dxa"/>
            <w:vAlign w:val="center"/>
          </w:tcPr>
          <w:p w14:paraId="4B75F1A1">
            <w:pPr>
              <w:widowControl/>
              <w:jc w:val="center"/>
              <w:textAlignment w:val="center"/>
              <w:rPr>
                <w:rFonts w:hint="eastAsia" w:ascii="宋体" w:hAnsi="宋体"/>
                <w:color w:val="auto"/>
                <w:szCs w:val="21"/>
                <w:highlight w:val="none"/>
              </w:rPr>
            </w:pPr>
            <w:r>
              <w:rPr>
                <w:rFonts w:hint="eastAsia" w:ascii="宋体" w:hAnsi="宋体" w:cstheme="minorEastAsia"/>
                <w:color w:val="auto"/>
                <w:kern w:val="0"/>
                <w:szCs w:val="21"/>
                <w:highlight w:val="none"/>
                <w:lang w:bidi="ar"/>
              </w:rPr>
              <w:t>学生摄像机</w:t>
            </w:r>
          </w:p>
        </w:tc>
        <w:tc>
          <w:tcPr>
            <w:tcW w:w="6167" w:type="dxa"/>
            <w:vAlign w:val="center"/>
          </w:tcPr>
          <w:p w14:paraId="06C39797">
            <w:pPr>
              <w:pStyle w:val="53"/>
              <w:widowControl/>
              <w:numPr>
                <w:ilvl w:val="0"/>
                <w:numId w:val="280"/>
              </w:numPr>
              <w:ind w:firstLineChars="0"/>
              <w:jc w:val="left"/>
              <w:textAlignment w:val="center"/>
              <w:rPr>
                <w:rFonts w:hint="eastAsia" w:ascii="宋体" w:hAnsi="宋体" w:cs="宋体"/>
                <w:color w:val="auto"/>
                <w:kern w:val="0"/>
                <w:szCs w:val="21"/>
                <w:highlight w:val="none"/>
                <w:lang w:bidi="ar"/>
              </w:rPr>
            </w:pPr>
            <w:r>
              <w:rPr>
                <w:rFonts w:hint="eastAsia" w:ascii="宋体" w:hAnsi="宋体" w:cstheme="minorEastAsia"/>
                <w:color w:val="auto"/>
                <w:kern w:val="0"/>
                <w:szCs w:val="21"/>
                <w:highlight w:val="none"/>
                <w:lang w:bidi="ar"/>
              </w:rPr>
              <w:t>采用不小于4K Sensor和4K镜头，1/2.7英寸HD CMOS或以上图像传感器，有效像素不少于800万；</w:t>
            </w:r>
          </w:p>
          <w:p w14:paraId="189B3720">
            <w:pPr>
              <w:pStyle w:val="53"/>
              <w:widowControl/>
              <w:numPr>
                <w:ilvl w:val="0"/>
                <w:numId w:val="280"/>
              </w:numPr>
              <w:ind w:firstLineChars="0"/>
              <w:jc w:val="left"/>
              <w:textAlignment w:val="center"/>
              <w:rPr>
                <w:rFonts w:hint="eastAsia" w:ascii="宋体" w:hAnsi="宋体" w:cs="宋体"/>
                <w:color w:val="auto"/>
                <w:kern w:val="0"/>
                <w:szCs w:val="21"/>
                <w:highlight w:val="none"/>
                <w:lang w:bidi="ar"/>
              </w:rPr>
            </w:pPr>
            <w:r>
              <w:rPr>
                <w:rFonts w:hint="eastAsia" w:ascii="宋体" w:hAnsi="宋体" w:cstheme="minorEastAsia"/>
                <w:color w:val="auto"/>
                <w:kern w:val="0"/>
                <w:szCs w:val="21"/>
                <w:highlight w:val="none"/>
                <w:lang w:bidi="ar"/>
              </w:rPr>
              <w:t>镜头应支持自动对焦，不小于M12 镜头卡口，水平视场角不少于95°；</w:t>
            </w:r>
          </w:p>
          <w:p w14:paraId="159E941B">
            <w:pPr>
              <w:pStyle w:val="53"/>
              <w:widowControl/>
              <w:numPr>
                <w:ilvl w:val="0"/>
                <w:numId w:val="280"/>
              </w:numPr>
              <w:ind w:firstLineChars="0"/>
              <w:jc w:val="left"/>
              <w:textAlignment w:val="center"/>
              <w:rPr>
                <w:rFonts w:hint="eastAsia" w:ascii="宋体" w:hAnsi="宋体" w:cs="宋体"/>
                <w:color w:val="auto"/>
                <w:kern w:val="0"/>
                <w:szCs w:val="21"/>
                <w:highlight w:val="none"/>
                <w:lang w:bidi="ar"/>
              </w:rPr>
            </w:pPr>
            <w:r>
              <w:rPr>
                <w:rFonts w:hint="eastAsia" w:ascii="宋体" w:hAnsi="宋体" w:cstheme="minorEastAsia"/>
                <w:color w:val="auto"/>
                <w:kern w:val="0"/>
                <w:szCs w:val="21"/>
                <w:highlight w:val="none"/>
                <w:lang w:bidi="ar"/>
              </w:rPr>
              <w:t>支持自动变焦和手动变焦，变焦倍数≥8倍；</w:t>
            </w:r>
          </w:p>
          <w:p w14:paraId="7FA47C3D">
            <w:pPr>
              <w:pStyle w:val="53"/>
              <w:widowControl/>
              <w:numPr>
                <w:ilvl w:val="0"/>
                <w:numId w:val="280"/>
              </w:numPr>
              <w:ind w:firstLineChars="0"/>
              <w:jc w:val="left"/>
              <w:textAlignment w:val="center"/>
              <w:rPr>
                <w:rFonts w:hint="eastAsia" w:ascii="宋体" w:hAnsi="宋体" w:cs="宋体"/>
                <w:color w:val="auto"/>
                <w:kern w:val="0"/>
                <w:szCs w:val="21"/>
                <w:highlight w:val="none"/>
                <w:lang w:bidi="ar"/>
              </w:rPr>
            </w:pPr>
            <w:r>
              <w:rPr>
                <w:rFonts w:hint="eastAsia" w:ascii="宋体" w:hAnsi="宋体" w:cstheme="minorEastAsia"/>
                <w:color w:val="auto"/>
                <w:kern w:val="0"/>
                <w:szCs w:val="21"/>
                <w:highlight w:val="none"/>
                <w:lang w:bidi="ar"/>
              </w:rPr>
              <w:t>最低照度：0.5 Lux @ (F1.8， AGC ON)；电子快门1/30s ~ 1/10000s；</w:t>
            </w:r>
          </w:p>
          <w:p w14:paraId="643F2559">
            <w:pPr>
              <w:pStyle w:val="53"/>
              <w:widowControl/>
              <w:numPr>
                <w:ilvl w:val="0"/>
                <w:numId w:val="280"/>
              </w:numPr>
              <w:ind w:firstLineChars="0"/>
              <w:jc w:val="left"/>
              <w:textAlignment w:val="center"/>
              <w:rPr>
                <w:rFonts w:hint="eastAsia" w:ascii="宋体" w:hAnsi="宋体" w:cs="宋体"/>
                <w:color w:val="auto"/>
                <w:kern w:val="0"/>
                <w:szCs w:val="21"/>
                <w:highlight w:val="none"/>
                <w:lang w:bidi="ar"/>
              </w:rPr>
            </w:pPr>
            <w:r>
              <w:rPr>
                <w:rFonts w:hint="eastAsia" w:ascii="宋体" w:hAnsi="宋体" w:cstheme="minorEastAsia"/>
                <w:color w:val="auto"/>
                <w:kern w:val="0"/>
                <w:szCs w:val="21"/>
                <w:highlight w:val="none"/>
                <w:lang w:bidi="ar"/>
              </w:rPr>
              <w:t>支持自动、手动等多种白平衡模式；</w:t>
            </w:r>
          </w:p>
          <w:p w14:paraId="6588A477">
            <w:pPr>
              <w:pStyle w:val="53"/>
              <w:widowControl/>
              <w:numPr>
                <w:ilvl w:val="0"/>
                <w:numId w:val="280"/>
              </w:numPr>
              <w:ind w:firstLineChars="0"/>
              <w:jc w:val="left"/>
              <w:textAlignment w:val="center"/>
              <w:rPr>
                <w:rFonts w:hint="eastAsia" w:ascii="宋体" w:hAnsi="宋体" w:cs="宋体"/>
                <w:color w:val="auto"/>
                <w:kern w:val="0"/>
                <w:szCs w:val="21"/>
                <w:highlight w:val="none"/>
                <w:lang w:bidi="ar"/>
              </w:rPr>
            </w:pPr>
            <w:r>
              <w:rPr>
                <w:rFonts w:hint="eastAsia" w:ascii="宋体" w:hAnsi="宋体" w:cstheme="minorEastAsia"/>
                <w:color w:val="auto"/>
                <w:kern w:val="0"/>
                <w:szCs w:val="21"/>
                <w:highlight w:val="none"/>
                <w:lang w:bidi="ar"/>
              </w:rPr>
              <w:t>数字降噪支持2D和3D降噪算法；</w:t>
            </w:r>
          </w:p>
          <w:p w14:paraId="461A60F7">
            <w:pPr>
              <w:pStyle w:val="53"/>
              <w:widowControl/>
              <w:numPr>
                <w:ilvl w:val="0"/>
                <w:numId w:val="280"/>
              </w:numPr>
              <w:ind w:firstLineChars="0"/>
              <w:jc w:val="left"/>
              <w:textAlignment w:val="center"/>
              <w:rPr>
                <w:rFonts w:hint="eastAsia" w:ascii="宋体" w:hAnsi="宋体" w:cs="宋体"/>
                <w:color w:val="auto"/>
                <w:kern w:val="0"/>
                <w:szCs w:val="21"/>
                <w:highlight w:val="none"/>
                <w:lang w:bidi="ar"/>
              </w:rPr>
            </w:pPr>
            <w:r>
              <w:rPr>
                <w:rFonts w:hint="eastAsia" w:ascii="宋体" w:hAnsi="宋体" w:cstheme="minorEastAsia"/>
                <w:color w:val="auto"/>
                <w:kern w:val="0"/>
                <w:szCs w:val="21"/>
                <w:highlight w:val="none"/>
                <w:lang w:bidi="ar"/>
              </w:rPr>
              <w:t>图像信噪：≤55dB；</w:t>
            </w:r>
          </w:p>
          <w:p w14:paraId="7D06C79B">
            <w:pPr>
              <w:pStyle w:val="53"/>
              <w:widowControl/>
              <w:numPr>
                <w:ilvl w:val="0"/>
                <w:numId w:val="280"/>
              </w:numPr>
              <w:ind w:firstLineChars="0"/>
              <w:jc w:val="left"/>
              <w:textAlignment w:val="center"/>
              <w:rPr>
                <w:rFonts w:hint="eastAsia" w:ascii="宋体" w:hAnsi="宋体" w:cs="宋体"/>
                <w:color w:val="auto"/>
                <w:kern w:val="0"/>
                <w:szCs w:val="21"/>
                <w:highlight w:val="none"/>
                <w:lang w:bidi="ar"/>
              </w:rPr>
            </w:pPr>
            <w:r>
              <w:rPr>
                <w:rFonts w:hint="eastAsia" w:ascii="宋体" w:hAnsi="宋体" w:cstheme="minorEastAsia"/>
                <w:color w:val="auto"/>
                <w:kern w:val="0"/>
                <w:szCs w:val="21"/>
                <w:highlight w:val="none"/>
                <w:lang w:bidi="ar"/>
              </w:rPr>
              <w:t>支持背光补偿功能；</w:t>
            </w:r>
          </w:p>
          <w:p w14:paraId="08248A63">
            <w:pPr>
              <w:pStyle w:val="53"/>
              <w:widowControl/>
              <w:numPr>
                <w:ilvl w:val="0"/>
                <w:numId w:val="280"/>
              </w:numPr>
              <w:ind w:firstLineChars="0"/>
              <w:jc w:val="left"/>
              <w:textAlignment w:val="center"/>
              <w:rPr>
                <w:rFonts w:hint="eastAsia" w:ascii="宋体" w:hAnsi="宋体" w:cs="宋体"/>
                <w:color w:val="auto"/>
                <w:kern w:val="0"/>
                <w:szCs w:val="21"/>
                <w:highlight w:val="none"/>
                <w:lang w:bidi="ar"/>
              </w:rPr>
            </w:pPr>
            <w:r>
              <w:rPr>
                <w:rFonts w:hint="eastAsia" w:ascii="宋体" w:hAnsi="宋体" w:cstheme="minorEastAsia"/>
                <w:color w:val="auto"/>
                <w:kern w:val="0"/>
                <w:szCs w:val="21"/>
                <w:highlight w:val="none"/>
                <w:lang w:bidi="ar"/>
              </w:rPr>
              <w:t>支持EPTZ电子云台控制方式，实现画面的上下左右移动、放大缩小变焦等操作；</w:t>
            </w:r>
          </w:p>
          <w:p w14:paraId="7CDD9BDA">
            <w:pPr>
              <w:pStyle w:val="53"/>
              <w:widowControl/>
              <w:numPr>
                <w:ilvl w:val="0"/>
                <w:numId w:val="280"/>
              </w:numPr>
              <w:ind w:firstLineChars="0"/>
              <w:jc w:val="left"/>
              <w:textAlignment w:val="center"/>
              <w:rPr>
                <w:rFonts w:hint="eastAsia" w:ascii="宋体" w:hAnsi="宋体" w:cs="宋体"/>
                <w:color w:val="auto"/>
                <w:kern w:val="0"/>
                <w:szCs w:val="21"/>
                <w:highlight w:val="none"/>
                <w:lang w:bidi="ar"/>
              </w:rPr>
            </w:pPr>
            <w:r>
              <w:rPr>
                <w:rFonts w:hint="eastAsia" w:ascii="宋体" w:hAnsi="宋体" w:cstheme="minorEastAsia"/>
                <w:color w:val="auto"/>
                <w:kern w:val="0"/>
                <w:szCs w:val="21"/>
                <w:highlight w:val="none"/>
                <w:lang w:bidi="ar"/>
              </w:rPr>
              <w:t>视频编码支持不少于H.265 / H.264 / MJEPG三种格式；</w:t>
            </w:r>
          </w:p>
          <w:p w14:paraId="5CB0FA9F">
            <w:pPr>
              <w:pStyle w:val="53"/>
              <w:widowControl/>
              <w:numPr>
                <w:ilvl w:val="0"/>
                <w:numId w:val="280"/>
              </w:numPr>
              <w:ind w:firstLineChars="0"/>
              <w:jc w:val="left"/>
              <w:textAlignment w:val="center"/>
              <w:rPr>
                <w:rFonts w:hint="eastAsia" w:ascii="宋体" w:hAnsi="宋体" w:cs="宋体"/>
                <w:color w:val="auto"/>
                <w:kern w:val="0"/>
                <w:szCs w:val="21"/>
                <w:highlight w:val="none"/>
                <w:lang w:bidi="ar"/>
              </w:rPr>
            </w:pPr>
            <w:r>
              <w:rPr>
                <w:rFonts w:hint="eastAsia" w:ascii="宋体" w:hAnsi="宋体" w:cstheme="minorEastAsia"/>
                <w:color w:val="auto"/>
                <w:kern w:val="0"/>
                <w:szCs w:val="21"/>
                <w:highlight w:val="none"/>
                <w:lang w:bidi="ar"/>
              </w:rPr>
              <w:t>单台摄像机支持进行4路视频流编码输出，输出视频分辨率支持4K和1080P等标准视频分辨率格式；视频码率32Kbps ~ 16384Kbps可调；帧率1~30fps可调；</w:t>
            </w:r>
          </w:p>
          <w:p w14:paraId="0C8B8C7E">
            <w:pPr>
              <w:pStyle w:val="53"/>
              <w:widowControl/>
              <w:numPr>
                <w:ilvl w:val="0"/>
                <w:numId w:val="280"/>
              </w:numPr>
              <w:ind w:firstLineChars="0"/>
              <w:jc w:val="left"/>
              <w:textAlignment w:val="center"/>
              <w:rPr>
                <w:rFonts w:hint="eastAsia" w:ascii="宋体" w:hAnsi="宋体" w:cs="宋体"/>
                <w:color w:val="auto"/>
                <w:kern w:val="0"/>
                <w:szCs w:val="21"/>
                <w:highlight w:val="none"/>
                <w:lang w:bidi="ar"/>
              </w:rPr>
            </w:pPr>
            <w:r>
              <w:rPr>
                <w:rFonts w:hint="eastAsia" w:ascii="宋体" w:hAnsi="宋体" w:cstheme="minorEastAsia"/>
                <w:color w:val="auto"/>
                <w:kern w:val="0"/>
                <w:szCs w:val="21"/>
                <w:highlight w:val="none"/>
                <w:lang w:bidi="ar"/>
              </w:rPr>
              <w:t>音频编码支持不少于AAC/G.711a两种格式；</w:t>
            </w:r>
          </w:p>
          <w:p w14:paraId="6099725F">
            <w:pPr>
              <w:pStyle w:val="53"/>
              <w:widowControl/>
              <w:numPr>
                <w:ilvl w:val="0"/>
                <w:numId w:val="280"/>
              </w:numPr>
              <w:ind w:firstLineChars="0"/>
              <w:jc w:val="left"/>
              <w:textAlignment w:val="center"/>
              <w:rPr>
                <w:rFonts w:hint="eastAsia" w:ascii="宋体" w:hAnsi="宋体" w:cs="宋体"/>
                <w:color w:val="auto"/>
                <w:kern w:val="0"/>
                <w:szCs w:val="21"/>
                <w:highlight w:val="none"/>
                <w:lang w:bidi="ar"/>
              </w:rPr>
            </w:pPr>
            <w:r>
              <w:rPr>
                <w:rFonts w:hint="eastAsia" w:ascii="宋体" w:hAnsi="宋体" w:cstheme="minorEastAsia"/>
                <w:color w:val="auto"/>
                <w:kern w:val="0"/>
                <w:szCs w:val="21"/>
                <w:highlight w:val="none"/>
                <w:lang w:bidi="ar"/>
              </w:rPr>
              <w:t>支持TCP/IP、 HTTP、RTSP、RTMP、Onvif、DHCP、GB28181、组播等协议；</w:t>
            </w:r>
          </w:p>
          <w:p w14:paraId="79C593FB">
            <w:pPr>
              <w:pStyle w:val="53"/>
              <w:widowControl/>
              <w:numPr>
                <w:ilvl w:val="0"/>
                <w:numId w:val="280"/>
              </w:numPr>
              <w:ind w:firstLineChars="0"/>
              <w:jc w:val="left"/>
              <w:textAlignment w:val="center"/>
              <w:rPr>
                <w:rFonts w:hint="eastAsia" w:ascii="宋体" w:hAnsi="宋体" w:cs="宋体"/>
                <w:color w:val="auto"/>
                <w:kern w:val="0"/>
                <w:szCs w:val="21"/>
                <w:highlight w:val="none"/>
                <w:lang w:bidi="ar"/>
              </w:rPr>
            </w:pPr>
            <w:r>
              <w:rPr>
                <w:rFonts w:hint="eastAsia" w:ascii="宋体" w:hAnsi="宋体" w:cstheme="minorEastAsia"/>
                <w:color w:val="auto"/>
                <w:kern w:val="0"/>
                <w:szCs w:val="21"/>
                <w:highlight w:val="none"/>
                <w:lang w:bidi="ar"/>
              </w:rPr>
              <w:t>不少于1个Type C接口，支持1080P导播画面输出。</w:t>
            </w:r>
          </w:p>
          <w:p w14:paraId="2BCAEC7C">
            <w:pPr>
              <w:pStyle w:val="53"/>
              <w:widowControl/>
              <w:numPr>
                <w:ilvl w:val="0"/>
                <w:numId w:val="280"/>
              </w:numPr>
              <w:ind w:firstLineChars="0"/>
              <w:jc w:val="left"/>
              <w:textAlignment w:val="center"/>
              <w:rPr>
                <w:rFonts w:hint="eastAsia" w:ascii="宋体" w:hAnsi="宋体" w:cs="宋体"/>
                <w:color w:val="auto"/>
                <w:kern w:val="0"/>
                <w:szCs w:val="21"/>
                <w:highlight w:val="none"/>
                <w:lang w:bidi="ar"/>
              </w:rPr>
            </w:pPr>
            <w:r>
              <w:rPr>
                <w:rFonts w:hint="eastAsia" w:ascii="宋体" w:hAnsi="宋体" w:cstheme="minorEastAsia"/>
                <w:color w:val="auto"/>
                <w:kern w:val="0"/>
                <w:szCs w:val="21"/>
                <w:highlight w:val="none"/>
                <w:lang w:bidi="ar"/>
              </w:rPr>
              <w:t>不少于1个RJ45接口，支持PoE功能并支持系统管理和RTSP协议网络视频输出；</w:t>
            </w:r>
          </w:p>
          <w:p w14:paraId="22DF24E5">
            <w:pPr>
              <w:pStyle w:val="53"/>
              <w:widowControl/>
              <w:numPr>
                <w:ilvl w:val="0"/>
                <w:numId w:val="280"/>
              </w:numPr>
              <w:ind w:firstLineChars="0"/>
              <w:jc w:val="left"/>
              <w:textAlignment w:val="center"/>
              <w:rPr>
                <w:rFonts w:hint="eastAsia" w:ascii="宋体" w:hAnsi="宋体" w:cs="宋体"/>
                <w:color w:val="auto"/>
                <w:kern w:val="0"/>
                <w:szCs w:val="21"/>
                <w:highlight w:val="none"/>
                <w:lang w:bidi="ar"/>
              </w:rPr>
            </w:pPr>
            <w:r>
              <w:rPr>
                <w:rFonts w:hint="eastAsia" w:ascii="宋体" w:hAnsi="宋体" w:cstheme="minorEastAsia"/>
                <w:color w:val="auto"/>
                <w:kern w:val="0"/>
                <w:szCs w:val="21"/>
                <w:highlight w:val="none"/>
                <w:lang w:bidi="ar"/>
              </w:rPr>
              <w:t>支持通用浏览器直接访问进行管理，支持曝光模式设置、摄像机图像质量调节；</w:t>
            </w:r>
          </w:p>
          <w:p w14:paraId="6597227B">
            <w:pPr>
              <w:pStyle w:val="53"/>
              <w:widowControl/>
              <w:numPr>
                <w:ilvl w:val="0"/>
                <w:numId w:val="280"/>
              </w:numPr>
              <w:ind w:firstLineChars="0"/>
              <w:jc w:val="left"/>
              <w:textAlignment w:val="center"/>
              <w:rPr>
                <w:rFonts w:hint="eastAsia" w:ascii="宋体" w:hAnsi="宋体" w:cs="宋体"/>
                <w:color w:val="auto"/>
                <w:kern w:val="0"/>
                <w:szCs w:val="21"/>
                <w:highlight w:val="none"/>
                <w:lang w:bidi="ar"/>
              </w:rPr>
            </w:pPr>
            <w:r>
              <w:rPr>
                <w:rFonts w:hint="eastAsia" w:ascii="宋体" w:hAnsi="宋体" w:cstheme="minorEastAsia"/>
                <w:color w:val="auto"/>
                <w:kern w:val="0"/>
                <w:szCs w:val="21"/>
                <w:highlight w:val="none"/>
                <w:lang w:bidi="ar"/>
              </w:rPr>
              <w:t>音频接口不少于1路3.5mm LINE IN接口和1路3.5mm LINE OUT接口；</w:t>
            </w:r>
          </w:p>
          <w:p w14:paraId="7212B8D9">
            <w:pPr>
              <w:pStyle w:val="53"/>
              <w:widowControl/>
              <w:numPr>
                <w:ilvl w:val="0"/>
                <w:numId w:val="280"/>
              </w:numPr>
              <w:ind w:firstLineChars="0"/>
              <w:jc w:val="left"/>
              <w:textAlignment w:val="center"/>
              <w:rPr>
                <w:rFonts w:hint="eastAsia" w:ascii="宋体" w:hAnsi="宋体" w:cs="宋体"/>
                <w:color w:val="auto"/>
                <w:kern w:val="0"/>
                <w:szCs w:val="21"/>
                <w:highlight w:val="none"/>
                <w:lang w:bidi="ar"/>
              </w:rPr>
            </w:pPr>
            <w:r>
              <w:rPr>
                <w:rFonts w:hint="eastAsia" w:ascii="宋体" w:hAnsi="宋体" w:cstheme="minorEastAsia"/>
                <w:color w:val="auto"/>
                <w:kern w:val="0"/>
                <w:szCs w:val="21"/>
                <w:highlight w:val="none"/>
                <w:lang w:bidi="ar"/>
              </w:rPr>
              <w:t>供电方式采用POE 供电、电源适配器供电方式，根据环境实际情况可灵活选择。</w:t>
            </w:r>
          </w:p>
          <w:p w14:paraId="534A59D0">
            <w:pPr>
              <w:pStyle w:val="53"/>
              <w:widowControl/>
              <w:numPr>
                <w:ilvl w:val="0"/>
                <w:numId w:val="280"/>
              </w:numPr>
              <w:ind w:firstLineChars="0"/>
              <w:jc w:val="left"/>
              <w:textAlignment w:val="center"/>
              <w:rPr>
                <w:rFonts w:hint="eastAsia" w:ascii="宋体" w:hAnsi="宋体" w:cs="宋体"/>
                <w:color w:val="auto"/>
                <w:kern w:val="0"/>
                <w:szCs w:val="21"/>
                <w:highlight w:val="none"/>
                <w:lang w:bidi="ar"/>
              </w:rPr>
            </w:pPr>
            <w:r>
              <w:rPr>
                <w:rFonts w:hint="eastAsia" w:ascii="宋体" w:hAnsi="宋体" w:cstheme="minorEastAsia"/>
                <w:color w:val="auto"/>
                <w:kern w:val="0"/>
                <w:szCs w:val="21"/>
                <w:highlight w:val="none"/>
                <w:lang w:bidi="ar"/>
              </w:rPr>
              <w:t>图像翻转：要求支持图像水平、垂直翻转，适应摄像机不同的安装方式要求；</w:t>
            </w:r>
          </w:p>
          <w:p w14:paraId="66645980">
            <w:pPr>
              <w:pStyle w:val="53"/>
              <w:widowControl/>
              <w:numPr>
                <w:ilvl w:val="0"/>
                <w:numId w:val="280"/>
              </w:numPr>
              <w:ind w:firstLineChars="0"/>
              <w:jc w:val="left"/>
              <w:textAlignment w:val="center"/>
              <w:rPr>
                <w:rFonts w:hint="eastAsia" w:ascii="宋体" w:hAnsi="宋体" w:cs="宋体"/>
                <w:color w:val="auto"/>
                <w:kern w:val="0"/>
                <w:szCs w:val="21"/>
                <w:highlight w:val="none"/>
                <w:lang w:bidi="ar"/>
              </w:rPr>
            </w:pPr>
            <w:r>
              <w:rPr>
                <w:rFonts w:hint="eastAsia" w:ascii="宋体" w:hAnsi="宋体" w:cstheme="minorEastAsia"/>
                <w:color w:val="auto"/>
                <w:kern w:val="0"/>
                <w:szCs w:val="21"/>
                <w:highlight w:val="none"/>
                <w:lang w:bidi="ar"/>
              </w:rPr>
              <w:t>支持AI人体特征识别，能够自动识别并锁定跟踪人，人物丢失后再进入拍摄区域可以继续识别锁定进行跟踪。</w:t>
            </w:r>
          </w:p>
          <w:p w14:paraId="32CA74A5">
            <w:pPr>
              <w:pStyle w:val="53"/>
              <w:widowControl/>
              <w:numPr>
                <w:ilvl w:val="0"/>
                <w:numId w:val="280"/>
              </w:numPr>
              <w:ind w:firstLineChars="0"/>
              <w:jc w:val="left"/>
              <w:textAlignment w:val="center"/>
              <w:rPr>
                <w:rFonts w:hint="eastAsia" w:ascii="宋体" w:hAnsi="宋体" w:cs="宋体"/>
                <w:color w:val="auto"/>
                <w:kern w:val="0"/>
                <w:szCs w:val="21"/>
                <w:highlight w:val="none"/>
                <w:lang w:bidi="ar"/>
              </w:rPr>
            </w:pPr>
            <w:r>
              <w:rPr>
                <w:rFonts w:hint="eastAsia" w:ascii="宋体" w:hAnsi="宋体" w:cstheme="minorEastAsia"/>
                <w:color w:val="auto"/>
                <w:kern w:val="0"/>
                <w:szCs w:val="21"/>
                <w:highlight w:val="none"/>
                <w:lang w:bidi="ar"/>
              </w:rPr>
              <w:t>支持学生智能跟踪，根据学生站立/做下动作状态，进行学生特写跟踪拍摄，并通知录播主机完成画面切换。</w:t>
            </w:r>
          </w:p>
          <w:p w14:paraId="1BE99C0F">
            <w:pPr>
              <w:widowControl/>
              <w:numPr>
                <w:ilvl w:val="0"/>
                <w:numId w:val="280"/>
              </w:numPr>
              <w:jc w:val="left"/>
              <w:textAlignment w:val="center"/>
              <w:rPr>
                <w:rFonts w:hint="eastAsia" w:ascii="宋体" w:hAnsi="宋体"/>
                <w:color w:val="auto"/>
                <w:kern w:val="0"/>
                <w:szCs w:val="21"/>
                <w:highlight w:val="none"/>
                <w:lang w:bidi="ar"/>
              </w:rPr>
            </w:pPr>
            <w:r>
              <w:rPr>
                <w:rFonts w:hint="eastAsia" w:ascii="宋体" w:hAnsi="宋体" w:cstheme="minorEastAsia"/>
                <w:color w:val="auto"/>
                <w:kern w:val="0"/>
                <w:szCs w:val="21"/>
                <w:highlight w:val="none"/>
                <w:lang w:bidi="ar"/>
              </w:rPr>
              <w:t>检测区域设置：支持对接入摄像机的AI跟踪检测区域设置，可根据实景拍摄画面中框选跟踪区域，框选后只在区域中方能触发跟踪。录制跟踪切换：根据设定的跟踪策略形成跟踪指令，实现多路接入摄像机的全自动AI跟踪画面切换。</w:t>
            </w:r>
          </w:p>
        </w:tc>
        <w:tc>
          <w:tcPr>
            <w:tcW w:w="863" w:type="dxa"/>
            <w:gridSpan w:val="4"/>
            <w:vAlign w:val="center"/>
          </w:tcPr>
          <w:p w14:paraId="6C14B52D">
            <w:pPr>
              <w:widowControl/>
              <w:jc w:val="center"/>
              <w:textAlignment w:val="center"/>
              <w:rPr>
                <w:rFonts w:hint="eastAsia" w:ascii="宋体" w:hAnsi="宋体"/>
                <w:color w:val="auto"/>
                <w:szCs w:val="21"/>
                <w:highlight w:val="none"/>
              </w:rPr>
            </w:pPr>
            <w:r>
              <w:rPr>
                <w:rFonts w:hint="eastAsia" w:ascii="宋体" w:hAnsi="宋体"/>
                <w:color w:val="auto"/>
                <w:szCs w:val="21"/>
                <w:highlight w:val="none"/>
              </w:rPr>
              <w:t>套</w:t>
            </w:r>
          </w:p>
        </w:tc>
        <w:tc>
          <w:tcPr>
            <w:tcW w:w="925" w:type="dxa"/>
            <w:gridSpan w:val="3"/>
            <w:vAlign w:val="center"/>
          </w:tcPr>
          <w:p w14:paraId="7177755B">
            <w:pPr>
              <w:widowControl/>
              <w:jc w:val="center"/>
              <w:textAlignment w:val="center"/>
              <w:rPr>
                <w:rFonts w:hint="eastAsia" w:ascii="宋体" w:hAnsi="宋体"/>
                <w:color w:val="auto"/>
                <w:szCs w:val="21"/>
                <w:highlight w:val="none"/>
              </w:rPr>
            </w:pPr>
            <w:r>
              <w:rPr>
                <w:rFonts w:hint="eastAsia" w:ascii="宋体" w:hAnsi="宋体"/>
                <w:color w:val="auto"/>
                <w:szCs w:val="21"/>
                <w:highlight w:val="none"/>
              </w:rPr>
              <w:t>1</w:t>
            </w:r>
          </w:p>
        </w:tc>
      </w:tr>
      <w:tr w14:paraId="58B691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7BA06A65">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8</w:t>
            </w:r>
          </w:p>
        </w:tc>
        <w:tc>
          <w:tcPr>
            <w:tcW w:w="1227" w:type="dxa"/>
            <w:vAlign w:val="center"/>
          </w:tcPr>
          <w:p w14:paraId="541E8F8A">
            <w:pPr>
              <w:widowControl/>
              <w:jc w:val="center"/>
              <w:textAlignment w:val="center"/>
              <w:rPr>
                <w:rFonts w:hint="eastAsia" w:ascii="宋体" w:hAnsi="宋体"/>
                <w:color w:val="auto"/>
                <w:szCs w:val="21"/>
                <w:highlight w:val="none"/>
              </w:rPr>
            </w:pPr>
            <w:r>
              <w:rPr>
                <w:rFonts w:hint="eastAsia" w:ascii="宋体" w:hAnsi="宋体" w:cstheme="minorEastAsia"/>
                <w:color w:val="auto"/>
                <w:kern w:val="0"/>
                <w:szCs w:val="21"/>
                <w:highlight w:val="none"/>
                <w:lang w:bidi="ar"/>
              </w:rPr>
              <w:t>摄像机</w:t>
            </w:r>
          </w:p>
        </w:tc>
        <w:tc>
          <w:tcPr>
            <w:tcW w:w="6167" w:type="dxa"/>
            <w:vAlign w:val="center"/>
          </w:tcPr>
          <w:p w14:paraId="33757BDF">
            <w:pPr>
              <w:pStyle w:val="53"/>
              <w:widowControl/>
              <w:numPr>
                <w:ilvl w:val="0"/>
                <w:numId w:val="281"/>
              </w:numPr>
              <w:ind w:firstLineChars="0"/>
              <w:jc w:val="left"/>
              <w:textAlignment w:val="center"/>
              <w:rPr>
                <w:rFonts w:hint="eastAsia" w:ascii="宋体" w:hAnsi="宋体" w:cs="宋体"/>
                <w:color w:val="auto"/>
                <w:szCs w:val="21"/>
                <w:highlight w:val="none"/>
              </w:rPr>
            </w:pPr>
            <w:r>
              <w:rPr>
                <w:rFonts w:hint="eastAsia" w:ascii="宋体" w:hAnsi="宋体" w:cstheme="minorEastAsia"/>
                <w:color w:val="auto"/>
                <w:kern w:val="0"/>
                <w:szCs w:val="21"/>
                <w:highlight w:val="none"/>
                <w:lang w:bidi="ar"/>
              </w:rPr>
              <w:t>要求采用不小于4K Sensor，1/2.8英寸或以上CMOS图像传感器，有效像素不低于207万；</w:t>
            </w:r>
          </w:p>
          <w:p w14:paraId="3D1DF294">
            <w:pPr>
              <w:pStyle w:val="53"/>
              <w:widowControl/>
              <w:numPr>
                <w:ilvl w:val="0"/>
                <w:numId w:val="281"/>
              </w:numPr>
              <w:ind w:firstLineChars="0"/>
              <w:jc w:val="left"/>
              <w:textAlignment w:val="center"/>
              <w:rPr>
                <w:rFonts w:hint="eastAsia" w:ascii="宋体" w:hAnsi="宋体" w:cs="宋体"/>
                <w:color w:val="auto"/>
                <w:szCs w:val="21"/>
                <w:highlight w:val="none"/>
              </w:rPr>
            </w:pPr>
            <w:r>
              <w:rPr>
                <w:rFonts w:hint="eastAsia" w:ascii="宋体" w:hAnsi="宋体" w:cstheme="minorEastAsia"/>
                <w:color w:val="auto"/>
                <w:kern w:val="0"/>
                <w:szCs w:val="21"/>
                <w:highlight w:val="none"/>
                <w:lang w:bidi="ar"/>
              </w:rPr>
              <w:t>支持自动和手动变焦，变焦倍数≥20倍；</w:t>
            </w:r>
          </w:p>
          <w:p w14:paraId="40EFE611">
            <w:pPr>
              <w:pStyle w:val="53"/>
              <w:widowControl/>
              <w:numPr>
                <w:ilvl w:val="0"/>
                <w:numId w:val="281"/>
              </w:numPr>
              <w:ind w:firstLineChars="0"/>
              <w:jc w:val="left"/>
              <w:textAlignment w:val="center"/>
              <w:rPr>
                <w:rFonts w:hint="eastAsia" w:ascii="宋体" w:hAnsi="宋体" w:cs="宋体"/>
                <w:color w:val="auto"/>
                <w:szCs w:val="21"/>
                <w:highlight w:val="none"/>
              </w:rPr>
            </w:pPr>
            <w:r>
              <w:rPr>
                <w:rFonts w:hint="eastAsia" w:ascii="宋体" w:hAnsi="宋体" w:cstheme="minorEastAsia"/>
                <w:color w:val="auto"/>
                <w:kern w:val="0"/>
                <w:szCs w:val="21"/>
                <w:highlight w:val="none"/>
                <w:lang w:bidi="ar"/>
              </w:rPr>
              <w:t>水平视场角度范围72.0° ~ 6.1°；</w:t>
            </w:r>
          </w:p>
          <w:p w14:paraId="4E59ECE5">
            <w:pPr>
              <w:pStyle w:val="53"/>
              <w:widowControl/>
              <w:numPr>
                <w:ilvl w:val="0"/>
                <w:numId w:val="281"/>
              </w:numPr>
              <w:ind w:firstLineChars="0"/>
              <w:jc w:val="left"/>
              <w:textAlignment w:val="center"/>
              <w:rPr>
                <w:rFonts w:hint="eastAsia" w:ascii="宋体" w:hAnsi="宋体" w:cs="宋体"/>
                <w:color w:val="auto"/>
                <w:szCs w:val="21"/>
                <w:highlight w:val="none"/>
              </w:rPr>
            </w:pPr>
            <w:r>
              <w:rPr>
                <w:rFonts w:hint="eastAsia" w:ascii="宋体" w:hAnsi="宋体" w:cstheme="minorEastAsia"/>
                <w:color w:val="auto"/>
                <w:kern w:val="0"/>
                <w:szCs w:val="21"/>
                <w:highlight w:val="none"/>
                <w:lang w:bidi="ar"/>
              </w:rPr>
              <w:t>支持图像水平、垂直翻转，适应摄像机不同的安装方式要求；</w:t>
            </w:r>
          </w:p>
          <w:p w14:paraId="6AE1FB69">
            <w:pPr>
              <w:pStyle w:val="53"/>
              <w:widowControl/>
              <w:numPr>
                <w:ilvl w:val="0"/>
                <w:numId w:val="281"/>
              </w:numPr>
              <w:ind w:firstLineChars="0"/>
              <w:jc w:val="left"/>
              <w:textAlignment w:val="center"/>
              <w:rPr>
                <w:rFonts w:hint="eastAsia" w:ascii="宋体" w:hAnsi="宋体" w:cs="宋体"/>
                <w:color w:val="auto"/>
                <w:szCs w:val="21"/>
                <w:highlight w:val="none"/>
              </w:rPr>
            </w:pPr>
            <w:r>
              <w:rPr>
                <w:rFonts w:hint="eastAsia" w:ascii="宋体" w:hAnsi="宋体" w:cstheme="minorEastAsia"/>
                <w:color w:val="auto"/>
                <w:kern w:val="0"/>
                <w:szCs w:val="21"/>
                <w:highlight w:val="none"/>
                <w:lang w:bidi="ar"/>
              </w:rPr>
              <w:t>不少于1路RS232 IN、1路RS232 out和1路RS485控制接口 ；</w:t>
            </w:r>
          </w:p>
          <w:p w14:paraId="7A76CC66">
            <w:pPr>
              <w:pStyle w:val="53"/>
              <w:widowControl/>
              <w:numPr>
                <w:ilvl w:val="0"/>
                <w:numId w:val="281"/>
              </w:numPr>
              <w:ind w:firstLineChars="0"/>
              <w:jc w:val="left"/>
              <w:textAlignment w:val="center"/>
              <w:rPr>
                <w:rFonts w:hint="eastAsia" w:ascii="宋体" w:hAnsi="宋体" w:cs="宋体"/>
                <w:color w:val="auto"/>
                <w:szCs w:val="21"/>
                <w:highlight w:val="none"/>
              </w:rPr>
            </w:pPr>
            <w:r>
              <w:rPr>
                <w:rFonts w:hint="eastAsia" w:ascii="宋体" w:hAnsi="宋体" w:cstheme="minorEastAsia"/>
                <w:color w:val="auto"/>
                <w:kern w:val="0"/>
                <w:szCs w:val="21"/>
                <w:highlight w:val="none"/>
                <w:lang w:bidi="ar"/>
              </w:rPr>
              <w:t>视频输出：具有不少于1个USB 3.0接口、不少于1个高清网络输出接口、不少于1个3G-SDI接口、不少于1个HDMI接口；同时支持4口输出1080p60帧画面；</w:t>
            </w:r>
          </w:p>
          <w:p w14:paraId="3A8C5C91">
            <w:pPr>
              <w:pStyle w:val="53"/>
              <w:widowControl/>
              <w:numPr>
                <w:ilvl w:val="0"/>
                <w:numId w:val="281"/>
              </w:numPr>
              <w:ind w:firstLineChars="0"/>
              <w:jc w:val="left"/>
              <w:textAlignment w:val="center"/>
              <w:rPr>
                <w:rFonts w:hint="eastAsia" w:ascii="宋体" w:hAnsi="宋体" w:cs="宋体"/>
                <w:color w:val="auto"/>
                <w:szCs w:val="21"/>
                <w:highlight w:val="none"/>
              </w:rPr>
            </w:pPr>
            <w:r>
              <w:rPr>
                <w:rFonts w:hint="eastAsia" w:ascii="宋体" w:hAnsi="宋体" w:cstheme="minorEastAsia"/>
                <w:color w:val="auto"/>
                <w:kern w:val="0"/>
                <w:szCs w:val="21"/>
                <w:highlight w:val="none"/>
                <w:lang w:bidi="ar"/>
              </w:rPr>
              <w:t>RJ45接口支持POE功能，并支持RTSP协议支持网络视频输出；</w:t>
            </w:r>
          </w:p>
          <w:p w14:paraId="35C7F5BA">
            <w:pPr>
              <w:pStyle w:val="53"/>
              <w:widowControl/>
              <w:numPr>
                <w:ilvl w:val="0"/>
                <w:numId w:val="281"/>
              </w:numPr>
              <w:ind w:firstLineChars="0"/>
              <w:jc w:val="left"/>
              <w:textAlignment w:val="center"/>
              <w:rPr>
                <w:rFonts w:hint="eastAsia" w:ascii="宋体" w:hAnsi="宋体" w:cs="宋体"/>
                <w:color w:val="auto"/>
                <w:szCs w:val="21"/>
                <w:highlight w:val="none"/>
              </w:rPr>
            </w:pPr>
            <w:r>
              <w:rPr>
                <w:rFonts w:hint="eastAsia" w:ascii="宋体" w:hAnsi="宋体" w:cstheme="minorEastAsia"/>
                <w:color w:val="auto"/>
                <w:kern w:val="0"/>
                <w:szCs w:val="21"/>
                <w:highlight w:val="none"/>
                <w:lang w:bidi="ar"/>
              </w:rPr>
              <w:t>USB 2.0接口，支持外接U盘、麦克风等设备；</w:t>
            </w:r>
          </w:p>
          <w:p w14:paraId="532AAC3F">
            <w:pPr>
              <w:pStyle w:val="53"/>
              <w:widowControl/>
              <w:numPr>
                <w:ilvl w:val="0"/>
                <w:numId w:val="281"/>
              </w:numPr>
              <w:ind w:firstLineChars="0"/>
              <w:jc w:val="left"/>
              <w:textAlignment w:val="center"/>
              <w:rPr>
                <w:rFonts w:hint="eastAsia" w:ascii="宋体" w:hAnsi="宋体" w:cs="宋体"/>
                <w:color w:val="auto"/>
                <w:szCs w:val="21"/>
                <w:highlight w:val="none"/>
              </w:rPr>
            </w:pPr>
            <w:r>
              <w:rPr>
                <w:rFonts w:hint="eastAsia" w:ascii="宋体" w:hAnsi="宋体" w:cstheme="minorEastAsia"/>
                <w:color w:val="auto"/>
                <w:kern w:val="0"/>
                <w:szCs w:val="21"/>
                <w:highlight w:val="none"/>
                <w:lang w:bidi="ar"/>
              </w:rPr>
              <w:t>内置音频处理算法，支持混音消除，有效降低环境噪音；支持EQ调节；</w:t>
            </w:r>
          </w:p>
          <w:p w14:paraId="271ED843">
            <w:pPr>
              <w:pStyle w:val="53"/>
              <w:widowControl/>
              <w:numPr>
                <w:ilvl w:val="0"/>
                <w:numId w:val="281"/>
              </w:numPr>
              <w:ind w:firstLineChars="0"/>
              <w:jc w:val="left"/>
              <w:textAlignment w:val="center"/>
              <w:rPr>
                <w:rFonts w:hint="eastAsia" w:ascii="宋体" w:hAnsi="宋体" w:cs="宋体"/>
                <w:color w:val="auto"/>
                <w:szCs w:val="21"/>
                <w:highlight w:val="none"/>
              </w:rPr>
            </w:pPr>
            <w:r>
              <w:rPr>
                <w:rFonts w:hint="eastAsia" w:ascii="宋体" w:hAnsi="宋体" w:cstheme="minorEastAsia"/>
                <w:color w:val="auto"/>
                <w:kern w:val="0"/>
                <w:szCs w:val="21"/>
                <w:highlight w:val="none"/>
                <w:lang w:bidi="ar"/>
              </w:rPr>
              <w:t>支持双mic拾音，支持外接麦克风等拾音设备。</w:t>
            </w:r>
          </w:p>
          <w:p w14:paraId="655B40FA">
            <w:pPr>
              <w:pStyle w:val="53"/>
              <w:widowControl/>
              <w:numPr>
                <w:ilvl w:val="0"/>
                <w:numId w:val="281"/>
              </w:numPr>
              <w:ind w:firstLineChars="0"/>
              <w:jc w:val="left"/>
              <w:textAlignment w:val="center"/>
              <w:rPr>
                <w:rFonts w:hint="eastAsia" w:ascii="宋体" w:hAnsi="宋体" w:cs="宋体"/>
                <w:color w:val="auto"/>
                <w:szCs w:val="21"/>
                <w:highlight w:val="none"/>
              </w:rPr>
            </w:pPr>
            <w:r>
              <w:rPr>
                <w:rFonts w:hint="eastAsia" w:ascii="宋体" w:hAnsi="宋体" w:cstheme="minorEastAsia"/>
                <w:color w:val="auto"/>
                <w:kern w:val="0"/>
                <w:szCs w:val="21"/>
                <w:highlight w:val="none"/>
                <w:lang w:bidi="ar"/>
              </w:rPr>
              <w:t>支持H.265 / H.264 视频编码方式；</w:t>
            </w:r>
          </w:p>
          <w:p w14:paraId="78D8B153">
            <w:pPr>
              <w:pStyle w:val="53"/>
              <w:widowControl/>
              <w:numPr>
                <w:ilvl w:val="0"/>
                <w:numId w:val="281"/>
              </w:numPr>
              <w:ind w:firstLineChars="0"/>
              <w:jc w:val="left"/>
              <w:textAlignment w:val="center"/>
              <w:rPr>
                <w:rFonts w:hint="eastAsia" w:ascii="宋体" w:hAnsi="宋体" w:cs="宋体"/>
                <w:color w:val="auto"/>
                <w:szCs w:val="21"/>
                <w:highlight w:val="none"/>
              </w:rPr>
            </w:pPr>
            <w:r>
              <w:rPr>
                <w:rFonts w:hint="eastAsia" w:ascii="宋体" w:hAnsi="宋体" w:cstheme="minorEastAsia"/>
                <w:color w:val="auto"/>
                <w:kern w:val="0"/>
                <w:szCs w:val="21"/>
                <w:highlight w:val="none"/>
                <w:lang w:bidi="ar"/>
              </w:rPr>
              <w:t>音频编码：AAC/G.711a；音频码率96Kbps、128Kbps，256Kbps可调；</w:t>
            </w:r>
          </w:p>
          <w:p w14:paraId="2C17BCAF">
            <w:pPr>
              <w:pStyle w:val="53"/>
              <w:widowControl/>
              <w:numPr>
                <w:ilvl w:val="0"/>
                <w:numId w:val="281"/>
              </w:numPr>
              <w:ind w:firstLineChars="0"/>
              <w:jc w:val="left"/>
              <w:textAlignment w:val="center"/>
              <w:rPr>
                <w:rFonts w:hint="eastAsia" w:ascii="宋体" w:hAnsi="宋体" w:cs="宋体"/>
                <w:color w:val="auto"/>
                <w:szCs w:val="21"/>
                <w:highlight w:val="none"/>
              </w:rPr>
            </w:pPr>
            <w:r>
              <w:rPr>
                <w:rFonts w:hint="eastAsia" w:ascii="宋体" w:hAnsi="宋体" w:cstheme="minorEastAsia"/>
                <w:color w:val="auto"/>
                <w:kern w:val="0"/>
                <w:szCs w:val="21"/>
                <w:highlight w:val="none"/>
                <w:lang w:bidi="ar"/>
              </w:rPr>
              <w:t>支持NDI|HX、TCP/IP、 HTTP、RTSP、RTMP、Onvif、DHCP、GB/T28181、组播等协议；</w:t>
            </w:r>
          </w:p>
          <w:p w14:paraId="25AE3F0C">
            <w:pPr>
              <w:widowControl/>
              <w:numPr>
                <w:ilvl w:val="0"/>
                <w:numId w:val="281"/>
              </w:numPr>
              <w:jc w:val="left"/>
              <w:textAlignment w:val="center"/>
              <w:rPr>
                <w:rFonts w:hint="eastAsia" w:ascii="宋体" w:hAnsi="宋体"/>
                <w:color w:val="auto"/>
                <w:szCs w:val="21"/>
                <w:highlight w:val="none"/>
              </w:rPr>
            </w:pPr>
            <w:r>
              <w:rPr>
                <w:rFonts w:hint="eastAsia" w:ascii="宋体" w:hAnsi="宋体" w:cstheme="minorEastAsia"/>
                <w:color w:val="auto"/>
                <w:kern w:val="0"/>
                <w:szCs w:val="21"/>
                <w:highlight w:val="none"/>
                <w:lang w:bidi="ar"/>
              </w:rPr>
              <w:t>供电方式采用POE和电源适配器两种供电方式。</w:t>
            </w:r>
          </w:p>
        </w:tc>
        <w:tc>
          <w:tcPr>
            <w:tcW w:w="863" w:type="dxa"/>
            <w:gridSpan w:val="4"/>
            <w:vAlign w:val="center"/>
          </w:tcPr>
          <w:p w14:paraId="28B56F0D">
            <w:pPr>
              <w:widowControl/>
              <w:jc w:val="center"/>
              <w:textAlignment w:val="center"/>
              <w:rPr>
                <w:rFonts w:hint="eastAsia" w:ascii="宋体" w:hAnsi="宋体"/>
                <w:color w:val="auto"/>
                <w:szCs w:val="21"/>
                <w:highlight w:val="none"/>
              </w:rPr>
            </w:pPr>
            <w:r>
              <w:rPr>
                <w:rFonts w:hint="eastAsia" w:ascii="宋体" w:hAnsi="宋体"/>
                <w:color w:val="auto"/>
                <w:szCs w:val="21"/>
                <w:highlight w:val="none"/>
              </w:rPr>
              <w:t>套</w:t>
            </w:r>
          </w:p>
        </w:tc>
        <w:tc>
          <w:tcPr>
            <w:tcW w:w="925" w:type="dxa"/>
            <w:gridSpan w:val="3"/>
            <w:vAlign w:val="center"/>
          </w:tcPr>
          <w:p w14:paraId="53720855">
            <w:pPr>
              <w:widowControl/>
              <w:jc w:val="center"/>
              <w:textAlignment w:val="center"/>
              <w:rPr>
                <w:rFonts w:hint="eastAsia" w:ascii="宋体" w:hAnsi="宋体"/>
                <w:color w:val="auto"/>
                <w:szCs w:val="21"/>
                <w:highlight w:val="none"/>
              </w:rPr>
            </w:pPr>
            <w:r>
              <w:rPr>
                <w:rFonts w:hint="eastAsia" w:ascii="宋体" w:hAnsi="宋体"/>
                <w:color w:val="auto"/>
                <w:szCs w:val="21"/>
                <w:highlight w:val="none"/>
              </w:rPr>
              <w:t>4</w:t>
            </w:r>
          </w:p>
        </w:tc>
      </w:tr>
      <w:tr w14:paraId="38CD35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6EE86AD4">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9</w:t>
            </w:r>
          </w:p>
        </w:tc>
        <w:tc>
          <w:tcPr>
            <w:tcW w:w="1227" w:type="dxa"/>
            <w:vAlign w:val="center"/>
          </w:tcPr>
          <w:p w14:paraId="65573A8E">
            <w:pPr>
              <w:widowControl/>
              <w:jc w:val="center"/>
              <w:textAlignment w:val="center"/>
              <w:rPr>
                <w:rFonts w:hint="eastAsia" w:ascii="宋体" w:hAnsi="宋体"/>
                <w:color w:val="auto"/>
                <w:szCs w:val="21"/>
                <w:highlight w:val="none"/>
              </w:rPr>
            </w:pPr>
            <w:r>
              <w:rPr>
                <w:rFonts w:hint="eastAsia" w:ascii="宋体" w:hAnsi="宋体" w:cstheme="minorEastAsia"/>
                <w:color w:val="auto"/>
                <w:kern w:val="0"/>
                <w:szCs w:val="21"/>
                <w:highlight w:val="none"/>
                <w:lang w:bidi="ar"/>
              </w:rPr>
              <w:t>数字音频处理器</w:t>
            </w:r>
          </w:p>
        </w:tc>
        <w:tc>
          <w:tcPr>
            <w:tcW w:w="6167" w:type="dxa"/>
            <w:vAlign w:val="center"/>
          </w:tcPr>
          <w:p w14:paraId="5E6E3705">
            <w:pPr>
              <w:pStyle w:val="53"/>
              <w:widowControl/>
              <w:numPr>
                <w:ilvl w:val="0"/>
                <w:numId w:val="282"/>
              </w:numPr>
              <w:ind w:firstLineChars="0"/>
              <w:jc w:val="left"/>
              <w:textAlignment w:val="center"/>
              <w:rPr>
                <w:rFonts w:hint="eastAsia" w:ascii="宋体" w:hAnsi="宋体" w:cs="宋体"/>
                <w:color w:val="auto"/>
                <w:szCs w:val="21"/>
                <w:highlight w:val="none"/>
              </w:rPr>
            </w:pPr>
            <w:r>
              <w:rPr>
                <w:rFonts w:hint="eastAsia" w:ascii="宋体" w:hAnsi="宋体" w:cstheme="minorEastAsia"/>
                <w:color w:val="auto"/>
                <w:kern w:val="0"/>
                <w:szCs w:val="21"/>
                <w:highlight w:val="none"/>
                <w:lang w:bidi="ar"/>
              </w:rPr>
              <w:t>★音频输入：平衡式麦克风/线路输入≥16路，每通道支持48V幻象供电，兼容专业麦克风（MIC）与线路（LINE）音频输入，保证课堂教学场景多区域均衡拾音。（提供功能截图）</w:t>
            </w:r>
          </w:p>
          <w:p w14:paraId="4541A810">
            <w:pPr>
              <w:pStyle w:val="53"/>
              <w:widowControl/>
              <w:numPr>
                <w:ilvl w:val="0"/>
                <w:numId w:val="282"/>
              </w:numPr>
              <w:ind w:firstLineChars="0"/>
              <w:jc w:val="left"/>
              <w:textAlignment w:val="center"/>
              <w:rPr>
                <w:rFonts w:hint="eastAsia" w:ascii="宋体" w:hAnsi="宋体" w:cs="宋体"/>
                <w:color w:val="auto"/>
                <w:szCs w:val="21"/>
                <w:highlight w:val="none"/>
              </w:rPr>
            </w:pPr>
            <w:r>
              <w:rPr>
                <w:rFonts w:hint="eastAsia" w:ascii="宋体" w:hAnsi="宋体" w:cstheme="minorEastAsia"/>
                <w:color w:val="auto"/>
                <w:kern w:val="0"/>
                <w:szCs w:val="21"/>
                <w:highlight w:val="none"/>
                <w:lang w:bidi="ar"/>
              </w:rPr>
              <w:t>音频输出：平衡式XLR线路输出≥16路，支持后级功放、调音台、录播等专业设备。</w:t>
            </w:r>
          </w:p>
          <w:p w14:paraId="02D94136">
            <w:pPr>
              <w:pStyle w:val="53"/>
              <w:widowControl/>
              <w:numPr>
                <w:ilvl w:val="0"/>
                <w:numId w:val="282"/>
              </w:numPr>
              <w:ind w:firstLineChars="0"/>
              <w:jc w:val="left"/>
              <w:textAlignment w:val="center"/>
              <w:rPr>
                <w:rFonts w:hint="eastAsia" w:ascii="宋体" w:hAnsi="宋体" w:cs="宋体"/>
                <w:color w:val="auto"/>
                <w:szCs w:val="21"/>
                <w:highlight w:val="none"/>
              </w:rPr>
            </w:pPr>
            <w:r>
              <w:rPr>
                <w:rFonts w:hint="eastAsia" w:ascii="宋体" w:hAnsi="宋体" w:cstheme="minorEastAsia"/>
                <w:color w:val="auto"/>
                <w:kern w:val="0"/>
                <w:szCs w:val="21"/>
                <w:highlight w:val="none"/>
                <w:lang w:bidi="ar"/>
              </w:rPr>
              <w:t>音频处理：支持24bit/48kHz采样率。</w:t>
            </w:r>
          </w:p>
          <w:p w14:paraId="63A76E76">
            <w:pPr>
              <w:pStyle w:val="53"/>
              <w:widowControl/>
              <w:numPr>
                <w:ilvl w:val="0"/>
                <w:numId w:val="282"/>
              </w:numPr>
              <w:ind w:firstLineChars="0"/>
              <w:jc w:val="left"/>
              <w:textAlignment w:val="center"/>
              <w:rPr>
                <w:rFonts w:hint="eastAsia" w:ascii="宋体" w:hAnsi="宋体" w:cs="宋体"/>
                <w:color w:val="auto"/>
                <w:szCs w:val="21"/>
                <w:highlight w:val="none"/>
              </w:rPr>
            </w:pPr>
            <w:r>
              <w:rPr>
                <w:rFonts w:hint="eastAsia" w:ascii="宋体" w:hAnsi="宋体" w:cstheme="minorEastAsia"/>
                <w:color w:val="auto"/>
                <w:kern w:val="0"/>
                <w:szCs w:val="21"/>
                <w:highlight w:val="none"/>
                <w:lang w:bidi="ar"/>
              </w:rPr>
              <w:t>前级增益：0dB/10dB/20dB/30dB/40dB多档可调，精准匹配MIC与LINE电平输入，避免过载或增益不足。</w:t>
            </w:r>
          </w:p>
          <w:p w14:paraId="29458767">
            <w:pPr>
              <w:pStyle w:val="53"/>
              <w:widowControl/>
              <w:numPr>
                <w:ilvl w:val="0"/>
                <w:numId w:val="282"/>
              </w:numPr>
              <w:ind w:firstLineChars="0"/>
              <w:jc w:val="left"/>
              <w:textAlignment w:val="center"/>
              <w:rPr>
                <w:rFonts w:hint="eastAsia" w:ascii="宋体" w:hAnsi="宋体" w:cs="宋体"/>
                <w:color w:val="auto"/>
                <w:szCs w:val="21"/>
                <w:highlight w:val="none"/>
              </w:rPr>
            </w:pPr>
            <w:r>
              <w:rPr>
                <w:rFonts w:hint="eastAsia" w:ascii="宋体" w:hAnsi="宋体" w:cstheme="minorEastAsia"/>
                <w:color w:val="auto"/>
                <w:kern w:val="0"/>
                <w:szCs w:val="21"/>
                <w:highlight w:val="none"/>
                <w:lang w:bidi="ar"/>
              </w:rPr>
              <w:t>★反馈消除（AFC）：支持自适应反馈消除，抑制点数≥16点，具有手动，动态，固定三种处理方式；支持每路麦克风独立分析并抑制反馈啸叫，保障长时间稳定扩声。（提供功能截图）</w:t>
            </w:r>
          </w:p>
          <w:p w14:paraId="6B683F6D">
            <w:pPr>
              <w:pStyle w:val="53"/>
              <w:widowControl/>
              <w:numPr>
                <w:ilvl w:val="0"/>
                <w:numId w:val="282"/>
              </w:numPr>
              <w:ind w:firstLineChars="0"/>
              <w:jc w:val="left"/>
              <w:textAlignment w:val="center"/>
              <w:rPr>
                <w:rFonts w:hint="eastAsia" w:ascii="宋体" w:hAnsi="宋体" w:cs="宋体"/>
                <w:color w:val="auto"/>
                <w:szCs w:val="21"/>
                <w:highlight w:val="none"/>
              </w:rPr>
            </w:pPr>
            <w:r>
              <w:rPr>
                <w:rFonts w:hint="eastAsia" w:ascii="宋体" w:hAnsi="宋体" w:cstheme="minorEastAsia"/>
                <w:color w:val="auto"/>
                <w:kern w:val="0"/>
                <w:szCs w:val="21"/>
                <w:highlight w:val="none"/>
                <w:lang w:bidi="ar"/>
              </w:rPr>
              <w:t>增益控制（AGC）：支持自动增益控制，动态追踪输入电平，补偿演讲者与话筒距离变化导致的音量波动，确保音量始终平稳。</w:t>
            </w:r>
          </w:p>
          <w:p w14:paraId="19561D9B">
            <w:pPr>
              <w:pStyle w:val="53"/>
              <w:widowControl/>
              <w:numPr>
                <w:ilvl w:val="0"/>
                <w:numId w:val="282"/>
              </w:numPr>
              <w:ind w:firstLineChars="0"/>
              <w:jc w:val="left"/>
              <w:textAlignment w:val="center"/>
              <w:rPr>
                <w:rFonts w:hint="eastAsia" w:ascii="宋体" w:hAnsi="宋体" w:cs="宋体"/>
                <w:color w:val="auto"/>
                <w:szCs w:val="21"/>
                <w:highlight w:val="none"/>
              </w:rPr>
            </w:pPr>
            <w:r>
              <w:rPr>
                <w:rFonts w:hint="eastAsia" w:ascii="宋体" w:hAnsi="宋体" w:cstheme="minorEastAsia"/>
                <w:color w:val="auto"/>
                <w:kern w:val="0"/>
                <w:szCs w:val="21"/>
                <w:highlight w:val="none"/>
                <w:lang w:bidi="ar"/>
              </w:rPr>
              <w:t>智能闪避器（Ducker）：内置智能闪避器，支持通过话筒触发机制自动压低背景音乐，优先突出人声，适用于课堂教学、会议、培训等场景。</w:t>
            </w:r>
          </w:p>
          <w:p w14:paraId="17BA7118">
            <w:pPr>
              <w:pStyle w:val="53"/>
              <w:widowControl/>
              <w:numPr>
                <w:ilvl w:val="0"/>
                <w:numId w:val="282"/>
              </w:numPr>
              <w:ind w:firstLineChars="0"/>
              <w:jc w:val="left"/>
              <w:textAlignment w:val="center"/>
              <w:rPr>
                <w:rFonts w:hint="eastAsia" w:ascii="宋体" w:hAnsi="宋体" w:cs="宋体"/>
                <w:color w:val="auto"/>
                <w:szCs w:val="21"/>
                <w:highlight w:val="none"/>
              </w:rPr>
            </w:pPr>
            <w:r>
              <w:rPr>
                <w:rFonts w:hint="eastAsia" w:ascii="宋体" w:hAnsi="宋体" w:cstheme="minorEastAsia"/>
                <w:color w:val="auto"/>
                <w:kern w:val="0"/>
                <w:szCs w:val="21"/>
                <w:highlight w:val="none"/>
                <w:lang w:bidi="ar"/>
              </w:rPr>
              <w:t>自动混音（AM）：支持增益分享式自动混音，智能分配多麦克风增益，避免通道间信号竞争，简化多麦场景管理。</w:t>
            </w:r>
          </w:p>
          <w:p w14:paraId="66915885">
            <w:pPr>
              <w:pStyle w:val="53"/>
              <w:widowControl/>
              <w:numPr>
                <w:ilvl w:val="0"/>
                <w:numId w:val="282"/>
              </w:numPr>
              <w:ind w:firstLineChars="0"/>
              <w:jc w:val="left"/>
              <w:textAlignment w:val="center"/>
              <w:rPr>
                <w:rFonts w:hint="eastAsia" w:ascii="宋体" w:hAnsi="宋体" w:cs="宋体"/>
                <w:color w:val="auto"/>
                <w:szCs w:val="21"/>
                <w:highlight w:val="none"/>
              </w:rPr>
            </w:pPr>
            <w:r>
              <w:rPr>
                <w:rFonts w:hint="eastAsia" w:ascii="宋体" w:hAnsi="宋体" w:cstheme="minorEastAsia"/>
                <w:color w:val="auto"/>
                <w:kern w:val="0"/>
                <w:szCs w:val="21"/>
                <w:highlight w:val="none"/>
                <w:lang w:bidi="ar"/>
              </w:rPr>
              <w:t>自适应回声消除（AEC）：支持快速识别并抑制远程教学、视频会议中的回声干扰，回声消除尾长≥256ms。</w:t>
            </w:r>
          </w:p>
          <w:p w14:paraId="70FDC5FF">
            <w:pPr>
              <w:pStyle w:val="53"/>
              <w:widowControl/>
              <w:numPr>
                <w:ilvl w:val="0"/>
                <w:numId w:val="282"/>
              </w:numPr>
              <w:ind w:firstLineChars="0"/>
              <w:jc w:val="left"/>
              <w:textAlignment w:val="center"/>
              <w:rPr>
                <w:rFonts w:hint="eastAsia" w:ascii="宋体" w:hAnsi="宋体" w:cs="宋体"/>
                <w:color w:val="auto"/>
                <w:szCs w:val="21"/>
                <w:highlight w:val="none"/>
              </w:rPr>
            </w:pPr>
            <w:r>
              <w:rPr>
                <w:rFonts w:hint="eastAsia" w:ascii="宋体" w:hAnsi="宋体" w:cstheme="minorEastAsia"/>
                <w:color w:val="auto"/>
                <w:kern w:val="0"/>
                <w:szCs w:val="21"/>
                <w:highlight w:val="none"/>
                <w:lang w:bidi="ar"/>
              </w:rPr>
              <w:t>智能降噪（ANC）：支持智能降噪，噪声消除量≥18dB。</w:t>
            </w:r>
          </w:p>
          <w:p w14:paraId="52A1C61D">
            <w:pPr>
              <w:pStyle w:val="53"/>
              <w:widowControl/>
              <w:numPr>
                <w:ilvl w:val="0"/>
                <w:numId w:val="282"/>
              </w:numPr>
              <w:ind w:firstLineChars="0"/>
              <w:jc w:val="left"/>
              <w:textAlignment w:val="center"/>
              <w:rPr>
                <w:rFonts w:hint="eastAsia" w:ascii="宋体" w:hAnsi="宋体" w:cs="宋体"/>
                <w:color w:val="auto"/>
                <w:szCs w:val="21"/>
                <w:highlight w:val="none"/>
              </w:rPr>
            </w:pPr>
            <w:r>
              <w:rPr>
                <w:rFonts w:hint="eastAsia" w:ascii="宋体" w:hAnsi="宋体" w:cstheme="minorEastAsia"/>
                <w:color w:val="auto"/>
                <w:kern w:val="0"/>
                <w:szCs w:val="21"/>
                <w:highlight w:val="none"/>
                <w:lang w:bidi="ar"/>
              </w:rPr>
              <w:t>即时响应限幅器：内置即时响应限幅器，毫秒级检测与限制输出峰值，有效保护后级功放、音箱等设备免受过载损伤。</w:t>
            </w:r>
          </w:p>
          <w:p w14:paraId="233A37C1">
            <w:pPr>
              <w:pStyle w:val="53"/>
              <w:widowControl/>
              <w:numPr>
                <w:ilvl w:val="0"/>
                <w:numId w:val="282"/>
              </w:numPr>
              <w:ind w:firstLineChars="0"/>
              <w:jc w:val="left"/>
              <w:textAlignment w:val="center"/>
              <w:rPr>
                <w:rFonts w:hint="eastAsia" w:ascii="宋体" w:hAnsi="宋体" w:cs="宋体"/>
                <w:color w:val="auto"/>
                <w:szCs w:val="21"/>
                <w:highlight w:val="none"/>
              </w:rPr>
            </w:pPr>
            <w:r>
              <w:rPr>
                <w:rFonts w:hint="eastAsia" w:ascii="宋体" w:hAnsi="宋体" w:cstheme="minorEastAsia"/>
                <w:color w:val="auto"/>
                <w:kern w:val="0"/>
                <w:szCs w:val="21"/>
                <w:highlight w:val="none"/>
                <w:lang w:bidi="ar"/>
              </w:rPr>
              <w:t>场景存储与调用：支持≥50组编程场景存储，一键切换不同应用模式，如本地授课、远程教学、会议等。</w:t>
            </w:r>
          </w:p>
          <w:p w14:paraId="0B79AC33">
            <w:pPr>
              <w:pStyle w:val="53"/>
              <w:widowControl/>
              <w:numPr>
                <w:ilvl w:val="0"/>
                <w:numId w:val="282"/>
              </w:numPr>
              <w:ind w:firstLineChars="0"/>
              <w:jc w:val="left"/>
              <w:textAlignment w:val="center"/>
              <w:rPr>
                <w:rFonts w:hint="eastAsia" w:ascii="宋体" w:hAnsi="宋体" w:cs="宋体"/>
                <w:color w:val="auto"/>
                <w:szCs w:val="21"/>
                <w:highlight w:val="none"/>
              </w:rPr>
            </w:pPr>
            <w:r>
              <w:rPr>
                <w:rFonts w:hint="eastAsia" w:ascii="宋体" w:hAnsi="宋体" w:cstheme="minorEastAsia"/>
                <w:color w:val="auto"/>
                <w:kern w:val="0"/>
                <w:szCs w:val="21"/>
                <w:highlight w:val="none"/>
                <w:lang w:bidi="ar"/>
              </w:rPr>
              <w:t>均衡调节：支持PEQ（参量均衡≥10段）、高阶滤波（High-Shelf）、低阶滤波（Low-Shelf）、低通（LP）、高通（HP）等多种均衡类型，满足不同声场环境的调音需求。</w:t>
            </w:r>
          </w:p>
          <w:p w14:paraId="55CFE622">
            <w:pPr>
              <w:pStyle w:val="53"/>
              <w:widowControl/>
              <w:numPr>
                <w:ilvl w:val="0"/>
                <w:numId w:val="282"/>
              </w:numPr>
              <w:ind w:firstLineChars="0"/>
              <w:jc w:val="left"/>
              <w:textAlignment w:val="center"/>
              <w:rPr>
                <w:rFonts w:hint="eastAsia" w:ascii="宋体" w:hAnsi="宋体" w:cs="宋体"/>
                <w:color w:val="auto"/>
                <w:szCs w:val="21"/>
                <w:highlight w:val="none"/>
              </w:rPr>
            </w:pPr>
            <w:r>
              <w:rPr>
                <w:rFonts w:hint="eastAsia" w:ascii="宋体" w:hAnsi="宋体" w:cstheme="minorEastAsia"/>
                <w:color w:val="auto"/>
                <w:kern w:val="0"/>
                <w:szCs w:val="21"/>
                <w:highlight w:val="none"/>
                <w:lang w:bidi="ar"/>
              </w:rPr>
              <w:t>支持中文Web管理界面。</w:t>
            </w:r>
          </w:p>
          <w:p w14:paraId="23BC9CBE">
            <w:pPr>
              <w:pStyle w:val="53"/>
              <w:widowControl/>
              <w:numPr>
                <w:ilvl w:val="0"/>
                <w:numId w:val="282"/>
              </w:numPr>
              <w:ind w:firstLineChars="0"/>
              <w:jc w:val="left"/>
              <w:textAlignment w:val="center"/>
              <w:rPr>
                <w:rFonts w:hint="eastAsia" w:ascii="宋体" w:hAnsi="宋体" w:cs="宋体"/>
                <w:color w:val="auto"/>
                <w:szCs w:val="21"/>
                <w:highlight w:val="none"/>
              </w:rPr>
            </w:pPr>
            <w:r>
              <w:rPr>
                <w:rFonts w:hint="eastAsia" w:ascii="宋体" w:hAnsi="宋体" w:cstheme="minorEastAsia"/>
                <w:color w:val="auto"/>
                <w:kern w:val="0"/>
                <w:szCs w:val="21"/>
                <w:highlight w:val="none"/>
                <w:lang w:bidi="ar"/>
              </w:rPr>
              <w:t>支持RS232串口和网络控制协议，支持对接中控系统实现集中管控。</w:t>
            </w:r>
          </w:p>
          <w:p w14:paraId="15D5D834">
            <w:pPr>
              <w:widowControl/>
              <w:numPr>
                <w:ilvl w:val="0"/>
                <w:numId w:val="282"/>
              </w:numPr>
              <w:jc w:val="left"/>
              <w:textAlignment w:val="center"/>
              <w:rPr>
                <w:rFonts w:hint="eastAsia" w:ascii="宋体" w:hAnsi="宋体"/>
                <w:color w:val="auto"/>
                <w:szCs w:val="21"/>
                <w:highlight w:val="none"/>
              </w:rPr>
            </w:pPr>
            <w:r>
              <w:rPr>
                <w:rFonts w:hint="eastAsia" w:ascii="宋体" w:hAnsi="宋体" w:cstheme="minorEastAsia"/>
                <w:color w:val="auto"/>
                <w:kern w:val="0"/>
                <w:szCs w:val="21"/>
                <w:highlight w:val="none"/>
                <w:lang w:bidi="ar"/>
              </w:rPr>
              <w:t>USB音频接口≥1，支持接U盘录制和播放，方便课堂教学、会议、培训等场景的快速录音需求。</w:t>
            </w:r>
          </w:p>
        </w:tc>
        <w:tc>
          <w:tcPr>
            <w:tcW w:w="863" w:type="dxa"/>
            <w:gridSpan w:val="4"/>
            <w:vAlign w:val="center"/>
          </w:tcPr>
          <w:p w14:paraId="47D3F8B0">
            <w:pPr>
              <w:widowControl/>
              <w:jc w:val="center"/>
              <w:textAlignment w:val="center"/>
              <w:rPr>
                <w:rFonts w:hint="eastAsia" w:ascii="宋体" w:hAnsi="宋体"/>
                <w:color w:val="auto"/>
                <w:szCs w:val="21"/>
                <w:highlight w:val="none"/>
              </w:rPr>
            </w:pPr>
            <w:r>
              <w:rPr>
                <w:rFonts w:hint="eastAsia" w:ascii="宋体" w:hAnsi="宋体"/>
                <w:color w:val="auto"/>
                <w:szCs w:val="21"/>
                <w:highlight w:val="none"/>
              </w:rPr>
              <w:t>套</w:t>
            </w:r>
          </w:p>
        </w:tc>
        <w:tc>
          <w:tcPr>
            <w:tcW w:w="925" w:type="dxa"/>
            <w:gridSpan w:val="3"/>
            <w:vAlign w:val="center"/>
          </w:tcPr>
          <w:p w14:paraId="29F861D0">
            <w:pPr>
              <w:widowControl/>
              <w:jc w:val="center"/>
              <w:textAlignment w:val="center"/>
              <w:rPr>
                <w:rFonts w:hint="eastAsia" w:ascii="宋体" w:hAnsi="宋体"/>
                <w:color w:val="auto"/>
                <w:szCs w:val="21"/>
                <w:highlight w:val="none"/>
              </w:rPr>
            </w:pPr>
            <w:r>
              <w:rPr>
                <w:rFonts w:hint="eastAsia" w:ascii="宋体" w:hAnsi="宋体"/>
                <w:color w:val="auto"/>
                <w:szCs w:val="21"/>
                <w:highlight w:val="none"/>
              </w:rPr>
              <w:t>1</w:t>
            </w:r>
          </w:p>
        </w:tc>
      </w:tr>
      <w:tr w14:paraId="52567D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338231B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10</w:t>
            </w:r>
          </w:p>
        </w:tc>
        <w:tc>
          <w:tcPr>
            <w:tcW w:w="1227" w:type="dxa"/>
            <w:vAlign w:val="center"/>
          </w:tcPr>
          <w:p w14:paraId="24BA57E2">
            <w:pPr>
              <w:widowControl/>
              <w:jc w:val="center"/>
              <w:textAlignment w:val="center"/>
              <w:rPr>
                <w:rFonts w:hint="eastAsia" w:ascii="宋体" w:hAnsi="宋体"/>
                <w:color w:val="auto"/>
                <w:szCs w:val="21"/>
                <w:highlight w:val="none"/>
              </w:rPr>
            </w:pPr>
            <w:r>
              <w:rPr>
                <w:rFonts w:hint="eastAsia" w:ascii="宋体" w:hAnsi="宋体" w:cstheme="minorEastAsia"/>
                <w:color w:val="auto"/>
                <w:kern w:val="0"/>
                <w:szCs w:val="21"/>
                <w:highlight w:val="none"/>
                <w:lang w:bidi="ar"/>
              </w:rPr>
              <w:t>麦克风</w:t>
            </w:r>
          </w:p>
        </w:tc>
        <w:tc>
          <w:tcPr>
            <w:tcW w:w="6167" w:type="dxa"/>
            <w:vAlign w:val="center"/>
          </w:tcPr>
          <w:p w14:paraId="1BCA2C21">
            <w:pPr>
              <w:pStyle w:val="53"/>
              <w:widowControl/>
              <w:numPr>
                <w:ilvl w:val="0"/>
                <w:numId w:val="283"/>
              </w:numPr>
              <w:ind w:firstLineChars="0"/>
              <w:jc w:val="left"/>
              <w:textAlignment w:val="center"/>
              <w:rPr>
                <w:rFonts w:hint="eastAsia" w:ascii="宋体" w:hAnsi="宋体" w:cs="宋体"/>
                <w:color w:val="auto"/>
                <w:szCs w:val="21"/>
                <w:highlight w:val="none"/>
              </w:rPr>
            </w:pPr>
            <w:r>
              <w:rPr>
                <w:rFonts w:hint="eastAsia" w:ascii="宋体" w:hAnsi="宋体" w:cstheme="minorEastAsia"/>
                <w:color w:val="auto"/>
                <w:kern w:val="0"/>
                <w:szCs w:val="21"/>
                <w:highlight w:val="none"/>
                <w:lang w:bidi="ar"/>
              </w:rPr>
              <w:t>≥8路平衡式线路输入，≥8路非平衡式RCA端子输入；</w:t>
            </w:r>
          </w:p>
          <w:p w14:paraId="360BBC37">
            <w:pPr>
              <w:pStyle w:val="53"/>
              <w:widowControl/>
              <w:numPr>
                <w:ilvl w:val="0"/>
                <w:numId w:val="283"/>
              </w:numPr>
              <w:ind w:firstLineChars="0"/>
              <w:jc w:val="left"/>
              <w:textAlignment w:val="center"/>
              <w:rPr>
                <w:rFonts w:hint="eastAsia" w:ascii="宋体" w:hAnsi="宋体" w:cs="宋体"/>
                <w:color w:val="auto"/>
                <w:szCs w:val="21"/>
                <w:highlight w:val="none"/>
              </w:rPr>
            </w:pPr>
            <w:r>
              <w:rPr>
                <w:rFonts w:hint="eastAsia" w:ascii="宋体" w:hAnsi="宋体" w:cstheme="minorEastAsia"/>
                <w:color w:val="auto"/>
                <w:kern w:val="0"/>
                <w:szCs w:val="21"/>
                <w:highlight w:val="none"/>
                <w:lang w:bidi="ar"/>
              </w:rPr>
              <w:t>≥2路平衡式线路输出，≥6路非平衡式RCA端子输出；</w:t>
            </w:r>
          </w:p>
          <w:p w14:paraId="7B4055BB">
            <w:pPr>
              <w:pStyle w:val="53"/>
              <w:widowControl/>
              <w:numPr>
                <w:ilvl w:val="0"/>
                <w:numId w:val="283"/>
              </w:numPr>
              <w:ind w:firstLineChars="0"/>
              <w:jc w:val="left"/>
              <w:textAlignment w:val="center"/>
              <w:rPr>
                <w:rFonts w:hint="eastAsia" w:ascii="宋体" w:hAnsi="宋体" w:cs="宋体"/>
                <w:color w:val="auto"/>
                <w:szCs w:val="21"/>
                <w:highlight w:val="none"/>
              </w:rPr>
            </w:pPr>
            <w:r>
              <w:rPr>
                <w:rFonts w:hint="eastAsia" w:ascii="宋体" w:hAnsi="宋体" w:cstheme="minorEastAsia"/>
                <w:color w:val="auto"/>
                <w:kern w:val="0"/>
                <w:szCs w:val="21"/>
                <w:highlight w:val="none"/>
                <w:lang w:bidi="ar"/>
              </w:rPr>
              <w:t>AFC自适应反馈消除；</w:t>
            </w:r>
          </w:p>
          <w:p w14:paraId="6E25D946">
            <w:pPr>
              <w:pStyle w:val="53"/>
              <w:widowControl/>
              <w:numPr>
                <w:ilvl w:val="0"/>
                <w:numId w:val="283"/>
              </w:numPr>
              <w:ind w:firstLineChars="0"/>
              <w:jc w:val="left"/>
              <w:textAlignment w:val="center"/>
              <w:rPr>
                <w:rFonts w:hint="eastAsia" w:ascii="宋体" w:hAnsi="宋体" w:cs="宋体"/>
                <w:color w:val="auto"/>
                <w:szCs w:val="21"/>
                <w:highlight w:val="none"/>
              </w:rPr>
            </w:pPr>
            <w:r>
              <w:rPr>
                <w:rFonts w:hint="eastAsia" w:ascii="宋体" w:hAnsi="宋体" w:cstheme="minorEastAsia"/>
                <w:color w:val="auto"/>
                <w:kern w:val="0"/>
                <w:szCs w:val="21"/>
                <w:highlight w:val="none"/>
                <w:lang w:bidi="ar"/>
              </w:rPr>
              <w:t>AGC自动增益控制，6dB增量可调；</w:t>
            </w:r>
          </w:p>
          <w:p w14:paraId="3D0D3376">
            <w:pPr>
              <w:pStyle w:val="53"/>
              <w:widowControl/>
              <w:numPr>
                <w:ilvl w:val="0"/>
                <w:numId w:val="283"/>
              </w:numPr>
              <w:ind w:firstLineChars="0"/>
              <w:jc w:val="left"/>
              <w:textAlignment w:val="center"/>
              <w:rPr>
                <w:rFonts w:hint="eastAsia" w:ascii="宋体" w:hAnsi="宋体" w:cs="宋体"/>
                <w:color w:val="auto"/>
                <w:szCs w:val="21"/>
                <w:highlight w:val="none"/>
              </w:rPr>
            </w:pPr>
            <w:r>
              <w:rPr>
                <w:rFonts w:hint="eastAsia" w:ascii="宋体" w:hAnsi="宋体" w:cstheme="minorEastAsia"/>
                <w:color w:val="auto"/>
                <w:kern w:val="0"/>
                <w:szCs w:val="21"/>
                <w:highlight w:val="none"/>
                <w:lang w:bidi="ar"/>
              </w:rPr>
              <w:t>独立的动态自适应噪声消除，多等级可选，噪音最大消除量不小于30dB;</w:t>
            </w:r>
          </w:p>
          <w:p w14:paraId="3E7C1866">
            <w:pPr>
              <w:pStyle w:val="53"/>
              <w:widowControl/>
              <w:numPr>
                <w:ilvl w:val="0"/>
                <w:numId w:val="283"/>
              </w:numPr>
              <w:ind w:firstLineChars="0"/>
              <w:jc w:val="left"/>
              <w:textAlignment w:val="center"/>
              <w:rPr>
                <w:rFonts w:hint="eastAsia" w:ascii="宋体" w:hAnsi="宋体" w:cs="宋体"/>
                <w:color w:val="auto"/>
                <w:szCs w:val="21"/>
                <w:highlight w:val="none"/>
              </w:rPr>
            </w:pPr>
            <w:r>
              <w:rPr>
                <w:rFonts w:hint="eastAsia" w:ascii="宋体" w:hAnsi="宋体" w:cstheme="minorEastAsia"/>
                <w:color w:val="auto"/>
                <w:kern w:val="0"/>
                <w:szCs w:val="21"/>
                <w:highlight w:val="none"/>
                <w:lang w:bidi="ar"/>
              </w:rPr>
              <w:t>采样率48kHz,A/D和D/A、24bit;</w:t>
            </w:r>
          </w:p>
          <w:p w14:paraId="39C0D56D">
            <w:pPr>
              <w:pStyle w:val="53"/>
              <w:widowControl/>
              <w:numPr>
                <w:ilvl w:val="0"/>
                <w:numId w:val="283"/>
              </w:numPr>
              <w:ind w:firstLineChars="0"/>
              <w:jc w:val="left"/>
              <w:textAlignment w:val="center"/>
              <w:rPr>
                <w:rFonts w:hint="eastAsia" w:ascii="宋体" w:hAnsi="宋体" w:cs="宋体"/>
                <w:color w:val="auto"/>
                <w:szCs w:val="21"/>
                <w:highlight w:val="none"/>
              </w:rPr>
            </w:pPr>
            <w:r>
              <w:rPr>
                <w:rFonts w:hint="eastAsia" w:ascii="宋体" w:hAnsi="宋体" w:cstheme="minorEastAsia"/>
                <w:color w:val="auto"/>
                <w:kern w:val="0"/>
                <w:szCs w:val="21"/>
                <w:highlight w:val="none"/>
                <w:lang w:bidi="ar"/>
              </w:rPr>
              <w:t>支持麦克风48V幻象供电；</w:t>
            </w:r>
          </w:p>
          <w:p w14:paraId="35C87E4E">
            <w:pPr>
              <w:pStyle w:val="53"/>
              <w:widowControl/>
              <w:numPr>
                <w:ilvl w:val="0"/>
                <w:numId w:val="283"/>
              </w:numPr>
              <w:ind w:firstLineChars="0"/>
              <w:jc w:val="left"/>
              <w:textAlignment w:val="center"/>
              <w:rPr>
                <w:rFonts w:hint="eastAsia" w:ascii="宋体" w:hAnsi="宋体" w:cs="宋体"/>
                <w:color w:val="auto"/>
                <w:szCs w:val="21"/>
                <w:highlight w:val="none"/>
              </w:rPr>
            </w:pPr>
            <w:r>
              <w:rPr>
                <w:rFonts w:hint="eastAsia" w:ascii="宋体" w:hAnsi="宋体" w:cstheme="minorEastAsia"/>
                <w:color w:val="auto"/>
                <w:kern w:val="0"/>
                <w:szCs w:val="21"/>
                <w:highlight w:val="none"/>
                <w:lang w:bidi="ar"/>
              </w:rPr>
              <w:t>8.立体声输入具有噪声处理功能；</w:t>
            </w:r>
          </w:p>
          <w:p w14:paraId="67A249A7">
            <w:pPr>
              <w:pStyle w:val="53"/>
              <w:widowControl/>
              <w:numPr>
                <w:ilvl w:val="0"/>
                <w:numId w:val="283"/>
              </w:numPr>
              <w:ind w:firstLineChars="0"/>
              <w:jc w:val="left"/>
              <w:textAlignment w:val="center"/>
              <w:rPr>
                <w:rFonts w:hint="eastAsia" w:ascii="宋体" w:hAnsi="宋体" w:cs="宋体"/>
                <w:color w:val="auto"/>
                <w:szCs w:val="21"/>
                <w:highlight w:val="none"/>
              </w:rPr>
            </w:pPr>
            <w:r>
              <w:rPr>
                <w:rFonts w:hint="eastAsia" w:ascii="宋体" w:hAnsi="宋体" w:cstheme="minorEastAsia"/>
                <w:color w:val="auto"/>
                <w:kern w:val="0"/>
                <w:szCs w:val="21"/>
                <w:highlight w:val="none"/>
                <w:lang w:bidi="ar"/>
              </w:rPr>
              <w:t>多功能矩阵混音，可任意分配和混合，调节交叉点电平；</w:t>
            </w:r>
          </w:p>
          <w:p w14:paraId="57F08B45">
            <w:pPr>
              <w:pStyle w:val="53"/>
              <w:widowControl/>
              <w:numPr>
                <w:ilvl w:val="0"/>
                <w:numId w:val="283"/>
              </w:numPr>
              <w:ind w:firstLineChars="0"/>
              <w:jc w:val="left"/>
              <w:textAlignment w:val="center"/>
              <w:rPr>
                <w:rFonts w:hint="eastAsia" w:ascii="宋体" w:hAnsi="宋体" w:cs="宋体"/>
                <w:color w:val="auto"/>
                <w:szCs w:val="21"/>
                <w:highlight w:val="none"/>
              </w:rPr>
            </w:pPr>
            <w:r>
              <w:rPr>
                <w:rFonts w:hint="eastAsia" w:ascii="宋体" w:hAnsi="宋体" w:cstheme="minorEastAsia"/>
                <w:color w:val="auto"/>
                <w:kern w:val="0"/>
                <w:szCs w:val="21"/>
                <w:highlight w:val="none"/>
                <w:lang w:bidi="ar"/>
              </w:rPr>
              <w:t>配置RJ-45网络接口，方便用于PC控制；</w:t>
            </w:r>
          </w:p>
          <w:p w14:paraId="421BBCB8">
            <w:pPr>
              <w:widowControl/>
              <w:numPr>
                <w:ilvl w:val="0"/>
                <w:numId w:val="283"/>
              </w:numPr>
              <w:jc w:val="left"/>
              <w:textAlignment w:val="center"/>
              <w:rPr>
                <w:rFonts w:hint="eastAsia" w:ascii="宋体" w:hAnsi="宋体"/>
                <w:color w:val="auto"/>
                <w:szCs w:val="21"/>
                <w:highlight w:val="none"/>
              </w:rPr>
            </w:pPr>
            <w:r>
              <w:rPr>
                <w:rFonts w:hint="eastAsia" w:ascii="宋体" w:hAnsi="宋体" w:cstheme="minorEastAsia"/>
                <w:color w:val="auto"/>
                <w:kern w:val="0"/>
                <w:szCs w:val="21"/>
                <w:highlight w:val="none"/>
                <w:lang w:bidi="ar"/>
              </w:rPr>
              <w:t>提供用于第三控制的RS-232串行控制接口；</w:t>
            </w:r>
            <w:r>
              <w:rPr>
                <w:rFonts w:hint="eastAsia" w:ascii="宋体" w:hAnsi="宋体"/>
                <w:color w:val="auto"/>
                <w:szCs w:val="21"/>
                <w:highlight w:val="none"/>
              </w:rPr>
              <w:t xml:space="preserve"> </w:t>
            </w:r>
          </w:p>
        </w:tc>
        <w:tc>
          <w:tcPr>
            <w:tcW w:w="863" w:type="dxa"/>
            <w:gridSpan w:val="4"/>
            <w:vAlign w:val="center"/>
          </w:tcPr>
          <w:p w14:paraId="3D23B2D7">
            <w:pPr>
              <w:widowControl/>
              <w:jc w:val="center"/>
              <w:textAlignment w:val="center"/>
              <w:rPr>
                <w:rFonts w:hint="eastAsia" w:ascii="宋体" w:hAnsi="宋体"/>
                <w:color w:val="auto"/>
                <w:szCs w:val="21"/>
                <w:highlight w:val="none"/>
              </w:rPr>
            </w:pPr>
            <w:r>
              <w:rPr>
                <w:rFonts w:hint="eastAsia" w:ascii="宋体" w:hAnsi="宋体"/>
                <w:color w:val="auto"/>
                <w:szCs w:val="21"/>
                <w:highlight w:val="none"/>
              </w:rPr>
              <w:t>套</w:t>
            </w:r>
          </w:p>
        </w:tc>
        <w:tc>
          <w:tcPr>
            <w:tcW w:w="925" w:type="dxa"/>
            <w:gridSpan w:val="3"/>
            <w:vAlign w:val="center"/>
          </w:tcPr>
          <w:p w14:paraId="1D90AD56">
            <w:pPr>
              <w:widowControl/>
              <w:jc w:val="center"/>
              <w:textAlignment w:val="center"/>
              <w:rPr>
                <w:rFonts w:hint="eastAsia" w:ascii="宋体" w:hAnsi="宋体"/>
                <w:color w:val="auto"/>
                <w:szCs w:val="21"/>
                <w:highlight w:val="none"/>
              </w:rPr>
            </w:pPr>
            <w:r>
              <w:rPr>
                <w:rFonts w:hint="eastAsia" w:ascii="宋体" w:hAnsi="宋体"/>
                <w:color w:val="auto"/>
                <w:szCs w:val="21"/>
                <w:highlight w:val="none"/>
              </w:rPr>
              <w:t>6</w:t>
            </w:r>
          </w:p>
        </w:tc>
      </w:tr>
      <w:tr w14:paraId="16AD56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5B251F33">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11</w:t>
            </w:r>
          </w:p>
        </w:tc>
        <w:tc>
          <w:tcPr>
            <w:tcW w:w="1227" w:type="dxa"/>
            <w:vAlign w:val="center"/>
          </w:tcPr>
          <w:p w14:paraId="3A2ADFCA">
            <w:pPr>
              <w:widowControl/>
              <w:jc w:val="center"/>
              <w:textAlignment w:val="center"/>
              <w:rPr>
                <w:rFonts w:hint="eastAsia" w:ascii="宋体" w:hAnsi="宋体"/>
                <w:color w:val="auto"/>
                <w:szCs w:val="21"/>
                <w:highlight w:val="none"/>
              </w:rPr>
            </w:pPr>
            <w:r>
              <w:rPr>
                <w:rFonts w:hint="eastAsia" w:ascii="宋体" w:hAnsi="宋体" w:cstheme="minorEastAsia"/>
                <w:color w:val="auto"/>
                <w:kern w:val="0"/>
                <w:szCs w:val="21"/>
                <w:highlight w:val="none"/>
                <w:lang w:bidi="ar"/>
              </w:rPr>
              <w:t>导播切换台</w:t>
            </w:r>
          </w:p>
        </w:tc>
        <w:tc>
          <w:tcPr>
            <w:tcW w:w="6167" w:type="dxa"/>
            <w:vAlign w:val="center"/>
          </w:tcPr>
          <w:p w14:paraId="19D81051">
            <w:pPr>
              <w:pStyle w:val="53"/>
              <w:widowControl/>
              <w:numPr>
                <w:ilvl w:val="3"/>
                <w:numId w:val="284"/>
              </w:numPr>
              <w:ind w:firstLineChars="0"/>
              <w:jc w:val="left"/>
              <w:textAlignment w:val="center"/>
              <w:rPr>
                <w:rFonts w:hint="eastAsia" w:ascii="宋体" w:hAnsi="宋体" w:cstheme="minorEastAsia"/>
                <w:color w:val="auto"/>
                <w:kern w:val="0"/>
                <w:szCs w:val="21"/>
                <w:highlight w:val="none"/>
                <w:lang w:bidi="ar"/>
              </w:rPr>
            </w:pPr>
            <w:r>
              <w:rPr>
                <w:rFonts w:hint="eastAsia" w:ascii="宋体" w:hAnsi="宋体" w:cstheme="minorEastAsia"/>
                <w:color w:val="auto"/>
                <w:kern w:val="0"/>
                <w:szCs w:val="21"/>
                <w:highlight w:val="none"/>
                <w:lang w:bidi="ar"/>
              </w:rPr>
              <w:t>导播台应采用具有不少于40个全彩按键，每个按键有独立的RGB全彩背光灯；</w:t>
            </w:r>
          </w:p>
          <w:p w14:paraId="10F6B54A">
            <w:pPr>
              <w:pStyle w:val="53"/>
              <w:widowControl/>
              <w:numPr>
                <w:ilvl w:val="3"/>
                <w:numId w:val="284"/>
              </w:numPr>
              <w:ind w:firstLineChars="0"/>
              <w:jc w:val="left"/>
              <w:textAlignment w:val="center"/>
              <w:rPr>
                <w:rFonts w:hint="eastAsia" w:ascii="宋体" w:hAnsi="宋体" w:cstheme="minorEastAsia"/>
                <w:color w:val="auto"/>
                <w:kern w:val="0"/>
                <w:szCs w:val="21"/>
                <w:highlight w:val="none"/>
                <w:lang w:bidi="ar"/>
              </w:rPr>
            </w:pPr>
            <w:r>
              <w:rPr>
                <w:rFonts w:hint="eastAsia" w:ascii="宋体" w:hAnsi="宋体" w:cstheme="minorEastAsia"/>
                <w:color w:val="auto"/>
                <w:kern w:val="0"/>
                <w:szCs w:val="21"/>
                <w:highlight w:val="none"/>
                <w:lang w:bidi="ar"/>
              </w:rPr>
              <w:t>导播台操纵杆采用四维霍尔摇杆；</w:t>
            </w:r>
          </w:p>
          <w:p w14:paraId="6395A4C2">
            <w:pPr>
              <w:pStyle w:val="53"/>
              <w:widowControl/>
              <w:numPr>
                <w:ilvl w:val="3"/>
                <w:numId w:val="284"/>
              </w:numPr>
              <w:ind w:firstLineChars="0"/>
              <w:jc w:val="left"/>
              <w:textAlignment w:val="center"/>
              <w:rPr>
                <w:rFonts w:hint="eastAsia" w:ascii="宋体" w:hAnsi="宋体" w:cstheme="minorEastAsia"/>
                <w:color w:val="auto"/>
                <w:kern w:val="0"/>
                <w:szCs w:val="21"/>
                <w:highlight w:val="none"/>
                <w:lang w:bidi="ar"/>
              </w:rPr>
            </w:pPr>
            <w:r>
              <w:rPr>
                <w:rFonts w:hint="eastAsia" w:ascii="宋体" w:hAnsi="宋体" w:cstheme="minorEastAsia"/>
                <w:color w:val="auto"/>
                <w:kern w:val="0"/>
                <w:szCs w:val="21"/>
                <w:highlight w:val="none"/>
                <w:lang w:bidi="ar"/>
              </w:rPr>
              <w:t>控制接口应至少支持标准RS-232 DB9 串行接口，RS-422，USB；</w:t>
            </w:r>
          </w:p>
          <w:p w14:paraId="7EDE8E40">
            <w:pPr>
              <w:pStyle w:val="53"/>
              <w:widowControl/>
              <w:numPr>
                <w:ilvl w:val="3"/>
                <w:numId w:val="284"/>
              </w:numPr>
              <w:ind w:firstLineChars="0"/>
              <w:jc w:val="left"/>
              <w:textAlignment w:val="center"/>
              <w:rPr>
                <w:rFonts w:hint="eastAsia" w:ascii="宋体" w:hAnsi="宋体" w:cstheme="minorEastAsia"/>
                <w:color w:val="auto"/>
                <w:kern w:val="0"/>
                <w:szCs w:val="21"/>
                <w:highlight w:val="none"/>
                <w:lang w:bidi="ar"/>
              </w:rPr>
            </w:pPr>
            <w:r>
              <w:rPr>
                <w:rFonts w:hint="eastAsia" w:ascii="宋体" w:hAnsi="宋体" w:cstheme="minorEastAsia"/>
                <w:color w:val="auto"/>
                <w:kern w:val="0"/>
                <w:szCs w:val="21"/>
                <w:highlight w:val="none"/>
                <w:lang w:bidi="ar"/>
              </w:rPr>
              <w:t>支持双BUS按键切换，最大支持≥7个通道；</w:t>
            </w:r>
          </w:p>
          <w:p w14:paraId="3B041D0B">
            <w:pPr>
              <w:pStyle w:val="53"/>
              <w:widowControl/>
              <w:numPr>
                <w:ilvl w:val="3"/>
                <w:numId w:val="284"/>
              </w:numPr>
              <w:ind w:firstLineChars="0"/>
              <w:jc w:val="left"/>
              <w:textAlignment w:val="center"/>
              <w:rPr>
                <w:rFonts w:hint="eastAsia" w:ascii="宋体" w:hAnsi="宋体" w:cstheme="minorEastAsia"/>
                <w:color w:val="auto"/>
                <w:kern w:val="0"/>
                <w:szCs w:val="21"/>
                <w:highlight w:val="none"/>
                <w:lang w:bidi="ar"/>
              </w:rPr>
            </w:pPr>
            <w:r>
              <w:rPr>
                <w:rFonts w:hint="eastAsia" w:ascii="宋体" w:hAnsi="宋体" w:cstheme="minorEastAsia"/>
                <w:color w:val="auto"/>
                <w:kern w:val="0"/>
                <w:szCs w:val="21"/>
                <w:highlight w:val="none"/>
                <w:lang w:bidi="ar"/>
              </w:rPr>
              <w:t>支持控制摄像机通道按键切换，最大支持≥7通道；</w:t>
            </w:r>
          </w:p>
          <w:p w14:paraId="27DB0923">
            <w:pPr>
              <w:pStyle w:val="53"/>
              <w:widowControl/>
              <w:numPr>
                <w:ilvl w:val="3"/>
                <w:numId w:val="284"/>
              </w:numPr>
              <w:ind w:firstLineChars="0"/>
              <w:jc w:val="left"/>
              <w:textAlignment w:val="center"/>
              <w:rPr>
                <w:rFonts w:hint="eastAsia" w:ascii="宋体" w:hAnsi="宋体" w:cstheme="minorEastAsia"/>
                <w:color w:val="auto"/>
                <w:kern w:val="0"/>
                <w:szCs w:val="21"/>
                <w:highlight w:val="none"/>
                <w:lang w:bidi="ar"/>
              </w:rPr>
            </w:pPr>
            <w:r>
              <w:rPr>
                <w:rFonts w:hint="eastAsia" w:ascii="宋体" w:hAnsi="宋体" w:cstheme="minorEastAsia"/>
                <w:color w:val="auto"/>
                <w:kern w:val="0"/>
                <w:szCs w:val="21"/>
                <w:highlight w:val="none"/>
                <w:lang w:bidi="ar"/>
              </w:rPr>
              <w:t>支持≥8个摄像机预置位的调用和设置；</w:t>
            </w:r>
          </w:p>
          <w:p w14:paraId="18FA4AE6">
            <w:pPr>
              <w:pStyle w:val="53"/>
              <w:widowControl/>
              <w:numPr>
                <w:ilvl w:val="3"/>
                <w:numId w:val="284"/>
              </w:numPr>
              <w:ind w:firstLineChars="0"/>
              <w:jc w:val="left"/>
              <w:textAlignment w:val="center"/>
              <w:rPr>
                <w:rFonts w:hint="eastAsia" w:ascii="宋体" w:hAnsi="宋体" w:cstheme="minorEastAsia"/>
                <w:color w:val="auto"/>
                <w:kern w:val="0"/>
                <w:szCs w:val="21"/>
                <w:highlight w:val="none"/>
                <w:lang w:bidi="ar"/>
              </w:rPr>
            </w:pPr>
            <w:r>
              <w:rPr>
                <w:rFonts w:hint="eastAsia" w:ascii="宋体" w:hAnsi="宋体" w:cstheme="minorEastAsia"/>
                <w:color w:val="auto"/>
                <w:kern w:val="0"/>
                <w:szCs w:val="21"/>
                <w:highlight w:val="none"/>
                <w:lang w:bidi="ar"/>
              </w:rPr>
              <w:t>支持常用≥10种导播画面布局和特效设置；</w:t>
            </w:r>
          </w:p>
          <w:p w14:paraId="55182275">
            <w:pPr>
              <w:pStyle w:val="53"/>
              <w:widowControl/>
              <w:numPr>
                <w:ilvl w:val="3"/>
                <w:numId w:val="284"/>
              </w:numPr>
              <w:ind w:firstLineChars="0"/>
              <w:jc w:val="left"/>
              <w:textAlignment w:val="center"/>
              <w:rPr>
                <w:rFonts w:hint="eastAsia" w:ascii="宋体" w:hAnsi="宋体" w:cstheme="minorEastAsia"/>
                <w:color w:val="auto"/>
                <w:kern w:val="0"/>
                <w:szCs w:val="21"/>
                <w:highlight w:val="none"/>
                <w:lang w:bidi="ar"/>
              </w:rPr>
            </w:pPr>
            <w:r>
              <w:rPr>
                <w:rFonts w:hint="eastAsia" w:ascii="宋体" w:hAnsi="宋体" w:cstheme="minorEastAsia"/>
                <w:color w:val="auto"/>
                <w:kern w:val="0"/>
                <w:szCs w:val="21"/>
                <w:highlight w:val="none"/>
                <w:lang w:bidi="ar"/>
              </w:rPr>
              <w:t>支持常用的录播控制包括录制、直播、导播控制等；</w:t>
            </w:r>
          </w:p>
        </w:tc>
        <w:tc>
          <w:tcPr>
            <w:tcW w:w="863" w:type="dxa"/>
            <w:gridSpan w:val="4"/>
            <w:vAlign w:val="center"/>
          </w:tcPr>
          <w:p w14:paraId="19EED898">
            <w:pPr>
              <w:widowControl/>
              <w:jc w:val="center"/>
              <w:textAlignment w:val="center"/>
              <w:rPr>
                <w:rFonts w:hint="eastAsia" w:ascii="宋体" w:hAnsi="宋体"/>
                <w:color w:val="auto"/>
                <w:szCs w:val="21"/>
                <w:highlight w:val="none"/>
              </w:rPr>
            </w:pPr>
            <w:r>
              <w:rPr>
                <w:rFonts w:hint="eastAsia" w:ascii="宋体" w:hAnsi="宋体"/>
                <w:color w:val="auto"/>
                <w:szCs w:val="21"/>
                <w:highlight w:val="none"/>
              </w:rPr>
              <w:t>套</w:t>
            </w:r>
          </w:p>
        </w:tc>
        <w:tc>
          <w:tcPr>
            <w:tcW w:w="925" w:type="dxa"/>
            <w:gridSpan w:val="3"/>
            <w:vAlign w:val="center"/>
          </w:tcPr>
          <w:p w14:paraId="7AF7FCE2">
            <w:pPr>
              <w:widowControl/>
              <w:jc w:val="center"/>
              <w:textAlignment w:val="center"/>
              <w:rPr>
                <w:rFonts w:hint="eastAsia" w:ascii="宋体" w:hAnsi="宋体"/>
                <w:color w:val="auto"/>
                <w:szCs w:val="21"/>
                <w:highlight w:val="none"/>
              </w:rPr>
            </w:pPr>
            <w:r>
              <w:rPr>
                <w:rFonts w:hint="eastAsia" w:ascii="宋体" w:hAnsi="宋体"/>
                <w:color w:val="auto"/>
                <w:szCs w:val="21"/>
                <w:highlight w:val="none"/>
              </w:rPr>
              <w:t>1</w:t>
            </w:r>
          </w:p>
        </w:tc>
      </w:tr>
      <w:tr w14:paraId="3B6B9C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12E5C5EA">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12</w:t>
            </w:r>
          </w:p>
        </w:tc>
        <w:tc>
          <w:tcPr>
            <w:tcW w:w="1227" w:type="dxa"/>
            <w:vAlign w:val="center"/>
          </w:tcPr>
          <w:p w14:paraId="13E66466">
            <w:pPr>
              <w:widowControl/>
              <w:jc w:val="center"/>
              <w:textAlignment w:val="center"/>
              <w:rPr>
                <w:rFonts w:hint="eastAsia" w:ascii="宋体" w:hAnsi="宋体"/>
                <w:color w:val="auto"/>
                <w:szCs w:val="21"/>
                <w:highlight w:val="none"/>
              </w:rPr>
            </w:pPr>
            <w:r>
              <w:rPr>
                <w:rFonts w:hint="eastAsia" w:ascii="宋体" w:hAnsi="宋体" w:cstheme="minorEastAsia"/>
                <w:color w:val="auto"/>
                <w:kern w:val="0"/>
                <w:szCs w:val="21"/>
                <w:highlight w:val="none"/>
                <w:lang w:bidi="ar"/>
              </w:rPr>
              <w:t>中控控制面板</w:t>
            </w:r>
          </w:p>
        </w:tc>
        <w:tc>
          <w:tcPr>
            <w:tcW w:w="6167" w:type="dxa"/>
            <w:vAlign w:val="center"/>
          </w:tcPr>
          <w:p w14:paraId="08A64DFD">
            <w:pPr>
              <w:pStyle w:val="53"/>
              <w:widowControl/>
              <w:numPr>
                <w:ilvl w:val="3"/>
                <w:numId w:val="285"/>
              </w:numPr>
              <w:ind w:firstLineChars="0"/>
              <w:jc w:val="left"/>
              <w:textAlignment w:val="top"/>
              <w:rPr>
                <w:rFonts w:hint="eastAsia" w:ascii="宋体" w:hAnsi="宋体" w:cstheme="minorEastAsia"/>
                <w:color w:val="auto"/>
                <w:kern w:val="0"/>
                <w:szCs w:val="21"/>
                <w:highlight w:val="none"/>
                <w:lang w:bidi="ar"/>
              </w:rPr>
            </w:pPr>
            <w:r>
              <w:rPr>
                <w:rFonts w:hint="eastAsia" w:ascii="宋体" w:hAnsi="宋体" w:cstheme="minorEastAsia"/>
                <w:color w:val="auto"/>
                <w:kern w:val="0"/>
                <w:szCs w:val="21"/>
                <w:highlight w:val="none"/>
                <w:lang w:bidi="ar"/>
              </w:rPr>
              <w:t>要求采用电容式触摸屏，屏幕尺寸不小于7英寸，分辨率不小于900*600，支持嵌入式安装于讲台上；</w:t>
            </w:r>
          </w:p>
          <w:p w14:paraId="6F0A8779">
            <w:pPr>
              <w:pStyle w:val="53"/>
              <w:widowControl/>
              <w:numPr>
                <w:ilvl w:val="3"/>
                <w:numId w:val="285"/>
              </w:numPr>
              <w:ind w:firstLineChars="0"/>
              <w:jc w:val="left"/>
              <w:textAlignment w:val="top"/>
              <w:rPr>
                <w:rFonts w:hint="eastAsia" w:ascii="宋体" w:hAnsi="宋体" w:cstheme="minorEastAsia"/>
                <w:color w:val="auto"/>
                <w:kern w:val="0"/>
                <w:szCs w:val="21"/>
                <w:highlight w:val="none"/>
                <w:lang w:bidi="ar"/>
              </w:rPr>
            </w:pPr>
            <w:r>
              <w:rPr>
                <w:rFonts w:hint="eastAsia" w:ascii="宋体" w:hAnsi="宋体" w:cstheme="minorEastAsia"/>
                <w:color w:val="auto"/>
                <w:kern w:val="0"/>
                <w:szCs w:val="21"/>
                <w:highlight w:val="none"/>
                <w:lang w:bidi="ar"/>
              </w:rPr>
              <w:t>支持一键录制、暂停、停止；</w:t>
            </w:r>
          </w:p>
          <w:p w14:paraId="01FC1F60">
            <w:pPr>
              <w:pStyle w:val="53"/>
              <w:widowControl/>
              <w:numPr>
                <w:ilvl w:val="3"/>
                <w:numId w:val="285"/>
              </w:numPr>
              <w:ind w:firstLineChars="0"/>
              <w:jc w:val="left"/>
              <w:textAlignment w:val="top"/>
              <w:rPr>
                <w:rFonts w:hint="eastAsia" w:ascii="宋体" w:hAnsi="宋体" w:cstheme="minorEastAsia"/>
                <w:color w:val="auto"/>
                <w:kern w:val="0"/>
                <w:szCs w:val="21"/>
                <w:highlight w:val="none"/>
                <w:lang w:bidi="ar"/>
              </w:rPr>
            </w:pPr>
            <w:r>
              <w:rPr>
                <w:rFonts w:hint="eastAsia" w:ascii="宋体" w:hAnsi="宋体" w:cstheme="minorEastAsia"/>
                <w:color w:val="auto"/>
                <w:kern w:val="0"/>
                <w:szCs w:val="21"/>
                <w:highlight w:val="none"/>
                <w:lang w:bidi="ar"/>
              </w:rPr>
              <w:t>支持自动、手动跟踪模式切换，支持直接将视频信号切换到导播画面；</w:t>
            </w:r>
          </w:p>
          <w:p w14:paraId="404C6770">
            <w:pPr>
              <w:pStyle w:val="53"/>
              <w:widowControl/>
              <w:numPr>
                <w:ilvl w:val="3"/>
                <w:numId w:val="285"/>
              </w:numPr>
              <w:ind w:firstLineChars="0"/>
              <w:jc w:val="left"/>
              <w:textAlignment w:val="top"/>
              <w:rPr>
                <w:rFonts w:hint="eastAsia" w:ascii="宋体" w:hAnsi="宋体" w:cstheme="minorEastAsia"/>
                <w:color w:val="auto"/>
                <w:kern w:val="0"/>
                <w:szCs w:val="21"/>
                <w:highlight w:val="none"/>
                <w:lang w:bidi="ar"/>
              </w:rPr>
            </w:pPr>
            <w:r>
              <w:rPr>
                <w:rFonts w:hint="eastAsia" w:ascii="宋体" w:hAnsi="宋体" w:cstheme="minorEastAsia"/>
                <w:color w:val="auto"/>
                <w:kern w:val="0"/>
                <w:szCs w:val="21"/>
                <w:highlight w:val="none"/>
                <w:lang w:bidi="ar"/>
              </w:rPr>
              <w:t>支持对画面进行控制，实现画中画模式切换和其它多种布局特效；</w:t>
            </w:r>
          </w:p>
          <w:p w14:paraId="4E290B0E">
            <w:pPr>
              <w:pStyle w:val="53"/>
              <w:widowControl/>
              <w:numPr>
                <w:ilvl w:val="3"/>
                <w:numId w:val="285"/>
              </w:numPr>
              <w:ind w:firstLineChars="0"/>
              <w:jc w:val="left"/>
              <w:textAlignment w:val="top"/>
              <w:rPr>
                <w:rFonts w:hint="eastAsia" w:ascii="宋体" w:hAnsi="宋体" w:cstheme="minorEastAsia"/>
                <w:color w:val="auto"/>
                <w:kern w:val="0"/>
                <w:szCs w:val="21"/>
                <w:highlight w:val="none"/>
                <w:lang w:bidi="ar"/>
              </w:rPr>
            </w:pPr>
            <w:r>
              <w:rPr>
                <w:rFonts w:hint="eastAsia" w:ascii="宋体" w:hAnsi="宋体" w:cstheme="minorEastAsia"/>
                <w:color w:val="auto"/>
                <w:kern w:val="0"/>
                <w:szCs w:val="21"/>
                <w:highlight w:val="none"/>
                <w:lang w:bidi="ar"/>
              </w:rPr>
              <w:t>支持对面板亮度、休眠时间进行设置。</w:t>
            </w:r>
          </w:p>
        </w:tc>
        <w:tc>
          <w:tcPr>
            <w:tcW w:w="863" w:type="dxa"/>
            <w:gridSpan w:val="4"/>
            <w:vAlign w:val="center"/>
          </w:tcPr>
          <w:p w14:paraId="179A00FD">
            <w:pPr>
              <w:widowControl/>
              <w:jc w:val="center"/>
              <w:textAlignment w:val="center"/>
              <w:rPr>
                <w:rFonts w:hint="eastAsia" w:ascii="宋体" w:hAnsi="宋体"/>
                <w:color w:val="auto"/>
                <w:szCs w:val="21"/>
                <w:highlight w:val="none"/>
              </w:rPr>
            </w:pPr>
            <w:r>
              <w:rPr>
                <w:rFonts w:hint="eastAsia" w:ascii="宋体" w:hAnsi="宋体"/>
                <w:color w:val="auto"/>
                <w:szCs w:val="21"/>
                <w:highlight w:val="none"/>
              </w:rPr>
              <w:t>套</w:t>
            </w:r>
          </w:p>
        </w:tc>
        <w:tc>
          <w:tcPr>
            <w:tcW w:w="925" w:type="dxa"/>
            <w:gridSpan w:val="3"/>
            <w:vAlign w:val="center"/>
          </w:tcPr>
          <w:p w14:paraId="0A24A8C7">
            <w:pPr>
              <w:widowControl/>
              <w:jc w:val="center"/>
              <w:textAlignment w:val="center"/>
              <w:rPr>
                <w:rFonts w:hint="eastAsia" w:ascii="宋体" w:hAnsi="宋体"/>
                <w:color w:val="auto"/>
                <w:szCs w:val="21"/>
                <w:highlight w:val="none"/>
              </w:rPr>
            </w:pPr>
            <w:r>
              <w:rPr>
                <w:rFonts w:hint="eastAsia" w:ascii="宋体" w:hAnsi="宋体"/>
                <w:color w:val="auto"/>
                <w:szCs w:val="21"/>
                <w:highlight w:val="none"/>
              </w:rPr>
              <w:t>1</w:t>
            </w:r>
          </w:p>
        </w:tc>
      </w:tr>
      <w:tr w14:paraId="586B88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2A7215FD">
            <w:pPr>
              <w:widowControl/>
              <w:jc w:val="center"/>
              <w:textAlignment w:val="center"/>
              <w:rPr>
                <w:rFonts w:hint="eastAsia" w:ascii="宋体" w:hAnsi="宋体"/>
                <w:color w:val="auto"/>
                <w:szCs w:val="21"/>
                <w:highlight w:val="none"/>
              </w:rPr>
            </w:pPr>
            <w:r>
              <w:rPr>
                <w:rFonts w:hint="eastAsia" w:ascii="宋体" w:hAnsi="宋体" w:cstheme="minorEastAsia"/>
                <w:color w:val="auto"/>
                <w:kern w:val="0"/>
                <w:szCs w:val="21"/>
                <w:highlight w:val="none"/>
                <w:lang w:bidi="ar"/>
              </w:rPr>
              <w:t>13</w:t>
            </w:r>
          </w:p>
        </w:tc>
        <w:tc>
          <w:tcPr>
            <w:tcW w:w="1227" w:type="dxa"/>
            <w:vAlign w:val="center"/>
          </w:tcPr>
          <w:p w14:paraId="75C2455A">
            <w:pPr>
              <w:widowControl/>
              <w:jc w:val="center"/>
              <w:textAlignment w:val="center"/>
              <w:rPr>
                <w:rFonts w:hint="eastAsia" w:ascii="宋体" w:hAnsi="宋体"/>
                <w:color w:val="auto"/>
                <w:szCs w:val="21"/>
                <w:highlight w:val="none"/>
              </w:rPr>
            </w:pPr>
            <w:r>
              <w:rPr>
                <w:rFonts w:hint="eastAsia" w:ascii="宋体" w:hAnsi="宋体" w:cstheme="minorEastAsia"/>
                <w:color w:val="auto"/>
                <w:kern w:val="0"/>
                <w:szCs w:val="21"/>
                <w:highlight w:val="none"/>
                <w:lang w:bidi="ar"/>
              </w:rPr>
              <w:t>多媒体教学音箱</w:t>
            </w:r>
          </w:p>
        </w:tc>
        <w:tc>
          <w:tcPr>
            <w:tcW w:w="6167" w:type="dxa"/>
            <w:vAlign w:val="center"/>
          </w:tcPr>
          <w:p w14:paraId="38EB819C">
            <w:pPr>
              <w:pStyle w:val="53"/>
              <w:widowControl/>
              <w:numPr>
                <w:ilvl w:val="0"/>
                <w:numId w:val="286"/>
              </w:numPr>
              <w:ind w:firstLineChars="0"/>
              <w:jc w:val="left"/>
              <w:textAlignment w:val="top"/>
              <w:rPr>
                <w:rFonts w:hint="eastAsia" w:ascii="宋体" w:hAnsi="宋体" w:cs="宋体"/>
                <w:color w:val="auto"/>
                <w:szCs w:val="21"/>
                <w:highlight w:val="none"/>
              </w:rPr>
            </w:pPr>
            <w:r>
              <w:rPr>
                <w:rFonts w:hint="eastAsia" w:ascii="宋体" w:hAnsi="宋体" w:cstheme="minorEastAsia"/>
                <w:color w:val="auto"/>
                <w:kern w:val="0"/>
                <w:szCs w:val="21"/>
                <w:highlight w:val="none"/>
                <w:lang w:bidi="ar"/>
              </w:rPr>
              <w:t>主副箱采用高密度木质箱体，铁板冲孔面网（孔径≤3mm，透声率≥85%）；</w:t>
            </w:r>
          </w:p>
          <w:p w14:paraId="3DD81783">
            <w:pPr>
              <w:pStyle w:val="53"/>
              <w:widowControl/>
              <w:numPr>
                <w:ilvl w:val="0"/>
                <w:numId w:val="286"/>
              </w:numPr>
              <w:ind w:firstLineChars="0"/>
              <w:jc w:val="left"/>
              <w:textAlignment w:val="top"/>
              <w:rPr>
                <w:rFonts w:hint="eastAsia" w:ascii="宋体" w:hAnsi="宋体" w:cs="宋体"/>
                <w:color w:val="auto"/>
                <w:szCs w:val="21"/>
                <w:highlight w:val="none"/>
              </w:rPr>
            </w:pPr>
            <w:r>
              <w:rPr>
                <w:rFonts w:hint="eastAsia" w:ascii="宋体" w:hAnsi="宋体" w:cstheme="minorEastAsia"/>
                <w:color w:val="auto"/>
                <w:kern w:val="0"/>
                <w:szCs w:val="21"/>
                <w:highlight w:val="none"/>
                <w:lang w:bidi="ar"/>
              </w:rPr>
              <w:t>低音单元：≥5.5 英寸低音扬声器1个，高音单元：≥3 英寸纸盆全频高音单元1个；</w:t>
            </w:r>
          </w:p>
          <w:p w14:paraId="260ACE43">
            <w:pPr>
              <w:pStyle w:val="53"/>
              <w:widowControl/>
              <w:numPr>
                <w:ilvl w:val="0"/>
                <w:numId w:val="286"/>
              </w:numPr>
              <w:ind w:firstLineChars="0"/>
              <w:jc w:val="left"/>
              <w:textAlignment w:val="top"/>
              <w:rPr>
                <w:rFonts w:hint="eastAsia" w:ascii="宋体" w:hAnsi="宋体" w:cs="宋体"/>
                <w:color w:val="auto"/>
                <w:szCs w:val="21"/>
                <w:highlight w:val="none"/>
              </w:rPr>
            </w:pPr>
            <w:r>
              <w:rPr>
                <w:rFonts w:hint="eastAsia" w:ascii="宋体" w:hAnsi="宋体" w:cstheme="minorEastAsia"/>
                <w:color w:val="auto"/>
                <w:kern w:val="0"/>
                <w:szCs w:val="21"/>
                <w:highlight w:val="none"/>
                <w:lang w:bidi="ar"/>
              </w:rPr>
              <w:t>宽电压适配：支持 110V-230V~50/60Hz 全球通用电压，内置 EMI 滤波模块，适应复杂电网环境；</w:t>
            </w:r>
          </w:p>
          <w:p w14:paraId="0797B9BC">
            <w:pPr>
              <w:pStyle w:val="53"/>
              <w:widowControl/>
              <w:numPr>
                <w:ilvl w:val="0"/>
                <w:numId w:val="286"/>
              </w:numPr>
              <w:ind w:firstLineChars="0"/>
              <w:jc w:val="left"/>
              <w:textAlignment w:val="top"/>
              <w:rPr>
                <w:rFonts w:hint="eastAsia" w:ascii="宋体" w:hAnsi="宋体" w:cs="宋体"/>
                <w:color w:val="auto"/>
                <w:szCs w:val="21"/>
                <w:highlight w:val="none"/>
              </w:rPr>
            </w:pPr>
            <w:r>
              <w:rPr>
                <w:rFonts w:hint="eastAsia" w:ascii="宋体" w:hAnsi="宋体" w:cstheme="minorEastAsia"/>
                <w:color w:val="auto"/>
                <w:kern w:val="0"/>
                <w:szCs w:val="21"/>
                <w:highlight w:val="none"/>
                <w:lang w:bidi="ar"/>
              </w:rPr>
              <w:t>数字功放2×50W（8Ω，THD+N≤0.1%），低温低噪稳定运行，具有欠压及过载保护控制功能；</w:t>
            </w:r>
          </w:p>
          <w:p w14:paraId="62BD0928">
            <w:pPr>
              <w:pStyle w:val="53"/>
              <w:widowControl/>
              <w:numPr>
                <w:ilvl w:val="0"/>
                <w:numId w:val="286"/>
              </w:numPr>
              <w:ind w:firstLineChars="0"/>
              <w:jc w:val="left"/>
              <w:textAlignment w:val="top"/>
              <w:rPr>
                <w:rFonts w:hint="eastAsia" w:ascii="宋体" w:hAnsi="宋体" w:cs="宋体"/>
                <w:color w:val="auto"/>
                <w:szCs w:val="21"/>
                <w:highlight w:val="none"/>
              </w:rPr>
            </w:pPr>
            <w:r>
              <w:rPr>
                <w:rFonts w:hint="eastAsia" w:ascii="宋体" w:hAnsi="宋体" w:cstheme="minorEastAsia"/>
                <w:color w:val="auto"/>
                <w:kern w:val="0"/>
                <w:szCs w:val="21"/>
                <w:highlight w:val="none"/>
                <w:lang w:bidi="ar"/>
              </w:rPr>
              <w:t>两路立体声 RCA 线路输入（阻抗 10kΩ，增益范围0-12dB），独立音量调节（旋钮式 ±10dB）；</w:t>
            </w:r>
          </w:p>
          <w:p w14:paraId="091535A7">
            <w:pPr>
              <w:pStyle w:val="53"/>
              <w:widowControl/>
              <w:numPr>
                <w:ilvl w:val="0"/>
                <w:numId w:val="286"/>
              </w:numPr>
              <w:ind w:firstLineChars="0"/>
              <w:jc w:val="left"/>
              <w:textAlignment w:val="top"/>
              <w:rPr>
                <w:rFonts w:hint="eastAsia" w:ascii="宋体" w:hAnsi="宋体" w:cs="宋体"/>
                <w:color w:val="auto"/>
                <w:szCs w:val="21"/>
                <w:highlight w:val="none"/>
              </w:rPr>
            </w:pPr>
            <w:r>
              <w:rPr>
                <w:rFonts w:hint="eastAsia" w:ascii="宋体" w:hAnsi="宋体" w:cstheme="minorEastAsia"/>
                <w:color w:val="auto"/>
                <w:kern w:val="0"/>
                <w:szCs w:val="21"/>
                <w:highlight w:val="none"/>
                <w:lang w:bidi="ar"/>
              </w:rPr>
              <w:t>一路 6.35mm 直插麦克风接口，支持幻象供电，一路 TYPE-A 外置无线话筒扩展接口（5V/500mA 供电），一路RJ45接口，一路立体声 RCA 线路输出；。</w:t>
            </w:r>
          </w:p>
        </w:tc>
        <w:tc>
          <w:tcPr>
            <w:tcW w:w="863" w:type="dxa"/>
            <w:gridSpan w:val="4"/>
            <w:vAlign w:val="center"/>
          </w:tcPr>
          <w:p w14:paraId="0DB7ED49">
            <w:pPr>
              <w:widowControl/>
              <w:jc w:val="center"/>
              <w:textAlignment w:val="center"/>
              <w:rPr>
                <w:rFonts w:hint="eastAsia" w:ascii="宋体" w:hAnsi="宋体"/>
                <w:color w:val="auto"/>
                <w:szCs w:val="21"/>
                <w:highlight w:val="none"/>
              </w:rPr>
            </w:pPr>
            <w:r>
              <w:rPr>
                <w:rFonts w:hint="eastAsia" w:ascii="宋体" w:hAnsi="宋体"/>
                <w:color w:val="auto"/>
                <w:szCs w:val="21"/>
                <w:highlight w:val="none"/>
              </w:rPr>
              <w:t>对</w:t>
            </w:r>
          </w:p>
        </w:tc>
        <w:tc>
          <w:tcPr>
            <w:tcW w:w="925" w:type="dxa"/>
            <w:gridSpan w:val="3"/>
            <w:vAlign w:val="center"/>
          </w:tcPr>
          <w:p w14:paraId="6416C409">
            <w:pPr>
              <w:widowControl/>
              <w:jc w:val="center"/>
              <w:textAlignment w:val="center"/>
              <w:rPr>
                <w:rFonts w:hint="eastAsia" w:ascii="宋体" w:hAnsi="宋体"/>
                <w:color w:val="auto"/>
                <w:szCs w:val="21"/>
                <w:highlight w:val="none"/>
              </w:rPr>
            </w:pPr>
            <w:r>
              <w:rPr>
                <w:rFonts w:hint="eastAsia" w:ascii="宋体" w:hAnsi="宋体"/>
                <w:color w:val="auto"/>
                <w:szCs w:val="21"/>
                <w:highlight w:val="none"/>
              </w:rPr>
              <w:t>1</w:t>
            </w:r>
          </w:p>
        </w:tc>
      </w:tr>
      <w:tr w14:paraId="4E02AB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305315D0">
            <w:pPr>
              <w:widowControl/>
              <w:jc w:val="center"/>
              <w:textAlignment w:val="center"/>
              <w:rPr>
                <w:rFonts w:hint="eastAsia" w:ascii="宋体" w:hAnsi="宋体"/>
                <w:color w:val="auto"/>
                <w:szCs w:val="21"/>
                <w:highlight w:val="none"/>
              </w:rPr>
            </w:pPr>
            <w:r>
              <w:rPr>
                <w:rFonts w:hint="eastAsia" w:ascii="宋体" w:hAnsi="宋体" w:cstheme="minorEastAsia"/>
                <w:color w:val="auto"/>
                <w:kern w:val="0"/>
                <w:szCs w:val="21"/>
                <w:highlight w:val="none"/>
                <w:lang w:bidi="ar"/>
              </w:rPr>
              <w:t>14</w:t>
            </w:r>
          </w:p>
        </w:tc>
        <w:tc>
          <w:tcPr>
            <w:tcW w:w="1227" w:type="dxa"/>
            <w:vAlign w:val="center"/>
          </w:tcPr>
          <w:p w14:paraId="7E7897A3">
            <w:pPr>
              <w:widowControl/>
              <w:jc w:val="center"/>
              <w:textAlignment w:val="center"/>
              <w:rPr>
                <w:rFonts w:hint="eastAsia" w:ascii="宋体" w:hAnsi="宋体"/>
                <w:color w:val="auto"/>
                <w:szCs w:val="21"/>
                <w:highlight w:val="none"/>
              </w:rPr>
            </w:pPr>
            <w:r>
              <w:rPr>
                <w:rFonts w:hint="eastAsia" w:ascii="宋体" w:hAnsi="宋体" w:cstheme="minorEastAsia"/>
                <w:color w:val="auto"/>
                <w:kern w:val="0"/>
                <w:szCs w:val="21"/>
                <w:highlight w:val="none"/>
                <w:lang w:bidi="ar"/>
              </w:rPr>
              <w:t>无线麦克风</w:t>
            </w:r>
          </w:p>
        </w:tc>
        <w:tc>
          <w:tcPr>
            <w:tcW w:w="6167" w:type="dxa"/>
            <w:vAlign w:val="center"/>
          </w:tcPr>
          <w:p w14:paraId="735E4890">
            <w:pPr>
              <w:pStyle w:val="53"/>
              <w:widowControl/>
              <w:numPr>
                <w:ilvl w:val="0"/>
                <w:numId w:val="287"/>
              </w:numPr>
              <w:ind w:firstLineChars="0"/>
              <w:jc w:val="left"/>
              <w:textAlignment w:val="top"/>
              <w:rPr>
                <w:rFonts w:hint="eastAsia" w:ascii="宋体" w:hAnsi="宋体" w:cs="宋体"/>
                <w:color w:val="auto"/>
                <w:szCs w:val="21"/>
                <w:highlight w:val="none"/>
              </w:rPr>
            </w:pPr>
            <w:r>
              <w:rPr>
                <w:rFonts w:hint="eastAsia" w:ascii="宋体" w:hAnsi="宋体" w:cstheme="minorEastAsia"/>
                <w:color w:val="auto"/>
                <w:kern w:val="0"/>
                <w:szCs w:val="21"/>
                <w:highlight w:val="none"/>
                <w:lang w:bidi="ar"/>
              </w:rPr>
              <w:t>工作频率与连接特性，采用 UHF 频段无线传输技术，支持单话筒与任意接收机自由配对，实现设备间即连即用的灵活协作；</w:t>
            </w:r>
          </w:p>
          <w:p w14:paraId="0312C25D">
            <w:pPr>
              <w:pStyle w:val="53"/>
              <w:widowControl/>
              <w:numPr>
                <w:ilvl w:val="0"/>
                <w:numId w:val="287"/>
              </w:numPr>
              <w:ind w:firstLineChars="0"/>
              <w:jc w:val="left"/>
              <w:textAlignment w:val="top"/>
              <w:rPr>
                <w:rFonts w:hint="eastAsia" w:ascii="宋体" w:hAnsi="宋体" w:cs="宋体"/>
                <w:color w:val="auto"/>
                <w:szCs w:val="21"/>
                <w:highlight w:val="none"/>
              </w:rPr>
            </w:pPr>
            <w:r>
              <w:rPr>
                <w:rFonts w:hint="eastAsia" w:ascii="宋体" w:hAnsi="宋体" w:cstheme="minorEastAsia"/>
                <w:color w:val="auto"/>
                <w:kern w:val="0"/>
                <w:szCs w:val="21"/>
                <w:highlight w:val="none"/>
                <w:lang w:bidi="ar"/>
              </w:rPr>
              <w:t>无障碍环境下有效传输距离≥50 米，拾音半径≥40cm，采用NFC对频技术，通过物理接触触发配对，彻底杜绝邻近房间的串频干扰问题；</w:t>
            </w:r>
          </w:p>
          <w:p w14:paraId="01B71B9E">
            <w:pPr>
              <w:pStyle w:val="53"/>
              <w:widowControl/>
              <w:numPr>
                <w:ilvl w:val="0"/>
                <w:numId w:val="287"/>
              </w:numPr>
              <w:ind w:firstLineChars="0"/>
              <w:jc w:val="left"/>
              <w:textAlignment w:val="top"/>
              <w:rPr>
                <w:rFonts w:hint="eastAsia" w:ascii="宋体" w:hAnsi="宋体" w:cs="宋体"/>
                <w:color w:val="auto"/>
                <w:szCs w:val="21"/>
                <w:highlight w:val="none"/>
              </w:rPr>
            </w:pPr>
            <w:r>
              <w:rPr>
                <w:rFonts w:hint="eastAsia" w:ascii="宋体" w:hAnsi="宋体" w:cstheme="minorEastAsia"/>
                <w:color w:val="auto"/>
                <w:kern w:val="0"/>
                <w:szCs w:val="21"/>
                <w:highlight w:val="none"/>
                <w:lang w:bidi="ar"/>
              </w:rPr>
              <w:t>内置≥800mAh锂电池，支持≥6小时连续工作续航；</w:t>
            </w:r>
          </w:p>
          <w:p w14:paraId="68AB27DB">
            <w:pPr>
              <w:pStyle w:val="53"/>
              <w:widowControl/>
              <w:numPr>
                <w:ilvl w:val="0"/>
                <w:numId w:val="287"/>
              </w:numPr>
              <w:ind w:firstLineChars="0"/>
              <w:jc w:val="left"/>
              <w:textAlignment w:val="top"/>
              <w:rPr>
                <w:rFonts w:hint="eastAsia" w:ascii="宋体" w:hAnsi="宋体" w:cs="宋体"/>
                <w:color w:val="auto"/>
                <w:szCs w:val="21"/>
                <w:highlight w:val="none"/>
              </w:rPr>
            </w:pPr>
            <w:r>
              <w:rPr>
                <w:rFonts w:hint="eastAsia" w:ascii="宋体" w:hAnsi="宋体" w:cstheme="minorEastAsia"/>
                <w:color w:val="auto"/>
                <w:kern w:val="0"/>
                <w:szCs w:val="21"/>
                <w:highlight w:val="none"/>
                <w:lang w:bidi="ar"/>
              </w:rPr>
              <w:t>搭载OLED显示屏，实时显示电量、频道、连接状态等信息；</w:t>
            </w:r>
          </w:p>
          <w:p w14:paraId="0924FAE3">
            <w:pPr>
              <w:pStyle w:val="53"/>
              <w:widowControl/>
              <w:numPr>
                <w:ilvl w:val="0"/>
                <w:numId w:val="287"/>
              </w:numPr>
              <w:ind w:firstLineChars="0"/>
              <w:jc w:val="left"/>
              <w:textAlignment w:val="top"/>
              <w:rPr>
                <w:rFonts w:hint="eastAsia" w:ascii="宋体" w:hAnsi="宋体" w:cs="宋体"/>
                <w:color w:val="auto"/>
                <w:szCs w:val="21"/>
                <w:highlight w:val="none"/>
              </w:rPr>
            </w:pPr>
            <w:r>
              <w:rPr>
                <w:rFonts w:hint="eastAsia" w:ascii="宋体" w:hAnsi="宋体" w:cstheme="minorEastAsia"/>
                <w:color w:val="auto"/>
                <w:kern w:val="0"/>
                <w:szCs w:val="21"/>
                <w:highlight w:val="none"/>
                <w:lang w:bidi="ar"/>
              </w:rPr>
              <w:t>信噪比：≥85dB | 动态范围：≥82dB | 采样频率：48KHz；</w:t>
            </w:r>
          </w:p>
          <w:p w14:paraId="6AB98BBD">
            <w:pPr>
              <w:pStyle w:val="53"/>
              <w:widowControl/>
              <w:numPr>
                <w:ilvl w:val="0"/>
                <w:numId w:val="287"/>
              </w:numPr>
              <w:ind w:firstLineChars="0"/>
              <w:jc w:val="left"/>
              <w:textAlignment w:val="top"/>
              <w:rPr>
                <w:rFonts w:hint="eastAsia" w:ascii="宋体" w:hAnsi="宋体" w:cs="宋体"/>
                <w:color w:val="auto"/>
                <w:szCs w:val="21"/>
                <w:highlight w:val="none"/>
              </w:rPr>
            </w:pPr>
            <w:r>
              <w:rPr>
                <w:rFonts w:hint="eastAsia" w:ascii="宋体" w:hAnsi="宋体" w:cstheme="minorEastAsia"/>
                <w:color w:val="auto"/>
                <w:kern w:val="0"/>
                <w:szCs w:val="21"/>
                <w:highlight w:val="none"/>
                <w:lang w:bidi="ar"/>
              </w:rPr>
              <w:t>支持 "一发多收" 工作模式，单话筒可同时适配多台接收机协同工作，满足多设备音频分发场景；</w:t>
            </w:r>
          </w:p>
          <w:p w14:paraId="6B32B11E">
            <w:pPr>
              <w:pStyle w:val="53"/>
              <w:widowControl/>
              <w:numPr>
                <w:ilvl w:val="0"/>
                <w:numId w:val="287"/>
              </w:numPr>
              <w:ind w:firstLineChars="0"/>
              <w:jc w:val="left"/>
              <w:textAlignment w:val="top"/>
              <w:rPr>
                <w:rFonts w:hint="eastAsia" w:ascii="宋体" w:hAnsi="宋体" w:cs="宋体"/>
                <w:color w:val="auto"/>
                <w:szCs w:val="21"/>
                <w:highlight w:val="none"/>
              </w:rPr>
            </w:pPr>
            <w:r>
              <w:rPr>
                <w:rFonts w:hint="eastAsia" w:ascii="宋体" w:hAnsi="宋体" w:cstheme="minorEastAsia"/>
                <w:color w:val="auto"/>
                <w:kern w:val="0"/>
                <w:szCs w:val="21"/>
                <w:highlight w:val="none"/>
                <w:lang w:bidi="ar"/>
              </w:rPr>
              <w:t>内置 AGC 自动增益控制模块，实时动态调节输出音量，避免突发音量对听力造成损伤；</w:t>
            </w:r>
          </w:p>
          <w:p w14:paraId="12C1B57A">
            <w:pPr>
              <w:pStyle w:val="53"/>
              <w:widowControl/>
              <w:numPr>
                <w:ilvl w:val="0"/>
                <w:numId w:val="287"/>
              </w:numPr>
              <w:ind w:firstLineChars="0"/>
              <w:jc w:val="left"/>
              <w:textAlignment w:val="top"/>
              <w:rPr>
                <w:rFonts w:hint="eastAsia" w:ascii="宋体" w:hAnsi="宋体" w:cs="宋体"/>
                <w:color w:val="auto"/>
                <w:szCs w:val="21"/>
                <w:highlight w:val="none"/>
              </w:rPr>
            </w:pPr>
            <w:r>
              <w:rPr>
                <w:rFonts w:hint="eastAsia" w:ascii="宋体" w:hAnsi="宋体" w:cstheme="minorEastAsia"/>
                <w:color w:val="auto"/>
                <w:kern w:val="0"/>
                <w:szCs w:val="21"/>
                <w:highlight w:val="none"/>
                <w:lang w:bidi="ar"/>
              </w:rPr>
              <w:t>集成人声频谱优化算法与动态反馈抑制技术，有效提升语音清晰度并抑制环境啸叫，确保扩声系统稳定运行；</w:t>
            </w:r>
          </w:p>
          <w:p w14:paraId="2C5BBA40">
            <w:pPr>
              <w:pStyle w:val="53"/>
              <w:widowControl/>
              <w:numPr>
                <w:ilvl w:val="0"/>
                <w:numId w:val="287"/>
              </w:numPr>
              <w:ind w:firstLineChars="0"/>
              <w:jc w:val="left"/>
              <w:textAlignment w:val="top"/>
              <w:rPr>
                <w:rFonts w:hint="eastAsia" w:ascii="宋体" w:hAnsi="宋体" w:cs="宋体"/>
                <w:color w:val="auto"/>
                <w:szCs w:val="21"/>
                <w:highlight w:val="none"/>
              </w:rPr>
            </w:pPr>
            <w:r>
              <w:rPr>
                <w:rFonts w:hint="eastAsia" w:ascii="宋体" w:hAnsi="宋体" w:cstheme="minorEastAsia"/>
                <w:color w:val="auto"/>
                <w:kern w:val="0"/>
                <w:szCs w:val="21"/>
                <w:highlight w:val="none"/>
                <w:lang w:bidi="ar"/>
              </w:rPr>
              <w:t>标配可调节背夹组件，支持领夹式、手持模式及头戴麦克风外接3.5mm音频输入接口；</w:t>
            </w:r>
          </w:p>
          <w:p w14:paraId="5604F42D">
            <w:pPr>
              <w:pStyle w:val="53"/>
              <w:widowControl/>
              <w:numPr>
                <w:ilvl w:val="0"/>
                <w:numId w:val="287"/>
              </w:numPr>
              <w:ind w:firstLineChars="0"/>
              <w:jc w:val="left"/>
              <w:textAlignment w:val="top"/>
              <w:rPr>
                <w:rFonts w:hint="eastAsia" w:ascii="宋体" w:hAnsi="宋体" w:cs="宋体"/>
                <w:color w:val="auto"/>
                <w:szCs w:val="21"/>
                <w:highlight w:val="none"/>
              </w:rPr>
            </w:pPr>
            <w:r>
              <w:rPr>
                <w:rFonts w:hint="eastAsia" w:ascii="宋体" w:hAnsi="宋体" w:cstheme="minorEastAsia"/>
                <w:color w:val="auto"/>
                <w:kern w:val="0"/>
                <w:szCs w:val="21"/>
                <w:highlight w:val="none"/>
                <w:lang w:bidi="ar"/>
              </w:rPr>
              <w:t>磁吸式配件系统，通过磁吸背夹实现服装表面快速佩戴，支持胸前悬挂等多元化使用场景；</w:t>
            </w:r>
          </w:p>
          <w:p w14:paraId="171854C4">
            <w:pPr>
              <w:pStyle w:val="53"/>
              <w:widowControl/>
              <w:numPr>
                <w:ilvl w:val="0"/>
                <w:numId w:val="287"/>
              </w:numPr>
              <w:ind w:firstLineChars="0"/>
              <w:jc w:val="left"/>
              <w:textAlignment w:val="top"/>
              <w:rPr>
                <w:rFonts w:hint="eastAsia" w:ascii="宋体" w:hAnsi="宋体" w:cs="宋体"/>
                <w:color w:val="auto"/>
                <w:szCs w:val="21"/>
                <w:highlight w:val="none"/>
              </w:rPr>
            </w:pPr>
            <w:r>
              <w:rPr>
                <w:rFonts w:hint="eastAsia" w:ascii="宋体" w:hAnsi="宋体" w:cstheme="minorEastAsia"/>
                <w:color w:val="auto"/>
                <w:kern w:val="0"/>
                <w:szCs w:val="21"/>
                <w:highlight w:val="none"/>
                <w:lang w:bidi="ar"/>
              </w:rPr>
              <w:t>具有人声还原度处理功能及主动动态反馈抑制功能,最大限度还原人声及有效防止啸叫；</w:t>
            </w:r>
          </w:p>
        </w:tc>
        <w:tc>
          <w:tcPr>
            <w:tcW w:w="863" w:type="dxa"/>
            <w:gridSpan w:val="4"/>
            <w:vAlign w:val="center"/>
          </w:tcPr>
          <w:p w14:paraId="1B78A4B1">
            <w:pPr>
              <w:widowControl/>
              <w:jc w:val="center"/>
              <w:textAlignment w:val="center"/>
              <w:rPr>
                <w:rFonts w:hint="eastAsia" w:ascii="宋体" w:hAnsi="宋体"/>
                <w:color w:val="auto"/>
                <w:szCs w:val="21"/>
                <w:highlight w:val="none"/>
              </w:rPr>
            </w:pPr>
            <w:r>
              <w:rPr>
                <w:rFonts w:hint="eastAsia" w:ascii="宋体" w:hAnsi="宋体"/>
                <w:color w:val="auto"/>
                <w:szCs w:val="21"/>
                <w:highlight w:val="none"/>
              </w:rPr>
              <w:t>只</w:t>
            </w:r>
          </w:p>
        </w:tc>
        <w:tc>
          <w:tcPr>
            <w:tcW w:w="925" w:type="dxa"/>
            <w:gridSpan w:val="3"/>
            <w:vAlign w:val="center"/>
          </w:tcPr>
          <w:p w14:paraId="7E52EAB2">
            <w:pPr>
              <w:widowControl/>
              <w:jc w:val="center"/>
              <w:textAlignment w:val="center"/>
              <w:rPr>
                <w:rFonts w:hint="eastAsia" w:ascii="宋体" w:hAnsi="宋体"/>
                <w:color w:val="auto"/>
                <w:szCs w:val="21"/>
                <w:highlight w:val="none"/>
              </w:rPr>
            </w:pPr>
            <w:r>
              <w:rPr>
                <w:rFonts w:hint="eastAsia" w:ascii="宋体" w:hAnsi="宋体"/>
                <w:color w:val="auto"/>
                <w:szCs w:val="21"/>
                <w:highlight w:val="none"/>
              </w:rPr>
              <w:t>1</w:t>
            </w:r>
          </w:p>
        </w:tc>
      </w:tr>
      <w:tr w14:paraId="6ABF8C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5768B2EA">
            <w:pPr>
              <w:widowControl/>
              <w:jc w:val="center"/>
              <w:textAlignment w:val="center"/>
              <w:rPr>
                <w:rFonts w:hint="eastAsia" w:ascii="宋体" w:hAnsi="宋体"/>
                <w:color w:val="auto"/>
                <w:szCs w:val="21"/>
                <w:highlight w:val="none"/>
              </w:rPr>
            </w:pPr>
            <w:r>
              <w:rPr>
                <w:rFonts w:hint="eastAsia" w:ascii="宋体" w:hAnsi="宋体" w:cstheme="minorEastAsia"/>
                <w:color w:val="auto"/>
                <w:kern w:val="0"/>
                <w:szCs w:val="21"/>
                <w:highlight w:val="none"/>
                <w:lang w:bidi="ar"/>
              </w:rPr>
              <w:t>15</w:t>
            </w:r>
          </w:p>
        </w:tc>
        <w:tc>
          <w:tcPr>
            <w:tcW w:w="1227" w:type="dxa"/>
            <w:vAlign w:val="center"/>
          </w:tcPr>
          <w:p w14:paraId="66A4A6C1">
            <w:pPr>
              <w:widowControl/>
              <w:jc w:val="center"/>
              <w:textAlignment w:val="center"/>
              <w:rPr>
                <w:rFonts w:hint="eastAsia" w:ascii="宋体" w:hAnsi="宋体"/>
                <w:color w:val="auto"/>
                <w:szCs w:val="21"/>
                <w:highlight w:val="none"/>
              </w:rPr>
            </w:pPr>
            <w:r>
              <w:rPr>
                <w:rFonts w:hint="eastAsia" w:ascii="宋体" w:hAnsi="宋体" w:cstheme="minorEastAsia"/>
                <w:color w:val="auto"/>
                <w:kern w:val="0"/>
                <w:szCs w:val="21"/>
                <w:highlight w:val="none"/>
                <w:lang w:bidi="ar"/>
              </w:rPr>
              <w:t>AI降噪接收器</w:t>
            </w:r>
          </w:p>
        </w:tc>
        <w:tc>
          <w:tcPr>
            <w:tcW w:w="6167" w:type="dxa"/>
            <w:vAlign w:val="center"/>
          </w:tcPr>
          <w:p w14:paraId="559E1B98">
            <w:pPr>
              <w:pStyle w:val="53"/>
              <w:widowControl/>
              <w:numPr>
                <w:ilvl w:val="0"/>
                <w:numId w:val="288"/>
              </w:numPr>
              <w:ind w:firstLineChars="0"/>
              <w:jc w:val="left"/>
              <w:textAlignment w:val="top"/>
              <w:rPr>
                <w:rFonts w:hint="eastAsia" w:ascii="宋体" w:hAnsi="宋体" w:cs="宋体"/>
                <w:color w:val="auto"/>
                <w:szCs w:val="21"/>
                <w:highlight w:val="none"/>
              </w:rPr>
            </w:pPr>
            <w:r>
              <w:rPr>
                <w:rFonts w:hint="eastAsia" w:ascii="宋体" w:hAnsi="宋体" w:cstheme="minorEastAsia"/>
                <w:color w:val="auto"/>
                <w:kern w:val="0"/>
                <w:szCs w:val="21"/>
                <w:highlight w:val="none"/>
                <w:lang w:bidi="ar"/>
              </w:rPr>
              <w:t>AI降噪及反馈抑制处理功能：内置基于神经网络的自适应AFC（反馈抑制）和ANC（降噪）算法，档位可调；可有效消除风噪、键盘声、空调底噪、电流声等多重噪音，开启后传声增益提升不小于15dB，同步实现稳态噪声25～35dB、非稳态噪声15～25dB的降噪量，算法延时小于16mS；</w:t>
            </w:r>
          </w:p>
          <w:p w14:paraId="2D957C1F">
            <w:pPr>
              <w:pStyle w:val="53"/>
              <w:widowControl/>
              <w:numPr>
                <w:ilvl w:val="0"/>
                <w:numId w:val="288"/>
              </w:numPr>
              <w:ind w:firstLineChars="0"/>
              <w:jc w:val="left"/>
              <w:textAlignment w:val="top"/>
              <w:rPr>
                <w:rFonts w:hint="eastAsia" w:ascii="宋体" w:hAnsi="宋体" w:cs="宋体"/>
                <w:color w:val="auto"/>
                <w:szCs w:val="21"/>
                <w:highlight w:val="none"/>
              </w:rPr>
            </w:pPr>
            <w:r>
              <w:rPr>
                <w:rFonts w:hint="eastAsia" w:ascii="宋体" w:hAnsi="宋体" w:cstheme="minorEastAsia"/>
                <w:color w:val="auto"/>
                <w:kern w:val="0"/>
                <w:szCs w:val="21"/>
                <w:highlight w:val="none"/>
                <w:lang w:bidi="ar"/>
              </w:rPr>
              <w:t>核心拾音及处理功能：支持实时低延迟处理、智能人声分离、多麦阵列拾音、全场景自适应、动态增益调节、AI人声增强。</w:t>
            </w:r>
          </w:p>
          <w:p w14:paraId="5AC78C4C">
            <w:pPr>
              <w:pStyle w:val="53"/>
              <w:widowControl/>
              <w:numPr>
                <w:ilvl w:val="0"/>
                <w:numId w:val="288"/>
              </w:numPr>
              <w:ind w:firstLineChars="0"/>
              <w:jc w:val="left"/>
              <w:textAlignment w:val="top"/>
              <w:rPr>
                <w:rFonts w:hint="eastAsia" w:ascii="宋体" w:hAnsi="宋体" w:cs="宋体"/>
                <w:color w:val="auto"/>
                <w:szCs w:val="21"/>
                <w:highlight w:val="none"/>
              </w:rPr>
            </w:pPr>
            <w:r>
              <w:rPr>
                <w:rFonts w:hint="eastAsia" w:ascii="宋体" w:hAnsi="宋体" w:cstheme="minorEastAsia"/>
                <w:color w:val="auto"/>
                <w:kern w:val="0"/>
                <w:szCs w:val="21"/>
                <w:highlight w:val="none"/>
                <w:lang w:bidi="ar"/>
              </w:rPr>
              <w:t>对频及控制功能：支持手动、NFC无源刷卡式对频，可有效避免误对频至相邻设备；可直接连接PC实现PPT翻页控制，翻页信号通过U段频率传输，传输距离远、抗干扰能力强。</w:t>
            </w:r>
          </w:p>
          <w:p w14:paraId="345E340D">
            <w:pPr>
              <w:pStyle w:val="53"/>
              <w:widowControl/>
              <w:numPr>
                <w:ilvl w:val="0"/>
                <w:numId w:val="288"/>
              </w:numPr>
              <w:ind w:firstLineChars="0"/>
              <w:jc w:val="left"/>
              <w:textAlignment w:val="top"/>
              <w:rPr>
                <w:rFonts w:hint="eastAsia" w:ascii="宋体" w:hAnsi="宋体" w:cs="宋体"/>
                <w:color w:val="auto"/>
                <w:szCs w:val="21"/>
                <w:highlight w:val="none"/>
              </w:rPr>
            </w:pPr>
            <w:r>
              <w:rPr>
                <w:rFonts w:hint="eastAsia" w:ascii="宋体" w:hAnsi="宋体" w:cstheme="minorEastAsia"/>
                <w:color w:val="auto"/>
                <w:kern w:val="0"/>
                <w:szCs w:val="21"/>
                <w:highlight w:val="none"/>
                <w:lang w:bidi="ar"/>
              </w:rPr>
              <w:t>频率及音频参数：工作频率为UHF频段；频率响应20Hz-20KHz，采用48KHz@24bit标准；音频输出支持模拟、数字两种模式，可灵活配置适配不同设备需求。</w:t>
            </w:r>
          </w:p>
          <w:p w14:paraId="1CFF948A">
            <w:pPr>
              <w:pStyle w:val="53"/>
              <w:widowControl/>
              <w:numPr>
                <w:ilvl w:val="0"/>
                <w:numId w:val="288"/>
              </w:numPr>
              <w:ind w:firstLineChars="0"/>
              <w:jc w:val="left"/>
              <w:textAlignment w:val="top"/>
              <w:rPr>
                <w:rFonts w:hint="eastAsia" w:ascii="宋体" w:hAnsi="宋体" w:cs="宋体"/>
                <w:color w:val="auto"/>
                <w:szCs w:val="21"/>
                <w:highlight w:val="none"/>
              </w:rPr>
            </w:pPr>
            <w:r>
              <w:rPr>
                <w:rFonts w:hint="eastAsia" w:ascii="宋体" w:hAnsi="宋体" w:cstheme="minorEastAsia"/>
                <w:color w:val="auto"/>
                <w:kern w:val="0"/>
                <w:szCs w:val="21"/>
                <w:highlight w:val="none"/>
                <w:lang w:bidi="ar"/>
              </w:rPr>
              <w:t>显示屏：采用OLED显示屏，可清晰显示频道、对频状态，以及所连接无线麦克风的当前电量、信号强度。</w:t>
            </w:r>
          </w:p>
          <w:p w14:paraId="13F2465B">
            <w:pPr>
              <w:pStyle w:val="53"/>
              <w:widowControl/>
              <w:numPr>
                <w:ilvl w:val="0"/>
                <w:numId w:val="288"/>
              </w:numPr>
              <w:ind w:firstLineChars="0"/>
              <w:jc w:val="left"/>
              <w:textAlignment w:val="top"/>
              <w:rPr>
                <w:rFonts w:hint="eastAsia" w:ascii="宋体" w:hAnsi="宋体" w:cs="宋体"/>
                <w:color w:val="auto"/>
                <w:szCs w:val="21"/>
                <w:highlight w:val="none"/>
              </w:rPr>
            </w:pPr>
            <w:r>
              <w:rPr>
                <w:rFonts w:hint="eastAsia" w:ascii="宋体" w:hAnsi="宋体" w:cstheme="minorEastAsia"/>
                <w:color w:val="auto"/>
                <w:kern w:val="0"/>
                <w:szCs w:val="21"/>
                <w:highlight w:val="none"/>
                <w:lang w:bidi="ar"/>
              </w:rPr>
              <w:t>按键配置：配备两个可自定义按键，可用于设置接收频道号及算法开关控制。</w:t>
            </w:r>
          </w:p>
          <w:p w14:paraId="5081CAD4">
            <w:pPr>
              <w:pStyle w:val="53"/>
              <w:widowControl/>
              <w:numPr>
                <w:ilvl w:val="0"/>
                <w:numId w:val="288"/>
              </w:numPr>
              <w:ind w:firstLineChars="0"/>
              <w:jc w:val="left"/>
              <w:textAlignment w:val="top"/>
              <w:rPr>
                <w:rFonts w:hint="eastAsia" w:ascii="宋体" w:hAnsi="宋体" w:cs="宋体"/>
                <w:color w:val="auto"/>
                <w:szCs w:val="21"/>
                <w:highlight w:val="none"/>
              </w:rPr>
            </w:pPr>
            <w:r>
              <w:rPr>
                <w:rFonts w:hint="eastAsia" w:ascii="宋体" w:hAnsi="宋体" w:cstheme="minorEastAsia"/>
                <w:color w:val="auto"/>
                <w:kern w:val="0"/>
                <w:szCs w:val="21"/>
                <w:highlight w:val="none"/>
                <w:lang w:bidi="ar"/>
              </w:rPr>
              <w:t>接口配置：3.5mm音频输出口×1、TYPE-A USB PPT翻页控制接口×1、TYPE-C供电口×1、SMA天线座×1，接口丰富，适配多种设备。</w:t>
            </w:r>
          </w:p>
          <w:p w14:paraId="1E4F0295">
            <w:pPr>
              <w:pStyle w:val="53"/>
              <w:widowControl/>
              <w:numPr>
                <w:ilvl w:val="0"/>
                <w:numId w:val="288"/>
              </w:numPr>
              <w:ind w:firstLineChars="0"/>
              <w:jc w:val="left"/>
              <w:textAlignment w:val="top"/>
              <w:rPr>
                <w:rFonts w:hint="eastAsia" w:ascii="宋体" w:hAnsi="宋体" w:cs="宋体"/>
                <w:color w:val="auto"/>
                <w:szCs w:val="21"/>
                <w:highlight w:val="none"/>
              </w:rPr>
            </w:pPr>
            <w:r>
              <w:rPr>
                <w:rFonts w:hint="eastAsia" w:ascii="宋体" w:hAnsi="宋体" w:cstheme="minorEastAsia"/>
                <w:color w:val="auto"/>
                <w:kern w:val="0"/>
                <w:szCs w:val="21"/>
                <w:highlight w:val="none"/>
                <w:lang w:bidi="ar"/>
              </w:rPr>
              <w:t>频道配置：包含50个基础频道及100个扩展频道，总可用频道达150个，可灵活避开干扰频段。</w:t>
            </w:r>
          </w:p>
        </w:tc>
        <w:tc>
          <w:tcPr>
            <w:tcW w:w="863" w:type="dxa"/>
            <w:gridSpan w:val="4"/>
            <w:vAlign w:val="center"/>
          </w:tcPr>
          <w:p w14:paraId="5822C041">
            <w:pPr>
              <w:widowControl/>
              <w:jc w:val="center"/>
              <w:textAlignment w:val="center"/>
              <w:rPr>
                <w:rFonts w:hint="eastAsia" w:ascii="宋体" w:hAnsi="宋体"/>
                <w:color w:val="auto"/>
                <w:szCs w:val="21"/>
                <w:highlight w:val="none"/>
              </w:rPr>
            </w:pPr>
            <w:r>
              <w:rPr>
                <w:rFonts w:hint="eastAsia" w:ascii="宋体" w:hAnsi="宋体"/>
                <w:color w:val="auto"/>
                <w:szCs w:val="21"/>
                <w:highlight w:val="none"/>
              </w:rPr>
              <w:t>台</w:t>
            </w:r>
          </w:p>
        </w:tc>
        <w:tc>
          <w:tcPr>
            <w:tcW w:w="925" w:type="dxa"/>
            <w:gridSpan w:val="3"/>
            <w:vAlign w:val="center"/>
          </w:tcPr>
          <w:p w14:paraId="48366B4F">
            <w:pPr>
              <w:widowControl/>
              <w:jc w:val="center"/>
              <w:textAlignment w:val="center"/>
              <w:rPr>
                <w:rFonts w:hint="eastAsia" w:ascii="宋体" w:hAnsi="宋体"/>
                <w:color w:val="auto"/>
                <w:szCs w:val="21"/>
                <w:highlight w:val="none"/>
              </w:rPr>
            </w:pPr>
            <w:r>
              <w:rPr>
                <w:rFonts w:hint="eastAsia" w:ascii="宋体" w:hAnsi="宋体"/>
                <w:color w:val="auto"/>
                <w:szCs w:val="21"/>
                <w:highlight w:val="none"/>
              </w:rPr>
              <w:t>1</w:t>
            </w:r>
          </w:p>
        </w:tc>
      </w:tr>
      <w:tr w14:paraId="6D4237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517F77FA">
            <w:pPr>
              <w:widowControl/>
              <w:jc w:val="center"/>
              <w:textAlignment w:val="center"/>
              <w:rPr>
                <w:rFonts w:hint="eastAsia" w:ascii="宋体" w:hAnsi="宋体"/>
                <w:color w:val="auto"/>
                <w:szCs w:val="21"/>
                <w:highlight w:val="none"/>
              </w:rPr>
            </w:pPr>
            <w:r>
              <w:rPr>
                <w:rFonts w:hint="eastAsia" w:ascii="宋体" w:hAnsi="宋体" w:cstheme="minorEastAsia"/>
                <w:color w:val="auto"/>
                <w:kern w:val="0"/>
                <w:szCs w:val="21"/>
                <w:highlight w:val="none"/>
                <w:lang w:bidi="ar"/>
              </w:rPr>
              <w:t>16</w:t>
            </w:r>
          </w:p>
        </w:tc>
        <w:tc>
          <w:tcPr>
            <w:tcW w:w="1227" w:type="dxa"/>
            <w:vAlign w:val="center"/>
          </w:tcPr>
          <w:p w14:paraId="222A969A">
            <w:pPr>
              <w:widowControl/>
              <w:jc w:val="center"/>
              <w:textAlignment w:val="center"/>
              <w:rPr>
                <w:rFonts w:hint="eastAsia" w:ascii="宋体" w:hAnsi="宋体"/>
                <w:color w:val="auto"/>
                <w:szCs w:val="21"/>
                <w:highlight w:val="none"/>
              </w:rPr>
            </w:pPr>
            <w:r>
              <w:rPr>
                <w:rFonts w:hint="eastAsia" w:ascii="宋体" w:hAnsi="宋体" w:cstheme="minorEastAsia"/>
                <w:color w:val="auto"/>
                <w:kern w:val="0"/>
                <w:szCs w:val="21"/>
                <w:highlight w:val="none"/>
                <w:lang w:bidi="ar"/>
              </w:rPr>
              <w:t>单通道充电仓</w:t>
            </w:r>
          </w:p>
        </w:tc>
        <w:tc>
          <w:tcPr>
            <w:tcW w:w="6167" w:type="dxa"/>
            <w:vAlign w:val="center"/>
          </w:tcPr>
          <w:p w14:paraId="56E0512F">
            <w:pPr>
              <w:pStyle w:val="53"/>
              <w:widowControl/>
              <w:numPr>
                <w:ilvl w:val="0"/>
                <w:numId w:val="289"/>
              </w:numPr>
              <w:ind w:firstLineChars="0"/>
              <w:jc w:val="left"/>
              <w:textAlignment w:val="top"/>
              <w:rPr>
                <w:rFonts w:hint="eastAsia" w:ascii="宋体" w:hAnsi="宋体" w:cs="宋体"/>
                <w:color w:val="auto"/>
                <w:szCs w:val="21"/>
                <w:highlight w:val="none"/>
              </w:rPr>
            </w:pPr>
            <w:r>
              <w:rPr>
                <w:rFonts w:hint="eastAsia" w:ascii="宋体" w:hAnsi="宋体" w:cstheme="minorEastAsia"/>
                <w:color w:val="auto"/>
                <w:kern w:val="0"/>
                <w:szCs w:val="21"/>
                <w:highlight w:val="none"/>
                <w:lang w:bidi="ar"/>
              </w:rPr>
              <w:t>单充电位无线话筒充电仓，可为无线麦克风充电和消毒；</w:t>
            </w:r>
          </w:p>
          <w:p w14:paraId="76975D99">
            <w:pPr>
              <w:pStyle w:val="53"/>
              <w:widowControl/>
              <w:numPr>
                <w:ilvl w:val="0"/>
                <w:numId w:val="289"/>
              </w:numPr>
              <w:ind w:firstLineChars="0"/>
              <w:jc w:val="left"/>
              <w:textAlignment w:val="top"/>
              <w:rPr>
                <w:rFonts w:hint="eastAsia" w:ascii="宋体" w:hAnsi="宋体" w:cs="宋体"/>
                <w:color w:val="auto"/>
                <w:szCs w:val="21"/>
                <w:highlight w:val="none"/>
              </w:rPr>
            </w:pPr>
            <w:r>
              <w:rPr>
                <w:rFonts w:hint="eastAsia" w:ascii="宋体" w:hAnsi="宋体" w:cstheme="minorEastAsia"/>
                <w:color w:val="auto"/>
                <w:kern w:val="0"/>
                <w:szCs w:val="21"/>
                <w:highlight w:val="none"/>
                <w:lang w:bidi="ar"/>
              </w:rPr>
              <w:t>具有防尘效果，麦克风在充电时应完全收纳于充电仓内，无暴露在外的部分；</w:t>
            </w:r>
          </w:p>
          <w:p w14:paraId="27EEBB82">
            <w:pPr>
              <w:pStyle w:val="53"/>
              <w:widowControl/>
              <w:numPr>
                <w:ilvl w:val="0"/>
                <w:numId w:val="289"/>
              </w:numPr>
              <w:ind w:firstLineChars="0"/>
              <w:jc w:val="left"/>
              <w:textAlignment w:val="top"/>
              <w:rPr>
                <w:rFonts w:hint="eastAsia" w:ascii="宋体" w:hAnsi="宋体" w:cs="宋体"/>
                <w:color w:val="auto"/>
                <w:szCs w:val="21"/>
                <w:highlight w:val="none"/>
              </w:rPr>
            </w:pPr>
            <w:r>
              <w:rPr>
                <w:rFonts w:hint="eastAsia" w:ascii="宋体" w:hAnsi="宋体" w:cstheme="minorEastAsia"/>
                <w:color w:val="auto"/>
                <w:kern w:val="0"/>
                <w:szCs w:val="21"/>
                <w:highlight w:val="none"/>
                <w:lang w:bidi="ar"/>
              </w:rPr>
              <w:t>支持麦克风插入充电仓进行充电时，无线麦克风自动关机；</w:t>
            </w:r>
          </w:p>
          <w:p w14:paraId="0C9C26B2">
            <w:pPr>
              <w:pStyle w:val="53"/>
              <w:widowControl/>
              <w:numPr>
                <w:ilvl w:val="0"/>
                <w:numId w:val="289"/>
              </w:numPr>
              <w:ind w:firstLineChars="0"/>
              <w:jc w:val="left"/>
              <w:textAlignment w:val="top"/>
              <w:rPr>
                <w:rFonts w:hint="eastAsia" w:ascii="宋体" w:hAnsi="宋体" w:cs="宋体"/>
                <w:color w:val="auto"/>
                <w:szCs w:val="21"/>
                <w:highlight w:val="none"/>
              </w:rPr>
            </w:pPr>
            <w:r>
              <w:rPr>
                <w:rFonts w:hint="eastAsia" w:ascii="宋体" w:hAnsi="宋体" w:cstheme="minorEastAsia"/>
                <w:color w:val="auto"/>
                <w:kern w:val="0"/>
                <w:szCs w:val="21"/>
                <w:highlight w:val="none"/>
                <w:lang w:bidi="ar"/>
              </w:rPr>
              <w:t>具备紫外线消毒功能，避免细菌病毒交叉感染；</w:t>
            </w:r>
          </w:p>
          <w:p w14:paraId="5D85448B">
            <w:pPr>
              <w:pStyle w:val="53"/>
              <w:widowControl/>
              <w:numPr>
                <w:ilvl w:val="0"/>
                <w:numId w:val="289"/>
              </w:numPr>
              <w:ind w:firstLineChars="0"/>
              <w:jc w:val="left"/>
              <w:textAlignment w:val="top"/>
              <w:rPr>
                <w:rFonts w:hint="eastAsia" w:ascii="宋体" w:hAnsi="宋体" w:cs="宋体"/>
                <w:color w:val="auto"/>
                <w:szCs w:val="21"/>
                <w:highlight w:val="none"/>
              </w:rPr>
            </w:pPr>
            <w:r>
              <w:rPr>
                <w:rFonts w:hint="eastAsia" w:ascii="宋体" w:hAnsi="宋体" w:cstheme="minorEastAsia"/>
                <w:color w:val="auto"/>
                <w:kern w:val="0"/>
                <w:szCs w:val="21"/>
                <w:highlight w:val="none"/>
                <w:lang w:bidi="ar"/>
              </w:rPr>
              <w:t>采用阻燃材质生产，避免起火风险；</w:t>
            </w:r>
          </w:p>
          <w:p w14:paraId="5CA36615">
            <w:pPr>
              <w:pStyle w:val="53"/>
              <w:widowControl/>
              <w:numPr>
                <w:ilvl w:val="0"/>
                <w:numId w:val="289"/>
              </w:numPr>
              <w:ind w:firstLineChars="0"/>
              <w:jc w:val="left"/>
              <w:textAlignment w:val="top"/>
              <w:rPr>
                <w:rFonts w:hint="eastAsia" w:ascii="宋体" w:hAnsi="宋体" w:cs="宋体"/>
                <w:color w:val="auto"/>
                <w:szCs w:val="21"/>
                <w:highlight w:val="none"/>
              </w:rPr>
            </w:pPr>
            <w:r>
              <w:rPr>
                <w:rFonts w:hint="eastAsia" w:ascii="宋体" w:hAnsi="宋体" w:cstheme="minorEastAsia"/>
                <w:color w:val="auto"/>
                <w:kern w:val="0"/>
                <w:szCs w:val="21"/>
                <w:highlight w:val="none"/>
                <w:lang w:bidi="ar"/>
              </w:rPr>
              <w:t>具有通电指示灯及充电状态指示灯；</w:t>
            </w:r>
          </w:p>
          <w:p w14:paraId="03900874">
            <w:pPr>
              <w:pStyle w:val="53"/>
              <w:widowControl/>
              <w:numPr>
                <w:ilvl w:val="0"/>
                <w:numId w:val="289"/>
              </w:numPr>
              <w:ind w:firstLineChars="0"/>
              <w:jc w:val="left"/>
              <w:textAlignment w:val="top"/>
              <w:rPr>
                <w:rFonts w:hint="eastAsia" w:ascii="宋体" w:hAnsi="宋体" w:cs="宋体"/>
                <w:color w:val="auto"/>
                <w:szCs w:val="21"/>
                <w:highlight w:val="none"/>
              </w:rPr>
            </w:pPr>
            <w:r>
              <w:rPr>
                <w:rFonts w:hint="eastAsia" w:ascii="宋体" w:hAnsi="宋体" w:cstheme="minorEastAsia"/>
                <w:color w:val="auto"/>
                <w:kern w:val="0"/>
                <w:szCs w:val="21"/>
                <w:highlight w:val="none"/>
                <w:lang w:bidi="ar"/>
              </w:rPr>
              <w:t>充电触点及活动部件，使用寿命不低于一万次；</w:t>
            </w:r>
          </w:p>
          <w:p w14:paraId="47A0EEEE">
            <w:pPr>
              <w:widowControl/>
              <w:jc w:val="left"/>
              <w:textAlignment w:val="top"/>
              <w:rPr>
                <w:rFonts w:hint="eastAsia" w:ascii="宋体" w:hAnsi="宋体"/>
                <w:color w:val="auto"/>
                <w:szCs w:val="21"/>
                <w:highlight w:val="none"/>
              </w:rPr>
            </w:pPr>
            <w:r>
              <w:rPr>
                <w:rFonts w:hint="eastAsia" w:ascii="宋体" w:hAnsi="宋体" w:cstheme="minorEastAsia"/>
                <w:color w:val="auto"/>
                <w:kern w:val="0"/>
                <w:szCs w:val="21"/>
                <w:highlight w:val="none"/>
                <w:lang w:bidi="ar"/>
              </w:rPr>
              <w:t>附带的壁挂安装支架，直插防拔功能，安装好后充电线无法直接拔出；</w:t>
            </w:r>
          </w:p>
        </w:tc>
        <w:tc>
          <w:tcPr>
            <w:tcW w:w="863" w:type="dxa"/>
            <w:gridSpan w:val="4"/>
            <w:vAlign w:val="center"/>
          </w:tcPr>
          <w:p w14:paraId="03FB016C">
            <w:pPr>
              <w:widowControl/>
              <w:jc w:val="center"/>
              <w:textAlignment w:val="center"/>
              <w:rPr>
                <w:rFonts w:hint="eastAsia" w:ascii="宋体" w:hAnsi="宋体"/>
                <w:color w:val="auto"/>
                <w:szCs w:val="21"/>
                <w:highlight w:val="none"/>
              </w:rPr>
            </w:pPr>
            <w:r>
              <w:rPr>
                <w:rFonts w:hint="eastAsia" w:ascii="宋体" w:hAnsi="宋体"/>
                <w:color w:val="auto"/>
                <w:szCs w:val="21"/>
                <w:highlight w:val="none"/>
              </w:rPr>
              <w:t>台</w:t>
            </w:r>
          </w:p>
        </w:tc>
        <w:tc>
          <w:tcPr>
            <w:tcW w:w="925" w:type="dxa"/>
            <w:gridSpan w:val="3"/>
            <w:vAlign w:val="center"/>
          </w:tcPr>
          <w:p w14:paraId="4F72415C">
            <w:pPr>
              <w:widowControl/>
              <w:jc w:val="center"/>
              <w:textAlignment w:val="center"/>
              <w:rPr>
                <w:rFonts w:hint="eastAsia" w:ascii="宋体" w:hAnsi="宋体"/>
                <w:color w:val="auto"/>
                <w:szCs w:val="21"/>
                <w:highlight w:val="none"/>
              </w:rPr>
            </w:pPr>
            <w:r>
              <w:rPr>
                <w:rFonts w:hint="eastAsia" w:ascii="宋体" w:hAnsi="宋体"/>
                <w:color w:val="auto"/>
                <w:szCs w:val="21"/>
                <w:highlight w:val="none"/>
              </w:rPr>
              <w:t>1</w:t>
            </w:r>
          </w:p>
        </w:tc>
      </w:tr>
      <w:tr w14:paraId="777F18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20690A5E">
            <w:pPr>
              <w:widowControl/>
              <w:jc w:val="center"/>
              <w:textAlignment w:val="center"/>
              <w:rPr>
                <w:rFonts w:hint="eastAsia" w:ascii="宋体" w:hAnsi="宋体"/>
                <w:color w:val="auto"/>
                <w:szCs w:val="21"/>
                <w:highlight w:val="none"/>
              </w:rPr>
            </w:pPr>
            <w:r>
              <w:rPr>
                <w:rFonts w:hint="eastAsia" w:ascii="宋体" w:hAnsi="宋体" w:cstheme="minorEastAsia"/>
                <w:color w:val="auto"/>
                <w:kern w:val="0"/>
                <w:szCs w:val="21"/>
                <w:highlight w:val="none"/>
                <w:lang w:bidi="ar"/>
              </w:rPr>
              <w:t>17</w:t>
            </w:r>
          </w:p>
        </w:tc>
        <w:tc>
          <w:tcPr>
            <w:tcW w:w="1227" w:type="dxa"/>
            <w:vAlign w:val="center"/>
          </w:tcPr>
          <w:p w14:paraId="78BF8EB0">
            <w:pPr>
              <w:widowControl/>
              <w:jc w:val="center"/>
              <w:textAlignment w:val="center"/>
              <w:rPr>
                <w:rFonts w:hint="eastAsia" w:ascii="宋体" w:hAnsi="宋体"/>
                <w:color w:val="auto"/>
                <w:szCs w:val="21"/>
                <w:highlight w:val="none"/>
              </w:rPr>
            </w:pPr>
            <w:r>
              <w:rPr>
                <w:rFonts w:hint="eastAsia" w:ascii="宋体" w:hAnsi="宋体" w:cstheme="minorEastAsia"/>
                <w:color w:val="auto"/>
                <w:kern w:val="0"/>
                <w:szCs w:val="21"/>
                <w:highlight w:val="none"/>
                <w:lang w:bidi="ar"/>
              </w:rPr>
              <w:t>POE交换机</w:t>
            </w:r>
          </w:p>
        </w:tc>
        <w:tc>
          <w:tcPr>
            <w:tcW w:w="6167" w:type="dxa"/>
            <w:vAlign w:val="center"/>
          </w:tcPr>
          <w:p w14:paraId="67D1EE45">
            <w:pPr>
              <w:widowControl/>
              <w:jc w:val="left"/>
              <w:textAlignment w:val="top"/>
              <w:rPr>
                <w:rFonts w:hint="eastAsia" w:ascii="宋体" w:hAnsi="宋体"/>
                <w:color w:val="auto"/>
                <w:szCs w:val="21"/>
                <w:highlight w:val="none"/>
              </w:rPr>
            </w:pPr>
            <w:r>
              <w:rPr>
                <w:rFonts w:hint="eastAsia" w:ascii="宋体" w:hAnsi="宋体" w:cstheme="minorEastAsia"/>
                <w:color w:val="auto"/>
                <w:kern w:val="0"/>
                <w:szCs w:val="21"/>
                <w:highlight w:val="none"/>
                <w:lang w:bidi="ar"/>
              </w:rPr>
              <w:t>10口10/100/1000M自适应电口，支持标准802.11 af /at POE供电。</w:t>
            </w:r>
          </w:p>
        </w:tc>
        <w:tc>
          <w:tcPr>
            <w:tcW w:w="863" w:type="dxa"/>
            <w:gridSpan w:val="4"/>
            <w:vAlign w:val="center"/>
          </w:tcPr>
          <w:p w14:paraId="7BAEC27A">
            <w:pPr>
              <w:widowControl/>
              <w:jc w:val="center"/>
              <w:textAlignment w:val="center"/>
              <w:rPr>
                <w:rFonts w:hint="eastAsia" w:ascii="宋体" w:hAnsi="宋体"/>
                <w:color w:val="auto"/>
                <w:szCs w:val="21"/>
                <w:highlight w:val="none"/>
              </w:rPr>
            </w:pPr>
            <w:r>
              <w:rPr>
                <w:rFonts w:hint="eastAsia" w:ascii="宋体" w:hAnsi="宋体"/>
                <w:color w:val="auto"/>
                <w:szCs w:val="21"/>
                <w:highlight w:val="none"/>
              </w:rPr>
              <w:t>台</w:t>
            </w:r>
          </w:p>
        </w:tc>
        <w:tc>
          <w:tcPr>
            <w:tcW w:w="925" w:type="dxa"/>
            <w:gridSpan w:val="3"/>
            <w:vAlign w:val="center"/>
          </w:tcPr>
          <w:p w14:paraId="7A67B45C">
            <w:pPr>
              <w:widowControl/>
              <w:jc w:val="center"/>
              <w:textAlignment w:val="center"/>
              <w:rPr>
                <w:rFonts w:hint="eastAsia" w:ascii="宋体" w:hAnsi="宋体"/>
                <w:color w:val="auto"/>
                <w:szCs w:val="21"/>
                <w:highlight w:val="none"/>
              </w:rPr>
            </w:pPr>
            <w:r>
              <w:rPr>
                <w:rFonts w:hint="eastAsia" w:ascii="宋体" w:hAnsi="宋体"/>
                <w:color w:val="auto"/>
                <w:szCs w:val="21"/>
                <w:highlight w:val="none"/>
              </w:rPr>
              <w:t>1</w:t>
            </w:r>
          </w:p>
        </w:tc>
      </w:tr>
      <w:tr w14:paraId="7D1883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61ECC890">
            <w:pPr>
              <w:widowControl/>
              <w:jc w:val="center"/>
              <w:textAlignment w:val="center"/>
              <w:rPr>
                <w:rFonts w:hint="eastAsia" w:ascii="宋体" w:hAnsi="宋体"/>
                <w:color w:val="auto"/>
                <w:szCs w:val="21"/>
                <w:highlight w:val="none"/>
              </w:rPr>
            </w:pPr>
            <w:r>
              <w:rPr>
                <w:rFonts w:hint="eastAsia" w:ascii="宋体" w:hAnsi="宋体" w:cstheme="minorEastAsia"/>
                <w:color w:val="auto"/>
                <w:kern w:val="0"/>
                <w:szCs w:val="21"/>
                <w:highlight w:val="none"/>
                <w:lang w:bidi="ar"/>
              </w:rPr>
              <w:t>18</w:t>
            </w:r>
          </w:p>
        </w:tc>
        <w:tc>
          <w:tcPr>
            <w:tcW w:w="1227" w:type="dxa"/>
            <w:vAlign w:val="center"/>
          </w:tcPr>
          <w:p w14:paraId="53D7359F">
            <w:pPr>
              <w:widowControl/>
              <w:jc w:val="center"/>
              <w:textAlignment w:val="center"/>
              <w:rPr>
                <w:rFonts w:hint="eastAsia" w:ascii="宋体" w:hAnsi="宋体"/>
                <w:color w:val="auto"/>
                <w:szCs w:val="21"/>
                <w:highlight w:val="none"/>
              </w:rPr>
            </w:pPr>
            <w:r>
              <w:rPr>
                <w:rFonts w:hint="eastAsia" w:ascii="宋体" w:hAnsi="宋体" w:cstheme="minorEastAsia"/>
                <w:color w:val="auto"/>
                <w:kern w:val="0"/>
                <w:szCs w:val="21"/>
                <w:highlight w:val="none"/>
                <w:lang w:bidi="ar"/>
              </w:rPr>
              <w:t>观摩电视</w:t>
            </w:r>
          </w:p>
        </w:tc>
        <w:tc>
          <w:tcPr>
            <w:tcW w:w="6167" w:type="dxa"/>
            <w:vAlign w:val="center"/>
          </w:tcPr>
          <w:p w14:paraId="0230F187">
            <w:pPr>
              <w:widowControl/>
              <w:jc w:val="left"/>
              <w:textAlignment w:val="top"/>
              <w:rPr>
                <w:rFonts w:hint="eastAsia" w:ascii="宋体" w:hAnsi="宋体"/>
                <w:color w:val="auto"/>
                <w:szCs w:val="21"/>
                <w:highlight w:val="none"/>
              </w:rPr>
            </w:pPr>
            <w:r>
              <w:rPr>
                <w:rFonts w:hint="eastAsia" w:ascii="宋体" w:hAnsi="宋体" w:cstheme="minorEastAsia"/>
                <w:color w:val="auto"/>
                <w:kern w:val="0"/>
                <w:szCs w:val="21"/>
                <w:highlight w:val="none"/>
                <w:lang w:bidi="ar"/>
              </w:rPr>
              <w:t>55寸超薄液晶电视机，含壁挂支架。</w:t>
            </w:r>
          </w:p>
        </w:tc>
        <w:tc>
          <w:tcPr>
            <w:tcW w:w="863" w:type="dxa"/>
            <w:gridSpan w:val="4"/>
            <w:vAlign w:val="center"/>
          </w:tcPr>
          <w:p w14:paraId="2AAE7693">
            <w:pPr>
              <w:widowControl/>
              <w:jc w:val="center"/>
              <w:textAlignment w:val="center"/>
              <w:rPr>
                <w:rFonts w:hint="eastAsia" w:ascii="宋体" w:hAnsi="宋体"/>
                <w:color w:val="auto"/>
                <w:szCs w:val="21"/>
                <w:highlight w:val="none"/>
              </w:rPr>
            </w:pPr>
            <w:r>
              <w:rPr>
                <w:rFonts w:hint="eastAsia" w:ascii="宋体" w:hAnsi="宋体"/>
                <w:color w:val="auto"/>
                <w:szCs w:val="21"/>
                <w:highlight w:val="none"/>
              </w:rPr>
              <w:t>台</w:t>
            </w:r>
          </w:p>
        </w:tc>
        <w:tc>
          <w:tcPr>
            <w:tcW w:w="925" w:type="dxa"/>
            <w:gridSpan w:val="3"/>
            <w:vAlign w:val="center"/>
          </w:tcPr>
          <w:p w14:paraId="0207B788">
            <w:pPr>
              <w:widowControl/>
              <w:jc w:val="center"/>
              <w:textAlignment w:val="center"/>
              <w:rPr>
                <w:rFonts w:hint="eastAsia" w:ascii="宋体" w:hAnsi="宋体"/>
                <w:color w:val="auto"/>
                <w:szCs w:val="21"/>
                <w:highlight w:val="none"/>
              </w:rPr>
            </w:pPr>
            <w:r>
              <w:rPr>
                <w:rFonts w:hint="eastAsia" w:ascii="宋体" w:hAnsi="宋体"/>
                <w:color w:val="auto"/>
                <w:szCs w:val="21"/>
                <w:highlight w:val="none"/>
              </w:rPr>
              <w:t>2</w:t>
            </w:r>
          </w:p>
        </w:tc>
      </w:tr>
      <w:tr w14:paraId="4F0D22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307A581E">
            <w:pPr>
              <w:widowControl/>
              <w:jc w:val="center"/>
              <w:textAlignment w:val="center"/>
              <w:rPr>
                <w:rFonts w:hint="eastAsia" w:ascii="宋体" w:hAnsi="宋体"/>
                <w:color w:val="auto"/>
                <w:szCs w:val="21"/>
                <w:highlight w:val="none"/>
              </w:rPr>
            </w:pPr>
            <w:r>
              <w:rPr>
                <w:rFonts w:hint="eastAsia" w:ascii="宋体" w:hAnsi="宋体" w:cstheme="minorEastAsia"/>
                <w:color w:val="auto"/>
                <w:kern w:val="0"/>
                <w:szCs w:val="21"/>
                <w:highlight w:val="none"/>
                <w:lang w:bidi="ar"/>
              </w:rPr>
              <w:t>19</w:t>
            </w:r>
          </w:p>
        </w:tc>
        <w:tc>
          <w:tcPr>
            <w:tcW w:w="1227" w:type="dxa"/>
            <w:vAlign w:val="center"/>
          </w:tcPr>
          <w:p w14:paraId="6093365C">
            <w:pPr>
              <w:widowControl/>
              <w:jc w:val="center"/>
              <w:textAlignment w:val="center"/>
              <w:rPr>
                <w:rFonts w:hint="eastAsia" w:ascii="宋体" w:hAnsi="宋体"/>
                <w:color w:val="auto"/>
                <w:szCs w:val="21"/>
                <w:highlight w:val="none"/>
              </w:rPr>
            </w:pPr>
            <w:r>
              <w:rPr>
                <w:rFonts w:hint="eastAsia" w:ascii="宋体" w:hAnsi="宋体" w:cstheme="minorEastAsia"/>
                <w:color w:val="auto"/>
                <w:kern w:val="0"/>
                <w:szCs w:val="21"/>
                <w:highlight w:val="none"/>
                <w:lang w:bidi="ar"/>
              </w:rPr>
              <w:t>录播显示器</w:t>
            </w:r>
          </w:p>
        </w:tc>
        <w:tc>
          <w:tcPr>
            <w:tcW w:w="6167" w:type="dxa"/>
            <w:vAlign w:val="center"/>
          </w:tcPr>
          <w:p w14:paraId="0A9961DC">
            <w:pPr>
              <w:widowControl/>
              <w:jc w:val="left"/>
              <w:textAlignment w:val="top"/>
              <w:rPr>
                <w:rFonts w:hint="eastAsia" w:ascii="宋体" w:hAnsi="宋体"/>
                <w:color w:val="auto"/>
                <w:szCs w:val="21"/>
                <w:highlight w:val="none"/>
              </w:rPr>
            </w:pPr>
            <w:r>
              <w:rPr>
                <w:rFonts w:hint="eastAsia" w:ascii="宋体" w:hAnsi="宋体" w:cstheme="minorEastAsia"/>
                <w:color w:val="auto"/>
                <w:kern w:val="0"/>
                <w:szCs w:val="21"/>
                <w:highlight w:val="none"/>
                <w:lang w:bidi="ar"/>
              </w:rPr>
              <w:t>监视显示器，分辨率不低于1920*1080，显示屏尺寸不小于27寸</w:t>
            </w:r>
          </w:p>
        </w:tc>
        <w:tc>
          <w:tcPr>
            <w:tcW w:w="863" w:type="dxa"/>
            <w:gridSpan w:val="4"/>
            <w:vAlign w:val="center"/>
          </w:tcPr>
          <w:p w14:paraId="394BE0C1">
            <w:pPr>
              <w:widowControl/>
              <w:jc w:val="center"/>
              <w:textAlignment w:val="center"/>
              <w:rPr>
                <w:rFonts w:hint="eastAsia" w:ascii="宋体" w:hAnsi="宋体"/>
                <w:color w:val="auto"/>
                <w:szCs w:val="21"/>
                <w:highlight w:val="none"/>
              </w:rPr>
            </w:pPr>
            <w:r>
              <w:rPr>
                <w:rFonts w:hint="eastAsia" w:ascii="宋体" w:hAnsi="宋体"/>
                <w:color w:val="auto"/>
                <w:szCs w:val="21"/>
                <w:highlight w:val="none"/>
              </w:rPr>
              <w:t>台</w:t>
            </w:r>
          </w:p>
        </w:tc>
        <w:tc>
          <w:tcPr>
            <w:tcW w:w="925" w:type="dxa"/>
            <w:gridSpan w:val="3"/>
            <w:vAlign w:val="center"/>
          </w:tcPr>
          <w:p w14:paraId="2EFA2FEB">
            <w:pPr>
              <w:widowControl/>
              <w:jc w:val="center"/>
              <w:textAlignment w:val="center"/>
              <w:rPr>
                <w:rFonts w:hint="eastAsia" w:ascii="宋体" w:hAnsi="宋体"/>
                <w:color w:val="auto"/>
                <w:szCs w:val="21"/>
                <w:highlight w:val="none"/>
              </w:rPr>
            </w:pPr>
            <w:r>
              <w:rPr>
                <w:rFonts w:hint="eastAsia" w:ascii="宋体" w:hAnsi="宋体"/>
                <w:color w:val="auto"/>
                <w:szCs w:val="21"/>
                <w:highlight w:val="none"/>
              </w:rPr>
              <w:t>1</w:t>
            </w:r>
          </w:p>
        </w:tc>
      </w:tr>
      <w:tr w14:paraId="73506D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45E280E9">
            <w:pPr>
              <w:widowControl/>
              <w:jc w:val="center"/>
              <w:textAlignment w:val="center"/>
              <w:rPr>
                <w:rFonts w:hint="eastAsia" w:ascii="宋体" w:hAnsi="宋体"/>
                <w:color w:val="auto"/>
                <w:szCs w:val="21"/>
                <w:highlight w:val="none"/>
              </w:rPr>
            </w:pPr>
            <w:r>
              <w:rPr>
                <w:rFonts w:hint="eastAsia" w:ascii="宋体" w:hAnsi="宋体" w:cstheme="minorEastAsia"/>
                <w:color w:val="auto"/>
                <w:kern w:val="0"/>
                <w:szCs w:val="21"/>
                <w:highlight w:val="none"/>
                <w:lang w:bidi="ar"/>
              </w:rPr>
              <w:t>20</w:t>
            </w:r>
          </w:p>
        </w:tc>
        <w:tc>
          <w:tcPr>
            <w:tcW w:w="1227" w:type="dxa"/>
            <w:vAlign w:val="center"/>
          </w:tcPr>
          <w:p w14:paraId="1D784456">
            <w:pPr>
              <w:widowControl/>
              <w:jc w:val="center"/>
              <w:textAlignment w:val="center"/>
              <w:rPr>
                <w:rFonts w:hint="eastAsia" w:ascii="宋体" w:hAnsi="宋体"/>
                <w:color w:val="auto"/>
                <w:szCs w:val="21"/>
                <w:highlight w:val="none"/>
              </w:rPr>
            </w:pPr>
            <w:r>
              <w:rPr>
                <w:rFonts w:hint="eastAsia" w:ascii="宋体" w:hAnsi="宋体" w:cstheme="minorEastAsia"/>
                <w:color w:val="auto"/>
                <w:kern w:val="0"/>
                <w:szCs w:val="21"/>
                <w:highlight w:val="none"/>
                <w:lang w:bidi="ar"/>
              </w:rPr>
              <w:t>键鼠套装</w:t>
            </w:r>
          </w:p>
        </w:tc>
        <w:tc>
          <w:tcPr>
            <w:tcW w:w="6167" w:type="dxa"/>
            <w:vAlign w:val="center"/>
          </w:tcPr>
          <w:p w14:paraId="29E25AFB">
            <w:pPr>
              <w:widowControl/>
              <w:jc w:val="left"/>
              <w:textAlignment w:val="top"/>
              <w:rPr>
                <w:rFonts w:hint="eastAsia" w:ascii="宋体" w:hAnsi="宋体"/>
                <w:color w:val="auto"/>
                <w:szCs w:val="21"/>
                <w:highlight w:val="none"/>
              </w:rPr>
            </w:pPr>
            <w:r>
              <w:rPr>
                <w:rFonts w:hint="eastAsia" w:ascii="宋体" w:hAnsi="宋体" w:cstheme="minorEastAsia"/>
                <w:color w:val="auto"/>
                <w:kern w:val="0"/>
                <w:szCs w:val="21"/>
                <w:highlight w:val="none"/>
                <w:lang w:bidi="ar"/>
              </w:rPr>
              <w:t>无线键鼠套装</w:t>
            </w:r>
          </w:p>
        </w:tc>
        <w:tc>
          <w:tcPr>
            <w:tcW w:w="863" w:type="dxa"/>
            <w:gridSpan w:val="4"/>
            <w:vAlign w:val="center"/>
          </w:tcPr>
          <w:p w14:paraId="6BC90A73">
            <w:pPr>
              <w:widowControl/>
              <w:jc w:val="center"/>
              <w:textAlignment w:val="center"/>
              <w:rPr>
                <w:rFonts w:hint="eastAsia" w:ascii="宋体" w:hAnsi="宋体"/>
                <w:color w:val="auto"/>
                <w:szCs w:val="21"/>
                <w:highlight w:val="none"/>
              </w:rPr>
            </w:pPr>
            <w:r>
              <w:rPr>
                <w:rFonts w:hint="eastAsia" w:ascii="宋体" w:hAnsi="宋体"/>
                <w:color w:val="auto"/>
                <w:szCs w:val="21"/>
                <w:highlight w:val="none"/>
              </w:rPr>
              <w:t>套</w:t>
            </w:r>
          </w:p>
        </w:tc>
        <w:tc>
          <w:tcPr>
            <w:tcW w:w="925" w:type="dxa"/>
            <w:gridSpan w:val="3"/>
            <w:vAlign w:val="center"/>
          </w:tcPr>
          <w:p w14:paraId="1AA2D19E">
            <w:pPr>
              <w:widowControl/>
              <w:jc w:val="center"/>
              <w:textAlignment w:val="center"/>
              <w:rPr>
                <w:rFonts w:hint="eastAsia" w:ascii="宋体" w:hAnsi="宋体"/>
                <w:color w:val="auto"/>
                <w:szCs w:val="21"/>
                <w:highlight w:val="none"/>
              </w:rPr>
            </w:pPr>
            <w:r>
              <w:rPr>
                <w:rFonts w:hint="eastAsia" w:ascii="宋体" w:hAnsi="宋体"/>
                <w:color w:val="auto"/>
                <w:szCs w:val="21"/>
                <w:highlight w:val="none"/>
              </w:rPr>
              <w:t>1</w:t>
            </w:r>
          </w:p>
        </w:tc>
      </w:tr>
      <w:tr w14:paraId="21EFA2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6F7FA5BA">
            <w:pPr>
              <w:widowControl/>
              <w:jc w:val="center"/>
              <w:textAlignment w:val="center"/>
              <w:rPr>
                <w:rFonts w:hint="eastAsia" w:ascii="宋体" w:hAnsi="宋体"/>
                <w:color w:val="auto"/>
                <w:szCs w:val="21"/>
                <w:highlight w:val="none"/>
              </w:rPr>
            </w:pPr>
            <w:r>
              <w:rPr>
                <w:rFonts w:hint="eastAsia" w:ascii="宋体" w:hAnsi="宋体" w:cstheme="minorEastAsia"/>
                <w:color w:val="auto"/>
                <w:kern w:val="0"/>
                <w:szCs w:val="21"/>
                <w:highlight w:val="none"/>
                <w:lang w:bidi="ar"/>
              </w:rPr>
              <w:t>21</w:t>
            </w:r>
          </w:p>
        </w:tc>
        <w:tc>
          <w:tcPr>
            <w:tcW w:w="1227" w:type="dxa"/>
            <w:vAlign w:val="center"/>
          </w:tcPr>
          <w:p w14:paraId="0F05CBFB">
            <w:pPr>
              <w:widowControl/>
              <w:jc w:val="center"/>
              <w:textAlignment w:val="center"/>
              <w:rPr>
                <w:rFonts w:hint="eastAsia" w:ascii="宋体" w:hAnsi="宋体"/>
                <w:color w:val="auto"/>
                <w:szCs w:val="21"/>
                <w:highlight w:val="none"/>
              </w:rPr>
            </w:pPr>
            <w:r>
              <w:rPr>
                <w:rFonts w:hint="eastAsia" w:ascii="宋体" w:hAnsi="宋体" w:cstheme="minorEastAsia"/>
                <w:color w:val="auto"/>
                <w:kern w:val="0"/>
                <w:szCs w:val="21"/>
                <w:highlight w:val="none"/>
                <w:lang w:bidi="ar"/>
              </w:rPr>
              <w:t>机柜</w:t>
            </w:r>
          </w:p>
        </w:tc>
        <w:tc>
          <w:tcPr>
            <w:tcW w:w="6167" w:type="dxa"/>
            <w:vAlign w:val="center"/>
          </w:tcPr>
          <w:p w14:paraId="6C6F15F3">
            <w:pPr>
              <w:widowControl/>
              <w:jc w:val="left"/>
              <w:textAlignment w:val="top"/>
              <w:rPr>
                <w:rFonts w:hint="eastAsia" w:ascii="宋体" w:hAnsi="宋体"/>
                <w:color w:val="auto"/>
                <w:szCs w:val="21"/>
                <w:highlight w:val="none"/>
              </w:rPr>
            </w:pPr>
            <w:r>
              <w:rPr>
                <w:rFonts w:hint="eastAsia" w:ascii="宋体" w:hAnsi="宋体" w:cstheme="minorEastAsia"/>
                <w:color w:val="auto"/>
                <w:kern w:val="0"/>
                <w:szCs w:val="21"/>
                <w:highlight w:val="none"/>
                <w:lang w:bidi="ar"/>
              </w:rPr>
              <w:t>不小于22U，承载本项目内的设备堆叠。</w:t>
            </w:r>
          </w:p>
        </w:tc>
        <w:tc>
          <w:tcPr>
            <w:tcW w:w="863" w:type="dxa"/>
            <w:gridSpan w:val="4"/>
            <w:vAlign w:val="center"/>
          </w:tcPr>
          <w:p w14:paraId="7CAA0D33">
            <w:pPr>
              <w:widowControl/>
              <w:jc w:val="center"/>
              <w:textAlignment w:val="center"/>
              <w:rPr>
                <w:rFonts w:hint="eastAsia" w:ascii="宋体" w:hAnsi="宋体"/>
                <w:color w:val="auto"/>
                <w:szCs w:val="21"/>
                <w:highlight w:val="none"/>
              </w:rPr>
            </w:pPr>
            <w:r>
              <w:rPr>
                <w:rFonts w:hint="eastAsia" w:ascii="宋体" w:hAnsi="宋体"/>
                <w:color w:val="auto"/>
                <w:szCs w:val="21"/>
                <w:highlight w:val="none"/>
              </w:rPr>
              <w:t>台</w:t>
            </w:r>
          </w:p>
        </w:tc>
        <w:tc>
          <w:tcPr>
            <w:tcW w:w="925" w:type="dxa"/>
            <w:gridSpan w:val="3"/>
            <w:vAlign w:val="center"/>
          </w:tcPr>
          <w:p w14:paraId="22C95C88">
            <w:pPr>
              <w:widowControl/>
              <w:jc w:val="center"/>
              <w:textAlignment w:val="center"/>
              <w:rPr>
                <w:rFonts w:hint="eastAsia" w:ascii="宋体" w:hAnsi="宋体"/>
                <w:color w:val="auto"/>
                <w:szCs w:val="21"/>
                <w:highlight w:val="none"/>
              </w:rPr>
            </w:pPr>
            <w:r>
              <w:rPr>
                <w:rFonts w:hint="eastAsia" w:ascii="宋体" w:hAnsi="宋体"/>
                <w:color w:val="auto"/>
                <w:szCs w:val="21"/>
                <w:highlight w:val="none"/>
              </w:rPr>
              <w:t>1</w:t>
            </w:r>
          </w:p>
        </w:tc>
      </w:tr>
      <w:tr w14:paraId="123572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01437552">
            <w:pPr>
              <w:widowControl/>
              <w:jc w:val="center"/>
              <w:textAlignment w:val="center"/>
              <w:rPr>
                <w:rFonts w:hint="eastAsia" w:ascii="宋体" w:hAnsi="宋体"/>
                <w:color w:val="auto"/>
                <w:szCs w:val="21"/>
                <w:highlight w:val="none"/>
              </w:rPr>
            </w:pPr>
            <w:r>
              <w:rPr>
                <w:rFonts w:hint="eastAsia" w:ascii="宋体" w:hAnsi="宋体" w:cstheme="minorEastAsia"/>
                <w:color w:val="auto"/>
                <w:kern w:val="0"/>
                <w:szCs w:val="21"/>
                <w:highlight w:val="none"/>
                <w:lang w:bidi="ar"/>
              </w:rPr>
              <w:t>22</w:t>
            </w:r>
          </w:p>
        </w:tc>
        <w:tc>
          <w:tcPr>
            <w:tcW w:w="1227" w:type="dxa"/>
            <w:vAlign w:val="center"/>
          </w:tcPr>
          <w:p w14:paraId="13F88EE7">
            <w:pPr>
              <w:widowControl/>
              <w:jc w:val="center"/>
              <w:textAlignment w:val="center"/>
              <w:rPr>
                <w:rFonts w:hint="eastAsia" w:ascii="宋体" w:hAnsi="宋体"/>
                <w:color w:val="auto"/>
                <w:szCs w:val="21"/>
                <w:highlight w:val="none"/>
              </w:rPr>
            </w:pPr>
            <w:r>
              <w:rPr>
                <w:rFonts w:hint="eastAsia" w:ascii="宋体" w:hAnsi="宋体" w:cstheme="minorEastAsia"/>
                <w:color w:val="auto"/>
                <w:kern w:val="0"/>
                <w:szCs w:val="21"/>
                <w:highlight w:val="none"/>
                <w:lang w:bidi="ar"/>
              </w:rPr>
              <w:t>观摩桌椅</w:t>
            </w:r>
          </w:p>
        </w:tc>
        <w:tc>
          <w:tcPr>
            <w:tcW w:w="6167" w:type="dxa"/>
            <w:vAlign w:val="center"/>
          </w:tcPr>
          <w:p w14:paraId="418EEBAB">
            <w:pPr>
              <w:widowControl/>
              <w:jc w:val="left"/>
              <w:textAlignment w:val="top"/>
              <w:rPr>
                <w:rFonts w:hint="eastAsia" w:ascii="宋体" w:hAnsi="宋体"/>
                <w:color w:val="auto"/>
                <w:szCs w:val="21"/>
                <w:highlight w:val="none"/>
              </w:rPr>
            </w:pPr>
            <w:r>
              <w:rPr>
                <w:rFonts w:hint="eastAsia" w:ascii="宋体" w:hAnsi="宋体" w:cstheme="minorEastAsia"/>
                <w:color w:val="auto"/>
                <w:kern w:val="0"/>
                <w:szCs w:val="21"/>
                <w:highlight w:val="none"/>
                <w:lang w:bidi="ar"/>
              </w:rPr>
              <w:t>观摩教室桌椅</w:t>
            </w:r>
          </w:p>
        </w:tc>
        <w:tc>
          <w:tcPr>
            <w:tcW w:w="863" w:type="dxa"/>
            <w:gridSpan w:val="4"/>
            <w:vAlign w:val="center"/>
          </w:tcPr>
          <w:p w14:paraId="22F3C37F">
            <w:pPr>
              <w:widowControl/>
              <w:jc w:val="center"/>
              <w:textAlignment w:val="center"/>
              <w:rPr>
                <w:rFonts w:hint="eastAsia" w:ascii="宋体" w:hAnsi="宋体"/>
                <w:color w:val="auto"/>
                <w:szCs w:val="21"/>
                <w:highlight w:val="none"/>
              </w:rPr>
            </w:pPr>
            <w:r>
              <w:rPr>
                <w:rFonts w:hint="eastAsia" w:ascii="宋体" w:hAnsi="宋体"/>
                <w:color w:val="auto"/>
                <w:szCs w:val="21"/>
                <w:highlight w:val="none"/>
              </w:rPr>
              <w:t>个</w:t>
            </w:r>
          </w:p>
        </w:tc>
        <w:tc>
          <w:tcPr>
            <w:tcW w:w="925" w:type="dxa"/>
            <w:gridSpan w:val="3"/>
            <w:vAlign w:val="center"/>
          </w:tcPr>
          <w:p w14:paraId="7C9F9C20">
            <w:pPr>
              <w:widowControl/>
              <w:jc w:val="center"/>
              <w:textAlignment w:val="center"/>
              <w:rPr>
                <w:rFonts w:hint="eastAsia" w:ascii="宋体" w:hAnsi="宋体"/>
                <w:color w:val="auto"/>
                <w:szCs w:val="21"/>
                <w:highlight w:val="none"/>
              </w:rPr>
            </w:pPr>
            <w:r>
              <w:rPr>
                <w:rFonts w:hint="eastAsia" w:ascii="宋体" w:hAnsi="宋体"/>
                <w:color w:val="auto"/>
                <w:szCs w:val="21"/>
                <w:highlight w:val="none"/>
              </w:rPr>
              <w:t>5</w:t>
            </w:r>
          </w:p>
        </w:tc>
      </w:tr>
      <w:tr w14:paraId="0D847F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276E1B56">
            <w:pPr>
              <w:widowControl/>
              <w:jc w:val="center"/>
              <w:textAlignment w:val="center"/>
              <w:rPr>
                <w:rFonts w:hint="eastAsia" w:ascii="宋体" w:hAnsi="宋体"/>
                <w:color w:val="auto"/>
                <w:szCs w:val="21"/>
                <w:highlight w:val="none"/>
              </w:rPr>
            </w:pPr>
            <w:r>
              <w:rPr>
                <w:rFonts w:hint="eastAsia" w:ascii="宋体" w:hAnsi="宋体" w:cstheme="minorEastAsia"/>
                <w:color w:val="auto"/>
                <w:kern w:val="0"/>
                <w:szCs w:val="21"/>
                <w:highlight w:val="none"/>
                <w:lang w:bidi="ar"/>
              </w:rPr>
              <w:t>23</w:t>
            </w:r>
          </w:p>
        </w:tc>
        <w:tc>
          <w:tcPr>
            <w:tcW w:w="1227" w:type="dxa"/>
            <w:vAlign w:val="center"/>
          </w:tcPr>
          <w:p w14:paraId="461B6A4A">
            <w:pPr>
              <w:widowControl/>
              <w:jc w:val="center"/>
              <w:textAlignment w:val="center"/>
              <w:rPr>
                <w:rFonts w:hint="eastAsia" w:ascii="宋体" w:hAnsi="宋体"/>
                <w:color w:val="auto"/>
                <w:szCs w:val="21"/>
                <w:highlight w:val="none"/>
              </w:rPr>
            </w:pPr>
            <w:r>
              <w:rPr>
                <w:rFonts w:hint="eastAsia" w:ascii="宋体" w:hAnsi="宋体" w:cstheme="minorEastAsia"/>
                <w:color w:val="auto"/>
                <w:kern w:val="0"/>
                <w:szCs w:val="21"/>
                <w:highlight w:val="none"/>
                <w:lang w:bidi="ar"/>
              </w:rPr>
              <w:t>学生桌</w:t>
            </w:r>
          </w:p>
        </w:tc>
        <w:tc>
          <w:tcPr>
            <w:tcW w:w="6167" w:type="dxa"/>
            <w:vAlign w:val="center"/>
          </w:tcPr>
          <w:p w14:paraId="24C96DA1">
            <w:pPr>
              <w:pStyle w:val="53"/>
              <w:widowControl/>
              <w:numPr>
                <w:ilvl w:val="0"/>
                <w:numId w:val="290"/>
              </w:numPr>
              <w:spacing w:line="276" w:lineRule="auto"/>
              <w:ind w:firstLineChars="0"/>
              <w:jc w:val="left"/>
              <w:textAlignment w:val="center"/>
              <w:rPr>
                <w:rFonts w:hint="eastAsia" w:ascii="宋体" w:hAnsi="宋体" w:cstheme="minorEastAsia"/>
                <w:color w:val="auto"/>
                <w:kern w:val="0"/>
                <w:szCs w:val="21"/>
                <w:highlight w:val="none"/>
                <w:lang w:bidi="ar"/>
              </w:rPr>
            </w:pPr>
            <w:r>
              <w:rPr>
                <w:rFonts w:hint="eastAsia" w:ascii="宋体" w:hAnsi="宋体" w:cstheme="minorEastAsia"/>
                <w:color w:val="auto"/>
                <w:kern w:val="0"/>
                <w:szCs w:val="21"/>
                <w:highlight w:val="none"/>
                <w:lang w:bidi="ar"/>
              </w:rPr>
              <w:t>课桌：规格≥690mm*470mm*780mm。</w:t>
            </w:r>
          </w:p>
          <w:p w14:paraId="5E7F7DAC">
            <w:pPr>
              <w:pStyle w:val="53"/>
              <w:widowControl/>
              <w:numPr>
                <w:ilvl w:val="0"/>
                <w:numId w:val="290"/>
              </w:numPr>
              <w:spacing w:line="276" w:lineRule="auto"/>
              <w:ind w:firstLineChars="0"/>
              <w:jc w:val="left"/>
              <w:textAlignment w:val="center"/>
              <w:rPr>
                <w:rFonts w:hint="eastAsia" w:ascii="宋体" w:hAnsi="宋体" w:cstheme="minorEastAsia"/>
                <w:color w:val="auto"/>
                <w:kern w:val="0"/>
                <w:szCs w:val="21"/>
                <w:highlight w:val="none"/>
                <w:lang w:bidi="ar"/>
              </w:rPr>
            </w:pPr>
            <w:r>
              <w:rPr>
                <w:rFonts w:hint="eastAsia" w:ascii="宋体" w:hAnsi="宋体" w:cstheme="minorEastAsia"/>
                <w:color w:val="auto"/>
                <w:kern w:val="0"/>
                <w:szCs w:val="21"/>
                <w:highlight w:val="none"/>
                <w:lang w:bidi="ar"/>
              </w:rPr>
              <w:t>桌面板：1.材质：采用ABS耐撞击塑料一体注塑成型，2.尺寸：≥690mm*470mm*35mm，壁厚≥5mm。3.功能:（1）靠胸前处有一內弧造型设计，两侧有手臂支撑设计。</w:t>
            </w:r>
          </w:p>
          <w:p w14:paraId="5C051490">
            <w:pPr>
              <w:pStyle w:val="53"/>
              <w:widowControl/>
              <w:numPr>
                <w:ilvl w:val="0"/>
                <w:numId w:val="290"/>
              </w:numPr>
              <w:ind w:firstLineChars="0"/>
              <w:jc w:val="left"/>
              <w:textAlignment w:val="top"/>
              <w:rPr>
                <w:rFonts w:hint="eastAsia" w:ascii="宋体" w:hAnsi="宋体" w:cs="宋体"/>
                <w:color w:val="auto"/>
                <w:szCs w:val="21"/>
                <w:highlight w:val="none"/>
              </w:rPr>
            </w:pPr>
            <w:r>
              <w:rPr>
                <w:rFonts w:hint="eastAsia" w:ascii="宋体" w:hAnsi="宋体" w:cstheme="minorEastAsia"/>
                <w:color w:val="auto"/>
                <w:kern w:val="0"/>
                <w:szCs w:val="21"/>
                <w:highlight w:val="none"/>
                <w:lang w:bidi="ar"/>
              </w:rPr>
              <w:t>桌面内凹5mm±1mm设计，无藏污纳垢的凹槽及妨碍双手舒展的凸条，即可达到防止物品掉落的功能。</w:t>
            </w:r>
          </w:p>
          <w:p w14:paraId="49F2B36D">
            <w:pPr>
              <w:pStyle w:val="53"/>
              <w:widowControl/>
              <w:numPr>
                <w:ilvl w:val="0"/>
                <w:numId w:val="290"/>
              </w:numPr>
              <w:ind w:firstLineChars="0"/>
              <w:jc w:val="left"/>
              <w:textAlignment w:val="top"/>
              <w:rPr>
                <w:rFonts w:hint="eastAsia" w:ascii="宋体" w:hAnsi="宋体" w:cs="宋体"/>
                <w:color w:val="auto"/>
                <w:szCs w:val="21"/>
                <w:highlight w:val="none"/>
              </w:rPr>
            </w:pPr>
            <w:r>
              <w:rPr>
                <w:rFonts w:hint="eastAsia" w:ascii="宋体" w:hAnsi="宋体" w:cstheme="minorEastAsia"/>
                <w:color w:val="auto"/>
                <w:kern w:val="0"/>
                <w:szCs w:val="21"/>
                <w:highlight w:val="none"/>
                <w:lang w:bidi="ar"/>
              </w:rPr>
              <w:t>附加设计：面板底部有強化承重之设计，嵌入两根≥15mm*30mm的方管。</w:t>
            </w:r>
          </w:p>
          <w:p w14:paraId="7EDA31A3">
            <w:pPr>
              <w:pStyle w:val="53"/>
              <w:widowControl/>
              <w:numPr>
                <w:ilvl w:val="0"/>
                <w:numId w:val="290"/>
              </w:numPr>
              <w:ind w:firstLineChars="0"/>
              <w:jc w:val="left"/>
              <w:textAlignment w:val="top"/>
              <w:rPr>
                <w:rFonts w:hint="eastAsia" w:ascii="宋体" w:hAnsi="宋体" w:cs="宋体"/>
                <w:color w:val="auto"/>
                <w:szCs w:val="21"/>
                <w:highlight w:val="none"/>
              </w:rPr>
            </w:pPr>
            <w:r>
              <w:rPr>
                <w:rFonts w:hint="eastAsia" w:ascii="宋体" w:hAnsi="宋体" w:cstheme="minorEastAsia"/>
                <w:color w:val="auto"/>
                <w:kern w:val="0"/>
                <w:szCs w:val="21"/>
                <w:highlight w:val="none"/>
                <w:lang w:bidi="ar"/>
              </w:rPr>
              <w:t>桌面托撑采用≥3.0mm厚的钢板冲压成型，焊接≥∮6mm钢筋U型书包挂钩。</w:t>
            </w:r>
          </w:p>
          <w:p w14:paraId="13AF40A4">
            <w:pPr>
              <w:pStyle w:val="53"/>
              <w:widowControl/>
              <w:numPr>
                <w:ilvl w:val="0"/>
                <w:numId w:val="290"/>
              </w:numPr>
              <w:ind w:firstLineChars="0"/>
              <w:jc w:val="left"/>
              <w:textAlignment w:val="top"/>
              <w:rPr>
                <w:rFonts w:hint="eastAsia" w:ascii="宋体" w:hAnsi="宋体" w:cs="宋体"/>
                <w:color w:val="auto"/>
                <w:szCs w:val="21"/>
                <w:highlight w:val="none"/>
              </w:rPr>
            </w:pPr>
            <w:r>
              <w:rPr>
                <w:rFonts w:hint="eastAsia" w:ascii="宋体" w:hAnsi="宋体" w:cstheme="minorEastAsia"/>
                <w:color w:val="auto"/>
                <w:kern w:val="0"/>
                <w:szCs w:val="21"/>
                <w:highlight w:val="none"/>
                <w:lang w:bidi="ar"/>
              </w:rPr>
              <w:t>桌斗：尺寸为≥（长）550mm×330mm（宽）×180mm（高），采用≥0.8mm厚度的钢板一次冲压成型，边沿卷不小于直径10mm圆形加强筋，桌斗底冲压两道长方形加强筋。</w:t>
            </w:r>
          </w:p>
          <w:p w14:paraId="454F81F5">
            <w:pPr>
              <w:pStyle w:val="53"/>
              <w:widowControl/>
              <w:numPr>
                <w:ilvl w:val="0"/>
                <w:numId w:val="290"/>
              </w:numPr>
              <w:ind w:firstLineChars="0"/>
              <w:jc w:val="left"/>
              <w:textAlignment w:val="top"/>
              <w:rPr>
                <w:rFonts w:hint="eastAsia" w:ascii="宋体" w:hAnsi="宋体" w:cs="宋体"/>
                <w:color w:val="auto"/>
                <w:szCs w:val="21"/>
                <w:highlight w:val="none"/>
              </w:rPr>
            </w:pPr>
            <w:r>
              <w:rPr>
                <w:rFonts w:hint="eastAsia" w:ascii="宋体" w:hAnsi="宋体" w:cstheme="minorEastAsia"/>
                <w:color w:val="auto"/>
                <w:kern w:val="0"/>
                <w:szCs w:val="21"/>
                <w:highlight w:val="none"/>
                <w:lang w:bidi="ar"/>
              </w:rPr>
              <w:t>钢架：1.材质及形状：眼睛管及方形钢管，采用满焊焊接，桌腿采用≥50mm*30mm*1.8mm眼睛管经数控弯管机弯曲成型；拉撑采用≥50mm*30mm*1.5mm眼睛管；外观尺寸±偏差值不得大于1mm</w:t>
            </w:r>
          </w:p>
          <w:p w14:paraId="16397E8E">
            <w:pPr>
              <w:pStyle w:val="53"/>
              <w:widowControl/>
              <w:numPr>
                <w:ilvl w:val="0"/>
                <w:numId w:val="290"/>
              </w:numPr>
              <w:ind w:firstLineChars="0"/>
              <w:jc w:val="left"/>
              <w:textAlignment w:val="top"/>
              <w:rPr>
                <w:rFonts w:hint="eastAsia" w:ascii="宋体" w:hAnsi="宋体" w:cs="宋体"/>
                <w:color w:val="auto"/>
                <w:szCs w:val="21"/>
                <w:highlight w:val="none"/>
              </w:rPr>
            </w:pPr>
            <w:r>
              <w:rPr>
                <w:rFonts w:hint="eastAsia" w:ascii="宋体" w:hAnsi="宋体" w:cstheme="minorEastAsia"/>
                <w:color w:val="auto"/>
                <w:kern w:val="0"/>
                <w:szCs w:val="21"/>
                <w:highlight w:val="none"/>
                <w:lang w:bidi="ar"/>
              </w:rPr>
              <w:t>表面涂装：表面经酸洗、脱脂、磷化处理，耐腐蚀、防锈。外表采一级颗粒粉末，经高温粉体固化，附着力强，不脱漆。涂层需无漏喷、锈蚀；涂层需光滑均匀，色泽一致，长时间使用也不会产生表面漆剥落现象。</w:t>
            </w:r>
          </w:p>
          <w:p w14:paraId="36B8CC4D">
            <w:pPr>
              <w:pStyle w:val="53"/>
              <w:widowControl/>
              <w:numPr>
                <w:ilvl w:val="0"/>
                <w:numId w:val="290"/>
              </w:numPr>
              <w:ind w:firstLineChars="0"/>
              <w:jc w:val="left"/>
              <w:textAlignment w:val="top"/>
              <w:rPr>
                <w:rFonts w:hint="eastAsia" w:ascii="宋体" w:hAnsi="宋体" w:cs="宋体"/>
                <w:color w:val="auto"/>
                <w:szCs w:val="21"/>
                <w:highlight w:val="none"/>
              </w:rPr>
            </w:pPr>
            <w:r>
              <w:rPr>
                <w:rFonts w:hint="eastAsia" w:ascii="宋体" w:hAnsi="宋体" w:cstheme="minorEastAsia"/>
                <w:color w:val="auto"/>
                <w:kern w:val="0"/>
                <w:szCs w:val="21"/>
                <w:highlight w:val="none"/>
                <w:lang w:bidi="ar"/>
              </w:rPr>
              <w:t>脚垫：采用PA塑料。</w:t>
            </w:r>
          </w:p>
        </w:tc>
        <w:tc>
          <w:tcPr>
            <w:tcW w:w="863" w:type="dxa"/>
            <w:gridSpan w:val="4"/>
            <w:vAlign w:val="center"/>
          </w:tcPr>
          <w:p w14:paraId="6A828115">
            <w:pPr>
              <w:widowControl/>
              <w:jc w:val="center"/>
              <w:textAlignment w:val="center"/>
              <w:rPr>
                <w:rFonts w:hint="eastAsia" w:ascii="宋体" w:hAnsi="宋体"/>
                <w:color w:val="auto"/>
                <w:szCs w:val="21"/>
                <w:highlight w:val="none"/>
              </w:rPr>
            </w:pPr>
            <w:r>
              <w:rPr>
                <w:rFonts w:hint="eastAsia" w:ascii="宋体" w:hAnsi="宋体"/>
                <w:color w:val="auto"/>
                <w:szCs w:val="21"/>
                <w:highlight w:val="none"/>
              </w:rPr>
              <w:t>张</w:t>
            </w:r>
          </w:p>
        </w:tc>
        <w:tc>
          <w:tcPr>
            <w:tcW w:w="925" w:type="dxa"/>
            <w:gridSpan w:val="3"/>
            <w:vAlign w:val="center"/>
          </w:tcPr>
          <w:p w14:paraId="2B9EFE0A">
            <w:pPr>
              <w:widowControl/>
              <w:jc w:val="center"/>
              <w:textAlignment w:val="center"/>
              <w:rPr>
                <w:rFonts w:hint="eastAsia" w:ascii="宋体" w:hAnsi="宋体"/>
                <w:color w:val="auto"/>
                <w:szCs w:val="21"/>
                <w:highlight w:val="none"/>
              </w:rPr>
            </w:pPr>
            <w:r>
              <w:rPr>
                <w:rFonts w:hint="eastAsia" w:ascii="宋体" w:hAnsi="宋体"/>
                <w:color w:val="auto"/>
                <w:szCs w:val="21"/>
                <w:highlight w:val="none"/>
              </w:rPr>
              <w:t>48</w:t>
            </w:r>
          </w:p>
        </w:tc>
      </w:tr>
      <w:tr w14:paraId="27A0F4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2F158E1C">
            <w:pPr>
              <w:widowControl/>
              <w:jc w:val="center"/>
              <w:textAlignment w:val="center"/>
              <w:rPr>
                <w:rFonts w:hint="eastAsia" w:ascii="宋体" w:hAnsi="宋体"/>
                <w:color w:val="auto"/>
                <w:szCs w:val="21"/>
                <w:highlight w:val="none"/>
              </w:rPr>
            </w:pPr>
            <w:r>
              <w:rPr>
                <w:rFonts w:hint="eastAsia" w:ascii="宋体" w:hAnsi="宋体" w:cstheme="minorEastAsia"/>
                <w:color w:val="auto"/>
                <w:kern w:val="0"/>
                <w:szCs w:val="21"/>
                <w:highlight w:val="none"/>
                <w:lang w:bidi="ar"/>
              </w:rPr>
              <w:t>24</w:t>
            </w:r>
          </w:p>
        </w:tc>
        <w:tc>
          <w:tcPr>
            <w:tcW w:w="1227" w:type="dxa"/>
            <w:vAlign w:val="center"/>
          </w:tcPr>
          <w:p w14:paraId="68F9A4C8">
            <w:pPr>
              <w:widowControl/>
              <w:jc w:val="center"/>
              <w:textAlignment w:val="center"/>
              <w:rPr>
                <w:rFonts w:hint="eastAsia" w:ascii="宋体" w:hAnsi="宋体"/>
                <w:color w:val="auto"/>
                <w:szCs w:val="21"/>
                <w:highlight w:val="none"/>
              </w:rPr>
            </w:pPr>
            <w:r>
              <w:rPr>
                <w:rFonts w:hint="eastAsia" w:ascii="宋体" w:hAnsi="宋体" w:cstheme="minorEastAsia"/>
                <w:color w:val="auto"/>
                <w:kern w:val="0"/>
                <w:szCs w:val="21"/>
                <w:highlight w:val="none"/>
                <w:lang w:bidi="ar"/>
              </w:rPr>
              <w:t>学生椅</w:t>
            </w:r>
          </w:p>
        </w:tc>
        <w:tc>
          <w:tcPr>
            <w:tcW w:w="6167" w:type="dxa"/>
            <w:vAlign w:val="center"/>
          </w:tcPr>
          <w:p w14:paraId="4C3379FA">
            <w:pPr>
              <w:pStyle w:val="53"/>
              <w:widowControl/>
              <w:numPr>
                <w:ilvl w:val="0"/>
                <w:numId w:val="291"/>
              </w:numPr>
              <w:ind w:firstLineChars="0"/>
              <w:jc w:val="left"/>
              <w:textAlignment w:val="top"/>
              <w:rPr>
                <w:rFonts w:hint="eastAsia" w:ascii="宋体" w:hAnsi="宋体" w:cs="宋体"/>
                <w:color w:val="auto"/>
                <w:szCs w:val="21"/>
                <w:highlight w:val="none"/>
              </w:rPr>
            </w:pPr>
            <w:r>
              <w:rPr>
                <w:rFonts w:hint="eastAsia" w:ascii="宋体" w:hAnsi="宋体" w:cstheme="minorEastAsia"/>
                <w:color w:val="auto"/>
                <w:kern w:val="0"/>
                <w:szCs w:val="21"/>
                <w:highlight w:val="none"/>
                <w:lang w:bidi="ar"/>
              </w:rPr>
              <w:t>课椅：座高≥450mm。</w:t>
            </w:r>
          </w:p>
          <w:p w14:paraId="6DDB462E">
            <w:pPr>
              <w:pStyle w:val="53"/>
              <w:widowControl/>
              <w:numPr>
                <w:ilvl w:val="0"/>
                <w:numId w:val="291"/>
              </w:numPr>
              <w:ind w:firstLineChars="0"/>
              <w:jc w:val="left"/>
              <w:textAlignment w:val="top"/>
              <w:rPr>
                <w:rFonts w:hint="eastAsia" w:ascii="宋体" w:hAnsi="宋体" w:cs="宋体"/>
                <w:color w:val="auto"/>
                <w:szCs w:val="21"/>
                <w:highlight w:val="none"/>
              </w:rPr>
            </w:pPr>
            <w:r>
              <w:rPr>
                <w:rFonts w:hint="eastAsia" w:ascii="宋体" w:hAnsi="宋体" w:cstheme="minorEastAsia"/>
                <w:color w:val="auto"/>
                <w:kern w:val="0"/>
                <w:szCs w:val="21"/>
                <w:highlight w:val="none"/>
                <w:lang w:bidi="ar"/>
              </w:rPr>
              <w:t>靠背：1.材质：采用PP耐冲击塑料一体注塑成型。2.尺寸：</w:t>
            </w:r>
            <w:r>
              <w:rPr>
                <w:rFonts w:hint="eastAsia" w:ascii="宋体" w:hAnsi="宋体" w:cs="宋体"/>
                <w:color w:val="auto"/>
                <w:kern w:val="0"/>
                <w:szCs w:val="21"/>
                <w:highlight w:val="none"/>
                <w:lang w:bidi="ar"/>
              </w:rPr>
              <w:t>靠背规格</w:t>
            </w:r>
            <w:r>
              <w:rPr>
                <w:rFonts w:hint="eastAsia" w:ascii="宋体" w:hAnsi="宋体" w:cstheme="minorEastAsia"/>
                <w:color w:val="auto"/>
                <w:kern w:val="0"/>
                <w:szCs w:val="21"/>
                <w:highlight w:val="none"/>
                <w:lang w:bidi="ar"/>
              </w:rPr>
              <w:t>≥</w:t>
            </w:r>
            <w:r>
              <w:rPr>
                <w:rFonts w:hint="eastAsia" w:ascii="宋体" w:hAnsi="宋体" w:cs="宋体"/>
                <w:color w:val="auto"/>
                <w:kern w:val="0"/>
                <w:szCs w:val="21"/>
                <w:highlight w:val="none"/>
                <w:lang w:bidi="ar"/>
              </w:rPr>
              <w:t>340mm*390mm</w:t>
            </w:r>
            <w:r>
              <w:rPr>
                <w:rFonts w:hint="eastAsia" w:ascii="宋体" w:hAnsi="宋体" w:cstheme="minorEastAsia"/>
                <w:color w:val="auto"/>
                <w:kern w:val="0"/>
                <w:szCs w:val="21"/>
                <w:highlight w:val="none"/>
                <w:lang w:bidi="ar"/>
              </w:rPr>
              <w:t>。 3.靠背中间有≥50mm±5mm内凹式曲线弧度设计，能很好的支撑着学生的背部脊椎，使其免于侧弯，靠背须有最小直径5mm±1mm至最大长16mm*宽5mm±1mm椭圆形通风孔。</w:t>
            </w:r>
          </w:p>
          <w:p w14:paraId="1020552A">
            <w:pPr>
              <w:pStyle w:val="53"/>
              <w:widowControl/>
              <w:numPr>
                <w:ilvl w:val="0"/>
                <w:numId w:val="291"/>
              </w:numPr>
              <w:ind w:firstLineChars="0"/>
              <w:jc w:val="left"/>
              <w:textAlignment w:val="top"/>
              <w:rPr>
                <w:rFonts w:hint="eastAsia" w:ascii="宋体" w:hAnsi="宋体" w:cs="宋体"/>
                <w:color w:val="auto"/>
                <w:szCs w:val="21"/>
                <w:highlight w:val="none"/>
              </w:rPr>
            </w:pPr>
            <w:r>
              <w:rPr>
                <w:rFonts w:hint="eastAsia" w:ascii="宋体" w:hAnsi="宋体" w:cstheme="minorEastAsia"/>
                <w:color w:val="auto"/>
                <w:kern w:val="0"/>
                <w:szCs w:val="21"/>
                <w:highlight w:val="none"/>
                <w:lang w:bidi="ar"/>
              </w:rPr>
              <w:t>功能：椅背背面设计有把手功能部件、方便提拿，同时也是挂钩功能，可挂书包、衣服等。</w:t>
            </w:r>
          </w:p>
          <w:p w14:paraId="436FE8E0">
            <w:pPr>
              <w:pStyle w:val="53"/>
              <w:widowControl/>
              <w:numPr>
                <w:ilvl w:val="0"/>
                <w:numId w:val="291"/>
              </w:numPr>
              <w:ind w:firstLineChars="0"/>
              <w:jc w:val="left"/>
              <w:textAlignment w:val="top"/>
              <w:rPr>
                <w:rFonts w:hint="eastAsia" w:ascii="宋体" w:hAnsi="宋体" w:cs="宋体"/>
                <w:color w:val="auto"/>
                <w:szCs w:val="21"/>
                <w:highlight w:val="none"/>
              </w:rPr>
            </w:pPr>
            <w:r>
              <w:rPr>
                <w:rFonts w:hint="eastAsia" w:ascii="宋体" w:hAnsi="宋体" w:cstheme="minorEastAsia"/>
                <w:color w:val="auto"/>
                <w:kern w:val="0"/>
                <w:szCs w:val="21"/>
                <w:highlight w:val="none"/>
                <w:lang w:bidi="ar"/>
              </w:rPr>
              <w:t>坐垫：1.材质：采用PP耐冲击塑料一体注塑成型。2.尺寸：≥415mm×380mm±10mm。 3.椅面采用人体工程学设计，坐垫中间有≥45mm±5mm内凹式设计，坐垫前端需有波浪形加瀑布型设计，能让学生整个臀部坐在内凹处，借此可分散上半身的所有重量，椅面需有最小直径≥5mm±1mm至最大长16mm*宽5mm±1mm椭圆形通风孔。</w:t>
            </w:r>
          </w:p>
          <w:p w14:paraId="3745B131">
            <w:pPr>
              <w:pStyle w:val="53"/>
              <w:widowControl/>
              <w:numPr>
                <w:ilvl w:val="0"/>
                <w:numId w:val="291"/>
              </w:numPr>
              <w:ind w:firstLineChars="0"/>
              <w:jc w:val="left"/>
              <w:textAlignment w:val="top"/>
              <w:rPr>
                <w:rFonts w:hint="eastAsia" w:ascii="宋体" w:hAnsi="宋体" w:cs="宋体"/>
                <w:color w:val="auto"/>
                <w:szCs w:val="21"/>
                <w:highlight w:val="none"/>
              </w:rPr>
            </w:pPr>
            <w:r>
              <w:rPr>
                <w:rFonts w:hint="eastAsia" w:ascii="宋体" w:hAnsi="宋体" w:cstheme="minorEastAsia"/>
                <w:color w:val="auto"/>
                <w:kern w:val="0"/>
                <w:szCs w:val="21"/>
                <w:highlight w:val="none"/>
                <w:lang w:bidi="ar"/>
              </w:rPr>
              <w:t>椅架：1.材质及形状：眼睛管及鱼眼管。采用满焊焊接。</w:t>
            </w:r>
            <w:r>
              <w:rPr>
                <w:rFonts w:hint="eastAsia" w:ascii="宋体" w:hAnsi="宋体" w:cstheme="minorEastAsia"/>
                <w:color w:val="auto"/>
                <w:kern w:val="0"/>
                <w:szCs w:val="21"/>
                <w:highlight w:val="none"/>
                <w:lang w:bidi="ar"/>
              </w:rPr>
              <w:br w:type="textWrapping"/>
            </w:r>
            <w:r>
              <w:rPr>
                <w:rFonts w:hint="eastAsia" w:ascii="宋体" w:hAnsi="宋体" w:cstheme="minorEastAsia"/>
                <w:color w:val="auto"/>
                <w:kern w:val="0"/>
                <w:szCs w:val="21"/>
                <w:highlight w:val="none"/>
                <w:lang w:bidi="ar"/>
              </w:rPr>
              <w:t xml:space="preserve">      2.管材直径尺寸：椅腿≥50mm*30mm*2.0mm眼睛管经数控弯管机弯曲成型，拉杆为≥50mm*宽30mm±1mm*厚1.5mm鱼眼管，外观尺寸±偏差值不得大于1mm。</w:t>
            </w:r>
          </w:p>
          <w:p w14:paraId="07AB7A26">
            <w:pPr>
              <w:pStyle w:val="53"/>
              <w:widowControl/>
              <w:numPr>
                <w:ilvl w:val="0"/>
                <w:numId w:val="291"/>
              </w:numPr>
              <w:ind w:firstLineChars="0"/>
              <w:jc w:val="left"/>
              <w:textAlignment w:val="top"/>
              <w:rPr>
                <w:rFonts w:hint="eastAsia" w:ascii="宋体" w:hAnsi="宋体" w:cs="宋体"/>
                <w:color w:val="auto"/>
                <w:szCs w:val="21"/>
                <w:highlight w:val="none"/>
              </w:rPr>
            </w:pPr>
            <w:r>
              <w:rPr>
                <w:rFonts w:hint="eastAsia" w:ascii="宋体" w:hAnsi="宋体" w:cstheme="minorEastAsia"/>
                <w:color w:val="auto"/>
                <w:kern w:val="0"/>
                <w:szCs w:val="21"/>
                <w:highlight w:val="none"/>
                <w:lang w:bidi="ar"/>
              </w:rPr>
              <w:t>座高高度：座高≥450m±10mm。</w:t>
            </w:r>
          </w:p>
          <w:p w14:paraId="5879B302">
            <w:pPr>
              <w:pStyle w:val="53"/>
              <w:widowControl/>
              <w:numPr>
                <w:ilvl w:val="0"/>
                <w:numId w:val="291"/>
              </w:numPr>
              <w:ind w:firstLineChars="0"/>
              <w:jc w:val="left"/>
              <w:textAlignment w:val="top"/>
              <w:rPr>
                <w:rFonts w:hint="eastAsia" w:ascii="宋体" w:hAnsi="宋体" w:cs="宋体"/>
                <w:color w:val="auto"/>
                <w:szCs w:val="21"/>
                <w:highlight w:val="none"/>
              </w:rPr>
            </w:pPr>
            <w:r>
              <w:rPr>
                <w:rFonts w:hint="eastAsia" w:ascii="宋体" w:hAnsi="宋体" w:cstheme="minorEastAsia"/>
                <w:color w:val="auto"/>
                <w:kern w:val="0"/>
                <w:szCs w:val="21"/>
                <w:highlight w:val="none"/>
                <w:lang w:bidi="ar"/>
              </w:rPr>
              <w:t>表面涂装：钢管架焊接完成后，经高温粉体烤漆。</w:t>
            </w:r>
          </w:p>
          <w:p w14:paraId="4FD53E33">
            <w:pPr>
              <w:pStyle w:val="53"/>
              <w:widowControl/>
              <w:numPr>
                <w:ilvl w:val="0"/>
                <w:numId w:val="291"/>
              </w:numPr>
              <w:ind w:firstLineChars="0"/>
              <w:jc w:val="left"/>
              <w:textAlignment w:val="top"/>
              <w:rPr>
                <w:rFonts w:hint="eastAsia" w:ascii="宋体" w:hAnsi="宋体" w:cs="宋体"/>
                <w:color w:val="auto"/>
                <w:szCs w:val="21"/>
                <w:highlight w:val="none"/>
              </w:rPr>
            </w:pPr>
            <w:r>
              <w:rPr>
                <w:rFonts w:hint="eastAsia" w:ascii="宋体" w:hAnsi="宋体" w:cstheme="minorEastAsia"/>
                <w:color w:val="auto"/>
                <w:kern w:val="0"/>
                <w:szCs w:val="21"/>
                <w:highlight w:val="none"/>
                <w:lang w:bidi="ar"/>
              </w:rPr>
              <w:t xml:space="preserve">脚垫：采用PA塑料。 </w:t>
            </w:r>
          </w:p>
        </w:tc>
        <w:tc>
          <w:tcPr>
            <w:tcW w:w="863" w:type="dxa"/>
            <w:gridSpan w:val="4"/>
            <w:vAlign w:val="center"/>
          </w:tcPr>
          <w:p w14:paraId="42C008A3">
            <w:pPr>
              <w:widowControl/>
              <w:jc w:val="center"/>
              <w:textAlignment w:val="center"/>
              <w:rPr>
                <w:rFonts w:hint="eastAsia" w:ascii="宋体" w:hAnsi="宋体"/>
                <w:color w:val="auto"/>
                <w:szCs w:val="21"/>
                <w:highlight w:val="none"/>
              </w:rPr>
            </w:pPr>
            <w:r>
              <w:rPr>
                <w:rFonts w:hint="eastAsia" w:ascii="宋体" w:hAnsi="宋体"/>
                <w:color w:val="auto"/>
                <w:szCs w:val="21"/>
                <w:highlight w:val="none"/>
              </w:rPr>
              <w:t>把</w:t>
            </w:r>
          </w:p>
        </w:tc>
        <w:tc>
          <w:tcPr>
            <w:tcW w:w="925" w:type="dxa"/>
            <w:gridSpan w:val="3"/>
            <w:vAlign w:val="center"/>
          </w:tcPr>
          <w:p w14:paraId="5C183473">
            <w:pPr>
              <w:widowControl/>
              <w:jc w:val="center"/>
              <w:textAlignment w:val="center"/>
              <w:rPr>
                <w:rFonts w:hint="eastAsia" w:ascii="宋体" w:hAnsi="宋体"/>
                <w:color w:val="auto"/>
                <w:szCs w:val="21"/>
                <w:highlight w:val="none"/>
              </w:rPr>
            </w:pPr>
            <w:r>
              <w:rPr>
                <w:rFonts w:hint="eastAsia" w:ascii="宋体" w:hAnsi="宋体"/>
                <w:color w:val="auto"/>
                <w:szCs w:val="21"/>
                <w:highlight w:val="none"/>
              </w:rPr>
              <w:t>48</w:t>
            </w:r>
          </w:p>
        </w:tc>
      </w:tr>
      <w:tr w14:paraId="28F2CD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64CE9CFE">
            <w:pPr>
              <w:widowControl/>
              <w:jc w:val="center"/>
              <w:textAlignment w:val="center"/>
              <w:rPr>
                <w:rFonts w:hint="eastAsia" w:ascii="宋体" w:hAnsi="宋体"/>
                <w:color w:val="auto"/>
                <w:szCs w:val="21"/>
                <w:highlight w:val="none"/>
              </w:rPr>
            </w:pPr>
            <w:r>
              <w:rPr>
                <w:rFonts w:hint="eastAsia" w:ascii="宋体" w:hAnsi="宋体" w:cstheme="minorEastAsia"/>
                <w:color w:val="auto"/>
                <w:kern w:val="0"/>
                <w:szCs w:val="21"/>
                <w:highlight w:val="none"/>
                <w:lang w:bidi="ar"/>
              </w:rPr>
              <w:t>25</w:t>
            </w:r>
          </w:p>
        </w:tc>
        <w:tc>
          <w:tcPr>
            <w:tcW w:w="1227" w:type="dxa"/>
            <w:vAlign w:val="center"/>
          </w:tcPr>
          <w:p w14:paraId="6569A579">
            <w:pPr>
              <w:widowControl/>
              <w:jc w:val="center"/>
              <w:textAlignment w:val="center"/>
              <w:rPr>
                <w:rFonts w:hint="eastAsia" w:ascii="宋体" w:hAnsi="宋体"/>
                <w:color w:val="auto"/>
                <w:szCs w:val="21"/>
                <w:highlight w:val="none"/>
              </w:rPr>
            </w:pPr>
            <w:r>
              <w:rPr>
                <w:rFonts w:hint="eastAsia" w:ascii="宋体" w:hAnsi="宋体" w:cstheme="minorEastAsia"/>
                <w:color w:val="auto"/>
                <w:kern w:val="0"/>
                <w:szCs w:val="21"/>
                <w:highlight w:val="none"/>
                <w:lang w:bidi="ar"/>
              </w:rPr>
              <w:t>讲台</w:t>
            </w:r>
          </w:p>
        </w:tc>
        <w:tc>
          <w:tcPr>
            <w:tcW w:w="6167" w:type="dxa"/>
            <w:vAlign w:val="center"/>
          </w:tcPr>
          <w:p w14:paraId="20FDEDB3">
            <w:pPr>
              <w:pStyle w:val="53"/>
              <w:widowControl/>
              <w:numPr>
                <w:ilvl w:val="0"/>
                <w:numId w:val="292"/>
              </w:numPr>
              <w:ind w:firstLineChars="0"/>
              <w:jc w:val="left"/>
              <w:textAlignment w:val="top"/>
              <w:rPr>
                <w:rFonts w:hint="eastAsia" w:ascii="宋体" w:hAnsi="宋体" w:cs="宋体"/>
                <w:color w:val="auto"/>
                <w:szCs w:val="21"/>
                <w:highlight w:val="none"/>
              </w:rPr>
            </w:pPr>
            <w:r>
              <w:rPr>
                <w:rFonts w:hint="eastAsia" w:ascii="宋体" w:hAnsi="宋体" w:cstheme="minorEastAsia"/>
                <w:color w:val="auto"/>
                <w:kern w:val="0"/>
                <w:szCs w:val="21"/>
                <w:highlight w:val="none"/>
                <w:lang w:bidi="ar"/>
              </w:rPr>
              <w:t xml:space="preserve">整体规格：≥4000*1500*200mm（长宽高）  </w:t>
            </w:r>
          </w:p>
          <w:p w14:paraId="48949E3B">
            <w:pPr>
              <w:pStyle w:val="53"/>
              <w:widowControl/>
              <w:numPr>
                <w:ilvl w:val="0"/>
                <w:numId w:val="292"/>
              </w:numPr>
              <w:ind w:firstLineChars="0"/>
              <w:jc w:val="left"/>
              <w:textAlignment w:val="top"/>
              <w:rPr>
                <w:rFonts w:hint="eastAsia" w:ascii="宋体" w:hAnsi="宋体" w:cs="宋体"/>
                <w:color w:val="auto"/>
                <w:szCs w:val="21"/>
                <w:highlight w:val="none"/>
              </w:rPr>
            </w:pPr>
            <w:r>
              <w:rPr>
                <w:rFonts w:hint="eastAsia" w:ascii="宋体" w:hAnsi="宋体" w:cstheme="minorEastAsia"/>
                <w:color w:val="auto"/>
                <w:kern w:val="0"/>
                <w:szCs w:val="21"/>
                <w:highlight w:val="none"/>
                <w:lang w:bidi="ar"/>
              </w:rPr>
              <w:t>台面采用优质实木地板，表面耐划、防潮、防腐蚀，强化地板满足 GB/T155102-1994标准。台面的角采用圆弧设计，圆弧采用镀锌钢板经磨具一次性成型，四周为彩色铝合金包边，台面衬板采用≥18mmE1级优质环保颗粒板板，三聚氰胺饰面。</w:t>
            </w:r>
          </w:p>
        </w:tc>
        <w:tc>
          <w:tcPr>
            <w:tcW w:w="863" w:type="dxa"/>
            <w:gridSpan w:val="4"/>
            <w:vAlign w:val="center"/>
          </w:tcPr>
          <w:p w14:paraId="08870BBD">
            <w:pPr>
              <w:widowControl/>
              <w:jc w:val="center"/>
              <w:textAlignment w:val="center"/>
              <w:rPr>
                <w:rFonts w:hint="eastAsia" w:ascii="宋体" w:hAnsi="宋体"/>
                <w:color w:val="auto"/>
                <w:szCs w:val="21"/>
                <w:highlight w:val="none"/>
              </w:rPr>
            </w:pPr>
            <w:r>
              <w:rPr>
                <w:rFonts w:hint="eastAsia" w:ascii="宋体" w:hAnsi="宋体"/>
                <w:color w:val="auto"/>
                <w:szCs w:val="21"/>
                <w:highlight w:val="none"/>
              </w:rPr>
              <w:t>个</w:t>
            </w:r>
          </w:p>
        </w:tc>
        <w:tc>
          <w:tcPr>
            <w:tcW w:w="925" w:type="dxa"/>
            <w:gridSpan w:val="3"/>
            <w:vAlign w:val="center"/>
          </w:tcPr>
          <w:p w14:paraId="3FD9FE05">
            <w:pPr>
              <w:widowControl/>
              <w:jc w:val="center"/>
              <w:textAlignment w:val="center"/>
              <w:rPr>
                <w:rFonts w:hint="eastAsia" w:ascii="宋体" w:hAnsi="宋体"/>
                <w:color w:val="auto"/>
                <w:szCs w:val="21"/>
                <w:highlight w:val="none"/>
              </w:rPr>
            </w:pPr>
            <w:r>
              <w:rPr>
                <w:rFonts w:hint="eastAsia" w:ascii="宋体" w:hAnsi="宋体"/>
                <w:color w:val="auto"/>
                <w:szCs w:val="21"/>
                <w:highlight w:val="none"/>
              </w:rPr>
              <w:t>1</w:t>
            </w:r>
          </w:p>
        </w:tc>
      </w:tr>
      <w:tr w14:paraId="301746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05C920BF">
            <w:pPr>
              <w:widowControl/>
              <w:jc w:val="center"/>
              <w:textAlignment w:val="center"/>
              <w:rPr>
                <w:rFonts w:hint="eastAsia" w:ascii="宋体" w:hAnsi="宋体"/>
                <w:color w:val="auto"/>
                <w:szCs w:val="21"/>
                <w:highlight w:val="none"/>
              </w:rPr>
            </w:pPr>
            <w:r>
              <w:rPr>
                <w:rFonts w:hint="eastAsia" w:ascii="宋体" w:hAnsi="宋体" w:cstheme="minorEastAsia"/>
                <w:color w:val="auto"/>
                <w:kern w:val="0"/>
                <w:szCs w:val="21"/>
                <w:highlight w:val="none"/>
                <w:lang w:bidi="ar"/>
              </w:rPr>
              <w:t>26</w:t>
            </w:r>
          </w:p>
        </w:tc>
        <w:tc>
          <w:tcPr>
            <w:tcW w:w="1227" w:type="dxa"/>
            <w:vAlign w:val="center"/>
          </w:tcPr>
          <w:p w14:paraId="0FF9EA06">
            <w:pPr>
              <w:widowControl/>
              <w:jc w:val="center"/>
              <w:textAlignment w:val="center"/>
              <w:rPr>
                <w:rFonts w:hint="eastAsia" w:ascii="宋体" w:hAnsi="宋体"/>
                <w:color w:val="auto"/>
                <w:szCs w:val="21"/>
                <w:highlight w:val="none"/>
              </w:rPr>
            </w:pPr>
            <w:r>
              <w:rPr>
                <w:rFonts w:hint="eastAsia" w:ascii="宋体" w:hAnsi="宋体" w:cstheme="minorEastAsia"/>
                <w:color w:val="auto"/>
                <w:kern w:val="0"/>
                <w:szCs w:val="21"/>
                <w:highlight w:val="none"/>
                <w:lang w:bidi="ar"/>
              </w:rPr>
              <w:t>设备调试</w:t>
            </w:r>
          </w:p>
        </w:tc>
        <w:tc>
          <w:tcPr>
            <w:tcW w:w="6167" w:type="dxa"/>
            <w:vAlign w:val="center"/>
          </w:tcPr>
          <w:p w14:paraId="0193A939">
            <w:pPr>
              <w:widowControl/>
              <w:jc w:val="left"/>
              <w:textAlignment w:val="top"/>
              <w:rPr>
                <w:rFonts w:hint="eastAsia" w:ascii="宋体" w:hAnsi="宋体"/>
                <w:color w:val="auto"/>
                <w:szCs w:val="21"/>
                <w:highlight w:val="none"/>
              </w:rPr>
            </w:pPr>
            <w:r>
              <w:rPr>
                <w:rFonts w:hint="eastAsia" w:ascii="宋体" w:hAnsi="宋体" w:cstheme="minorEastAsia"/>
                <w:color w:val="auto"/>
                <w:kern w:val="0"/>
                <w:szCs w:val="21"/>
                <w:highlight w:val="none"/>
                <w:lang w:bidi="ar"/>
              </w:rPr>
              <w:t>设备的安装、调试、培训</w:t>
            </w:r>
          </w:p>
        </w:tc>
        <w:tc>
          <w:tcPr>
            <w:tcW w:w="863" w:type="dxa"/>
            <w:gridSpan w:val="4"/>
            <w:vAlign w:val="center"/>
          </w:tcPr>
          <w:p w14:paraId="18CF964C">
            <w:pPr>
              <w:widowControl/>
              <w:jc w:val="center"/>
              <w:textAlignment w:val="center"/>
              <w:rPr>
                <w:rFonts w:hint="eastAsia" w:ascii="宋体" w:hAnsi="宋体"/>
                <w:color w:val="auto"/>
                <w:szCs w:val="21"/>
                <w:highlight w:val="none"/>
              </w:rPr>
            </w:pPr>
            <w:r>
              <w:rPr>
                <w:rFonts w:hint="eastAsia" w:ascii="宋体" w:hAnsi="宋体"/>
                <w:color w:val="auto"/>
                <w:szCs w:val="21"/>
                <w:highlight w:val="none"/>
              </w:rPr>
              <w:t>间</w:t>
            </w:r>
          </w:p>
        </w:tc>
        <w:tc>
          <w:tcPr>
            <w:tcW w:w="925" w:type="dxa"/>
            <w:gridSpan w:val="3"/>
            <w:vAlign w:val="center"/>
          </w:tcPr>
          <w:p w14:paraId="6EC5A9FD">
            <w:pPr>
              <w:widowControl/>
              <w:jc w:val="center"/>
              <w:textAlignment w:val="center"/>
              <w:rPr>
                <w:rFonts w:hint="eastAsia" w:ascii="宋体" w:hAnsi="宋体"/>
                <w:color w:val="auto"/>
                <w:szCs w:val="21"/>
                <w:highlight w:val="none"/>
              </w:rPr>
            </w:pPr>
            <w:r>
              <w:rPr>
                <w:rFonts w:hint="eastAsia" w:ascii="宋体" w:hAnsi="宋体"/>
                <w:color w:val="auto"/>
                <w:szCs w:val="21"/>
                <w:highlight w:val="none"/>
              </w:rPr>
              <w:t>1</w:t>
            </w:r>
          </w:p>
        </w:tc>
      </w:tr>
      <w:tr w14:paraId="700DAD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07E87CE8">
            <w:pPr>
              <w:widowControl/>
              <w:jc w:val="center"/>
              <w:textAlignment w:val="center"/>
              <w:rPr>
                <w:rFonts w:hint="eastAsia" w:ascii="宋体" w:hAnsi="宋体"/>
                <w:color w:val="auto"/>
                <w:szCs w:val="21"/>
                <w:highlight w:val="none"/>
              </w:rPr>
            </w:pPr>
            <w:r>
              <w:rPr>
                <w:rFonts w:hint="eastAsia" w:ascii="宋体" w:hAnsi="宋体" w:cstheme="minorEastAsia"/>
                <w:color w:val="auto"/>
                <w:kern w:val="0"/>
                <w:szCs w:val="21"/>
                <w:highlight w:val="none"/>
                <w:lang w:bidi="ar"/>
              </w:rPr>
              <w:t>27</w:t>
            </w:r>
          </w:p>
        </w:tc>
        <w:tc>
          <w:tcPr>
            <w:tcW w:w="1227" w:type="dxa"/>
            <w:vAlign w:val="center"/>
          </w:tcPr>
          <w:p w14:paraId="7D0C8B9F">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环境布置</w:t>
            </w:r>
          </w:p>
        </w:tc>
        <w:tc>
          <w:tcPr>
            <w:tcW w:w="6167" w:type="dxa"/>
          </w:tcPr>
          <w:p w14:paraId="65554D91">
            <w:pPr>
              <w:widowControl/>
              <w:jc w:val="left"/>
              <w:textAlignment w:val="top"/>
              <w:rPr>
                <w:rFonts w:hint="eastAsia" w:ascii="宋体" w:hAnsi="宋体"/>
                <w:color w:val="auto"/>
                <w:szCs w:val="21"/>
                <w:highlight w:val="none"/>
              </w:rPr>
            </w:pPr>
            <w:r>
              <w:rPr>
                <w:rFonts w:hint="eastAsia" w:ascii="宋体" w:hAnsi="宋体"/>
                <w:color w:val="auto"/>
                <w:kern w:val="0"/>
                <w:szCs w:val="21"/>
                <w:highlight w:val="none"/>
                <w:lang w:bidi="ar"/>
              </w:rPr>
              <w:t>需满足项目学校功能室基本环境需求：包含基础装修、垃圾清运、设备安装、货物搬运等</w:t>
            </w:r>
          </w:p>
        </w:tc>
        <w:tc>
          <w:tcPr>
            <w:tcW w:w="863" w:type="dxa"/>
            <w:gridSpan w:val="4"/>
            <w:vAlign w:val="center"/>
          </w:tcPr>
          <w:p w14:paraId="148DA8CB">
            <w:pPr>
              <w:widowControl/>
              <w:jc w:val="center"/>
              <w:textAlignment w:val="center"/>
              <w:rPr>
                <w:rFonts w:hint="eastAsia" w:ascii="宋体" w:hAnsi="宋体"/>
                <w:color w:val="auto"/>
                <w:szCs w:val="21"/>
                <w:highlight w:val="none"/>
              </w:rPr>
            </w:pPr>
            <w:r>
              <w:rPr>
                <w:rFonts w:hint="eastAsia" w:ascii="宋体" w:hAnsi="宋体"/>
                <w:color w:val="auto"/>
                <w:szCs w:val="21"/>
                <w:highlight w:val="none"/>
              </w:rPr>
              <w:t>间</w:t>
            </w:r>
          </w:p>
        </w:tc>
        <w:tc>
          <w:tcPr>
            <w:tcW w:w="925" w:type="dxa"/>
            <w:gridSpan w:val="3"/>
            <w:vAlign w:val="center"/>
          </w:tcPr>
          <w:p w14:paraId="1991238E">
            <w:pPr>
              <w:widowControl/>
              <w:jc w:val="center"/>
              <w:textAlignment w:val="center"/>
              <w:rPr>
                <w:rFonts w:hint="eastAsia" w:ascii="宋体" w:hAnsi="宋体"/>
                <w:color w:val="auto"/>
                <w:szCs w:val="21"/>
                <w:highlight w:val="none"/>
              </w:rPr>
            </w:pPr>
            <w:r>
              <w:rPr>
                <w:rFonts w:hint="eastAsia" w:ascii="宋体" w:hAnsi="宋体"/>
                <w:color w:val="auto"/>
                <w:szCs w:val="21"/>
                <w:highlight w:val="none"/>
              </w:rPr>
              <w:t>1</w:t>
            </w:r>
          </w:p>
        </w:tc>
      </w:tr>
      <w:tr w14:paraId="1B072D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9931" w:type="dxa"/>
            <w:gridSpan w:val="10"/>
            <w:noWrap/>
            <w:vAlign w:val="center"/>
          </w:tcPr>
          <w:p w14:paraId="57CE28FC">
            <w:pPr>
              <w:widowControl/>
              <w:jc w:val="center"/>
              <w:textAlignment w:val="center"/>
              <w:rPr>
                <w:rFonts w:hint="eastAsia" w:ascii="宋体" w:hAnsi="宋体"/>
                <w:b/>
                <w:bCs/>
                <w:color w:val="auto"/>
                <w:szCs w:val="21"/>
                <w:highlight w:val="none"/>
              </w:rPr>
            </w:pPr>
            <w:r>
              <w:rPr>
                <w:rFonts w:hint="eastAsia" w:ascii="宋体" w:hAnsi="宋体"/>
                <w:b/>
                <w:bCs/>
                <w:color w:val="auto"/>
                <w:kern w:val="0"/>
                <w:szCs w:val="21"/>
                <w:highlight w:val="none"/>
                <w:lang w:bidi="ar"/>
              </w:rPr>
              <w:t>八、医疗保健室</w:t>
            </w:r>
          </w:p>
        </w:tc>
      </w:tr>
      <w:tr w14:paraId="4AB580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noWrap/>
            <w:vAlign w:val="center"/>
          </w:tcPr>
          <w:p w14:paraId="7D740A26">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c>
          <w:tcPr>
            <w:tcW w:w="1227" w:type="dxa"/>
            <w:noWrap/>
            <w:vAlign w:val="center"/>
          </w:tcPr>
          <w:p w14:paraId="67B6525B">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辨色图谱</w:t>
            </w:r>
          </w:p>
        </w:tc>
        <w:tc>
          <w:tcPr>
            <w:tcW w:w="6167" w:type="dxa"/>
            <w:noWrap/>
            <w:vAlign w:val="center"/>
          </w:tcPr>
          <w:p w14:paraId="58826551">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第五版色盲检查图，带比对标准，32开本</w:t>
            </w:r>
          </w:p>
        </w:tc>
        <w:tc>
          <w:tcPr>
            <w:tcW w:w="863" w:type="dxa"/>
            <w:gridSpan w:val="4"/>
            <w:vAlign w:val="center"/>
          </w:tcPr>
          <w:p w14:paraId="1D75C2B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本</w:t>
            </w:r>
          </w:p>
        </w:tc>
        <w:tc>
          <w:tcPr>
            <w:tcW w:w="925" w:type="dxa"/>
            <w:gridSpan w:val="3"/>
            <w:vAlign w:val="center"/>
          </w:tcPr>
          <w:p w14:paraId="49BBF512">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10</w:t>
            </w:r>
          </w:p>
        </w:tc>
      </w:tr>
      <w:tr w14:paraId="0CD18B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300C4A4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w:t>
            </w:r>
          </w:p>
        </w:tc>
        <w:tc>
          <w:tcPr>
            <w:tcW w:w="1227" w:type="dxa"/>
            <w:vAlign w:val="center"/>
          </w:tcPr>
          <w:p w14:paraId="628A9BF3">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测径规</w:t>
            </w:r>
          </w:p>
        </w:tc>
        <w:tc>
          <w:tcPr>
            <w:tcW w:w="6167" w:type="dxa"/>
            <w:vAlign w:val="center"/>
          </w:tcPr>
          <w:p w14:paraId="7A8D936A">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不锈钢制，≥342mm×82mm×12mm,外径测量范围：0-500mm,内径测量范围：0-250mm</w:t>
            </w:r>
          </w:p>
        </w:tc>
        <w:tc>
          <w:tcPr>
            <w:tcW w:w="863" w:type="dxa"/>
            <w:gridSpan w:val="4"/>
            <w:vAlign w:val="center"/>
          </w:tcPr>
          <w:p w14:paraId="245D370E">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25" w:type="dxa"/>
            <w:gridSpan w:val="3"/>
            <w:vAlign w:val="center"/>
          </w:tcPr>
          <w:p w14:paraId="2715DD25">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4</w:t>
            </w:r>
          </w:p>
        </w:tc>
      </w:tr>
      <w:tr w14:paraId="13275C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5DEAAD72">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3</w:t>
            </w:r>
          </w:p>
        </w:tc>
        <w:tc>
          <w:tcPr>
            <w:tcW w:w="1227" w:type="dxa"/>
            <w:vAlign w:val="center"/>
          </w:tcPr>
          <w:p w14:paraId="0F0CDBD0">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诊查床</w:t>
            </w:r>
          </w:p>
        </w:tc>
        <w:tc>
          <w:tcPr>
            <w:tcW w:w="6167" w:type="dxa"/>
            <w:vAlign w:val="center"/>
          </w:tcPr>
          <w:p w14:paraId="7B597587">
            <w:pPr>
              <w:widowControl/>
              <w:numPr>
                <w:ilvl w:val="0"/>
                <w:numId w:val="293"/>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≥1900mm×600mm×800mm；</w:t>
            </w:r>
          </w:p>
          <w:p w14:paraId="31FEBA60">
            <w:pPr>
              <w:widowControl/>
              <w:numPr>
                <w:ilvl w:val="0"/>
                <w:numId w:val="293"/>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床垫：采用≥40mm 厚优质高弹海绵，面料为优质西皮；</w:t>
            </w:r>
          </w:p>
          <w:p w14:paraId="1440B1F2">
            <w:pPr>
              <w:widowControl/>
              <w:numPr>
                <w:ilvl w:val="0"/>
                <w:numId w:val="293"/>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床板：≥12mm 厚优质夹板。</w:t>
            </w:r>
          </w:p>
          <w:p w14:paraId="10F745D1">
            <w:pPr>
              <w:widowControl/>
              <w:numPr>
                <w:ilvl w:val="0"/>
                <w:numId w:val="293"/>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床架用料：床脚≥40mm×40mm、拉横≥25mm×25mm 无缝钢管，钢管厚度≥1.5mm，可拆装结构。</w:t>
            </w:r>
          </w:p>
          <w:p w14:paraId="793E1F8A">
            <w:pPr>
              <w:widowControl/>
              <w:numPr>
                <w:ilvl w:val="0"/>
                <w:numId w:val="293"/>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台架工艺要求：经酸洗磷化处理，静电喷涂，无虚焊、无焊渣，焊点光滑、美观，结构稳固，颜色灰白，漆面不脱落。</w:t>
            </w:r>
          </w:p>
        </w:tc>
        <w:tc>
          <w:tcPr>
            <w:tcW w:w="863" w:type="dxa"/>
            <w:gridSpan w:val="4"/>
            <w:vAlign w:val="center"/>
          </w:tcPr>
          <w:p w14:paraId="5F4CEF4F">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25" w:type="dxa"/>
            <w:gridSpan w:val="3"/>
            <w:vAlign w:val="center"/>
          </w:tcPr>
          <w:p w14:paraId="2585A568">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w:t>
            </w:r>
          </w:p>
        </w:tc>
      </w:tr>
      <w:tr w14:paraId="0828DF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680EACCE">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4</w:t>
            </w:r>
          </w:p>
        </w:tc>
        <w:tc>
          <w:tcPr>
            <w:tcW w:w="1227" w:type="dxa"/>
            <w:vAlign w:val="center"/>
          </w:tcPr>
          <w:p w14:paraId="160838F3">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护理床</w:t>
            </w:r>
          </w:p>
        </w:tc>
        <w:tc>
          <w:tcPr>
            <w:tcW w:w="6167" w:type="dxa"/>
            <w:vAlign w:val="center"/>
          </w:tcPr>
          <w:p w14:paraId="547D7B26">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≥1900mm×900mm×500mm</w:t>
            </w:r>
          </w:p>
        </w:tc>
        <w:tc>
          <w:tcPr>
            <w:tcW w:w="863" w:type="dxa"/>
            <w:gridSpan w:val="4"/>
            <w:vAlign w:val="center"/>
          </w:tcPr>
          <w:p w14:paraId="6CEA357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25" w:type="dxa"/>
            <w:gridSpan w:val="3"/>
            <w:vAlign w:val="center"/>
          </w:tcPr>
          <w:p w14:paraId="7012468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w:t>
            </w:r>
          </w:p>
        </w:tc>
      </w:tr>
      <w:tr w14:paraId="6433F6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23018AC8">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5</w:t>
            </w:r>
          </w:p>
        </w:tc>
        <w:tc>
          <w:tcPr>
            <w:tcW w:w="1227" w:type="dxa"/>
            <w:vAlign w:val="center"/>
          </w:tcPr>
          <w:p w14:paraId="0D35CFB5">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四人位候诊椅</w:t>
            </w:r>
          </w:p>
        </w:tc>
        <w:tc>
          <w:tcPr>
            <w:tcW w:w="6167" w:type="dxa"/>
            <w:vAlign w:val="center"/>
          </w:tcPr>
          <w:p w14:paraId="646E1D4E">
            <w:pPr>
              <w:widowControl/>
              <w:numPr>
                <w:ilvl w:val="0"/>
                <w:numId w:val="294"/>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≥2300mm×65mm×78mm，扶手、脚: 冷轧钢。</w:t>
            </w:r>
          </w:p>
          <w:p w14:paraId="6F672F45">
            <w:pPr>
              <w:widowControl/>
              <w:numPr>
                <w:ilvl w:val="0"/>
                <w:numId w:val="294"/>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座板：采用≥1.5mm厚度冷轧钢座板，环保、不易磨损、不生锈。</w:t>
            </w:r>
          </w:p>
          <w:p w14:paraId="648D6685">
            <w:pPr>
              <w:widowControl/>
              <w:numPr>
                <w:ilvl w:val="0"/>
                <w:numId w:val="294"/>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横梁：≥2.0mm厚钢管，喷涂空调户外漆粉，能承受风吹、雨淋和日照的考验。</w:t>
            </w:r>
          </w:p>
        </w:tc>
        <w:tc>
          <w:tcPr>
            <w:tcW w:w="863" w:type="dxa"/>
            <w:gridSpan w:val="4"/>
            <w:vAlign w:val="center"/>
          </w:tcPr>
          <w:p w14:paraId="1FA2F148">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25" w:type="dxa"/>
            <w:gridSpan w:val="3"/>
            <w:vAlign w:val="center"/>
          </w:tcPr>
          <w:p w14:paraId="490F1F63">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w:t>
            </w:r>
          </w:p>
        </w:tc>
      </w:tr>
      <w:tr w14:paraId="776A26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388C13C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6</w:t>
            </w:r>
          </w:p>
        </w:tc>
        <w:tc>
          <w:tcPr>
            <w:tcW w:w="1227" w:type="dxa"/>
            <w:vAlign w:val="center"/>
          </w:tcPr>
          <w:p w14:paraId="70DFC8EE">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冲眼壶</w:t>
            </w:r>
          </w:p>
        </w:tc>
        <w:tc>
          <w:tcPr>
            <w:tcW w:w="6167" w:type="dxa"/>
            <w:vAlign w:val="center"/>
          </w:tcPr>
          <w:p w14:paraId="542C342B">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不锈钢</w:t>
            </w:r>
          </w:p>
        </w:tc>
        <w:tc>
          <w:tcPr>
            <w:tcW w:w="863" w:type="dxa"/>
            <w:gridSpan w:val="4"/>
            <w:vAlign w:val="center"/>
          </w:tcPr>
          <w:p w14:paraId="3EDA2A11">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25" w:type="dxa"/>
            <w:gridSpan w:val="3"/>
            <w:vAlign w:val="center"/>
          </w:tcPr>
          <w:p w14:paraId="528C9CDA">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4</w:t>
            </w:r>
          </w:p>
        </w:tc>
      </w:tr>
      <w:tr w14:paraId="7D338C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3E4FCA4E">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7</w:t>
            </w:r>
          </w:p>
        </w:tc>
        <w:tc>
          <w:tcPr>
            <w:tcW w:w="1227" w:type="dxa"/>
            <w:vAlign w:val="center"/>
          </w:tcPr>
          <w:p w14:paraId="1610F578">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串镜片</w:t>
            </w:r>
          </w:p>
        </w:tc>
        <w:tc>
          <w:tcPr>
            <w:tcW w:w="6167" w:type="dxa"/>
            <w:vAlign w:val="center"/>
          </w:tcPr>
          <w:p w14:paraId="23A5BBFC">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列镜验光排镜，5片</w:t>
            </w:r>
          </w:p>
        </w:tc>
        <w:tc>
          <w:tcPr>
            <w:tcW w:w="863" w:type="dxa"/>
            <w:gridSpan w:val="4"/>
            <w:vAlign w:val="center"/>
          </w:tcPr>
          <w:p w14:paraId="28297FA6">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套</w:t>
            </w:r>
          </w:p>
        </w:tc>
        <w:tc>
          <w:tcPr>
            <w:tcW w:w="925" w:type="dxa"/>
            <w:gridSpan w:val="3"/>
            <w:vAlign w:val="center"/>
          </w:tcPr>
          <w:p w14:paraId="5B12D99F">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w:t>
            </w:r>
          </w:p>
        </w:tc>
      </w:tr>
      <w:tr w14:paraId="699BAB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3D960F10">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8</w:t>
            </w:r>
          </w:p>
        </w:tc>
        <w:tc>
          <w:tcPr>
            <w:tcW w:w="1227" w:type="dxa"/>
            <w:vAlign w:val="center"/>
          </w:tcPr>
          <w:p w14:paraId="40CCBBF1">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带盖方盘</w:t>
            </w:r>
          </w:p>
        </w:tc>
        <w:tc>
          <w:tcPr>
            <w:tcW w:w="6167" w:type="dxa"/>
            <w:vAlign w:val="center"/>
          </w:tcPr>
          <w:p w14:paraId="0952F24F">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不锈钢，带盖，≥240mm×160mm×50mm</w:t>
            </w:r>
          </w:p>
        </w:tc>
        <w:tc>
          <w:tcPr>
            <w:tcW w:w="863" w:type="dxa"/>
            <w:gridSpan w:val="4"/>
            <w:vAlign w:val="center"/>
          </w:tcPr>
          <w:p w14:paraId="4E266770">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25" w:type="dxa"/>
            <w:gridSpan w:val="3"/>
            <w:vAlign w:val="center"/>
          </w:tcPr>
          <w:p w14:paraId="325B0A02">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w:t>
            </w:r>
          </w:p>
        </w:tc>
      </w:tr>
      <w:tr w14:paraId="084E8D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141A6603">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9</w:t>
            </w:r>
          </w:p>
        </w:tc>
        <w:tc>
          <w:tcPr>
            <w:tcW w:w="1227" w:type="dxa"/>
            <w:vAlign w:val="center"/>
          </w:tcPr>
          <w:p w14:paraId="53C83DB5">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带状检影镜</w:t>
            </w:r>
          </w:p>
        </w:tc>
        <w:tc>
          <w:tcPr>
            <w:tcW w:w="6167" w:type="dxa"/>
            <w:vAlign w:val="center"/>
          </w:tcPr>
          <w:p w14:paraId="43F42092">
            <w:pPr>
              <w:widowControl/>
              <w:numPr>
                <w:ilvl w:val="0"/>
                <w:numId w:val="295"/>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学校医务室测试近视度数使用；</w:t>
            </w:r>
          </w:p>
          <w:p w14:paraId="07925663">
            <w:pPr>
              <w:widowControl/>
              <w:numPr>
                <w:ilvl w:val="0"/>
                <w:numId w:val="295"/>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带状检影镜由镜身和镜柄二部分组成，镜内身部装有反光镜和聚光镜组件，镜柄由手柄和灯丝呈直线状的灯泡组成；</w:t>
            </w:r>
          </w:p>
          <w:p w14:paraId="1408C32C">
            <w:pPr>
              <w:widowControl/>
              <w:numPr>
                <w:ilvl w:val="0"/>
                <w:numId w:val="295"/>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仪器外形美观，操作方便，灯丝可作360°旋转及上下移动，定位可靠，光带强度弱适中，测试误差小于5度。</w:t>
            </w:r>
          </w:p>
        </w:tc>
        <w:tc>
          <w:tcPr>
            <w:tcW w:w="863" w:type="dxa"/>
            <w:gridSpan w:val="4"/>
            <w:vAlign w:val="center"/>
          </w:tcPr>
          <w:p w14:paraId="2F343318">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25" w:type="dxa"/>
            <w:gridSpan w:val="3"/>
            <w:vAlign w:val="center"/>
          </w:tcPr>
          <w:p w14:paraId="0098FDD5">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w:t>
            </w:r>
          </w:p>
        </w:tc>
      </w:tr>
      <w:tr w14:paraId="3B9493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488DA4EC">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10</w:t>
            </w:r>
          </w:p>
        </w:tc>
        <w:tc>
          <w:tcPr>
            <w:tcW w:w="1227" w:type="dxa"/>
            <w:vAlign w:val="center"/>
          </w:tcPr>
          <w:p w14:paraId="7CFCBA73">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担架</w:t>
            </w:r>
          </w:p>
        </w:tc>
        <w:tc>
          <w:tcPr>
            <w:tcW w:w="6167" w:type="dxa"/>
            <w:vAlign w:val="center"/>
          </w:tcPr>
          <w:p w14:paraId="0689C5AB">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折叠式，≥2200×530×180mm， 铝合金</w:t>
            </w:r>
          </w:p>
        </w:tc>
        <w:tc>
          <w:tcPr>
            <w:tcW w:w="863" w:type="dxa"/>
            <w:gridSpan w:val="4"/>
            <w:vAlign w:val="center"/>
          </w:tcPr>
          <w:p w14:paraId="6E70D635">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25" w:type="dxa"/>
            <w:gridSpan w:val="3"/>
            <w:vAlign w:val="center"/>
          </w:tcPr>
          <w:p w14:paraId="79D6AC15">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4</w:t>
            </w:r>
          </w:p>
        </w:tc>
      </w:tr>
      <w:tr w14:paraId="1D000A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4DDDD37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11</w:t>
            </w:r>
          </w:p>
        </w:tc>
        <w:tc>
          <w:tcPr>
            <w:tcW w:w="1227" w:type="dxa"/>
            <w:vAlign w:val="center"/>
          </w:tcPr>
          <w:p w14:paraId="5206AB6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灯光视力表</w:t>
            </w:r>
          </w:p>
        </w:tc>
        <w:tc>
          <w:tcPr>
            <w:tcW w:w="6167" w:type="dxa"/>
            <w:vAlign w:val="center"/>
          </w:tcPr>
          <w:p w14:paraId="64EACEE8">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采用《标准对数视力表》</w:t>
            </w:r>
          </w:p>
        </w:tc>
        <w:tc>
          <w:tcPr>
            <w:tcW w:w="863" w:type="dxa"/>
            <w:gridSpan w:val="4"/>
            <w:vAlign w:val="center"/>
          </w:tcPr>
          <w:p w14:paraId="1F108C7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台</w:t>
            </w:r>
          </w:p>
        </w:tc>
        <w:tc>
          <w:tcPr>
            <w:tcW w:w="925" w:type="dxa"/>
            <w:gridSpan w:val="3"/>
            <w:shd w:val="clear" w:color="auto" w:fill="FFFFFF"/>
            <w:vAlign w:val="center"/>
          </w:tcPr>
          <w:p w14:paraId="58E9D0E7">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w:t>
            </w:r>
          </w:p>
        </w:tc>
      </w:tr>
      <w:tr w14:paraId="68CC7C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25A68A1B">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12</w:t>
            </w:r>
          </w:p>
        </w:tc>
        <w:tc>
          <w:tcPr>
            <w:tcW w:w="1227" w:type="dxa"/>
            <w:vAlign w:val="center"/>
          </w:tcPr>
          <w:p w14:paraId="010CFFEF">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方盘</w:t>
            </w:r>
          </w:p>
        </w:tc>
        <w:tc>
          <w:tcPr>
            <w:tcW w:w="6167" w:type="dxa"/>
            <w:vAlign w:val="center"/>
          </w:tcPr>
          <w:p w14:paraId="6AC32A4B">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不锈钢制、6寸</w:t>
            </w:r>
          </w:p>
        </w:tc>
        <w:tc>
          <w:tcPr>
            <w:tcW w:w="863" w:type="dxa"/>
            <w:gridSpan w:val="4"/>
            <w:vAlign w:val="center"/>
          </w:tcPr>
          <w:p w14:paraId="5C3A817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25" w:type="dxa"/>
            <w:gridSpan w:val="3"/>
            <w:vAlign w:val="center"/>
          </w:tcPr>
          <w:p w14:paraId="4B85D86C">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w:t>
            </w:r>
          </w:p>
        </w:tc>
      </w:tr>
      <w:tr w14:paraId="0D7169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07CE4F9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13</w:t>
            </w:r>
          </w:p>
        </w:tc>
        <w:tc>
          <w:tcPr>
            <w:tcW w:w="1227" w:type="dxa"/>
            <w:vAlign w:val="center"/>
          </w:tcPr>
          <w:p w14:paraId="10D04693">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肺活量计</w:t>
            </w:r>
          </w:p>
        </w:tc>
        <w:tc>
          <w:tcPr>
            <w:tcW w:w="6167" w:type="dxa"/>
            <w:vAlign w:val="center"/>
          </w:tcPr>
          <w:p w14:paraId="21302C67">
            <w:pPr>
              <w:widowControl/>
              <w:numPr>
                <w:ilvl w:val="0"/>
                <w:numId w:val="296"/>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供中小学卫生室测试学生肺活量使用。</w:t>
            </w:r>
          </w:p>
          <w:p w14:paraId="50242B55">
            <w:pPr>
              <w:widowControl/>
              <w:numPr>
                <w:ilvl w:val="0"/>
                <w:numId w:val="296"/>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规格：电子式，测量范围：0～10000mL，最小分辫率：5mL。</w:t>
            </w:r>
          </w:p>
          <w:p w14:paraId="169F3366">
            <w:pPr>
              <w:widowControl/>
              <w:numPr>
                <w:ilvl w:val="0"/>
                <w:numId w:val="296"/>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测量误差±5％。</w:t>
            </w:r>
          </w:p>
          <w:p w14:paraId="74838986">
            <w:pPr>
              <w:widowControl/>
              <w:numPr>
                <w:ilvl w:val="0"/>
                <w:numId w:val="296"/>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工作电压：220V/50Hz或交直流两用。</w:t>
            </w:r>
          </w:p>
          <w:p w14:paraId="753FBFBB">
            <w:pPr>
              <w:widowControl/>
              <w:numPr>
                <w:ilvl w:val="0"/>
                <w:numId w:val="296"/>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 xml:space="preserve">配一次性吹嘴。  </w:t>
            </w:r>
          </w:p>
        </w:tc>
        <w:tc>
          <w:tcPr>
            <w:tcW w:w="863" w:type="dxa"/>
            <w:gridSpan w:val="4"/>
            <w:vAlign w:val="center"/>
          </w:tcPr>
          <w:p w14:paraId="29AB520F">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台</w:t>
            </w:r>
          </w:p>
        </w:tc>
        <w:tc>
          <w:tcPr>
            <w:tcW w:w="925" w:type="dxa"/>
            <w:gridSpan w:val="3"/>
            <w:vAlign w:val="center"/>
          </w:tcPr>
          <w:p w14:paraId="2C77DD4C">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w:t>
            </w:r>
          </w:p>
        </w:tc>
      </w:tr>
      <w:tr w14:paraId="09039E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52F88CB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14</w:t>
            </w:r>
          </w:p>
        </w:tc>
        <w:tc>
          <w:tcPr>
            <w:tcW w:w="1227" w:type="dxa"/>
            <w:vAlign w:val="center"/>
          </w:tcPr>
          <w:p w14:paraId="243B6BD3">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敷料缸</w:t>
            </w:r>
          </w:p>
        </w:tc>
        <w:tc>
          <w:tcPr>
            <w:tcW w:w="6167" w:type="dxa"/>
            <w:vAlign w:val="center"/>
          </w:tcPr>
          <w:p w14:paraId="16A45698">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不锈钢，直径≥9cm</w:t>
            </w:r>
          </w:p>
        </w:tc>
        <w:tc>
          <w:tcPr>
            <w:tcW w:w="863" w:type="dxa"/>
            <w:gridSpan w:val="4"/>
            <w:vAlign w:val="center"/>
          </w:tcPr>
          <w:p w14:paraId="399ACFFF">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25" w:type="dxa"/>
            <w:gridSpan w:val="3"/>
            <w:vAlign w:val="center"/>
          </w:tcPr>
          <w:p w14:paraId="032A4E1F">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w:t>
            </w:r>
          </w:p>
        </w:tc>
      </w:tr>
      <w:tr w14:paraId="350A24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6AE95623">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15</w:t>
            </w:r>
          </w:p>
        </w:tc>
        <w:tc>
          <w:tcPr>
            <w:tcW w:w="1227" w:type="dxa"/>
            <w:vAlign w:val="center"/>
          </w:tcPr>
          <w:p w14:paraId="149A70C6">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喉头喷雾器</w:t>
            </w:r>
          </w:p>
        </w:tc>
        <w:tc>
          <w:tcPr>
            <w:tcW w:w="6167" w:type="dxa"/>
            <w:vAlign w:val="center"/>
          </w:tcPr>
          <w:p w14:paraId="03E50E10">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医用(单手式双管)</w:t>
            </w:r>
          </w:p>
        </w:tc>
        <w:tc>
          <w:tcPr>
            <w:tcW w:w="863" w:type="dxa"/>
            <w:gridSpan w:val="4"/>
            <w:vAlign w:val="center"/>
          </w:tcPr>
          <w:p w14:paraId="05591CC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25" w:type="dxa"/>
            <w:gridSpan w:val="3"/>
            <w:shd w:val="clear" w:color="auto" w:fill="FFFFFF"/>
            <w:vAlign w:val="center"/>
          </w:tcPr>
          <w:p w14:paraId="46B1FB80">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w:t>
            </w:r>
          </w:p>
        </w:tc>
      </w:tr>
      <w:tr w14:paraId="5E66A3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613995F6">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16</w:t>
            </w:r>
          </w:p>
        </w:tc>
        <w:tc>
          <w:tcPr>
            <w:tcW w:w="1227" w:type="dxa"/>
            <w:vAlign w:val="center"/>
          </w:tcPr>
          <w:p w14:paraId="793AE3F7">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急救包</w:t>
            </w:r>
          </w:p>
        </w:tc>
        <w:tc>
          <w:tcPr>
            <w:tcW w:w="6167" w:type="dxa"/>
            <w:vAlign w:val="center"/>
          </w:tcPr>
          <w:p w14:paraId="6348869F">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急救包，内配简易器械</w:t>
            </w:r>
          </w:p>
        </w:tc>
        <w:tc>
          <w:tcPr>
            <w:tcW w:w="863" w:type="dxa"/>
            <w:gridSpan w:val="4"/>
            <w:vAlign w:val="center"/>
          </w:tcPr>
          <w:p w14:paraId="70616065">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25" w:type="dxa"/>
            <w:gridSpan w:val="3"/>
            <w:vAlign w:val="center"/>
          </w:tcPr>
          <w:p w14:paraId="62BBEC57">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w:t>
            </w:r>
          </w:p>
        </w:tc>
      </w:tr>
      <w:tr w14:paraId="4C7C43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22AC2254">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17</w:t>
            </w:r>
          </w:p>
        </w:tc>
        <w:tc>
          <w:tcPr>
            <w:tcW w:w="1227" w:type="dxa"/>
            <w:vAlign w:val="center"/>
          </w:tcPr>
          <w:p w14:paraId="40ADB8D2">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计算器</w:t>
            </w:r>
          </w:p>
        </w:tc>
        <w:tc>
          <w:tcPr>
            <w:tcW w:w="6167" w:type="dxa"/>
            <w:vAlign w:val="center"/>
          </w:tcPr>
          <w:p w14:paraId="639834FE">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能编简单程序</w:t>
            </w:r>
          </w:p>
        </w:tc>
        <w:tc>
          <w:tcPr>
            <w:tcW w:w="863" w:type="dxa"/>
            <w:gridSpan w:val="4"/>
            <w:vAlign w:val="center"/>
          </w:tcPr>
          <w:p w14:paraId="6135D2E8">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25" w:type="dxa"/>
            <w:gridSpan w:val="3"/>
            <w:shd w:val="clear" w:color="auto" w:fill="FFFFFF"/>
            <w:vAlign w:val="center"/>
          </w:tcPr>
          <w:p w14:paraId="68E8F7EE">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w:t>
            </w:r>
          </w:p>
        </w:tc>
      </w:tr>
      <w:tr w14:paraId="391B2F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563BF724">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18</w:t>
            </w:r>
          </w:p>
        </w:tc>
        <w:tc>
          <w:tcPr>
            <w:tcW w:w="1227" w:type="dxa"/>
            <w:vAlign w:val="center"/>
          </w:tcPr>
          <w:p w14:paraId="558516FD">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剪刀</w:t>
            </w:r>
          </w:p>
        </w:tc>
        <w:tc>
          <w:tcPr>
            <w:tcW w:w="6167" w:type="dxa"/>
            <w:vAlign w:val="center"/>
          </w:tcPr>
          <w:p w14:paraId="6DCFCBDD">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不锈钢制，全长≥190mm，剪刀片刀片厚度≥1.5mm</w:t>
            </w:r>
          </w:p>
        </w:tc>
        <w:tc>
          <w:tcPr>
            <w:tcW w:w="863" w:type="dxa"/>
            <w:gridSpan w:val="4"/>
            <w:vAlign w:val="center"/>
          </w:tcPr>
          <w:p w14:paraId="57CCC2F6">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把</w:t>
            </w:r>
          </w:p>
        </w:tc>
        <w:tc>
          <w:tcPr>
            <w:tcW w:w="925" w:type="dxa"/>
            <w:gridSpan w:val="3"/>
            <w:vAlign w:val="center"/>
          </w:tcPr>
          <w:p w14:paraId="656043F0">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w:t>
            </w:r>
          </w:p>
        </w:tc>
      </w:tr>
      <w:tr w14:paraId="3ED270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62FDB927">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19</w:t>
            </w:r>
          </w:p>
        </w:tc>
        <w:tc>
          <w:tcPr>
            <w:tcW w:w="1227" w:type="dxa"/>
            <w:vAlign w:val="center"/>
          </w:tcPr>
          <w:p w14:paraId="3AB4EC54">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教学卫生测量尺</w:t>
            </w:r>
          </w:p>
        </w:tc>
        <w:tc>
          <w:tcPr>
            <w:tcW w:w="6167" w:type="dxa"/>
            <w:vAlign w:val="center"/>
          </w:tcPr>
          <w:p w14:paraId="49DB2037">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木质无疤痕，三折，打开≥2000mm，黄底黑字，分度值1mm，精度：1mm</w:t>
            </w:r>
          </w:p>
        </w:tc>
        <w:tc>
          <w:tcPr>
            <w:tcW w:w="863" w:type="dxa"/>
            <w:gridSpan w:val="4"/>
            <w:vAlign w:val="center"/>
          </w:tcPr>
          <w:p w14:paraId="766FC5AE">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25" w:type="dxa"/>
            <w:gridSpan w:val="3"/>
            <w:vAlign w:val="center"/>
          </w:tcPr>
          <w:p w14:paraId="38FF8D0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w:t>
            </w:r>
          </w:p>
        </w:tc>
      </w:tr>
      <w:tr w14:paraId="199F60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2A36B816">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20</w:t>
            </w:r>
          </w:p>
        </w:tc>
        <w:tc>
          <w:tcPr>
            <w:tcW w:w="1227" w:type="dxa"/>
            <w:vAlign w:val="center"/>
          </w:tcPr>
          <w:p w14:paraId="1040EC4D">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近视力表</w:t>
            </w:r>
          </w:p>
        </w:tc>
        <w:tc>
          <w:tcPr>
            <w:tcW w:w="6167" w:type="dxa"/>
            <w:vAlign w:val="center"/>
          </w:tcPr>
          <w:p w14:paraId="25B60451">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国际标准对数视力表，E字视标，12行。</w:t>
            </w:r>
          </w:p>
        </w:tc>
        <w:tc>
          <w:tcPr>
            <w:tcW w:w="863" w:type="dxa"/>
            <w:gridSpan w:val="4"/>
            <w:vAlign w:val="center"/>
          </w:tcPr>
          <w:p w14:paraId="52D04FB2">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张</w:t>
            </w:r>
          </w:p>
        </w:tc>
        <w:tc>
          <w:tcPr>
            <w:tcW w:w="925" w:type="dxa"/>
            <w:gridSpan w:val="3"/>
            <w:vAlign w:val="center"/>
          </w:tcPr>
          <w:p w14:paraId="1C8E4951">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w:t>
            </w:r>
          </w:p>
        </w:tc>
      </w:tr>
      <w:tr w14:paraId="5CC53A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123C3718">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21</w:t>
            </w:r>
          </w:p>
        </w:tc>
        <w:tc>
          <w:tcPr>
            <w:tcW w:w="1227" w:type="dxa"/>
            <w:vAlign w:val="center"/>
          </w:tcPr>
          <w:p w14:paraId="2B1A3DE8">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酒精灯</w:t>
            </w:r>
          </w:p>
        </w:tc>
        <w:tc>
          <w:tcPr>
            <w:tcW w:w="6167" w:type="dxa"/>
            <w:vAlign w:val="center"/>
          </w:tcPr>
          <w:p w14:paraId="28C5AAE0">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≥150mL，玻璃制瓶，瓷制灯芯管，无丝塑料盖，接缝紧密,开闭灵活</w:t>
            </w:r>
          </w:p>
        </w:tc>
        <w:tc>
          <w:tcPr>
            <w:tcW w:w="863" w:type="dxa"/>
            <w:gridSpan w:val="4"/>
            <w:vAlign w:val="center"/>
          </w:tcPr>
          <w:p w14:paraId="423912B1">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25" w:type="dxa"/>
            <w:gridSpan w:val="3"/>
            <w:vAlign w:val="center"/>
          </w:tcPr>
          <w:p w14:paraId="228ED670">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w:t>
            </w:r>
          </w:p>
        </w:tc>
      </w:tr>
      <w:tr w14:paraId="02CFD7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156C2DE6">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22</w:t>
            </w:r>
          </w:p>
        </w:tc>
        <w:tc>
          <w:tcPr>
            <w:tcW w:w="1227" w:type="dxa"/>
            <w:vAlign w:val="center"/>
          </w:tcPr>
          <w:p w14:paraId="722988F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口腔检查器械</w:t>
            </w:r>
          </w:p>
        </w:tc>
        <w:tc>
          <w:tcPr>
            <w:tcW w:w="6167" w:type="dxa"/>
            <w:vAlign w:val="center"/>
          </w:tcPr>
          <w:p w14:paraId="3E78B00B">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单手式双管喷雾器的各部焊接牢固，不歪斜无脱焊，表面光滑，无明显的堆积物。喷雾器的喷射畅通，喷出之雾均匀，不会出现有药液下滴现象，喷射有效距离≥350mm，散布面积≥150mm2，喷雾头子灵活，上下为60度的调节处无漏液。单向阀就具有单向勇气的良好性能，进气明无噪声。玻璃瓶容量≥40ML</w:t>
            </w:r>
          </w:p>
        </w:tc>
        <w:tc>
          <w:tcPr>
            <w:tcW w:w="863" w:type="dxa"/>
            <w:gridSpan w:val="4"/>
            <w:vAlign w:val="center"/>
          </w:tcPr>
          <w:p w14:paraId="37066BF1">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套</w:t>
            </w:r>
          </w:p>
        </w:tc>
        <w:tc>
          <w:tcPr>
            <w:tcW w:w="925" w:type="dxa"/>
            <w:gridSpan w:val="3"/>
            <w:vAlign w:val="center"/>
          </w:tcPr>
          <w:p w14:paraId="0C67BD24">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w:t>
            </w:r>
          </w:p>
        </w:tc>
      </w:tr>
      <w:tr w14:paraId="447F2A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7A8E503C">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23</w:t>
            </w:r>
          </w:p>
        </w:tc>
        <w:tc>
          <w:tcPr>
            <w:tcW w:w="1227" w:type="dxa"/>
            <w:vAlign w:val="center"/>
          </w:tcPr>
          <w:p w14:paraId="40A8F73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叩诊锤</w:t>
            </w:r>
          </w:p>
        </w:tc>
        <w:tc>
          <w:tcPr>
            <w:tcW w:w="6167" w:type="dxa"/>
            <w:vAlign w:val="center"/>
          </w:tcPr>
          <w:p w14:paraId="2D2125FE">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三角型叩诊锤，锤头带尖头和平头两面，锌合金+橡胶，尺寸≥186×52mm</w:t>
            </w:r>
          </w:p>
        </w:tc>
        <w:tc>
          <w:tcPr>
            <w:tcW w:w="863" w:type="dxa"/>
            <w:gridSpan w:val="4"/>
            <w:vAlign w:val="center"/>
          </w:tcPr>
          <w:p w14:paraId="6BBB4468">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25" w:type="dxa"/>
            <w:gridSpan w:val="3"/>
            <w:vAlign w:val="center"/>
          </w:tcPr>
          <w:p w14:paraId="0A3C4065">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w:t>
            </w:r>
          </w:p>
        </w:tc>
      </w:tr>
      <w:tr w14:paraId="18F54D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5D9B9D9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24</w:t>
            </w:r>
          </w:p>
        </w:tc>
        <w:tc>
          <w:tcPr>
            <w:tcW w:w="1227" w:type="dxa"/>
            <w:vAlign w:val="center"/>
          </w:tcPr>
          <w:p w14:paraId="35F9DD76">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落地蛇形灯</w:t>
            </w:r>
          </w:p>
        </w:tc>
        <w:tc>
          <w:tcPr>
            <w:tcW w:w="6167" w:type="dxa"/>
            <w:vAlign w:val="center"/>
          </w:tcPr>
          <w:p w14:paraId="4DB1BA67">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带灯罩，带支架高180cm-13cm可调节，三角铸铁底座，跨度≥30cm,灯罩直径≥175mm</w:t>
            </w:r>
          </w:p>
        </w:tc>
        <w:tc>
          <w:tcPr>
            <w:tcW w:w="863" w:type="dxa"/>
            <w:gridSpan w:val="4"/>
            <w:vAlign w:val="center"/>
          </w:tcPr>
          <w:p w14:paraId="3648E6A6">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25" w:type="dxa"/>
            <w:gridSpan w:val="3"/>
            <w:vAlign w:val="center"/>
          </w:tcPr>
          <w:p w14:paraId="25C530FE">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w:t>
            </w:r>
          </w:p>
        </w:tc>
      </w:tr>
      <w:tr w14:paraId="16839D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159AB2B6">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25</w:t>
            </w:r>
          </w:p>
        </w:tc>
        <w:tc>
          <w:tcPr>
            <w:tcW w:w="1227" w:type="dxa"/>
            <w:vAlign w:val="center"/>
          </w:tcPr>
          <w:p w14:paraId="6AC6BDAA">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棉球缸</w:t>
            </w:r>
          </w:p>
        </w:tc>
        <w:tc>
          <w:tcPr>
            <w:tcW w:w="6167" w:type="dxa"/>
            <w:vAlign w:val="center"/>
          </w:tcPr>
          <w:p w14:paraId="656722E2">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≥φ90mm×h100mm，铁制搪瓷，圆桶型，带盖</w:t>
            </w:r>
          </w:p>
        </w:tc>
        <w:tc>
          <w:tcPr>
            <w:tcW w:w="863" w:type="dxa"/>
            <w:gridSpan w:val="4"/>
            <w:vAlign w:val="center"/>
          </w:tcPr>
          <w:p w14:paraId="40B22952">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25" w:type="dxa"/>
            <w:gridSpan w:val="3"/>
            <w:vAlign w:val="center"/>
          </w:tcPr>
          <w:p w14:paraId="0DE7F3E0">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w:t>
            </w:r>
          </w:p>
        </w:tc>
      </w:tr>
      <w:tr w14:paraId="56B949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52509C92">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26</w:t>
            </w:r>
          </w:p>
        </w:tc>
        <w:tc>
          <w:tcPr>
            <w:tcW w:w="1227" w:type="dxa"/>
            <w:vAlign w:val="center"/>
          </w:tcPr>
          <w:p w14:paraId="79936693">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秒表</w:t>
            </w:r>
          </w:p>
        </w:tc>
        <w:tc>
          <w:tcPr>
            <w:tcW w:w="6167" w:type="dxa"/>
            <w:vAlign w:val="center"/>
          </w:tcPr>
          <w:p w14:paraId="26D317EE">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电子PC396</w:t>
            </w:r>
          </w:p>
        </w:tc>
        <w:tc>
          <w:tcPr>
            <w:tcW w:w="863" w:type="dxa"/>
            <w:gridSpan w:val="4"/>
            <w:vAlign w:val="center"/>
          </w:tcPr>
          <w:p w14:paraId="0B49C920">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25" w:type="dxa"/>
            <w:gridSpan w:val="3"/>
            <w:vAlign w:val="center"/>
          </w:tcPr>
          <w:p w14:paraId="28B584ED">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w:t>
            </w:r>
          </w:p>
        </w:tc>
      </w:tr>
      <w:tr w14:paraId="254477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1D4D0416">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27</w:t>
            </w:r>
          </w:p>
        </w:tc>
        <w:tc>
          <w:tcPr>
            <w:tcW w:w="1227" w:type="dxa"/>
            <w:vAlign w:val="center"/>
          </w:tcPr>
          <w:p w14:paraId="2EA29257">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皮脂厚度测量仪</w:t>
            </w:r>
          </w:p>
        </w:tc>
        <w:tc>
          <w:tcPr>
            <w:tcW w:w="6167" w:type="dxa"/>
            <w:vAlign w:val="center"/>
          </w:tcPr>
          <w:p w14:paraId="2DD4DEFC">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长≥160mm，宽≥10mm，指针式</w:t>
            </w:r>
          </w:p>
        </w:tc>
        <w:tc>
          <w:tcPr>
            <w:tcW w:w="863" w:type="dxa"/>
            <w:gridSpan w:val="4"/>
            <w:vAlign w:val="center"/>
          </w:tcPr>
          <w:p w14:paraId="5A7B390B">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25" w:type="dxa"/>
            <w:gridSpan w:val="3"/>
            <w:vAlign w:val="center"/>
          </w:tcPr>
          <w:p w14:paraId="4448507C">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w:t>
            </w:r>
          </w:p>
        </w:tc>
      </w:tr>
      <w:tr w14:paraId="1EC2CD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4EB0A88D">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28</w:t>
            </w:r>
          </w:p>
        </w:tc>
        <w:tc>
          <w:tcPr>
            <w:tcW w:w="1227" w:type="dxa"/>
            <w:vAlign w:val="center"/>
          </w:tcPr>
          <w:p w14:paraId="6A3F0E9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器械缸</w:t>
            </w:r>
          </w:p>
        </w:tc>
        <w:tc>
          <w:tcPr>
            <w:tcW w:w="6167" w:type="dxa"/>
            <w:vAlign w:val="center"/>
          </w:tcPr>
          <w:p w14:paraId="101FFA92">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不锈钢制成，规格≥110×65×48mm</w:t>
            </w:r>
          </w:p>
        </w:tc>
        <w:tc>
          <w:tcPr>
            <w:tcW w:w="863" w:type="dxa"/>
            <w:gridSpan w:val="4"/>
            <w:vAlign w:val="center"/>
          </w:tcPr>
          <w:p w14:paraId="35DC779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25" w:type="dxa"/>
            <w:gridSpan w:val="3"/>
            <w:vAlign w:val="center"/>
          </w:tcPr>
          <w:p w14:paraId="65E50A23">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w:t>
            </w:r>
          </w:p>
        </w:tc>
      </w:tr>
      <w:tr w14:paraId="16C747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3255CA6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29</w:t>
            </w:r>
          </w:p>
        </w:tc>
        <w:tc>
          <w:tcPr>
            <w:tcW w:w="1227" w:type="dxa"/>
            <w:vAlign w:val="center"/>
          </w:tcPr>
          <w:p w14:paraId="2042EC9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身高坐高计</w:t>
            </w:r>
          </w:p>
        </w:tc>
        <w:tc>
          <w:tcPr>
            <w:tcW w:w="6167" w:type="dxa"/>
            <w:vAlign w:val="center"/>
          </w:tcPr>
          <w:p w14:paraId="427B63E0">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机械式，铸铁座，电镀支架，量程≥2000mm，分度值1mm，误差1mm</w:t>
            </w:r>
          </w:p>
        </w:tc>
        <w:tc>
          <w:tcPr>
            <w:tcW w:w="863" w:type="dxa"/>
            <w:gridSpan w:val="4"/>
            <w:vAlign w:val="center"/>
          </w:tcPr>
          <w:p w14:paraId="12B36E5B">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台</w:t>
            </w:r>
          </w:p>
        </w:tc>
        <w:tc>
          <w:tcPr>
            <w:tcW w:w="925" w:type="dxa"/>
            <w:gridSpan w:val="3"/>
            <w:vAlign w:val="center"/>
          </w:tcPr>
          <w:p w14:paraId="089D54B5">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w:t>
            </w:r>
          </w:p>
        </w:tc>
      </w:tr>
      <w:tr w14:paraId="47EEAC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7608DF85">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30</w:t>
            </w:r>
          </w:p>
        </w:tc>
        <w:tc>
          <w:tcPr>
            <w:tcW w:w="1227" w:type="dxa"/>
            <w:vAlign w:val="center"/>
          </w:tcPr>
          <w:p w14:paraId="4D73E861">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受水器</w:t>
            </w:r>
          </w:p>
        </w:tc>
        <w:tc>
          <w:tcPr>
            <w:tcW w:w="6167" w:type="dxa"/>
            <w:vAlign w:val="center"/>
          </w:tcPr>
          <w:p w14:paraId="72A69CD7">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硬塑料制，容器体、把手，把手设在容器体的侧部，容器体的底部为一漏斗体，漏斗体与容器体由通孔相通，漏斗体端部套置软管，软管的另一端与盛液袋相连，≥120×50×40mm</w:t>
            </w:r>
          </w:p>
        </w:tc>
        <w:tc>
          <w:tcPr>
            <w:tcW w:w="863" w:type="dxa"/>
            <w:gridSpan w:val="4"/>
            <w:vAlign w:val="center"/>
          </w:tcPr>
          <w:p w14:paraId="7CDBC882">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25" w:type="dxa"/>
            <w:gridSpan w:val="3"/>
            <w:vAlign w:val="center"/>
          </w:tcPr>
          <w:p w14:paraId="16A80C5B">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4</w:t>
            </w:r>
          </w:p>
        </w:tc>
      </w:tr>
      <w:tr w14:paraId="19E2BB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2A5E0DCA">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31</w:t>
            </w:r>
          </w:p>
        </w:tc>
        <w:tc>
          <w:tcPr>
            <w:tcW w:w="1227" w:type="dxa"/>
            <w:vAlign w:val="center"/>
          </w:tcPr>
          <w:p w14:paraId="7543C82F">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体重计</w:t>
            </w:r>
          </w:p>
        </w:tc>
        <w:tc>
          <w:tcPr>
            <w:tcW w:w="6167" w:type="dxa"/>
            <w:vAlign w:val="center"/>
          </w:tcPr>
          <w:p w14:paraId="4463B00E">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机械式，铸铁座，电镀读表盘支架，最大称量（Max）：≥160kg，分度值（d）：100g；准确度级别：Ⅲ；长度计量范围：80-210cm；分度值：≥0.5cm；承重台板尺寸（长×宽）：≥375mm×270m；外形尺寸（长×宽×高）：≥570mm×437mm×1317mm； 自重：≥26.5kg</w:t>
            </w:r>
          </w:p>
        </w:tc>
        <w:tc>
          <w:tcPr>
            <w:tcW w:w="863" w:type="dxa"/>
            <w:gridSpan w:val="4"/>
            <w:vAlign w:val="center"/>
          </w:tcPr>
          <w:p w14:paraId="3F65E207">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台</w:t>
            </w:r>
          </w:p>
        </w:tc>
        <w:tc>
          <w:tcPr>
            <w:tcW w:w="925" w:type="dxa"/>
            <w:gridSpan w:val="3"/>
            <w:shd w:val="clear" w:color="auto" w:fill="FFFFFF"/>
            <w:vAlign w:val="center"/>
          </w:tcPr>
          <w:p w14:paraId="429CF152">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w:t>
            </w:r>
          </w:p>
        </w:tc>
      </w:tr>
      <w:tr w14:paraId="37A0AD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2A370FCC">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32</w:t>
            </w:r>
          </w:p>
        </w:tc>
        <w:tc>
          <w:tcPr>
            <w:tcW w:w="1227" w:type="dxa"/>
            <w:vAlign w:val="center"/>
          </w:tcPr>
          <w:p w14:paraId="1D65D4C3">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听诊器</w:t>
            </w:r>
          </w:p>
        </w:tc>
        <w:tc>
          <w:tcPr>
            <w:tcW w:w="6167" w:type="dxa"/>
            <w:vAlign w:val="center"/>
          </w:tcPr>
          <w:p w14:paraId="669FF389">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电镀扁形听诊头φ45mm，A型耳挂，标准胶管，金属三通  单头</w:t>
            </w:r>
          </w:p>
        </w:tc>
        <w:tc>
          <w:tcPr>
            <w:tcW w:w="863" w:type="dxa"/>
            <w:gridSpan w:val="4"/>
            <w:vAlign w:val="center"/>
          </w:tcPr>
          <w:p w14:paraId="214EBF8A">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25" w:type="dxa"/>
            <w:gridSpan w:val="3"/>
            <w:vAlign w:val="center"/>
          </w:tcPr>
          <w:p w14:paraId="6516D2C5">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w:t>
            </w:r>
          </w:p>
        </w:tc>
      </w:tr>
      <w:tr w14:paraId="600D1C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2A3C44B2">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33</w:t>
            </w:r>
          </w:p>
        </w:tc>
        <w:tc>
          <w:tcPr>
            <w:tcW w:w="1227" w:type="dxa"/>
            <w:vAlign w:val="center"/>
          </w:tcPr>
          <w:p w14:paraId="652428F8">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外伤处理器械</w:t>
            </w:r>
          </w:p>
        </w:tc>
        <w:tc>
          <w:tcPr>
            <w:tcW w:w="6167" w:type="dxa"/>
            <w:vAlign w:val="center"/>
          </w:tcPr>
          <w:p w14:paraId="374496CC">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≥12.5cm医用剪刀1把 ，≥12.5cm敷料镊子1把 ，胶布2卷，纱布绷带≥10×500cm 4卷，乳胶止血带1条，压舌板、笔式手电筒、敷料盒、敷料镊子、敷料剪，每套一箱</w:t>
            </w:r>
          </w:p>
        </w:tc>
        <w:tc>
          <w:tcPr>
            <w:tcW w:w="863" w:type="dxa"/>
            <w:gridSpan w:val="4"/>
            <w:vAlign w:val="center"/>
          </w:tcPr>
          <w:p w14:paraId="5D59EEBE">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套</w:t>
            </w:r>
          </w:p>
        </w:tc>
        <w:tc>
          <w:tcPr>
            <w:tcW w:w="925" w:type="dxa"/>
            <w:gridSpan w:val="3"/>
            <w:vAlign w:val="center"/>
          </w:tcPr>
          <w:p w14:paraId="5E28D8AC">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4</w:t>
            </w:r>
          </w:p>
        </w:tc>
      </w:tr>
      <w:tr w14:paraId="5DFCB1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7211B252">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34</w:t>
            </w:r>
          </w:p>
        </w:tc>
        <w:tc>
          <w:tcPr>
            <w:tcW w:w="1227" w:type="dxa"/>
            <w:vAlign w:val="center"/>
          </w:tcPr>
          <w:p w14:paraId="2BF2EAB4">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弯盘</w:t>
            </w:r>
          </w:p>
        </w:tc>
        <w:tc>
          <w:tcPr>
            <w:tcW w:w="6167" w:type="dxa"/>
            <w:vAlign w:val="center"/>
          </w:tcPr>
          <w:p w14:paraId="2122B90F">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不锈钢制 小号</w:t>
            </w:r>
          </w:p>
        </w:tc>
        <w:tc>
          <w:tcPr>
            <w:tcW w:w="863" w:type="dxa"/>
            <w:gridSpan w:val="4"/>
            <w:vAlign w:val="center"/>
          </w:tcPr>
          <w:p w14:paraId="4C223ABB">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25" w:type="dxa"/>
            <w:gridSpan w:val="3"/>
            <w:vAlign w:val="center"/>
          </w:tcPr>
          <w:p w14:paraId="5834004F">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4</w:t>
            </w:r>
          </w:p>
        </w:tc>
      </w:tr>
      <w:tr w14:paraId="18B027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4232CE20">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35</w:t>
            </w:r>
          </w:p>
        </w:tc>
        <w:tc>
          <w:tcPr>
            <w:tcW w:w="1227" w:type="dxa"/>
            <w:vAlign w:val="center"/>
          </w:tcPr>
          <w:p w14:paraId="321A6BCE">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卫生箱</w:t>
            </w:r>
          </w:p>
        </w:tc>
        <w:tc>
          <w:tcPr>
            <w:tcW w:w="6167" w:type="dxa"/>
            <w:vAlign w:val="center"/>
          </w:tcPr>
          <w:p w14:paraId="3AA690EF">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铝合金，盛放药品、卫生用品等≥335mm×1800mm×210mm,双层，红绒布包衬，铝塑结构</w:t>
            </w:r>
          </w:p>
        </w:tc>
        <w:tc>
          <w:tcPr>
            <w:tcW w:w="863" w:type="dxa"/>
            <w:gridSpan w:val="4"/>
            <w:vAlign w:val="center"/>
          </w:tcPr>
          <w:p w14:paraId="2312E52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25" w:type="dxa"/>
            <w:gridSpan w:val="3"/>
            <w:vAlign w:val="center"/>
          </w:tcPr>
          <w:p w14:paraId="26EE228C">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4</w:t>
            </w:r>
          </w:p>
        </w:tc>
      </w:tr>
      <w:tr w14:paraId="6B6E39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38F106BA">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36</w:t>
            </w:r>
          </w:p>
        </w:tc>
        <w:tc>
          <w:tcPr>
            <w:tcW w:w="1227" w:type="dxa"/>
            <w:vAlign w:val="center"/>
          </w:tcPr>
          <w:p w14:paraId="119BE697">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污物桶</w:t>
            </w:r>
          </w:p>
        </w:tc>
        <w:tc>
          <w:tcPr>
            <w:tcW w:w="6167" w:type="dxa"/>
            <w:vAlign w:val="center"/>
          </w:tcPr>
          <w:p w14:paraId="24E9DA3E">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PVC外桶，内胆不锈钢制，带开盖踏板，≥φ300mm  8L</w:t>
            </w:r>
          </w:p>
        </w:tc>
        <w:tc>
          <w:tcPr>
            <w:tcW w:w="863" w:type="dxa"/>
            <w:gridSpan w:val="4"/>
            <w:vAlign w:val="center"/>
          </w:tcPr>
          <w:p w14:paraId="3A663685">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25" w:type="dxa"/>
            <w:gridSpan w:val="3"/>
            <w:vAlign w:val="center"/>
          </w:tcPr>
          <w:p w14:paraId="7E46566B">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4</w:t>
            </w:r>
          </w:p>
        </w:tc>
      </w:tr>
      <w:tr w14:paraId="624E34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7E9B6D3D">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37</w:t>
            </w:r>
          </w:p>
        </w:tc>
        <w:tc>
          <w:tcPr>
            <w:tcW w:w="1227" w:type="dxa"/>
            <w:vAlign w:val="center"/>
          </w:tcPr>
          <w:p w14:paraId="2BBAAFE0">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心率遥测仪</w:t>
            </w:r>
          </w:p>
        </w:tc>
        <w:tc>
          <w:tcPr>
            <w:tcW w:w="6167" w:type="dxa"/>
            <w:vAlign w:val="center"/>
          </w:tcPr>
          <w:p w14:paraId="33FA01D0">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和收音机配合使用，同频接收</w:t>
            </w:r>
          </w:p>
        </w:tc>
        <w:tc>
          <w:tcPr>
            <w:tcW w:w="863" w:type="dxa"/>
            <w:gridSpan w:val="4"/>
            <w:vAlign w:val="center"/>
          </w:tcPr>
          <w:p w14:paraId="19244F73">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台</w:t>
            </w:r>
          </w:p>
        </w:tc>
        <w:tc>
          <w:tcPr>
            <w:tcW w:w="925" w:type="dxa"/>
            <w:gridSpan w:val="3"/>
            <w:vAlign w:val="center"/>
          </w:tcPr>
          <w:p w14:paraId="21089BD0">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4</w:t>
            </w:r>
          </w:p>
        </w:tc>
      </w:tr>
      <w:tr w14:paraId="128C14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6D3D5C4F">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38</w:t>
            </w:r>
          </w:p>
        </w:tc>
        <w:tc>
          <w:tcPr>
            <w:tcW w:w="1227" w:type="dxa"/>
            <w:vAlign w:val="center"/>
          </w:tcPr>
          <w:p w14:paraId="660B3D6E">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胸围尺</w:t>
            </w:r>
          </w:p>
        </w:tc>
        <w:tc>
          <w:tcPr>
            <w:tcW w:w="6167" w:type="dxa"/>
            <w:vAlign w:val="center"/>
          </w:tcPr>
          <w:p w14:paraId="5840932E">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1．PVC塑料质，顶端粘附金属薄片；2.双面刻度，分度值≥1mm，有效量程：≥1500mm。</w:t>
            </w:r>
          </w:p>
        </w:tc>
        <w:tc>
          <w:tcPr>
            <w:tcW w:w="863" w:type="dxa"/>
            <w:gridSpan w:val="4"/>
            <w:vAlign w:val="center"/>
          </w:tcPr>
          <w:p w14:paraId="405B2CF8">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25" w:type="dxa"/>
            <w:gridSpan w:val="3"/>
            <w:vAlign w:val="center"/>
          </w:tcPr>
          <w:p w14:paraId="04D8F718">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w:t>
            </w:r>
          </w:p>
        </w:tc>
      </w:tr>
      <w:tr w14:paraId="5BFE38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2305236E">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39</w:t>
            </w:r>
          </w:p>
        </w:tc>
        <w:tc>
          <w:tcPr>
            <w:tcW w:w="1227" w:type="dxa"/>
            <w:vAlign w:val="center"/>
          </w:tcPr>
          <w:p w14:paraId="172CFB58">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血压计</w:t>
            </w:r>
          </w:p>
        </w:tc>
        <w:tc>
          <w:tcPr>
            <w:tcW w:w="6167" w:type="dxa"/>
            <w:vAlign w:val="center"/>
          </w:tcPr>
          <w:p w14:paraId="33B32447">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汞柱台式，喷塑铝壳，各种臂带可供选择，乳胶球阀</w:t>
            </w:r>
          </w:p>
        </w:tc>
        <w:tc>
          <w:tcPr>
            <w:tcW w:w="863" w:type="dxa"/>
            <w:gridSpan w:val="4"/>
            <w:vAlign w:val="center"/>
          </w:tcPr>
          <w:p w14:paraId="7A83924E">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台</w:t>
            </w:r>
          </w:p>
        </w:tc>
        <w:tc>
          <w:tcPr>
            <w:tcW w:w="925" w:type="dxa"/>
            <w:gridSpan w:val="3"/>
            <w:vAlign w:val="center"/>
          </w:tcPr>
          <w:p w14:paraId="2490A45D">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w:t>
            </w:r>
          </w:p>
        </w:tc>
      </w:tr>
      <w:tr w14:paraId="1354DF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42BD5576">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40</w:t>
            </w:r>
          </w:p>
        </w:tc>
        <w:tc>
          <w:tcPr>
            <w:tcW w:w="1227" w:type="dxa"/>
            <w:vAlign w:val="center"/>
          </w:tcPr>
          <w:p w14:paraId="74845E2A">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异物针</w:t>
            </w:r>
          </w:p>
        </w:tc>
        <w:tc>
          <w:tcPr>
            <w:tcW w:w="6167" w:type="dxa"/>
            <w:vAlign w:val="center"/>
          </w:tcPr>
          <w:p w14:paraId="151D6A58">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剔除异物，去除凝血块120mm,不锈钢</w:t>
            </w:r>
          </w:p>
        </w:tc>
        <w:tc>
          <w:tcPr>
            <w:tcW w:w="863" w:type="dxa"/>
            <w:gridSpan w:val="4"/>
            <w:vAlign w:val="center"/>
          </w:tcPr>
          <w:p w14:paraId="248579D4">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套</w:t>
            </w:r>
          </w:p>
        </w:tc>
        <w:tc>
          <w:tcPr>
            <w:tcW w:w="925" w:type="dxa"/>
            <w:gridSpan w:val="3"/>
            <w:vAlign w:val="center"/>
          </w:tcPr>
          <w:p w14:paraId="2F9F74E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w:t>
            </w:r>
          </w:p>
        </w:tc>
      </w:tr>
      <w:tr w14:paraId="68E0CA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3A147DFB">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41</w:t>
            </w:r>
          </w:p>
        </w:tc>
        <w:tc>
          <w:tcPr>
            <w:tcW w:w="1227" w:type="dxa"/>
            <w:vAlign w:val="center"/>
          </w:tcPr>
          <w:p w14:paraId="3F31D323">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音叉</w:t>
            </w:r>
          </w:p>
        </w:tc>
        <w:tc>
          <w:tcPr>
            <w:tcW w:w="6167" w:type="dxa"/>
            <w:vAlign w:val="center"/>
          </w:tcPr>
          <w:p w14:paraId="757DAE18">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256HZ本音叉的频率为256HZ±。音叉叉股外侧面和两平面RA最大允许1.0UN,内侧面RA的最大允许值2.5UM。</w:t>
            </w:r>
          </w:p>
        </w:tc>
        <w:tc>
          <w:tcPr>
            <w:tcW w:w="863" w:type="dxa"/>
            <w:gridSpan w:val="4"/>
            <w:vAlign w:val="center"/>
          </w:tcPr>
          <w:p w14:paraId="718CBA63">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套</w:t>
            </w:r>
          </w:p>
        </w:tc>
        <w:tc>
          <w:tcPr>
            <w:tcW w:w="925" w:type="dxa"/>
            <w:gridSpan w:val="3"/>
            <w:vAlign w:val="center"/>
          </w:tcPr>
          <w:p w14:paraId="3ED768EB">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5CF28A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12B5186A">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42</w:t>
            </w:r>
          </w:p>
        </w:tc>
        <w:tc>
          <w:tcPr>
            <w:tcW w:w="1227" w:type="dxa"/>
            <w:vAlign w:val="center"/>
          </w:tcPr>
          <w:p w14:paraId="4876685C">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远视力表</w:t>
            </w:r>
          </w:p>
        </w:tc>
        <w:tc>
          <w:tcPr>
            <w:tcW w:w="6167" w:type="dxa"/>
            <w:vAlign w:val="center"/>
          </w:tcPr>
          <w:p w14:paraId="018E60B3">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医院眼科作视力检测</w:t>
            </w:r>
          </w:p>
        </w:tc>
        <w:tc>
          <w:tcPr>
            <w:tcW w:w="863" w:type="dxa"/>
            <w:gridSpan w:val="4"/>
            <w:vAlign w:val="center"/>
          </w:tcPr>
          <w:p w14:paraId="4E206D3F">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张</w:t>
            </w:r>
          </w:p>
        </w:tc>
        <w:tc>
          <w:tcPr>
            <w:tcW w:w="925" w:type="dxa"/>
            <w:gridSpan w:val="3"/>
            <w:shd w:val="clear" w:color="auto" w:fill="FFFFFF"/>
            <w:vAlign w:val="center"/>
          </w:tcPr>
          <w:p w14:paraId="4D0BE8E6">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w:t>
            </w:r>
          </w:p>
        </w:tc>
      </w:tr>
      <w:tr w14:paraId="48D0B4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5FC30295">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43</w:t>
            </w:r>
          </w:p>
        </w:tc>
        <w:tc>
          <w:tcPr>
            <w:tcW w:w="1227" w:type="dxa"/>
            <w:vAlign w:val="center"/>
          </w:tcPr>
          <w:p w14:paraId="5746E57F">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照度计</w:t>
            </w:r>
          </w:p>
        </w:tc>
        <w:tc>
          <w:tcPr>
            <w:tcW w:w="6167" w:type="dxa"/>
            <w:vAlign w:val="center"/>
          </w:tcPr>
          <w:p w14:paraId="55DF0B08">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 xml:space="preserve">袖珍型便携式，数字液晶显示屏，测量分辨率为0.1LUX ，测量范围20/200/2000/20000LUX ，准确度±3%rdg±5%f.s，工作电压12V，随机带电池、光度探测头 </w:t>
            </w:r>
          </w:p>
        </w:tc>
        <w:tc>
          <w:tcPr>
            <w:tcW w:w="863" w:type="dxa"/>
            <w:gridSpan w:val="4"/>
            <w:vAlign w:val="center"/>
          </w:tcPr>
          <w:p w14:paraId="68B72033">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25" w:type="dxa"/>
            <w:gridSpan w:val="3"/>
            <w:vAlign w:val="center"/>
          </w:tcPr>
          <w:p w14:paraId="545B2CC0">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6C901E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09BC35B1">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44</w:t>
            </w:r>
          </w:p>
        </w:tc>
        <w:tc>
          <w:tcPr>
            <w:tcW w:w="1227" w:type="dxa"/>
            <w:vAlign w:val="center"/>
          </w:tcPr>
          <w:p w14:paraId="14646A5F">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贮槽</w:t>
            </w:r>
          </w:p>
        </w:tc>
        <w:tc>
          <w:tcPr>
            <w:tcW w:w="6167" w:type="dxa"/>
            <w:vAlign w:val="center"/>
          </w:tcPr>
          <w:p w14:paraId="6B517249">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槽体PVC材质，不锈钢内胆，内外胆间夹层填充绝热材料并抽真空  18cm</w:t>
            </w:r>
          </w:p>
        </w:tc>
        <w:tc>
          <w:tcPr>
            <w:tcW w:w="863" w:type="dxa"/>
            <w:gridSpan w:val="4"/>
            <w:vAlign w:val="center"/>
          </w:tcPr>
          <w:p w14:paraId="2E9A4811">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25" w:type="dxa"/>
            <w:gridSpan w:val="3"/>
            <w:vAlign w:val="center"/>
          </w:tcPr>
          <w:p w14:paraId="6FCB7D3A">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697E2E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6FDF5AA7">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45</w:t>
            </w:r>
          </w:p>
        </w:tc>
        <w:tc>
          <w:tcPr>
            <w:tcW w:w="1227" w:type="dxa"/>
            <w:vAlign w:val="center"/>
          </w:tcPr>
          <w:p w14:paraId="66A5B413">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注射器</w:t>
            </w:r>
          </w:p>
        </w:tc>
        <w:tc>
          <w:tcPr>
            <w:tcW w:w="6167" w:type="dxa"/>
            <w:vAlign w:val="center"/>
          </w:tcPr>
          <w:p w14:paraId="7DFA1D08">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塑料制，一次性，符合GB 15810-2001标准，带注射针5ml</w:t>
            </w:r>
          </w:p>
        </w:tc>
        <w:tc>
          <w:tcPr>
            <w:tcW w:w="863" w:type="dxa"/>
            <w:gridSpan w:val="4"/>
            <w:vAlign w:val="center"/>
          </w:tcPr>
          <w:p w14:paraId="7F38BDD4">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25" w:type="dxa"/>
            <w:gridSpan w:val="3"/>
            <w:vAlign w:val="center"/>
          </w:tcPr>
          <w:p w14:paraId="3ED76D05">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10</w:t>
            </w:r>
          </w:p>
        </w:tc>
      </w:tr>
      <w:tr w14:paraId="5AB971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28BDB077">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46</w:t>
            </w:r>
          </w:p>
        </w:tc>
        <w:tc>
          <w:tcPr>
            <w:tcW w:w="1227" w:type="dxa"/>
            <w:vAlign w:val="center"/>
          </w:tcPr>
          <w:p w14:paraId="10278958">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紫外灯车</w:t>
            </w:r>
          </w:p>
        </w:tc>
        <w:tc>
          <w:tcPr>
            <w:tcW w:w="6167" w:type="dxa"/>
            <w:vAlign w:val="center"/>
          </w:tcPr>
          <w:p w14:paraId="57CCACB7">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石英灯管，带罩，波长为≥253.7A，工作电压AC220V50Hz，2×30W，不锈钢灯臂，调节角度0-180度，闲置时垂放，关上保护门，带定时器，最大定时120分钟内可调，定时器工作完毕能自行断路，</w:t>
            </w:r>
          </w:p>
        </w:tc>
        <w:tc>
          <w:tcPr>
            <w:tcW w:w="863" w:type="dxa"/>
            <w:gridSpan w:val="4"/>
            <w:vAlign w:val="center"/>
          </w:tcPr>
          <w:p w14:paraId="620AC7B6">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25" w:type="dxa"/>
            <w:gridSpan w:val="3"/>
            <w:vAlign w:val="center"/>
          </w:tcPr>
          <w:p w14:paraId="529C8C26">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w:t>
            </w:r>
          </w:p>
        </w:tc>
      </w:tr>
      <w:tr w14:paraId="5DF39F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173FA5CE">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47</w:t>
            </w:r>
          </w:p>
        </w:tc>
        <w:tc>
          <w:tcPr>
            <w:tcW w:w="1227" w:type="dxa"/>
            <w:vAlign w:val="center"/>
          </w:tcPr>
          <w:p w14:paraId="7FC88435">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卫生室治疗柜及操作台</w:t>
            </w:r>
          </w:p>
        </w:tc>
        <w:tc>
          <w:tcPr>
            <w:tcW w:w="6167" w:type="dxa"/>
            <w:vAlign w:val="center"/>
          </w:tcPr>
          <w:p w14:paraId="4A84E42F">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根据房间定制，柜体材质采用≥18mm厚E0级三聚氰胺双面板，截面采用≥2mm厚塑制优质封边条机械封边；分上下两部分，上部1/2为木框对开玻璃门，台面采用知名品牌实心理化板，设置水盆、三联水嘴。下部设置抽斗及对开木门，铝合金一字型扣手。柜门采用优质不锈钢定位铰链。</w:t>
            </w:r>
          </w:p>
        </w:tc>
        <w:tc>
          <w:tcPr>
            <w:tcW w:w="863" w:type="dxa"/>
            <w:gridSpan w:val="4"/>
            <w:vAlign w:val="center"/>
          </w:tcPr>
          <w:p w14:paraId="6732AD86">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套</w:t>
            </w:r>
          </w:p>
        </w:tc>
        <w:tc>
          <w:tcPr>
            <w:tcW w:w="925" w:type="dxa"/>
            <w:gridSpan w:val="3"/>
            <w:vAlign w:val="center"/>
          </w:tcPr>
          <w:p w14:paraId="1E37CE57">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45F891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6630095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48</w:t>
            </w:r>
          </w:p>
        </w:tc>
        <w:tc>
          <w:tcPr>
            <w:tcW w:w="1227" w:type="dxa"/>
            <w:vAlign w:val="center"/>
          </w:tcPr>
          <w:p w14:paraId="5BE38BA6">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器械柜</w:t>
            </w:r>
          </w:p>
        </w:tc>
        <w:tc>
          <w:tcPr>
            <w:tcW w:w="6167" w:type="dxa"/>
            <w:vAlign w:val="center"/>
          </w:tcPr>
          <w:p w14:paraId="437143DC">
            <w:pPr>
              <w:widowControl/>
              <w:numPr>
                <w:ilvl w:val="0"/>
                <w:numId w:val="297"/>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柜体尺寸（宽深高）≥1000 mm×500 mm×2000mm。</w:t>
            </w:r>
          </w:p>
          <w:p w14:paraId="6B451F9E">
            <w:pPr>
              <w:widowControl/>
              <w:numPr>
                <w:ilvl w:val="0"/>
                <w:numId w:val="297"/>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铝木结构</w:t>
            </w:r>
            <w:r>
              <w:rPr>
                <w:rFonts w:ascii="宋体" w:hAnsi="宋体"/>
                <w:color w:val="auto"/>
                <w:szCs w:val="21"/>
                <w:highlight w:val="none"/>
              </w:rPr>
              <w:t xml:space="preserve"> </w:t>
            </w:r>
          </w:p>
          <w:p w14:paraId="55DAE24A">
            <w:pPr>
              <w:widowControl/>
              <w:numPr>
                <w:ilvl w:val="0"/>
                <w:numId w:val="297"/>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柜体框架：采用模具成型的专用铝合金方管制作，通过ABS专用连接件组装而成，保证连接牢固。*前立柱、前横梁外径≥30mm×44mm（误差±1mm），后立柱、后横梁外径≥44mm×44mm（误差±1mm），铝合金管材的壁厚≥1.5 mm（误差±0.15 mm）。铝合金型材带凹槽，凹槽的宽度与柜体衬板相匹配，凹槽的深度不小于14mm（误差±0.15 mm），保证柜体衬板与铝型材之间接缝严密，无晃动现象，不发生脱落。铝合金型材表面经静电粉沫喷涂处理，整体耐腐蚀、防火、防潮、稳固耐用。</w:t>
            </w:r>
          </w:p>
          <w:p w14:paraId="49280E51">
            <w:pPr>
              <w:widowControl/>
              <w:numPr>
                <w:ilvl w:val="0"/>
                <w:numId w:val="297"/>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柜体衬板：用厚度为≥16mm±0.3 mm、彩色和灰白色双面三聚氰胺板（即双饰面板）作为台体衬板，外漏截面采用≥1.5mm厚塑制优质封边条机械封边。</w:t>
            </w:r>
          </w:p>
          <w:p w14:paraId="20BA26AC">
            <w:pPr>
              <w:widowControl/>
              <w:numPr>
                <w:ilvl w:val="0"/>
                <w:numId w:val="297"/>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柜门：上部为专用铝型材对开玻璃门，玻璃门边框规格≥52*18*1.2mm，预留4mm螺丝孔，上下框规格≥18*18*5mm，下部为对开木门。柜门采用优质定位铰链，*铰链下垫≥56*49*13mmABS胶垫并预留螺丝孔，铰链的壁厚≥1.5mm，安全、牢固、防腐、耐用。铝合金通体一字型扣手。</w:t>
            </w:r>
          </w:p>
          <w:p w14:paraId="206A67E2">
            <w:pPr>
              <w:widowControl/>
              <w:numPr>
                <w:ilvl w:val="0"/>
                <w:numId w:val="297"/>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隔板：上柜设置2块活动隔板，下柜设置1块固定隔板。隔板所用的板材与柜体板材相同。隔板的长边采用铝合金山形槽包边，铝合金正面预留标签卡槽。表面进行喷塑处理。</w:t>
            </w:r>
          </w:p>
          <w:p w14:paraId="2D2002F3">
            <w:pPr>
              <w:widowControl/>
              <w:numPr>
                <w:ilvl w:val="0"/>
                <w:numId w:val="297"/>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高度升降条：上部柜体内侧安装高度升降条（≥1.0 mm冷轧钢板制作），每侧2根，带12个活动支撑座（位置可调）。高度升降条和支撑座表面采用纯环氧树脂静电喷涂高温固化，具有较高耐蚀性能。</w:t>
            </w:r>
          </w:p>
          <w:p w14:paraId="401DE072">
            <w:pPr>
              <w:widowControl/>
              <w:numPr>
                <w:ilvl w:val="0"/>
                <w:numId w:val="297"/>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支脚：采用直径≥12mm的镀锌螺杆与ABS工程塑料一次注塑成型的脚垫，高度可调节。</w:t>
            </w:r>
          </w:p>
        </w:tc>
        <w:tc>
          <w:tcPr>
            <w:tcW w:w="863" w:type="dxa"/>
            <w:gridSpan w:val="4"/>
            <w:vAlign w:val="center"/>
          </w:tcPr>
          <w:p w14:paraId="553849C8">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25" w:type="dxa"/>
            <w:gridSpan w:val="3"/>
            <w:vAlign w:val="center"/>
          </w:tcPr>
          <w:p w14:paraId="6B736BB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34D682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6C01B111">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49</w:t>
            </w:r>
          </w:p>
        </w:tc>
        <w:tc>
          <w:tcPr>
            <w:tcW w:w="1227" w:type="dxa"/>
            <w:vAlign w:val="center"/>
          </w:tcPr>
          <w:p w14:paraId="17F2BFD5">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药品柜</w:t>
            </w:r>
          </w:p>
        </w:tc>
        <w:tc>
          <w:tcPr>
            <w:tcW w:w="6167" w:type="dxa"/>
            <w:vAlign w:val="center"/>
          </w:tcPr>
          <w:p w14:paraId="56B5FC29">
            <w:pPr>
              <w:widowControl/>
              <w:numPr>
                <w:ilvl w:val="0"/>
                <w:numId w:val="298"/>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柜体尺寸（宽深高）≥1000 mm×500 mm×2000mm。</w:t>
            </w:r>
          </w:p>
          <w:p w14:paraId="1E978A10">
            <w:pPr>
              <w:widowControl/>
              <w:numPr>
                <w:ilvl w:val="0"/>
                <w:numId w:val="298"/>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铝木结构</w:t>
            </w:r>
            <w:r>
              <w:rPr>
                <w:rFonts w:ascii="宋体" w:hAnsi="宋体"/>
                <w:color w:val="auto"/>
                <w:szCs w:val="21"/>
                <w:highlight w:val="none"/>
              </w:rPr>
              <w:t xml:space="preserve"> </w:t>
            </w:r>
          </w:p>
          <w:p w14:paraId="36984122">
            <w:pPr>
              <w:widowControl/>
              <w:numPr>
                <w:ilvl w:val="0"/>
                <w:numId w:val="298"/>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柜体框架：采用模具成型的专用铝合金方管制作，通过ABS专用连接件组装而成，保证连接牢固。*前立柱、前横梁外径≥30mm×44mm（误差±1mm），后立柱、后横梁外径≥44mm×44mm（误差±1mm），铝合金管材的壁厚≥1.5 mm（误差±0.15 mm）。铝合金型材带凹槽，凹槽的宽度与柜体衬板相匹配，凹槽的深度不小于14mm（误差±0.15 mm），保证柜体衬板与铝型材之间接缝严密，无晃动现象，不发生脱落。铝合金型材表面经静电粉沫喷涂处理，整体耐腐蚀、防火、防潮、稳固耐用。</w:t>
            </w:r>
          </w:p>
          <w:p w14:paraId="0A078D79">
            <w:pPr>
              <w:widowControl/>
              <w:numPr>
                <w:ilvl w:val="0"/>
                <w:numId w:val="298"/>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柜体衬板：用厚度为≥16mm±0.3 mm、彩色和灰白色双面三聚氰胺板（即双饰面板）作为台体衬板，外漏截面采用≥1.5mm厚塑制优质封边条机械封边。</w:t>
            </w:r>
          </w:p>
          <w:p w14:paraId="5ECAFF72">
            <w:pPr>
              <w:widowControl/>
              <w:numPr>
                <w:ilvl w:val="0"/>
                <w:numId w:val="298"/>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柜门：上部为专用铝型材对开玻璃门，玻璃门边框规格≥52*18*1.2mm，预留4mm螺丝孔，上下框规格≥18*18*5mm，下部为对开木门。柜门采用优质定位铰链，*铰链下垫≥56*49*13mmABS胶垫并预留螺丝孔，铰链的壁厚≥1.5mm，安全、牢固、防腐、耐用。铝合金通体一字型扣手。</w:t>
            </w:r>
          </w:p>
          <w:p w14:paraId="2CB6A3DD">
            <w:pPr>
              <w:widowControl/>
              <w:numPr>
                <w:ilvl w:val="0"/>
                <w:numId w:val="298"/>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隔板：上柜设置2块活动隔板，下柜设置1块固定隔板。隔板所用的板材与柜体板材相同。隔板的长边采用铝合金山形槽包边，铝合金正面预留标签卡槽。表面进行喷塑处理。</w:t>
            </w:r>
          </w:p>
          <w:p w14:paraId="75B91AE4">
            <w:pPr>
              <w:widowControl/>
              <w:numPr>
                <w:ilvl w:val="0"/>
                <w:numId w:val="298"/>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高度升降条：上部柜体内侧安装高度升降条（≥1.0 mm冷轧钢板制作），每侧2根，带12个活动支撑座（位置可调）。高度升降条和支撑座表面采用纯环氧树脂静电喷涂高温固化，具有较高耐蚀性能。</w:t>
            </w:r>
          </w:p>
          <w:p w14:paraId="59499337">
            <w:pPr>
              <w:widowControl/>
              <w:numPr>
                <w:ilvl w:val="0"/>
                <w:numId w:val="298"/>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支脚：采用直径≥12mm的镀锌螺杆与ABS工程塑料一次注塑成型的脚垫，高度可调节。</w:t>
            </w:r>
          </w:p>
        </w:tc>
        <w:tc>
          <w:tcPr>
            <w:tcW w:w="863" w:type="dxa"/>
            <w:gridSpan w:val="4"/>
            <w:vAlign w:val="center"/>
          </w:tcPr>
          <w:p w14:paraId="76A17E84">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25" w:type="dxa"/>
            <w:gridSpan w:val="3"/>
            <w:vAlign w:val="center"/>
          </w:tcPr>
          <w:p w14:paraId="2C7F907B">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w:t>
            </w:r>
          </w:p>
        </w:tc>
      </w:tr>
      <w:tr w14:paraId="76E133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245344A2">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50</w:t>
            </w:r>
          </w:p>
        </w:tc>
        <w:tc>
          <w:tcPr>
            <w:tcW w:w="1227" w:type="dxa"/>
            <w:vAlign w:val="center"/>
          </w:tcPr>
          <w:p w14:paraId="297CCC73">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健康档案柜</w:t>
            </w:r>
          </w:p>
        </w:tc>
        <w:tc>
          <w:tcPr>
            <w:tcW w:w="6167" w:type="dxa"/>
            <w:vAlign w:val="center"/>
          </w:tcPr>
          <w:p w14:paraId="33BC2A33">
            <w:pPr>
              <w:widowControl/>
              <w:numPr>
                <w:ilvl w:val="0"/>
                <w:numId w:val="299"/>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柜体尺寸（宽深高）≥1000 mm×500 mm×2000mm。</w:t>
            </w:r>
          </w:p>
          <w:p w14:paraId="54ABB8DF">
            <w:pPr>
              <w:widowControl/>
              <w:numPr>
                <w:ilvl w:val="0"/>
                <w:numId w:val="299"/>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铝木结构</w:t>
            </w:r>
            <w:r>
              <w:rPr>
                <w:rFonts w:ascii="宋体" w:hAnsi="宋体"/>
                <w:color w:val="auto"/>
                <w:szCs w:val="21"/>
                <w:highlight w:val="none"/>
              </w:rPr>
              <w:t xml:space="preserve"> </w:t>
            </w:r>
          </w:p>
          <w:p w14:paraId="5AE034C0">
            <w:pPr>
              <w:widowControl/>
              <w:numPr>
                <w:ilvl w:val="0"/>
                <w:numId w:val="299"/>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柜体框架：采用模具成型的专用铝合金方管制作，通过ABS专用连接件组装而成，保证连接牢固。*前立柱、前横梁外径≥30mm×44mm（误差±1mm），后立柱、后横梁外径≥44mm×44mm（误差±1mm），铝合金管材的壁厚≥1.5 mm（误差±0.15 mm）。铝合金型材带凹槽，凹槽的宽度与柜体衬板相匹配，凹槽的深度不小于14mm（误差±0.15 mm），保证柜体衬板与铝型材之间接缝严密，无晃动现象，不发生脱落。铝合金型材表面经静电粉沫喷涂处理，整体耐腐蚀、防火、防潮、稳固耐用。</w:t>
            </w:r>
          </w:p>
          <w:p w14:paraId="66549F9C">
            <w:pPr>
              <w:widowControl/>
              <w:numPr>
                <w:ilvl w:val="0"/>
                <w:numId w:val="299"/>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柜体衬板：用厚度为≥16mm±0.3 mm、彩色和灰白色双面三聚氰胺板（即双饰面板）作为台体衬板，外漏截面采用≥1.5mm厚塑制优质封边条机械封边。</w:t>
            </w:r>
          </w:p>
          <w:p w14:paraId="577C1929">
            <w:pPr>
              <w:widowControl/>
              <w:numPr>
                <w:ilvl w:val="0"/>
                <w:numId w:val="299"/>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柜门：上部为专用铝型材对开玻璃门，玻璃门边框规格≥52*18*1.2mm，预留4mm螺丝孔，上下框规格≥18*18*5mm，下部为对开木门。柜门采用优质定位铰链，*铰链下垫≥56*49*13mmABS胶垫并预留螺丝孔，铰链的壁厚≥1.5mm，安全、牢固、防腐、耐用。铝合金通体一字型扣手。</w:t>
            </w:r>
          </w:p>
          <w:p w14:paraId="4EDE0C8A">
            <w:pPr>
              <w:widowControl/>
              <w:numPr>
                <w:ilvl w:val="0"/>
                <w:numId w:val="299"/>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隔板：上柜设置2块活动隔板，下柜设置1块固定隔板。隔板所用的板材与柜体板材相同。隔板的长边采用铝合金山形槽包边，铝合金正面预留标签卡槽。表面进行喷塑处理。</w:t>
            </w:r>
          </w:p>
          <w:p w14:paraId="3793F163">
            <w:pPr>
              <w:widowControl/>
              <w:numPr>
                <w:ilvl w:val="0"/>
                <w:numId w:val="299"/>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高度升降条：上部柜体内侧安装高度升降条（≥1.0 mm冷轧钢板制作），每侧2根，带12个活动支撑座（位置可调）。高度升降条和支撑座表面采用纯环氧树脂静电喷涂高温固化，具有较高耐蚀性能。</w:t>
            </w:r>
          </w:p>
          <w:p w14:paraId="41A021FB">
            <w:pPr>
              <w:widowControl/>
              <w:numPr>
                <w:ilvl w:val="0"/>
                <w:numId w:val="299"/>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支脚：采用直径≥12mm的镀锌螺杆与ABS工程塑料一次注塑成型的脚垫，高度可调节。</w:t>
            </w:r>
          </w:p>
        </w:tc>
        <w:tc>
          <w:tcPr>
            <w:tcW w:w="863" w:type="dxa"/>
            <w:gridSpan w:val="4"/>
            <w:vAlign w:val="center"/>
          </w:tcPr>
          <w:p w14:paraId="37446ACF">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25" w:type="dxa"/>
            <w:gridSpan w:val="3"/>
            <w:vAlign w:val="center"/>
          </w:tcPr>
          <w:p w14:paraId="56C24BC2">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74C8EF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386FA6C7">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51</w:t>
            </w:r>
          </w:p>
        </w:tc>
        <w:tc>
          <w:tcPr>
            <w:tcW w:w="1227" w:type="dxa"/>
            <w:vAlign w:val="center"/>
          </w:tcPr>
          <w:p w14:paraId="2E5DF74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诊断凳</w:t>
            </w:r>
          </w:p>
        </w:tc>
        <w:tc>
          <w:tcPr>
            <w:tcW w:w="6167" w:type="dxa"/>
            <w:vAlign w:val="center"/>
          </w:tcPr>
          <w:p w14:paraId="65E480F0">
            <w:pPr>
              <w:widowControl/>
              <w:numPr>
                <w:ilvl w:val="0"/>
                <w:numId w:val="300"/>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座高：≥450mm。</w:t>
            </w:r>
          </w:p>
          <w:p w14:paraId="0A3353BA">
            <w:pPr>
              <w:widowControl/>
              <w:numPr>
                <w:ilvl w:val="0"/>
                <w:numId w:val="300"/>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坐板：材质：采用全新PP一次注塑成三角型，坐垫下自生加强筋及塑制背盖，</w:t>
            </w:r>
          </w:p>
          <w:p w14:paraId="6E1FC68E">
            <w:pPr>
              <w:widowControl/>
              <w:numPr>
                <w:ilvl w:val="0"/>
                <w:numId w:val="300"/>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脚架：≥22*32*2.0mm枣弧管。经数控弯管机弯曲成型，钢管架焊接完成后，表面经大型抛丸机抛丸除锈。外表采一级颗粒粉末，经高温粉体烤漆，附着力强，不脱漆。涂层需无漏喷、锈蚀；涂层需光滑均匀，色泽一致，长时间使用也不会产生表面漆剥落现象。</w:t>
            </w:r>
          </w:p>
          <w:p w14:paraId="54113A6F">
            <w:pPr>
              <w:widowControl/>
              <w:numPr>
                <w:ilvl w:val="0"/>
                <w:numId w:val="300"/>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脚垫：材质采用PA塑料。</w:t>
            </w:r>
          </w:p>
        </w:tc>
        <w:tc>
          <w:tcPr>
            <w:tcW w:w="863" w:type="dxa"/>
            <w:gridSpan w:val="4"/>
            <w:vAlign w:val="center"/>
          </w:tcPr>
          <w:p w14:paraId="33FB901D">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25" w:type="dxa"/>
            <w:gridSpan w:val="3"/>
            <w:vAlign w:val="center"/>
          </w:tcPr>
          <w:p w14:paraId="54D46F91">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4</w:t>
            </w:r>
          </w:p>
        </w:tc>
      </w:tr>
      <w:tr w14:paraId="687DA2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5B85F7B1">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52</w:t>
            </w:r>
          </w:p>
        </w:tc>
        <w:tc>
          <w:tcPr>
            <w:tcW w:w="1227" w:type="dxa"/>
            <w:vAlign w:val="center"/>
          </w:tcPr>
          <w:p w14:paraId="3D7C24BB">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医疗边柜</w:t>
            </w:r>
          </w:p>
        </w:tc>
        <w:tc>
          <w:tcPr>
            <w:tcW w:w="6167" w:type="dxa"/>
            <w:vAlign w:val="center"/>
          </w:tcPr>
          <w:p w14:paraId="5E99F532">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 xml:space="preserve">根据房间尺寸定制，应设置抽斗、门及可拆卸PP置物篮。PP置物篮规格≥430*300*100mm，配备塑制滑轨。           </w:t>
            </w:r>
          </w:p>
        </w:tc>
        <w:tc>
          <w:tcPr>
            <w:tcW w:w="863" w:type="dxa"/>
            <w:gridSpan w:val="4"/>
            <w:vAlign w:val="center"/>
          </w:tcPr>
          <w:p w14:paraId="53606225">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室</w:t>
            </w:r>
          </w:p>
        </w:tc>
        <w:tc>
          <w:tcPr>
            <w:tcW w:w="925" w:type="dxa"/>
            <w:gridSpan w:val="3"/>
            <w:vAlign w:val="center"/>
          </w:tcPr>
          <w:p w14:paraId="33A1FD42">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0042BD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36C8F95C">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53</w:t>
            </w:r>
          </w:p>
        </w:tc>
        <w:tc>
          <w:tcPr>
            <w:tcW w:w="1227" w:type="dxa"/>
            <w:vAlign w:val="center"/>
          </w:tcPr>
          <w:p w14:paraId="57130288">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办公桌椅</w:t>
            </w:r>
          </w:p>
        </w:tc>
        <w:tc>
          <w:tcPr>
            <w:tcW w:w="6167" w:type="dxa"/>
            <w:vAlign w:val="center"/>
          </w:tcPr>
          <w:p w14:paraId="0F54F985">
            <w:pPr>
              <w:numPr>
                <w:ilvl w:val="0"/>
                <w:numId w:val="301"/>
              </w:numPr>
              <w:rPr>
                <w:rFonts w:hint="eastAsia" w:ascii="宋体" w:hAnsi="宋体"/>
                <w:color w:val="auto"/>
                <w:kern w:val="0"/>
                <w:szCs w:val="21"/>
                <w:highlight w:val="none"/>
                <w:lang w:bidi="ar"/>
              </w:rPr>
            </w:pPr>
            <w:r>
              <w:rPr>
                <w:rFonts w:hint="eastAsia" w:ascii="宋体" w:hAnsi="宋体"/>
                <w:color w:val="auto"/>
                <w:kern w:val="0"/>
                <w:szCs w:val="21"/>
                <w:highlight w:val="none"/>
                <w:lang w:bidi="ar"/>
              </w:rPr>
              <w:t>规格：≥1500mm×1200mm×1100mm</w:t>
            </w:r>
          </w:p>
          <w:p w14:paraId="49F51C30">
            <w:pPr>
              <w:numPr>
                <w:ilvl w:val="0"/>
                <w:numId w:val="301"/>
              </w:numPr>
              <w:rPr>
                <w:rFonts w:hint="eastAsia" w:ascii="宋体" w:hAnsi="宋体"/>
                <w:color w:val="auto"/>
                <w:kern w:val="0"/>
                <w:szCs w:val="21"/>
                <w:highlight w:val="none"/>
                <w:lang w:bidi="ar"/>
              </w:rPr>
            </w:pPr>
            <w:r>
              <w:rPr>
                <w:rFonts w:hint="eastAsia" w:ascii="宋体" w:hAnsi="宋体"/>
                <w:color w:val="auto"/>
                <w:kern w:val="0"/>
                <w:szCs w:val="21"/>
                <w:highlight w:val="none"/>
                <w:lang w:bidi="ar"/>
              </w:rPr>
              <w:t>桌面及立腿采用优质≥25mm厚E1级颗粒板。</w:t>
            </w:r>
          </w:p>
          <w:p w14:paraId="5B47321B">
            <w:pPr>
              <w:numPr>
                <w:ilvl w:val="0"/>
                <w:numId w:val="301"/>
              </w:numPr>
              <w:rPr>
                <w:rFonts w:hint="eastAsia" w:ascii="宋体" w:hAnsi="宋体"/>
                <w:color w:val="auto"/>
                <w:kern w:val="0"/>
                <w:szCs w:val="21"/>
                <w:highlight w:val="none"/>
                <w:lang w:bidi="ar"/>
              </w:rPr>
            </w:pPr>
            <w:r>
              <w:rPr>
                <w:rFonts w:hint="eastAsia" w:ascii="宋体" w:hAnsi="宋体"/>
                <w:color w:val="auto"/>
                <w:kern w:val="0"/>
                <w:szCs w:val="21"/>
                <w:highlight w:val="none"/>
                <w:lang w:bidi="ar"/>
              </w:rPr>
              <w:t>柜体板材采用E1级颗粒板，厚度≥18mm，</w:t>
            </w:r>
          </w:p>
          <w:p w14:paraId="555A1963">
            <w:pPr>
              <w:numPr>
                <w:ilvl w:val="0"/>
                <w:numId w:val="301"/>
              </w:numPr>
              <w:rPr>
                <w:rFonts w:hint="eastAsia" w:ascii="宋体" w:hAnsi="宋体"/>
                <w:color w:val="auto"/>
                <w:kern w:val="0"/>
                <w:szCs w:val="21"/>
                <w:highlight w:val="none"/>
                <w:lang w:bidi="ar"/>
              </w:rPr>
            </w:pPr>
            <w:r>
              <w:rPr>
                <w:rFonts w:hint="eastAsia" w:ascii="宋体" w:hAnsi="宋体"/>
                <w:color w:val="auto"/>
                <w:kern w:val="0"/>
                <w:szCs w:val="21"/>
                <w:highlight w:val="none"/>
                <w:lang w:bidi="ar"/>
              </w:rPr>
              <w:t>封边：四周采用≥1.5mm厚同色封边条机械封边，</w:t>
            </w:r>
          </w:p>
          <w:p w14:paraId="7C8CD429">
            <w:pPr>
              <w:numPr>
                <w:ilvl w:val="0"/>
                <w:numId w:val="301"/>
              </w:numPr>
              <w:rPr>
                <w:rFonts w:hint="eastAsia" w:ascii="宋体" w:hAnsi="宋体"/>
                <w:color w:val="auto"/>
                <w:kern w:val="0"/>
                <w:szCs w:val="21"/>
                <w:highlight w:val="none"/>
                <w:lang w:bidi="ar"/>
              </w:rPr>
            </w:pPr>
            <w:r>
              <w:rPr>
                <w:rFonts w:hint="eastAsia" w:ascii="宋体" w:hAnsi="宋体"/>
                <w:color w:val="auto"/>
                <w:kern w:val="0"/>
                <w:szCs w:val="21"/>
                <w:highlight w:val="none"/>
                <w:lang w:bidi="ar"/>
              </w:rPr>
              <w:t>采用优质五金配件</w:t>
            </w:r>
          </w:p>
          <w:p w14:paraId="41B429FF">
            <w:pPr>
              <w:numPr>
                <w:ilvl w:val="0"/>
                <w:numId w:val="301"/>
              </w:numPr>
              <w:rPr>
                <w:rFonts w:hint="eastAsia" w:ascii="宋体" w:hAnsi="宋体"/>
                <w:color w:val="auto"/>
                <w:kern w:val="0"/>
                <w:szCs w:val="21"/>
                <w:highlight w:val="none"/>
                <w:lang w:bidi="ar"/>
              </w:rPr>
            </w:pPr>
            <w:r>
              <w:rPr>
                <w:rFonts w:hint="eastAsia" w:ascii="宋体" w:hAnsi="宋体"/>
                <w:color w:val="auto"/>
                <w:kern w:val="0"/>
                <w:szCs w:val="21"/>
                <w:highlight w:val="none"/>
                <w:lang w:bidi="ar"/>
              </w:rPr>
              <w:t>办公椅：工字型网布面料五金配件，美观大方。</w:t>
            </w:r>
          </w:p>
        </w:tc>
        <w:tc>
          <w:tcPr>
            <w:tcW w:w="863" w:type="dxa"/>
            <w:gridSpan w:val="4"/>
            <w:vAlign w:val="center"/>
          </w:tcPr>
          <w:p w14:paraId="37BBF447">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套</w:t>
            </w:r>
          </w:p>
        </w:tc>
        <w:tc>
          <w:tcPr>
            <w:tcW w:w="925" w:type="dxa"/>
            <w:gridSpan w:val="3"/>
            <w:vAlign w:val="center"/>
          </w:tcPr>
          <w:p w14:paraId="40971D10">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32BE57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9931" w:type="dxa"/>
            <w:gridSpan w:val="10"/>
            <w:noWrap/>
            <w:vAlign w:val="center"/>
          </w:tcPr>
          <w:p w14:paraId="1B6953BE">
            <w:pPr>
              <w:widowControl/>
              <w:jc w:val="center"/>
              <w:textAlignment w:val="center"/>
              <w:rPr>
                <w:rFonts w:hint="eastAsia" w:ascii="宋体" w:hAnsi="宋体"/>
                <w:b/>
                <w:bCs/>
                <w:color w:val="auto"/>
                <w:szCs w:val="21"/>
                <w:highlight w:val="none"/>
              </w:rPr>
            </w:pPr>
            <w:r>
              <w:rPr>
                <w:rFonts w:hint="eastAsia" w:ascii="宋体" w:hAnsi="宋体"/>
                <w:b/>
                <w:bCs/>
                <w:color w:val="auto"/>
                <w:kern w:val="0"/>
                <w:szCs w:val="21"/>
                <w:highlight w:val="none"/>
                <w:lang w:bidi="ar"/>
              </w:rPr>
              <w:t>九、美术教室</w:t>
            </w:r>
          </w:p>
        </w:tc>
      </w:tr>
      <w:tr w14:paraId="72AA65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noWrap/>
            <w:vAlign w:val="center"/>
          </w:tcPr>
          <w:p w14:paraId="4B2BAED5">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c>
          <w:tcPr>
            <w:tcW w:w="1227" w:type="dxa"/>
            <w:noWrap/>
            <w:vAlign w:val="center"/>
          </w:tcPr>
          <w:p w14:paraId="65DF05DB">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衬布</w:t>
            </w:r>
          </w:p>
        </w:tc>
        <w:tc>
          <w:tcPr>
            <w:tcW w:w="6167" w:type="dxa"/>
            <w:noWrap/>
            <w:vAlign w:val="center"/>
          </w:tcPr>
          <w:p w14:paraId="37F092A7">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≥100cm×200cm；棉、麻、丝、绒</w:t>
            </w:r>
          </w:p>
        </w:tc>
        <w:tc>
          <w:tcPr>
            <w:tcW w:w="863" w:type="dxa"/>
            <w:gridSpan w:val="4"/>
            <w:vAlign w:val="center"/>
          </w:tcPr>
          <w:p w14:paraId="2336E052">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块</w:t>
            </w:r>
          </w:p>
        </w:tc>
        <w:tc>
          <w:tcPr>
            <w:tcW w:w="925" w:type="dxa"/>
            <w:gridSpan w:val="3"/>
            <w:vAlign w:val="center"/>
          </w:tcPr>
          <w:p w14:paraId="0B48607E">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25</w:t>
            </w:r>
          </w:p>
        </w:tc>
      </w:tr>
      <w:tr w14:paraId="048782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0E10C491">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w:t>
            </w:r>
          </w:p>
        </w:tc>
        <w:tc>
          <w:tcPr>
            <w:tcW w:w="1227" w:type="dxa"/>
            <w:vAlign w:val="center"/>
          </w:tcPr>
          <w:p w14:paraId="3451A6A6">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写生凳</w:t>
            </w:r>
          </w:p>
        </w:tc>
        <w:tc>
          <w:tcPr>
            <w:tcW w:w="6167" w:type="dxa"/>
            <w:vAlign w:val="center"/>
          </w:tcPr>
          <w:p w14:paraId="3B72FC15">
            <w:pPr>
              <w:widowControl/>
              <w:numPr>
                <w:ilvl w:val="0"/>
                <w:numId w:val="302"/>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座高：≥450mm。</w:t>
            </w:r>
          </w:p>
          <w:p w14:paraId="453D79EF">
            <w:pPr>
              <w:widowControl/>
              <w:numPr>
                <w:ilvl w:val="0"/>
                <w:numId w:val="302"/>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坐板：材质：采用全新PP一次注塑成三角型，坐垫下自生加强筋及塑制背盖，</w:t>
            </w:r>
          </w:p>
          <w:p w14:paraId="627BAA87">
            <w:pPr>
              <w:widowControl/>
              <w:numPr>
                <w:ilvl w:val="0"/>
                <w:numId w:val="302"/>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脚架：≥22mm*32mm*2.0mm枣弧管。经数控弯管机弯曲成型，</w:t>
            </w:r>
          </w:p>
          <w:p w14:paraId="3D49DBAE">
            <w:pPr>
              <w:widowControl/>
              <w:numPr>
                <w:ilvl w:val="0"/>
                <w:numId w:val="302"/>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钢管架焊接完成后，表面经大型抛丸机抛丸除锈。外表采一级颗粒粉末，经高温粉体烤漆，附着力强，不脱漆。涂层需无漏喷、锈蚀；涂层需光滑均匀，色泽一致，长时间使用也不会产生表面漆剥落现象。</w:t>
            </w:r>
          </w:p>
          <w:p w14:paraId="557D657F">
            <w:pPr>
              <w:widowControl/>
              <w:numPr>
                <w:ilvl w:val="0"/>
                <w:numId w:val="302"/>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脚垫：材质采用PA塑料。</w:t>
            </w:r>
          </w:p>
        </w:tc>
        <w:tc>
          <w:tcPr>
            <w:tcW w:w="863" w:type="dxa"/>
            <w:gridSpan w:val="4"/>
            <w:vAlign w:val="center"/>
          </w:tcPr>
          <w:p w14:paraId="46AB9752">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25" w:type="dxa"/>
            <w:gridSpan w:val="3"/>
            <w:vAlign w:val="center"/>
          </w:tcPr>
          <w:p w14:paraId="3FD90AFE">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56</w:t>
            </w:r>
          </w:p>
        </w:tc>
      </w:tr>
      <w:tr w14:paraId="07EB34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5DB2963E">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3</w:t>
            </w:r>
          </w:p>
        </w:tc>
        <w:tc>
          <w:tcPr>
            <w:tcW w:w="1227" w:type="dxa"/>
            <w:vAlign w:val="center"/>
          </w:tcPr>
          <w:p w14:paraId="273AAE34">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写生灯</w:t>
            </w:r>
          </w:p>
        </w:tc>
        <w:tc>
          <w:tcPr>
            <w:tcW w:w="6167" w:type="dxa"/>
            <w:vAlign w:val="center"/>
          </w:tcPr>
          <w:p w14:paraId="1139C707">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高度不低于 60cm，照射角度可调，可升降</w:t>
            </w:r>
          </w:p>
        </w:tc>
        <w:tc>
          <w:tcPr>
            <w:tcW w:w="863" w:type="dxa"/>
            <w:gridSpan w:val="4"/>
            <w:vAlign w:val="center"/>
          </w:tcPr>
          <w:p w14:paraId="70950B9E">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只</w:t>
            </w:r>
          </w:p>
        </w:tc>
        <w:tc>
          <w:tcPr>
            <w:tcW w:w="925" w:type="dxa"/>
            <w:gridSpan w:val="3"/>
            <w:vAlign w:val="center"/>
          </w:tcPr>
          <w:p w14:paraId="20EB8F75">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4</w:t>
            </w:r>
          </w:p>
        </w:tc>
      </w:tr>
      <w:tr w14:paraId="5A449D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65399C0F">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4</w:t>
            </w:r>
          </w:p>
        </w:tc>
        <w:tc>
          <w:tcPr>
            <w:tcW w:w="1227" w:type="dxa"/>
            <w:vAlign w:val="center"/>
          </w:tcPr>
          <w:p w14:paraId="6E24DF83">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工作台</w:t>
            </w:r>
          </w:p>
        </w:tc>
        <w:tc>
          <w:tcPr>
            <w:tcW w:w="6167" w:type="dxa"/>
            <w:vAlign w:val="center"/>
          </w:tcPr>
          <w:p w14:paraId="179F8C4B">
            <w:pPr>
              <w:widowControl/>
              <w:numPr>
                <w:ilvl w:val="1"/>
                <w:numId w:val="303"/>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尺寸：≥D2400mm*W1200mm*H750±10mm；</w:t>
            </w:r>
          </w:p>
          <w:p w14:paraId="5ED5DBB5">
            <w:pPr>
              <w:widowControl/>
              <w:numPr>
                <w:ilvl w:val="1"/>
                <w:numId w:val="303"/>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材质：环保板+钢架；</w:t>
            </w:r>
          </w:p>
          <w:p w14:paraId="4D5A8D03">
            <w:pPr>
              <w:widowControl/>
              <w:numPr>
                <w:ilvl w:val="1"/>
                <w:numId w:val="303"/>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工艺：桌面采用知名品牌抗倍特板材，厚度≥18mm。桌架采用优质钢架，满焊焊接而成，表面采用高温粉体烤漆，耐腐蚀，不易生锈；</w:t>
            </w:r>
          </w:p>
          <w:p w14:paraId="25E09943">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4、功能：桌面分上下两层，便于放置书本工具。</w:t>
            </w:r>
          </w:p>
        </w:tc>
        <w:tc>
          <w:tcPr>
            <w:tcW w:w="863" w:type="dxa"/>
            <w:gridSpan w:val="4"/>
            <w:vAlign w:val="center"/>
          </w:tcPr>
          <w:p w14:paraId="34646BC5">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25" w:type="dxa"/>
            <w:gridSpan w:val="3"/>
            <w:vAlign w:val="center"/>
          </w:tcPr>
          <w:p w14:paraId="0B87228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7</w:t>
            </w:r>
          </w:p>
        </w:tc>
      </w:tr>
      <w:tr w14:paraId="51831C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155D7535">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5</w:t>
            </w:r>
          </w:p>
        </w:tc>
        <w:tc>
          <w:tcPr>
            <w:tcW w:w="1227" w:type="dxa"/>
            <w:vAlign w:val="center"/>
          </w:tcPr>
          <w:p w14:paraId="3D662834">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教师工作台</w:t>
            </w:r>
          </w:p>
        </w:tc>
        <w:tc>
          <w:tcPr>
            <w:tcW w:w="6167" w:type="dxa"/>
            <w:vAlign w:val="center"/>
          </w:tcPr>
          <w:p w14:paraId="13212457">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材质同工作台</w:t>
            </w:r>
          </w:p>
        </w:tc>
        <w:tc>
          <w:tcPr>
            <w:tcW w:w="863" w:type="dxa"/>
            <w:gridSpan w:val="4"/>
            <w:vAlign w:val="center"/>
          </w:tcPr>
          <w:p w14:paraId="797BE216">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25" w:type="dxa"/>
            <w:gridSpan w:val="3"/>
            <w:vAlign w:val="center"/>
          </w:tcPr>
          <w:p w14:paraId="209D66F2">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510C34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2DEDB6E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6</w:t>
            </w:r>
          </w:p>
        </w:tc>
        <w:tc>
          <w:tcPr>
            <w:tcW w:w="1227" w:type="dxa"/>
            <w:vAlign w:val="center"/>
          </w:tcPr>
          <w:p w14:paraId="138ED680">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教师凳</w:t>
            </w:r>
          </w:p>
        </w:tc>
        <w:tc>
          <w:tcPr>
            <w:tcW w:w="6167" w:type="dxa"/>
            <w:vAlign w:val="center"/>
          </w:tcPr>
          <w:p w14:paraId="69C79569">
            <w:pPr>
              <w:widowControl/>
              <w:numPr>
                <w:ilvl w:val="0"/>
                <w:numId w:val="304"/>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座高：≥450mm。</w:t>
            </w:r>
          </w:p>
          <w:p w14:paraId="28BBBDBB">
            <w:pPr>
              <w:widowControl/>
              <w:numPr>
                <w:ilvl w:val="0"/>
                <w:numId w:val="304"/>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坐板：材质：采用全新PP一次注塑成三角型，坐垫下自生加强筋及塑制背盖，</w:t>
            </w:r>
          </w:p>
          <w:p w14:paraId="456A6794">
            <w:pPr>
              <w:widowControl/>
              <w:numPr>
                <w:ilvl w:val="0"/>
                <w:numId w:val="304"/>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脚架：≥22mm*32mm*2.0mm枣弧管。经数控弯管机弯曲成型，</w:t>
            </w:r>
          </w:p>
          <w:p w14:paraId="1E147EE5">
            <w:pPr>
              <w:widowControl/>
              <w:numPr>
                <w:ilvl w:val="0"/>
                <w:numId w:val="304"/>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钢管架焊接完成后，表面经大型抛丸机抛丸除锈。外表采一级颗粒粉末，经高温粉体烤漆，附着力强，不脱漆。涂层需无漏喷、锈蚀；涂层需光滑均匀，色泽一致，长时间使用也不会产生表面漆剥落现象。</w:t>
            </w:r>
          </w:p>
          <w:p w14:paraId="1354E0C6">
            <w:pPr>
              <w:widowControl/>
              <w:numPr>
                <w:ilvl w:val="0"/>
                <w:numId w:val="304"/>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脚垫：材质采用PA塑料。</w:t>
            </w:r>
          </w:p>
        </w:tc>
        <w:tc>
          <w:tcPr>
            <w:tcW w:w="863" w:type="dxa"/>
            <w:gridSpan w:val="4"/>
            <w:vAlign w:val="center"/>
          </w:tcPr>
          <w:p w14:paraId="3A3FCDA4">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25" w:type="dxa"/>
            <w:gridSpan w:val="3"/>
            <w:vAlign w:val="center"/>
          </w:tcPr>
          <w:p w14:paraId="3CC0F1E2">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55B8E4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5C50BF28">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7</w:t>
            </w:r>
          </w:p>
        </w:tc>
        <w:tc>
          <w:tcPr>
            <w:tcW w:w="1227" w:type="dxa"/>
            <w:vAlign w:val="center"/>
          </w:tcPr>
          <w:p w14:paraId="20C242B7">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美术教学用品柜</w:t>
            </w:r>
          </w:p>
        </w:tc>
        <w:tc>
          <w:tcPr>
            <w:tcW w:w="6167" w:type="dxa"/>
            <w:vAlign w:val="center"/>
          </w:tcPr>
          <w:p w14:paraId="57863082">
            <w:pPr>
              <w:widowControl/>
              <w:numPr>
                <w:ilvl w:val="0"/>
                <w:numId w:val="305"/>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柜体尺寸（宽深高）≥1000 mm×500 mm×2000mm。 铝木结构</w:t>
            </w:r>
          </w:p>
          <w:p w14:paraId="51FFD6BF">
            <w:pPr>
              <w:widowControl/>
              <w:numPr>
                <w:ilvl w:val="0"/>
                <w:numId w:val="305"/>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柜体框架：采用模具成型的专用铝合金方管制作，通过ABS专用连接件组装而成，保证连接牢固。*前立柱、前横梁外径≥30mm×44mm（误差±1mm），后立柱、后横梁外径≥44mm×44mm（误差±1mm），铝合金管材的壁厚≥1.5 mm（误差±0.15 mm）。铝合金型材带凹槽，凹槽的宽度与柜体衬板相匹配，凹槽的深度不小于14mm（误差±0.15 mm），保证柜体衬板与铝型材之间接缝严密，无晃动现象，不发生脱落。铝合金型材表面经静电粉沫喷涂处理，整体耐腐蚀、防火、防潮、稳固耐用。</w:t>
            </w:r>
          </w:p>
          <w:p w14:paraId="5EDE5053">
            <w:pPr>
              <w:widowControl/>
              <w:numPr>
                <w:ilvl w:val="0"/>
                <w:numId w:val="305"/>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柜体衬板：用厚度≥16mm±0.3 mm、彩色和灰白色双面三聚氰胺板（即双饰面板）作为台体衬板，外漏截面采用≥1.5mm厚塑制优质封边条机械封边。</w:t>
            </w:r>
          </w:p>
          <w:p w14:paraId="11BC726C">
            <w:pPr>
              <w:widowControl/>
              <w:numPr>
                <w:ilvl w:val="0"/>
                <w:numId w:val="305"/>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柜门：上部为专用铝型材对开玻璃门，玻璃门边框规格≥52mm*18mm*1.2mm，预留4mm螺丝孔，上下框规格≥18mm*18mm*5mm，下部为对开木门。柜门采用优质定位铰链，*铰链下垫≥56mm*49mm*13mmABS胶垫并预留螺丝孔，铰链的壁厚≥1.5mm，安全、牢固、防腐、耐用。铝合金通体一字型扣手。</w:t>
            </w:r>
          </w:p>
          <w:p w14:paraId="057E4CCA">
            <w:pPr>
              <w:widowControl/>
              <w:numPr>
                <w:ilvl w:val="0"/>
                <w:numId w:val="305"/>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隔板：上柜设置2块活动隔板，下柜设置1块固定隔板。隔板所用的板材与柜体板材相同。隔板的长边采用铝合金山形槽包边，铝合金正面预留标签卡槽。表面进行喷塑处理。</w:t>
            </w:r>
          </w:p>
          <w:p w14:paraId="595493A9">
            <w:pPr>
              <w:widowControl/>
              <w:numPr>
                <w:ilvl w:val="0"/>
                <w:numId w:val="305"/>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高度升降条：上部柜体内侧安装高度升降条（≥1.0 mm冷轧钢板制作），每侧2根，带12个活动支撑座（位置可调）。高度升降条和支撑座表面采用纯环氧树脂静电喷涂高温固化，具有较高耐蚀性能。</w:t>
            </w:r>
          </w:p>
          <w:p w14:paraId="1CB18FAA">
            <w:pPr>
              <w:widowControl/>
              <w:numPr>
                <w:ilvl w:val="0"/>
                <w:numId w:val="305"/>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支脚：采用直径≥12mm的镀锌螺杆与ABS工程塑料一次注塑成型的脚垫，高度可调节。</w:t>
            </w:r>
          </w:p>
        </w:tc>
        <w:tc>
          <w:tcPr>
            <w:tcW w:w="863" w:type="dxa"/>
            <w:gridSpan w:val="4"/>
            <w:vAlign w:val="center"/>
          </w:tcPr>
          <w:p w14:paraId="62E13B5B">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25" w:type="dxa"/>
            <w:gridSpan w:val="3"/>
            <w:vAlign w:val="center"/>
          </w:tcPr>
          <w:p w14:paraId="75AF00A6">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12</w:t>
            </w:r>
          </w:p>
        </w:tc>
      </w:tr>
      <w:tr w14:paraId="4571DF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311F2640">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8</w:t>
            </w:r>
          </w:p>
        </w:tc>
        <w:tc>
          <w:tcPr>
            <w:tcW w:w="1227" w:type="dxa"/>
            <w:vAlign w:val="center"/>
          </w:tcPr>
          <w:p w14:paraId="130B2F22">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教室边柜</w:t>
            </w:r>
          </w:p>
        </w:tc>
        <w:tc>
          <w:tcPr>
            <w:tcW w:w="6167" w:type="dxa"/>
            <w:vAlign w:val="center"/>
          </w:tcPr>
          <w:p w14:paraId="2F1BE293">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根据房间尺寸定制，应设置抽斗、门及可拆卸PP置物篮。PP置物篮规格≥430*300*100mm，配备塑制滑轨。</w:t>
            </w:r>
          </w:p>
        </w:tc>
        <w:tc>
          <w:tcPr>
            <w:tcW w:w="863" w:type="dxa"/>
            <w:gridSpan w:val="4"/>
            <w:vAlign w:val="center"/>
          </w:tcPr>
          <w:p w14:paraId="5BCFF638">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室</w:t>
            </w:r>
          </w:p>
        </w:tc>
        <w:tc>
          <w:tcPr>
            <w:tcW w:w="925" w:type="dxa"/>
            <w:gridSpan w:val="3"/>
            <w:vAlign w:val="center"/>
          </w:tcPr>
          <w:p w14:paraId="5425B3DC">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2211F1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3CA6963A">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9</w:t>
            </w:r>
          </w:p>
        </w:tc>
        <w:tc>
          <w:tcPr>
            <w:tcW w:w="1227" w:type="dxa"/>
            <w:vAlign w:val="center"/>
          </w:tcPr>
          <w:p w14:paraId="5DDE0097">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磁性白黑板</w:t>
            </w:r>
          </w:p>
        </w:tc>
        <w:tc>
          <w:tcPr>
            <w:tcW w:w="6167" w:type="dxa"/>
            <w:vAlign w:val="center"/>
          </w:tcPr>
          <w:p w14:paraId="28C992AC">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不小于 90cm×70cm</w:t>
            </w:r>
          </w:p>
        </w:tc>
        <w:tc>
          <w:tcPr>
            <w:tcW w:w="863" w:type="dxa"/>
            <w:gridSpan w:val="4"/>
            <w:vAlign w:val="center"/>
          </w:tcPr>
          <w:p w14:paraId="580CA6F3">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块</w:t>
            </w:r>
          </w:p>
        </w:tc>
        <w:tc>
          <w:tcPr>
            <w:tcW w:w="925" w:type="dxa"/>
            <w:gridSpan w:val="3"/>
            <w:vAlign w:val="center"/>
          </w:tcPr>
          <w:p w14:paraId="786DA9A4">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25</w:t>
            </w:r>
          </w:p>
        </w:tc>
      </w:tr>
      <w:tr w14:paraId="793E85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257C4E1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10</w:t>
            </w:r>
          </w:p>
        </w:tc>
        <w:tc>
          <w:tcPr>
            <w:tcW w:w="1227" w:type="dxa"/>
            <w:vAlign w:val="center"/>
          </w:tcPr>
          <w:p w14:paraId="2CCCE5DB">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展示画框</w:t>
            </w:r>
          </w:p>
        </w:tc>
        <w:tc>
          <w:tcPr>
            <w:tcW w:w="6167" w:type="dxa"/>
            <w:vAlign w:val="center"/>
          </w:tcPr>
          <w:p w14:paraId="4B9AD50E">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≥60cm×45cm</w:t>
            </w:r>
          </w:p>
        </w:tc>
        <w:tc>
          <w:tcPr>
            <w:tcW w:w="863" w:type="dxa"/>
            <w:gridSpan w:val="4"/>
            <w:vAlign w:val="center"/>
          </w:tcPr>
          <w:p w14:paraId="0DEC5367">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25" w:type="dxa"/>
            <w:gridSpan w:val="3"/>
            <w:vAlign w:val="center"/>
          </w:tcPr>
          <w:p w14:paraId="3E485DAD">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25</w:t>
            </w:r>
          </w:p>
        </w:tc>
      </w:tr>
      <w:tr w14:paraId="564363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6E9CD5CF">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11</w:t>
            </w:r>
          </w:p>
        </w:tc>
        <w:tc>
          <w:tcPr>
            <w:tcW w:w="1227" w:type="dxa"/>
            <w:vAlign w:val="center"/>
          </w:tcPr>
          <w:p w14:paraId="11C34AAE">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展示画框</w:t>
            </w:r>
          </w:p>
        </w:tc>
        <w:tc>
          <w:tcPr>
            <w:tcW w:w="6167" w:type="dxa"/>
            <w:vAlign w:val="center"/>
          </w:tcPr>
          <w:p w14:paraId="0C14BF05">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≥60cm×90cm</w:t>
            </w:r>
          </w:p>
        </w:tc>
        <w:tc>
          <w:tcPr>
            <w:tcW w:w="863" w:type="dxa"/>
            <w:gridSpan w:val="4"/>
            <w:vAlign w:val="center"/>
          </w:tcPr>
          <w:p w14:paraId="12F0D313">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25" w:type="dxa"/>
            <w:gridSpan w:val="3"/>
            <w:vAlign w:val="center"/>
          </w:tcPr>
          <w:p w14:paraId="3BDE327B">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25</w:t>
            </w:r>
          </w:p>
        </w:tc>
      </w:tr>
      <w:tr w14:paraId="09C938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724B8A58">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12</w:t>
            </w:r>
          </w:p>
        </w:tc>
        <w:tc>
          <w:tcPr>
            <w:tcW w:w="1227" w:type="dxa"/>
            <w:vAlign w:val="center"/>
          </w:tcPr>
          <w:p w14:paraId="5707420F">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美术教学挂图</w:t>
            </w:r>
          </w:p>
        </w:tc>
        <w:tc>
          <w:tcPr>
            <w:tcW w:w="6167" w:type="dxa"/>
            <w:vAlign w:val="center"/>
          </w:tcPr>
          <w:p w14:paraId="4C7E2F76">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适合美术教学要求的绘画、手工、欣赏内容，不少于 48 幅，对开，应为国家正式出版物</w:t>
            </w:r>
          </w:p>
        </w:tc>
        <w:tc>
          <w:tcPr>
            <w:tcW w:w="863" w:type="dxa"/>
            <w:gridSpan w:val="4"/>
            <w:vAlign w:val="center"/>
          </w:tcPr>
          <w:p w14:paraId="1FEF9EEE">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套</w:t>
            </w:r>
          </w:p>
        </w:tc>
        <w:tc>
          <w:tcPr>
            <w:tcW w:w="925" w:type="dxa"/>
            <w:gridSpan w:val="3"/>
            <w:vAlign w:val="center"/>
          </w:tcPr>
          <w:p w14:paraId="46B0DADD">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4</w:t>
            </w:r>
          </w:p>
        </w:tc>
      </w:tr>
      <w:tr w14:paraId="555BCE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078126DC">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13</w:t>
            </w:r>
          </w:p>
        </w:tc>
        <w:tc>
          <w:tcPr>
            <w:tcW w:w="1227" w:type="dxa"/>
            <w:vAlign w:val="center"/>
          </w:tcPr>
          <w:p w14:paraId="00BC6D57">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影像资料</w:t>
            </w:r>
          </w:p>
        </w:tc>
        <w:tc>
          <w:tcPr>
            <w:tcW w:w="6167" w:type="dxa"/>
            <w:vAlign w:val="center"/>
          </w:tcPr>
          <w:p w14:paraId="57BB448C">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幻灯片、光盘、数字化美术教学资源库、虚拟美术博物馆、美术展等</w:t>
            </w:r>
          </w:p>
        </w:tc>
        <w:tc>
          <w:tcPr>
            <w:tcW w:w="863" w:type="dxa"/>
            <w:gridSpan w:val="4"/>
            <w:vAlign w:val="center"/>
          </w:tcPr>
          <w:p w14:paraId="46419390">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套</w:t>
            </w:r>
          </w:p>
        </w:tc>
        <w:tc>
          <w:tcPr>
            <w:tcW w:w="925" w:type="dxa"/>
            <w:gridSpan w:val="3"/>
            <w:vAlign w:val="center"/>
          </w:tcPr>
          <w:p w14:paraId="5CC6E56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44D047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3E1875C5">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14</w:t>
            </w:r>
          </w:p>
        </w:tc>
        <w:tc>
          <w:tcPr>
            <w:tcW w:w="1227" w:type="dxa"/>
            <w:vAlign w:val="center"/>
          </w:tcPr>
          <w:p w14:paraId="4B6AD95D">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写生画板</w:t>
            </w:r>
          </w:p>
        </w:tc>
        <w:tc>
          <w:tcPr>
            <w:tcW w:w="6167" w:type="dxa"/>
            <w:vAlign w:val="center"/>
          </w:tcPr>
          <w:p w14:paraId="5D21939C">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不小于 45cm×32cm</w:t>
            </w:r>
          </w:p>
        </w:tc>
        <w:tc>
          <w:tcPr>
            <w:tcW w:w="863" w:type="dxa"/>
            <w:gridSpan w:val="4"/>
            <w:vAlign w:val="center"/>
          </w:tcPr>
          <w:p w14:paraId="6C28A4CE">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块</w:t>
            </w:r>
          </w:p>
        </w:tc>
        <w:tc>
          <w:tcPr>
            <w:tcW w:w="925" w:type="dxa"/>
            <w:gridSpan w:val="3"/>
            <w:vAlign w:val="center"/>
          </w:tcPr>
          <w:p w14:paraId="6E476A92">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56</w:t>
            </w:r>
          </w:p>
        </w:tc>
      </w:tr>
      <w:tr w14:paraId="2FA8EE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054343E7">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15</w:t>
            </w:r>
          </w:p>
        </w:tc>
        <w:tc>
          <w:tcPr>
            <w:tcW w:w="1227" w:type="dxa"/>
            <w:vAlign w:val="center"/>
          </w:tcPr>
          <w:p w14:paraId="0090978A">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人体结构活动模型</w:t>
            </w:r>
          </w:p>
        </w:tc>
        <w:tc>
          <w:tcPr>
            <w:tcW w:w="6167" w:type="dxa"/>
            <w:vAlign w:val="center"/>
          </w:tcPr>
          <w:p w14:paraId="46123976">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高不低于 40cm，木质</w:t>
            </w:r>
          </w:p>
        </w:tc>
        <w:tc>
          <w:tcPr>
            <w:tcW w:w="863" w:type="dxa"/>
            <w:gridSpan w:val="4"/>
            <w:vAlign w:val="center"/>
          </w:tcPr>
          <w:p w14:paraId="443343C7">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25" w:type="dxa"/>
            <w:gridSpan w:val="3"/>
            <w:vAlign w:val="center"/>
          </w:tcPr>
          <w:p w14:paraId="7DBBFB6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8</w:t>
            </w:r>
          </w:p>
        </w:tc>
      </w:tr>
      <w:tr w14:paraId="4E043D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7ECC81E7">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16</w:t>
            </w:r>
          </w:p>
        </w:tc>
        <w:tc>
          <w:tcPr>
            <w:tcW w:w="1227" w:type="dxa"/>
            <w:vAlign w:val="center"/>
          </w:tcPr>
          <w:p w14:paraId="06A07641">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云台</w:t>
            </w:r>
          </w:p>
        </w:tc>
        <w:tc>
          <w:tcPr>
            <w:tcW w:w="6167" w:type="dxa"/>
            <w:vAlign w:val="center"/>
          </w:tcPr>
          <w:p w14:paraId="54E54E7D">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直径不小于 18cm，高≥3cm</w:t>
            </w:r>
          </w:p>
        </w:tc>
        <w:tc>
          <w:tcPr>
            <w:tcW w:w="863" w:type="dxa"/>
            <w:gridSpan w:val="4"/>
            <w:vAlign w:val="center"/>
          </w:tcPr>
          <w:p w14:paraId="7C00F80F">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台</w:t>
            </w:r>
          </w:p>
        </w:tc>
        <w:tc>
          <w:tcPr>
            <w:tcW w:w="925" w:type="dxa"/>
            <w:gridSpan w:val="3"/>
            <w:vAlign w:val="center"/>
          </w:tcPr>
          <w:p w14:paraId="4C3951CF">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56</w:t>
            </w:r>
          </w:p>
        </w:tc>
      </w:tr>
      <w:tr w14:paraId="321EF9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13B84666">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18</w:t>
            </w:r>
          </w:p>
        </w:tc>
        <w:tc>
          <w:tcPr>
            <w:tcW w:w="1227" w:type="dxa"/>
            <w:vAlign w:val="center"/>
          </w:tcPr>
          <w:p w14:paraId="1F7163F0">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电子绘画板</w:t>
            </w:r>
          </w:p>
        </w:tc>
        <w:tc>
          <w:tcPr>
            <w:tcW w:w="6167" w:type="dxa"/>
            <w:vAlign w:val="center"/>
          </w:tcPr>
          <w:p w14:paraId="5C13C075">
            <w:pPr>
              <w:widowControl/>
              <w:numPr>
                <w:ilvl w:val="0"/>
                <w:numId w:val="306"/>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绘画区域:≥147mm×102mm</w:t>
            </w:r>
          </w:p>
          <w:p w14:paraId="7CCB3346">
            <w:pPr>
              <w:widowControl/>
              <w:numPr>
                <w:ilvl w:val="0"/>
                <w:numId w:val="306"/>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 xml:space="preserve">外观尺寸:≥210mm×208mm×10.5mm </w:t>
            </w:r>
          </w:p>
          <w:p w14:paraId="1A7AFE6A">
            <w:pPr>
              <w:widowControl/>
              <w:numPr>
                <w:ilvl w:val="0"/>
                <w:numId w:val="306"/>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压感方式：电磁压感</w:t>
            </w:r>
          </w:p>
          <w:p w14:paraId="7B7EF741">
            <w:pPr>
              <w:widowControl/>
              <w:numPr>
                <w:ilvl w:val="0"/>
                <w:numId w:val="306"/>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压感笔：无线无源压感笔</w:t>
            </w:r>
          </w:p>
          <w:p w14:paraId="50E07525">
            <w:pPr>
              <w:widowControl/>
              <w:numPr>
                <w:ilvl w:val="0"/>
                <w:numId w:val="306"/>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压感级别：≥2048级</w:t>
            </w:r>
          </w:p>
          <w:p w14:paraId="4DFAE215">
            <w:pPr>
              <w:widowControl/>
              <w:numPr>
                <w:ilvl w:val="0"/>
                <w:numId w:val="306"/>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可倾斜角度：支持±60°倾角</w:t>
            </w:r>
          </w:p>
          <w:p w14:paraId="2CC03112">
            <w:pPr>
              <w:widowControl/>
              <w:numPr>
                <w:ilvl w:val="0"/>
                <w:numId w:val="306"/>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 xml:space="preserve">读取速度：≥220点/秒 </w:t>
            </w:r>
          </w:p>
          <w:p w14:paraId="64275987">
            <w:pPr>
              <w:widowControl/>
              <w:numPr>
                <w:ilvl w:val="0"/>
                <w:numId w:val="306"/>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读取分辨率：≥5080LPI</w:t>
            </w:r>
          </w:p>
          <w:p w14:paraId="54A26FA7">
            <w:pPr>
              <w:widowControl/>
              <w:numPr>
                <w:ilvl w:val="0"/>
                <w:numId w:val="306"/>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感应高度：≥10mm</w:t>
            </w:r>
          </w:p>
          <w:p w14:paraId="76A22AD0">
            <w:pPr>
              <w:widowControl/>
              <w:numPr>
                <w:ilvl w:val="0"/>
                <w:numId w:val="306"/>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 xml:space="preserve">精度：±0.25mm </w:t>
            </w:r>
          </w:p>
          <w:p w14:paraId="465162E6">
            <w:pPr>
              <w:widowControl/>
              <w:numPr>
                <w:ilvl w:val="0"/>
                <w:numId w:val="306"/>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接口类型：USB</w:t>
            </w:r>
          </w:p>
          <w:p w14:paraId="3B4BFCC7">
            <w:pPr>
              <w:widowControl/>
              <w:numPr>
                <w:ilvl w:val="0"/>
                <w:numId w:val="306"/>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 xml:space="preserve">兼容系统：Windows10/8/7/Vista/XP(32/64bit), MAC OS X10.8或以上版本  </w:t>
            </w:r>
          </w:p>
          <w:p w14:paraId="6D2D355B">
            <w:pPr>
              <w:widowControl/>
              <w:numPr>
                <w:ilvl w:val="0"/>
                <w:numId w:val="306"/>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笔组：配备笔座，内含取笔器一个，备用笔芯10只；</w:t>
            </w:r>
          </w:p>
          <w:p w14:paraId="7A64E6CE">
            <w:pPr>
              <w:widowControl/>
              <w:numPr>
                <w:ilvl w:val="0"/>
                <w:numId w:val="306"/>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配备软件：支持自定义画稿功能；具有20种笔工具设置、53种笔触形状、48种笔触纹理、47种背景纹理表现形式；支持导入图片文件及PSD等多图层文件；支持线稿层、上色层、草稿层、背景层等多图层操作，并可随意增减；支持在原素材库基础上支持自由扩充；支持添加参照图功能，并可根据需求调节透明度；具有绘画过程记录、回放功200能，重播过程可有3级速度选择；支持绘画作品本地保存；支持作品一键上传到网络平台；支持作品在线分享与评价；</w:t>
            </w:r>
          </w:p>
        </w:tc>
        <w:tc>
          <w:tcPr>
            <w:tcW w:w="863" w:type="dxa"/>
            <w:gridSpan w:val="4"/>
            <w:vAlign w:val="center"/>
          </w:tcPr>
          <w:p w14:paraId="0BF76BB1">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块</w:t>
            </w:r>
          </w:p>
        </w:tc>
        <w:tc>
          <w:tcPr>
            <w:tcW w:w="925" w:type="dxa"/>
            <w:gridSpan w:val="3"/>
            <w:vAlign w:val="center"/>
          </w:tcPr>
          <w:p w14:paraId="2DEB2CB5">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24</w:t>
            </w:r>
          </w:p>
        </w:tc>
      </w:tr>
      <w:tr w14:paraId="6BA84C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6958F30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17</w:t>
            </w:r>
          </w:p>
        </w:tc>
        <w:tc>
          <w:tcPr>
            <w:tcW w:w="1227" w:type="dxa"/>
            <w:vAlign w:val="center"/>
          </w:tcPr>
          <w:p w14:paraId="1470856D">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泥工工具</w:t>
            </w:r>
          </w:p>
        </w:tc>
        <w:tc>
          <w:tcPr>
            <w:tcW w:w="6167" w:type="dxa"/>
            <w:vAlign w:val="center"/>
          </w:tcPr>
          <w:p w14:paraId="3BBB6251">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泥塑刀 6 把、环形刀 3 把、刮刀 2 把、切割线 1 套、刮板 1 件、拍板 1 件、型板 1 块、喷壶 1 个、海绵 1块</w:t>
            </w:r>
          </w:p>
        </w:tc>
        <w:tc>
          <w:tcPr>
            <w:tcW w:w="863" w:type="dxa"/>
            <w:gridSpan w:val="4"/>
            <w:vAlign w:val="center"/>
          </w:tcPr>
          <w:p w14:paraId="1EB78E5A">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套</w:t>
            </w:r>
          </w:p>
        </w:tc>
        <w:tc>
          <w:tcPr>
            <w:tcW w:w="925" w:type="dxa"/>
            <w:gridSpan w:val="3"/>
            <w:vAlign w:val="center"/>
          </w:tcPr>
          <w:p w14:paraId="02DCCCC5">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56</w:t>
            </w:r>
          </w:p>
        </w:tc>
      </w:tr>
      <w:tr w14:paraId="1979BA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328307CD">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18</w:t>
            </w:r>
          </w:p>
        </w:tc>
        <w:tc>
          <w:tcPr>
            <w:tcW w:w="1227" w:type="dxa"/>
            <w:vAlign w:val="center"/>
          </w:tcPr>
          <w:p w14:paraId="67CF234E">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民间美术欣赏及写生样本</w:t>
            </w:r>
          </w:p>
        </w:tc>
        <w:tc>
          <w:tcPr>
            <w:tcW w:w="6167" w:type="dxa"/>
            <w:vAlign w:val="center"/>
          </w:tcPr>
          <w:p w14:paraId="108A4D64">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中国结、京剧 脸谱、扎染、蜡染、皮影、年画、木板年画、剪纸、面具、泥塑、玩具、风车、纹样、风筝、唐三彩、彩陶器、瓷器等</w:t>
            </w:r>
          </w:p>
        </w:tc>
        <w:tc>
          <w:tcPr>
            <w:tcW w:w="863" w:type="dxa"/>
            <w:gridSpan w:val="4"/>
            <w:vAlign w:val="center"/>
          </w:tcPr>
          <w:p w14:paraId="24C7B7F1">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套</w:t>
            </w:r>
          </w:p>
        </w:tc>
        <w:tc>
          <w:tcPr>
            <w:tcW w:w="925" w:type="dxa"/>
            <w:gridSpan w:val="3"/>
            <w:vAlign w:val="center"/>
          </w:tcPr>
          <w:p w14:paraId="1CE85E63">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12</w:t>
            </w:r>
          </w:p>
        </w:tc>
      </w:tr>
      <w:tr w14:paraId="644161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6DF5C094">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19</w:t>
            </w:r>
          </w:p>
        </w:tc>
        <w:tc>
          <w:tcPr>
            <w:tcW w:w="1227" w:type="dxa"/>
            <w:vAlign w:val="center"/>
          </w:tcPr>
          <w:p w14:paraId="07E9F16B">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美术学具</w:t>
            </w:r>
          </w:p>
        </w:tc>
        <w:tc>
          <w:tcPr>
            <w:tcW w:w="6167" w:type="dxa"/>
            <w:vAlign w:val="center"/>
          </w:tcPr>
          <w:p w14:paraId="34DF4EE4">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毛笔、小剪刀、调色盘、笔洗、美工刀、水溶性油墨、黑色胶滚、毛毡、刻纸刀、水粉画笔、调色盒、直尺</w:t>
            </w:r>
          </w:p>
        </w:tc>
        <w:tc>
          <w:tcPr>
            <w:tcW w:w="863" w:type="dxa"/>
            <w:gridSpan w:val="4"/>
            <w:vAlign w:val="center"/>
          </w:tcPr>
          <w:p w14:paraId="75E2636E">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套</w:t>
            </w:r>
          </w:p>
        </w:tc>
        <w:tc>
          <w:tcPr>
            <w:tcW w:w="925" w:type="dxa"/>
            <w:gridSpan w:val="3"/>
            <w:vAlign w:val="center"/>
          </w:tcPr>
          <w:p w14:paraId="090D74AA">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56</w:t>
            </w:r>
          </w:p>
        </w:tc>
      </w:tr>
      <w:tr w14:paraId="65E2D8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3B43208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20</w:t>
            </w:r>
          </w:p>
        </w:tc>
        <w:tc>
          <w:tcPr>
            <w:tcW w:w="1227" w:type="dxa"/>
            <w:vAlign w:val="center"/>
          </w:tcPr>
          <w:p w14:paraId="1943F95E">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写生画箱</w:t>
            </w:r>
          </w:p>
        </w:tc>
        <w:tc>
          <w:tcPr>
            <w:tcW w:w="6167" w:type="dxa"/>
            <w:vAlign w:val="center"/>
          </w:tcPr>
          <w:p w14:paraId="5FC25D91">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箱体：≥47cm ×33cm ×8cm</w:t>
            </w:r>
          </w:p>
        </w:tc>
        <w:tc>
          <w:tcPr>
            <w:tcW w:w="863" w:type="dxa"/>
            <w:gridSpan w:val="4"/>
            <w:vAlign w:val="center"/>
          </w:tcPr>
          <w:p w14:paraId="3E8C7C63">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只</w:t>
            </w:r>
          </w:p>
        </w:tc>
        <w:tc>
          <w:tcPr>
            <w:tcW w:w="925" w:type="dxa"/>
            <w:gridSpan w:val="3"/>
            <w:vAlign w:val="center"/>
          </w:tcPr>
          <w:p w14:paraId="2E8CAD58">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8</w:t>
            </w:r>
          </w:p>
        </w:tc>
      </w:tr>
      <w:tr w14:paraId="67A1A9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4A9742B8">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21</w:t>
            </w:r>
          </w:p>
        </w:tc>
        <w:tc>
          <w:tcPr>
            <w:tcW w:w="1227" w:type="dxa"/>
            <w:vAlign w:val="center"/>
          </w:tcPr>
          <w:p w14:paraId="27E75F7E">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写生教具（1）</w:t>
            </w:r>
          </w:p>
        </w:tc>
        <w:tc>
          <w:tcPr>
            <w:tcW w:w="6167" w:type="dxa"/>
            <w:vAlign w:val="center"/>
          </w:tcPr>
          <w:p w14:paraId="724725A9">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石膏像：阿古力巴（切面），腊空（半面），太阳神（头像），海盗（头像），小大卫（头像）</w:t>
            </w:r>
          </w:p>
        </w:tc>
        <w:tc>
          <w:tcPr>
            <w:tcW w:w="863" w:type="dxa"/>
            <w:gridSpan w:val="4"/>
            <w:vAlign w:val="center"/>
          </w:tcPr>
          <w:p w14:paraId="2E7CA9C6">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套</w:t>
            </w:r>
          </w:p>
        </w:tc>
        <w:tc>
          <w:tcPr>
            <w:tcW w:w="925" w:type="dxa"/>
            <w:gridSpan w:val="3"/>
            <w:vAlign w:val="center"/>
          </w:tcPr>
          <w:p w14:paraId="7F89E1A0">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09BAD1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3FDDDBE4">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22</w:t>
            </w:r>
          </w:p>
        </w:tc>
        <w:tc>
          <w:tcPr>
            <w:tcW w:w="1227" w:type="dxa"/>
            <w:vAlign w:val="center"/>
          </w:tcPr>
          <w:p w14:paraId="3D4980B6">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写生教具（2）</w:t>
            </w:r>
          </w:p>
        </w:tc>
        <w:tc>
          <w:tcPr>
            <w:tcW w:w="6167" w:type="dxa"/>
            <w:vAlign w:val="center"/>
          </w:tcPr>
          <w:p w14:paraId="47DB9983">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石膏几何形体：圆球，长方体，正方体，圆柱体，六棱柱，圆锥，方锥</w:t>
            </w:r>
          </w:p>
        </w:tc>
        <w:tc>
          <w:tcPr>
            <w:tcW w:w="863" w:type="dxa"/>
            <w:gridSpan w:val="4"/>
            <w:vAlign w:val="center"/>
          </w:tcPr>
          <w:p w14:paraId="4E9D16CC">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套</w:t>
            </w:r>
          </w:p>
        </w:tc>
        <w:tc>
          <w:tcPr>
            <w:tcW w:w="925" w:type="dxa"/>
            <w:gridSpan w:val="3"/>
            <w:vAlign w:val="center"/>
          </w:tcPr>
          <w:p w14:paraId="7B8072A3">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1491BC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5F151F22">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23</w:t>
            </w:r>
          </w:p>
        </w:tc>
        <w:tc>
          <w:tcPr>
            <w:tcW w:w="1227" w:type="dxa"/>
            <w:vAlign w:val="center"/>
          </w:tcPr>
          <w:p w14:paraId="48583C9C">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画架</w:t>
            </w:r>
          </w:p>
        </w:tc>
        <w:tc>
          <w:tcPr>
            <w:tcW w:w="6167" w:type="dxa"/>
            <w:vAlign w:val="center"/>
          </w:tcPr>
          <w:p w14:paraId="7C19FDAB">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高度不低于 142cm，QB/T 2915—2007</w:t>
            </w:r>
          </w:p>
        </w:tc>
        <w:tc>
          <w:tcPr>
            <w:tcW w:w="863" w:type="dxa"/>
            <w:gridSpan w:val="4"/>
            <w:vAlign w:val="center"/>
          </w:tcPr>
          <w:p w14:paraId="0C257087">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25" w:type="dxa"/>
            <w:gridSpan w:val="3"/>
            <w:vAlign w:val="center"/>
          </w:tcPr>
          <w:p w14:paraId="135A91A2">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12</w:t>
            </w:r>
          </w:p>
        </w:tc>
      </w:tr>
      <w:tr w14:paraId="0847CA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35EF0F1B">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24</w:t>
            </w:r>
          </w:p>
        </w:tc>
        <w:tc>
          <w:tcPr>
            <w:tcW w:w="1227" w:type="dxa"/>
            <w:vAlign w:val="center"/>
          </w:tcPr>
          <w:p w14:paraId="2F235953">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画板</w:t>
            </w:r>
          </w:p>
        </w:tc>
        <w:tc>
          <w:tcPr>
            <w:tcW w:w="6167" w:type="dxa"/>
            <w:vAlign w:val="center"/>
          </w:tcPr>
          <w:p w14:paraId="7A2688CF">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不小于 60cm×45cm</w:t>
            </w:r>
          </w:p>
        </w:tc>
        <w:tc>
          <w:tcPr>
            <w:tcW w:w="863" w:type="dxa"/>
            <w:gridSpan w:val="4"/>
            <w:vAlign w:val="center"/>
          </w:tcPr>
          <w:p w14:paraId="335B6E3A">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25" w:type="dxa"/>
            <w:gridSpan w:val="3"/>
            <w:vAlign w:val="center"/>
          </w:tcPr>
          <w:p w14:paraId="55A078D1">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24</w:t>
            </w:r>
          </w:p>
        </w:tc>
      </w:tr>
      <w:tr w14:paraId="02C5B3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45281CA0">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25</w:t>
            </w:r>
          </w:p>
        </w:tc>
        <w:tc>
          <w:tcPr>
            <w:tcW w:w="1227" w:type="dxa"/>
            <w:vAlign w:val="center"/>
          </w:tcPr>
          <w:p w14:paraId="2EDEF241">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版画工具</w:t>
            </w:r>
          </w:p>
        </w:tc>
        <w:tc>
          <w:tcPr>
            <w:tcW w:w="6167" w:type="dxa"/>
            <w:vAlign w:val="center"/>
          </w:tcPr>
          <w:p w14:paraId="3A007012">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木刻刀 5 把、笔刀 1 把、笔刀片 3 件、电烙铁 1 把、木蘑托 1 只、胶滚 1 套（大中小各 1 件）、油石 1件、刮刀 2-3 把、6B 中华绘图铅笔 2 支</w:t>
            </w:r>
          </w:p>
        </w:tc>
        <w:tc>
          <w:tcPr>
            <w:tcW w:w="863" w:type="dxa"/>
            <w:gridSpan w:val="4"/>
            <w:vAlign w:val="center"/>
          </w:tcPr>
          <w:p w14:paraId="3DD82ED1">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套</w:t>
            </w:r>
          </w:p>
        </w:tc>
        <w:tc>
          <w:tcPr>
            <w:tcW w:w="925" w:type="dxa"/>
            <w:gridSpan w:val="3"/>
            <w:vAlign w:val="center"/>
          </w:tcPr>
          <w:p w14:paraId="2988DE52">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12</w:t>
            </w:r>
          </w:p>
        </w:tc>
      </w:tr>
      <w:tr w14:paraId="40D59A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75907CCA">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26</w:t>
            </w:r>
          </w:p>
        </w:tc>
        <w:tc>
          <w:tcPr>
            <w:tcW w:w="1227" w:type="dxa"/>
            <w:vAlign w:val="center"/>
          </w:tcPr>
          <w:p w14:paraId="43105B1A">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绘画工具</w:t>
            </w:r>
          </w:p>
        </w:tc>
        <w:tc>
          <w:tcPr>
            <w:tcW w:w="6167" w:type="dxa"/>
            <w:vAlign w:val="center"/>
          </w:tcPr>
          <w:p w14:paraId="6583DFD1">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水粉笔 1～12#各 1 支，水彩笔 1～12#各 1 支、大白云毛笔 1 支、小狼毫 1 支、勾线笔 1 支、斗笔 1 支、扁笔 1 支、调色盒 1 个、调色盘 1 个，毛笔应符合QB/T 2293—1997、画笔应符合 QB/T 1749—1993</w:t>
            </w:r>
          </w:p>
        </w:tc>
        <w:tc>
          <w:tcPr>
            <w:tcW w:w="863" w:type="dxa"/>
            <w:gridSpan w:val="4"/>
            <w:vAlign w:val="center"/>
          </w:tcPr>
          <w:p w14:paraId="0F2E39EF">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套</w:t>
            </w:r>
          </w:p>
        </w:tc>
        <w:tc>
          <w:tcPr>
            <w:tcW w:w="925" w:type="dxa"/>
            <w:gridSpan w:val="3"/>
            <w:vAlign w:val="center"/>
          </w:tcPr>
          <w:p w14:paraId="7B71339A">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12</w:t>
            </w:r>
          </w:p>
        </w:tc>
      </w:tr>
      <w:tr w14:paraId="11F30D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5D93F3CA">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27</w:t>
            </w:r>
          </w:p>
        </w:tc>
        <w:tc>
          <w:tcPr>
            <w:tcW w:w="1227" w:type="dxa"/>
            <w:vAlign w:val="center"/>
          </w:tcPr>
          <w:p w14:paraId="0FFC7270">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制作工具</w:t>
            </w:r>
          </w:p>
        </w:tc>
        <w:tc>
          <w:tcPr>
            <w:tcW w:w="6167" w:type="dxa"/>
            <w:vAlign w:val="center"/>
          </w:tcPr>
          <w:p w14:paraId="62BEF54C">
            <w:pPr>
              <w:widowControl/>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美工刀 1 把、剪刀 2 把、木刻刀 12 把、尖钻 1 把、篆刻刀 1 把、油石 1 块、改锥 2 把、多用锯 1 把、锯条 5 根、推刨 1 把、木锉 1 把、尖嘴 钳 1 把、铁锤 1把、电烙铁 1 把、凿子 2 把、什锦锉 1 套、切割垫板1 块、三用圆规 1 件、订书器 1 个、壁纸刀 1 把、U</w:t>
            </w:r>
          </w:p>
          <w:p w14:paraId="52D550CE">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型锯 1 把、线锯条 10 根、手摇钻 1 个、刨子 1 把、盒尺 1 个、角尺 1 把、砂纸 5 张、小台钳 1 台、钢丝钳 1 把、钢锉 1 把、钢板尺 1 把、金属剪 1 把、铁砧子 1 件</w:t>
            </w:r>
          </w:p>
        </w:tc>
        <w:tc>
          <w:tcPr>
            <w:tcW w:w="863" w:type="dxa"/>
            <w:gridSpan w:val="4"/>
            <w:vAlign w:val="center"/>
          </w:tcPr>
          <w:p w14:paraId="5C89D3C3">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套</w:t>
            </w:r>
          </w:p>
        </w:tc>
        <w:tc>
          <w:tcPr>
            <w:tcW w:w="925" w:type="dxa"/>
            <w:gridSpan w:val="3"/>
            <w:vAlign w:val="center"/>
          </w:tcPr>
          <w:p w14:paraId="2E8DD361">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12</w:t>
            </w:r>
          </w:p>
        </w:tc>
      </w:tr>
      <w:tr w14:paraId="2EDDCB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345AACFD">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28</w:t>
            </w:r>
          </w:p>
        </w:tc>
        <w:tc>
          <w:tcPr>
            <w:tcW w:w="1227" w:type="dxa"/>
            <w:vAlign w:val="center"/>
          </w:tcPr>
          <w:p w14:paraId="15AB418D">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国画和书法工具</w:t>
            </w:r>
          </w:p>
        </w:tc>
        <w:tc>
          <w:tcPr>
            <w:tcW w:w="6167" w:type="dxa"/>
            <w:vAlign w:val="center"/>
          </w:tcPr>
          <w:p w14:paraId="65FE7751">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毛笔 8 支、画毡 1 块、调色盘 1 块、砚台 1 个、笔洗1 个、笔架 1 个、镇尺 1 付、笔帘 1 个、墨 1 块、印盒 1 个、墨汁 1 瓶，毛笔应符合 QB/T 2293—1997、墨汁应符合 QB/T 2860-2007</w:t>
            </w:r>
          </w:p>
        </w:tc>
        <w:tc>
          <w:tcPr>
            <w:tcW w:w="863" w:type="dxa"/>
            <w:gridSpan w:val="4"/>
            <w:vAlign w:val="center"/>
          </w:tcPr>
          <w:p w14:paraId="6E3447FF">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套</w:t>
            </w:r>
          </w:p>
        </w:tc>
        <w:tc>
          <w:tcPr>
            <w:tcW w:w="925" w:type="dxa"/>
            <w:gridSpan w:val="3"/>
            <w:vAlign w:val="center"/>
          </w:tcPr>
          <w:p w14:paraId="66BAFF37">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12</w:t>
            </w:r>
          </w:p>
        </w:tc>
      </w:tr>
      <w:tr w14:paraId="143408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0DCD3F83">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29</w:t>
            </w:r>
          </w:p>
        </w:tc>
        <w:tc>
          <w:tcPr>
            <w:tcW w:w="1227" w:type="dxa"/>
            <w:vAlign w:val="center"/>
          </w:tcPr>
          <w:p w14:paraId="160A45B5">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挂图</w:t>
            </w:r>
          </w:p>
        </w:tc>
        <w:tc>
          <w:tcPr>
            <w:tcW w:w="6167" w:type="dxa"/>
            <w:vAlign w:val="center"/>
          </w:tcPr>
          <w:p w14:paraId="2320DE50">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书法教学挂图或书法名作欣赏挂图，应为国家正式出版物</w:t>
            </w:r>
          </w:p>
        </w:tc>
        <w:tc>
          <w:tcPr>
            <w:tcW w:w="863" w:type="dxa"/>
            <w:gridSpan w:val="4"/>
            <w:vAlign w:val="center"/>
          </w:tcPr>
          <w:p w14:paraId="3EFD6753">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套</w:t>
            </w:r>
          </w:p>
        </w:tc>
        <w:tc>
          <w:tcPr>
            <w:tcW w:w="925" w:type="dxa"/>
            <w:gridSpan w:val="3"/>
            <w:vAlign w:val="center"/>
          </w:tcPr>
          <w:p w14:paraId="1A71A0D7">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12</w:t>
            </w:r>
          </w:p>
        </w:tc>
      </w:tr>
      <w:tr w14:paraId="69A893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2B3FE9B7">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30</w:t>
            </w:r>
          </w:p>
        </w:tc>
        <w:tc>
          <w:tcPr>
            <w:tcW w:w="1227" w:type="dxa"/>
            <w:vAlign w:val="center"/>
          </w:tcPr>
          <w:p w14:paraId="4DF5EE04">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书法工具</w:t>
            </w:r>
          </w:p>
        </w:tc>
        <w:tc>
          <w:tcPr>
            <w:tcW w:w="6167" w:type="dxa"/>
            <w:vAlign w:val="center"/>
          </w:tcPr>
          <w:p w14:paraId="6EB8F5CD">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毛笔(斗笔、大白云、中白云、小白云、小狼毫、勾线笔) 、毛毡、镇尺、笔洗、墨汁、调色盘、笔架、名家字贴，毛笔应符合 QB/T 2293—1997、墨汁应符合 QB/T 2860-2007</w:t>
            </w:r>
          </w:p>
        </w:tc>
        <w:tc>
          <w:tcPr>
            <w:tcW w:w="863" w:type="dxa"/>
            <w:gridSpan w:val="4"/>
            <w:vAlign w:val="center"/>
          </w:tcPr>
          <w:p w14:paraId="48BABE52">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套</w:t>
            </w:r>
          </w:p>
        </w:tc>
        <w:tc>
          <w:tcPr>
            <w:tcW w:w="925" w:type="dxa"/>
            <w:gridSpan w:val="3"/>
            <w:vAlign w:val="center"/>
          </w:tcPr>
          <w:p w14:paraId="3F242B94">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56</w:t>
            </w:r>
          </w:p>
        </w:tc>
      </w:tr>
      <w:tr w14:paraId="1A801C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2"/>
          <w:wAfter w:w="47" w:type="dxa"/>
          <w:jc w:val="center"/>
        </w:trPr>
        <w:tc>
          <w:tcPr>
            <w:tcW w:w="749" w:type="dxa"/>
            <w:vAlign w:val="center"/>
          </w:tcPr>
          <w:p w14:paraId="033ADA72">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31</w:t>
            </w:r>
          </w:p>
        </w:tc>
        <w:tc>
          <w:tcPr>
            <w:tcW w:w="1227" w:type="dxa"/>
            <w:vAlign w:val="center"/>
          </w:tcPr>
          <w:p w14:paraId="03DAF905">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篆刻工具</w:t>
            </w:r>
          </w:p>
        </w:tc>
        <w:tc>
          <w:tcPr>
            <w:tcW w:w="6167" w:type="dxa"/>
            <w:vAlign w:val="center"/>
          </w:tcPr>
          <w:p w14:paraId="028FF1BD">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篆刻刀、印床、章料、印泥等</w:t>
            </w:r>
          </w:p>
        </w:tc>
        <w:tc>
          <w:tcPr>
            <w:tcW w:w="863" w:type="dxa"/>
            <w:gridSpan w:val="4"/>
            <w:vAlign w:val="center"/>
          </w:tcPr>
          <w:p w14:paraId="67399D9D">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套</w:t>
            </w:r>
          </w:p>
        </w:tc>
        <w:tc>
          <w:tcPr>
            <w:tcW w:w="925" w:type="dxa"/>
            <w:gridSpan w:val="3"/>
            <w:vAlign w:val="center"/>
          </w:tcPr>
          <w:p w14:paraId="2860894D">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56</w:t>
            </w:r>
          </w:p>
        </w:tc>
      </w:tr>
      <w:tr w14:paraId="59C3F9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78" w:type="dxa"/>
            <w:gridSpan w:val="12"/>
            <w:noWrap/>
            <w:vAlign w:val="center"/>
          </w:tcPr>
          <w:p w14:paraId="3FDE99ED">
            <w:pPr>
              <w:widowControl/>
              <w:jc w:val="center"/>
              <w:textAlignment w:val="center"/>
              <w:rPr>
                <w:rFonts w:hint="eastAsia" w:ascii="宋体" w:hAnsi="宋体"/>
                <w:b/>
                <w:bCs/>
                <w:color w:val="auto"/>
                <w:szCs w:val="21"/>
                <w:highlight w:val="none"/>
              </w:rPr>
            </w:pPr>
            <w:r>
              <w:rPr>
                <w:rFonts w:ascii="Times New Roman" w:hAnsi="Times New Roman" w:cs="Times New Roman"/>
                <w:color w:val="auto"/>
                <w:highlight w:val="none"/>
              </w:rPr>
              <w:br w:type="page"/>
            </w:r>
            <w:r>
              <w:rPr>
                <w:rFonts w:hint="eastAsia" w:ascii="宋体" w:hAnsi="宋体"/>
                <w:b/>
                <w:bCs/>
                <w:color w:val="auto"/>
                <w:kern w:val="0"/>
                <w:szCs w:val="21"/>
                <w:highlight w:val="none"/>
                <w:lang w:bidi="ar"/>
              </w:rPr>
              <w:t>十、音乐教室</w:t>
            </w:r>
          </w:p>
        </w:tc>
      </w:tr>
      <w:tr w14:paraId="7ADC76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49" w:type="dxa"/>
            <w:noWrap/>
            <w:vAlign w:val="center"/>
          </w:tcPr>
          <w:p w14:paraId="4E4E6738">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c>
          <w:tcPr>
            <w:tcW w:w="1227" w:type="dxa"/>
            <w:noWrap/>
            <w:vAlign w:val="center"/>
          </w:tcPr>
          <w:p w14:paraId="30DAB57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钢琴</w:t>
            </w:r>
          </w:p>
        </w:tc>
        <w:tc>
          <w:tcPr>
            <w:tcW w:w="6187" w:type="dxa"/>
            <w:gridSpan w:val="2"/>
            <w:noWrap/>
            <w:vAlign w:val="center"/>
          </w:tcPr>
          <w:p w14:paraId="5170AC89">
            <w:pPr>
              <w:widowControl/>
              <w:numPr>
                <w:ilvl w:val="1"/>
                <w:numId w:val="307"/>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铁板：采用真空铸造铁板工艺，音色纯正。</w:t>
            </w:r>
          </w:p>
          <w:p w14:paraId="6A97EBD8">
            <w:pPr>
              <w:widowControl/>
              <w:numPr>
                <w:ilvl w:val="1"/>
                <w:numId w:val="307"/>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音板：采用白松制作的加强型实木音板，上下两层白松实木木皮加强音板的抗拉张力，使音板在任何环境下都能保持稳定状态，不会变形和开裂，在各种不同的气候条件下均能保持优良的音色，音板设计非常符合钢琴共鸣系统的发声规律，产生更加优美琴声。</w:t>
            </w:r>
          </w:p>
          <w:p w14:paraId="613FA2C5">
            <w:pPr>
              <w:widowControl/>
              <w:numPr>
                <w:ilvl w:val="1"/>
                <w:numId w:val="307"/>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琴弦：采用德国Roslau的防锈钢线，音色纯净，音准稳定。</w:t>
            </w:r>
          </w:p>
          <w:p w14:paraId="61544F95">
            <w:pPr>
              <w:widowControl/>
              <w:numPr>
                <w:ilvl w:val="1"/>
                <w:numId w:val="307"/>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弦码：采用色木多层板制作，音频振动响应精确，迅速。</w:t>
            </w:r>
          </w:p>
          <w:p w14:paraId="7A7DF62B">
            <w:pPr>
              <w:widowControl/>
              <w:numPr>
                <w:ilvl w:val="1"/>
                <w:numId w:val="307"/>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弦椎：采用优质羊毛毡并应用欧洲传统工艺制作的弦椎，音色圆润通畅。</w:t>
            </w:r>
          </w:p>
          <w:p w14:paraId="4D59D72A">
            <w:pPr>
              <w:widowControl/>
              <w:numPr>
                <w:ilvl w:val="1"/>
                <w:numId w:val="307"/>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琴键：采用实木复合键盘，采用亚光黑键，色泽和质感如同乌木，键皮采用赛璐珞塑料，键盘表面硬度为2H以上。</w:t>
            </w:r>
          </w:p>
          <w:p w14:paraId="0AA056BB">
            <w:pPr>
              <w:widowControl/>
              <w:numPr>
                <w:ilvl w:val="1"/>
                <w:numId w:val="307"/>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脚轮：采用双轮脚轮，具有转到灵活，推行顺畅，噪音低的特点。</w:t>
            </w:r>
          </w:p>
          <w:p w14:paraId="442BE9B3">
            <w:pPr>
              <w:widowControl/>
              <w:numPr>
                <w:ilvl w:val="1"/>
                <w:numId w:val="307"/>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脚踏：金属铸造，踏脚负荷为3.5kg左右。</w:t>
            </w:r>
          </w:p>
          <w:p w14:paraId="63B1407B">
            <w:pPr>
              <w:widowControl/>
              <w:numPr>
                <w:ilvl w:val="1"/>
                <w:numId w:val="307"/>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外壳涂饰：采用国内名牌的不饱和树脂环保漆，并应用静电喷涂，令漆面光亮平整。</w:t>
            </w:r>
          </w:p>
          <w:p w14:paraId="2203A153">
            <w:pPr>
              <w:widowControl/>
              <w:numPr>
                <w:ilvl w:val="1"/>
                <w:numId w:val="307"/>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背柱：采用五背柱设计，保证了弦列振动的边界条件而且相应提高了钢琴总装配精度。</w:t>
            </w:r>
          </w:p>
          <w:p w14:paraId="0050C38D">
            <w:pPr>
              <w:widowControl/>
              <w:numPr>
                <w:ilvl w:val="1"/>
                <w:numId w:val="307"/>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气候适应性：钢琴在生产过程中进入干燥气候模拟处理并在出仓后进行二次精细整理，使产品适应北方气候，在寒冷干燥的环境下均处理稳定状态。</w:t>
            </w:r>
          </w:p>
          <w:p w14:paraId="356A95E5">
            <w:pPr>
              <w:widowControl/>
              <w:numPr>
                <w:ilvl w:val="1"/>
                <w:numId w:val="307"/>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击弦机：引进德国雷诺工艺技术制造的击弦机，采用欧洲进口的榉木和德国呢毡，保证钢琴极高的灵敏度及耐冷热性,弦椎击弦距离不少于43 mm,弦椎无晃动，制音效果好，平音头毡密度为0.16-0.22mm,三角毡密度为0.25mm-0.30mm ,色泽均匀一致，无分层，调整到位后，制音头离弦，贴弦一致，动作整齐，有效。</w:t>
            </w:r>
          </w:p>
          <w:p w14:paraId="55054955">
            <w:pPr>
              <w:widowControl/>
              <w:numPr>
                <w:ilvl w:val="1"/>
                <w:numId w:val="307"/>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顶杆：采用高强度材质，不易磨损变形，保证了产品的使用寿命。</w:t>
            </w:r>
          </w:p>
          <w:p w14:paraId="46DB339F">
            <w:pPr>
              <w:widowControl/>
              <w:numPr>
                <w:ilvl w:val="1"/>
                <w:numId w:val="307"/>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干燥处理：木制作经过两年以上自然风干，再根据不同的部件采用不同的烘干方式释放木材的内应力，呢毡经过防潮，防霉，防蛀处理。</w:t>
            </w:r>
          </w:p>
        </w:tc>
        <w:tc>
          <w:tcPr>
            <w:tcW w:w="880" w:type="dxa"/>
            <w:gridSpan w:val="5"/>
            <w:vAlign w:val="center"/>
          </w:tcPr>
          <w:p w14:paraId="62582A42">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台</w:t>
            </w:r>
          </w:p>
        </w:tc>
        <w:tc>
          <w:tcPr>
            <w:tcW w:w="935" w:type="dxa"/>
            <w:gridSpan w:val="3"/>
            <w:vAlign w:val="center"/>
          </w:tcPr>
          <w:p w14:paraId="6B5A1B76">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53B513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49" w:type="dxa"/>
            <w:vAlign w:val="center"/>
          </w:tcPr>
          <w:p w14:paraId="76C956B3">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w:t>
            </w:r>
          </w:p>
        </w:tc>
        <w:tc>
          <w:tcPr>
            <w:tcW w:w="1227" w:type="dxa"/>
            <w:vAlign w:val="center"/>
          </w:tcPr>
          <w:p w14:paraId="250FFD73">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录音机</w:t>
            </w:r>
          </w:p>
        </w:tc>
        <w:tc>
          <w:tcPr>
            <w:tcW w:w="6187" w:type="dxa"/>
            <w:gridSpan w:val="2"/>
            <w:vAlign w:val="center"/>
          </w:tcPr>
          <w:p w14:paraId="717AF852">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有 USB 接口,能播放磁带、CD、U 盘等音乐文件</w:t>
            </w:r>
          </w:p>
        </w:tc>
        <w:tc>
          <w:tcPr>
            <w:tcW w:w="880" w:type="dxa"/>
            <w:gridSpan w:val="5"/>
            <w:vAlign w:val="center"/>
          </w:tcPr>
          <w:p w14:paraId="15954FF0">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台</w:t>
            </w:r>
          </w:p>
        </w:tc>
        <w:tc>
          <w:tcPr>
            <w:tcW w:w="935" w:type="dxa"/>
            <w:gridSpan w:val="3"/>
            <w:vAlign w:val="center"/>
          </w:tcPr>
          <w:p w14:paraId="1C285E44">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w:t>
            </w:r>
          </w:p>
        </w:tc>
      </w:tr>
      <w:tr w14:paraId="3E34A8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49" w:type="dxa"/>
            <w:vAlign w:val="center"/>
          </w:tcPr>
          <w:p w14:paraId="64B5E87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3</w:t>
            </w:r>
          </w:p>
        </w:tc>
        <w:tc>
          <w:tcPr>
            <w:tcW w:w="1227" w:type="dxa"/>
            <w:vAlign w:val="center"/>
          </w:tcPr>
          <w:p w14:paraId="31A4618B">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音响系统</w:t>
            </w:r>
          </w:p>
        </w:tc>
        <w:tc>
          <w:tcPr>
            <w:tcW w:w="6187" w:type="dxa"/>
            <w:gridSpan w:val="2"/>
            <w:vAlign w:val="center"/>
          </w:tcPr>
          <w:p w14:paraId="0A3EE771">
            <w:pPr>
              <w:widowControl/>
              <w:numPr>
                <w:ilvl w:val="0"/>
                <w:numId w:val="308"/>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含音箱（或有源音箱）一对、功放和 DVD 机各一台</w:t>
            </w:r>
          </w:p>
          <w:p w14:paraId="2A419AA4">
            <w:pPr>
              <w:widowControl/>
              <w:numPr>
                <w:ilvl w:val="0"/>
                <w:numId w:val="308"/>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黑色面板，高中低音独立调节，带USB， 电源:AC220V-240V/50-60HZ</w:t>
            </w:r>
          </w:p>
          <w:p w14:paraId="31D64F15">
            <w:pPr>
              <w:widowControl/>
              <w:numPr>
                <w:ilvl w:val="0"/>
                <w:numId w:val="308"/>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输出功率：150W 频响范围:50HZ—20KHZ  阻抗:8欧  信噪比:》98dB  失真率：0.05%尺寸：长43 CM X高13.5CM  额定功率：70W 峰值功率：120W  灵敏度：95dB</w:t>
            </w:r>
          </w:p>
          <w:p w14:paraId="05A4B9BD">
            <w:pPr>
              <w:widowControl/>
              <w:numPr>
                <w:ilvl w:val="0"/>
                <w:numId w:val="308"/>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频响：45Hz-20KHz  输入抗阻：8ohms  平均声压级：105dB  最大声压级：110dB</w:t>
            </w:r>
          </w:p>
          <w:p w14:paraId="1B764AB9">
            <w:pPr>
              <w:widowControl/>
              <w:numPr>
                <w:ilvl w:val="0"/>
                <w:numId w:val="308"/>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喇叭单元：25芯单100磁6.5寸低音*1、3寸高音*1  尺寸：≥200*300*190（mm）</w:t>
            </w:r>
          </w:p>
          <w:p w14:paraId="241D647D">
            <w:pPr>
              <w:widowControl/>
              <w:numPr>
                <w:ilvl w:val="0"/>
                <w:numId w:val="308"/>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DVD原装进口抗震机芯、特强纠错，精准读盘，兼容MPEG4、DVD、CD等碟片，支持USB，支持刻录功能</w:t>
            </w:r>
          </w:p>
        </w:tc>
        <w:tc>
          <w:tcPr>
            <w:tcW w:w="880" w:type="dxa"/>
            <w:gridSpan w:val="5"/>
            <w:vAlign w:val="center"/>
          </w:tcPr>
          <w:p w14:paraId="16A4DB9D">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套</w:t>
            </w:r>
          </w:p>
        </w:tc>
        <w:tc>
          <w:tcPr>
            <w:tcW w:w="935" w:type="dxa"/>
            <w:gridSpan w:val="3"/>
            <w:vAlign w:val="center"/>
          </w:tcPr>
          <w:p w14:paraId="4D89E575">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w:t>
            </w:r>
          </w:p>
        </w:tc>
      </w:tr>
      <w:tr w14:paraId="5D06F9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49" w:type="dxa"/>
            <w:vAlign w:val="center"/>
          </w:tcPr>
          <w:p w14:paraId="051EC4F3">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4</w:t>
            </w:r>
          </w:p>
        </w:tc>
        <w:tc>
          <w:tcPr>
            <w:tcW w:w="1227" w:type="dxa"/>
            <w:vAlign w:val="center"/>
          </w:tcPr>
          <w:p w14:paraId="08765ECB">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合唱台</w:t>
            </w:r>
          </w:p>
        </w:tc>
        <w:tc>
          <w:tcPr>
            <w:tcW w:w="6187" w:type="dxa"/>
            <w:gridSpan w:val="2"/>
            <w:vAlign w:val="center"/>
          </w:tcPr>
          <w:p w14:paraId="401F5448">
            <w:pPr>
              <w:widowControl/>
              <w:numPr>
                <w:ilvl w:val="1"/>
                <w:numId w:val="309"/>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尺寸：三层尺寸≥D1220*W1150*H610±10mm；每层台阶款宽≥380±10mm，高≥200±10mm；小舞台尺寸:≥D1530*W1220*H300±10mm；</w:t>
            </w:r>
          </w:p>
          <w:p w14:paraId="0CF13363">
            <w:pPr>
              <w:widowControl/>
              <w:numPr>
                <w:ilvl w:val="1"/>
                <w:numId w:val="309"/>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材质：高密度PE；</w:t>
            </w:r>
          </w:p>
          <w:p w14:paraId="1C4D1FA7">
            <w:pPr>
              <w:widowControl/>
              <w:numPr>
                <w:ilvl w:val="1"/>
                <w:numId w:val="309"/>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工艺：吹塑制作，材质轻，耐磨抗压，抗氧化功能强，长期使用也不会产生开裂现象，硬度和强度高，吸水性小，优良的电绝缘性，耐寒；</w:t>
            </w:r>
          </w:p>
          <w:p w14:paraId="55C41678">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4、功能：合唱台台阶可翻转设计，可调整为两层合唱台也可以变为一个整体的小舞台，侧面轮子设计方便推移。</w:t>
            </w:r>
          </w:p>
        </w:tc>
        <w:tc>
          <w:tcPr>
            <w:tcW w:w="880" w:type="dxa"/>
            <w:gridSpan w:val="5"/>
            <w:vAlign w:val="center"/>
          </w:tcPr>
          <w:p w14:paraId="5E9EDA66">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35" w:type="dxa"/>
            <w:gridSpan w:val="3"/>
            <w:vAlign w:val="center"/>
          </w:tcPr>
          <w:p w14:paraId="0F2D6EF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6</w:t>
            </w:r>
          </w:p>
        </w:tc>
      </w:tr>
      <w:tr w14:paraId="3EA9E0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49" w:type="dxa"/>
            <w:vAlign w:val="center"/>
          </w:tcPr>
          <w:p w14:paraId="6FAC379F">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5</w:t>
            </w:r>
          </w:p>
        </w:tc>
        <w:tc>
          <w:tcPr>
            <w:tcW w:w="1227" w:type="dxa"/>
            <w:vAlign w:val="center"/>
          </w:tcPr>
          <w:p w14:paraId="3CDED2A3">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音乐节拍器</w:t>
            </w:r>
          </w:p>
        </w:tc>
        <w:tc>
          <w:tcPr>
            <w:tcW w:w="6187" w:type="dxa"/>
            <w:gridSpan w:val="2"/>
            <w:vAlign w:val="center"/>
          </w:tcPr>
          <w:p w14:paraId="4B438511">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机械式</w:t>
            </w:r>
          </w:p>
        </w:tc>
        <w:tc>
          <w:tcPr>
            <w:tcW w:w="880" w:type="dxa"/>
            <w:gridSpan w:val="5"/>
            <w:vAlign w:val="center"/>
          </w:tcPr>
          <w:p w14:paraId="7854AC72">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35" w:type="dxa"/>
            <w:gridSpan w:val="3"/>
            <w:vAlign w:val="center"/>
          </w:tcPr>
          <w:p w14:paraId="6368985C">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4</w:t>
            </w:r>
          </w:p>
        </w:tc>
      </w:tr>
      <w:tr w14:paraId="1E9840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49" w:type="dxa"/>
            <w:vAlign w:val="center"/>
          </w:tcPr>
          <w:p w14:paraId="1616A1F6">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6</w:t>
            </w:r>
          </w:p>
        </w:tc>
        <w:tc>
          <w:tcPr>
            <w:tcW w:w="1227" w:type="dxa"/>
            <w:vAlign w:val="center"/>
          </w:tcPr>
          <w:p w14:paraId="7D501FD3">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音叉</w:t>
            </w:r>
          </w:p>
        </w:tc>
        <w:tc>
          <w:tcPr>
            <w:tcW w:w="6187" w:type="dxa"/>
            <w:gridSpan w:val="2"/>
            <w:vAlign w:val="center"/>
          </w:tcPr>
          <w:p w14:paraId="05E1CA1B">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钢制，440Hz，JY/T 0395</w:t>
            </w:r>
          </w:p>
        </w:tc>
        <w:tc>
          <w:tcPr>
            <w:tcW w:w="880" w:type="dxa"/>
            <w:gridSpan w:val="5"/>
            <w:vAlign w:val="center"/>
          </w:tcPr>
          <w:p w14:paraId="42132960">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35" w:type="dxa"/>
            <w:gridSpan w:val="3"/>
            <w:vAlign w:val="center"/>
          </w:tcPr>
          <w:p w14:paraId="7427313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w:t>
            </w:r>
          </w:p>
        </w:tc>
      </w:tr>
      <w:tr w14:paraId="463AB1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49" w:type="dxa"/>
            <w:vAlign w:val="center"/>
          </w:tcPr>
          <w:p w14:paraId="51EAC000">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7</w:t>
            </w:r>
          </w:p>
        </w:tc>
        <w:tc>
          <w:tcPr>
            <w:tcW w:w="1227" w:type="dxa"/>
            <w:vAlign w:val="center"/>
          </w:tcPr>
          <w:p w14:paraId="35D49605">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多功能音乐凳子</w:t>
            </w:r>
          </w:p>
        </w:tc>
        <w:tc>
          <w:tcPr>
            <w:tcW w:w="6187" w:type="dxa"/>
            <w:gridSpan w:val="2"/>
            <w:vAlign w:val="center"/>
          </w:tcPr>
          <w:p w14:paraId="378C0560">
            <w:pPr>
              <w:widowControl/>
              <w:numPr>
                <w:ilvl w:val="1"/>
                <w:numId w:val="310"/>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尺寸：≥D285*W300*H340mm。厚度：坐面≥5mm,凳脚≥20mm,抽屉侧板≥3mm,抽屉前后板≥4.5mm；</w:t>
            </w:r>
          </w:p>
          <w:p w14:paraId="11B6F943">
            <w:pPr>
              <w:widowControl/>
              <w:numPr>
                <w:ilvl w:val="1"/>
                <w:numId w:val="310"/>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材质：优质ABS；</w:t>
            </w:r>
          </w:p>
          <w:p w14:paraId="33853A76">
            <w:pPr>
              <w:widowControl/>
              <w:numPr>
                <w:ilvl w:val="1"/>
                <w:numId w:val="310"/>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工艺：（1）注塑制作。耐磨抗压，抗氧化功能强，长期使用也不会产生开裂现象。（2）硬度和强度高，吸水性小，优良的电绝缘性，耐寒（3）凳脚须配防滑橡胶条。（4）侧边必须为双层结构，增加产品的坚固性及承重性，保证产品使用过程中的安全性</w:t>
            </w:r>
          </w:p>
          <w:p w14:paraId="19208069">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4、功能：配置pp塑料抽屉，可堆叠，既可做合唱台，也可以作为收纳小柜子使用。</w:t>
            </w:r>
          </w:p>
        </w:tc>
        <w:tc>
          <w:tcPr>
            <w:tcW w:w="880" w:type="dxa"/>
            <w:gridSpan w:val="5"/>
            <w:vAlign w:val="center"/>
          </w:tcPr>
          <w:p w14:paraId="0EEAF0D3">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35" w:type="dxa"/>
            <w:gridSpan w:val="3"/>
            <w:vAlign w:val="center"/>
          </w:tcPr>
          <w:p w14:paraId="6625765D">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56</w:t>
            </w:r>
          </w:p>
        </w:tc>
      </w:tr>
      <w:tr w14:paraId="1F11DC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49" w:type="dxa"/>
            <w:vAlign w:val="center"/>
          </w:tcPr>
          <w:p w14:paraId="54CA24F3">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8</w:t>
            </w:r>
          </w:p>
        </w:tc>
        <w:tc>
          <w:tcPr>
            <w:tcW w:w="1227" w:type="dxa"/>
            <w:vAlign w:val="center"/>
          </w:tcPr>
          <w:p w14:paraId="69F85E68">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音乐教学挂图</w:t>
            </w:r>
          </w:p>
        </w:tc>
        <w:tc>
          <w:tcPr>
            <w:tcW w:w="6187" w:type="dxa"/>
            <w:gridSpan w:val="2"/>
            <w:vAlign w:val="center"/>
          </w:tcPr>
          <w:p w14:paraId="784ABDB4">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适合音乐教学要求的音乐家肖像、乐器图样、乐理知识等，需涵盖《义务教育音乐课程标准（2011年版）》规定及教材所涉及的内容。应为国家正式出版物</w:t>
            </w:r>
          </w:p>
        </w:tc>
        <w:tc>
          <w:tcPr>
            <w:tcW w:w="880" w:type="dxa"/>
            <w:gridSpan w:val="5"/>
            <w:vAlign w:val="center"/>
          </w:tcPr>
          <w:p w14:paraId="665CA13E">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套</w:t>
            </w:r>
          </w:p>
        </w:tc>
        <w:tc>
          <w:tcPr>
            <w:tcW w:w="935" w:type="dxa"/>
            <w:gridSpan w:val="3"/>
            <w:vAlign w:val="center"/>
          </w:tcPr>
          <w:p w14:paraId="0AA2B54C">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w:t>
            </w:r>
          </w:p>
        </w:tc>
      </w:tr>
      <w:tr w14:paraId="54EEFD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49" w:type="dxa"/>
            <w:vAlign w:val="center"/>
          </w:tcPr>
          <w:p w14:paraId="0B33EED0">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9</w:t>
            </w:r>
          </w:p>
        </w:tc>
        <w:tc>
          <w:tcPr>
            <w:tcW w:w="1227" w:type="dxa"/>
            <w:vAlign w:val="center"/>
          </w:tcPr>
          <w:p w14:paraId="625D605A">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音乐器材柜</w:t>
            </w:r>
          </w:p>
        </w:tc>
        <w:tc>
          <w:tcPr>
            <w:tcW w:w="6187" w:type="dxa"/>
            <w:gridSpan w:val="2"/>
            <w:vAlign w:val="center"/>
          </w:tcPr>
          <w:p w14:paraId="33463EC7">
            <w:pPr>
              <w:widowControl/>
              <w:numPr>
                <w:ilvl w:val="0"/>
                <w:numId w:val="311"/>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 xml:space="preserve">柜体尺寸（宽深高）≥1000 mm×500 mm×2000mm铝木结构 </w:t>
            </w:r>
          </w:p>
          <w:p w14:paraId="28E32938">
            <w:pPr>
              <w:widowControl/>
              <w:numPr>
                <w:ilvl w:val="0"/>
                <w:numId w:val="311"/>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柜体框架：采用模具成型的专用铝合金方管制作，通过ABS专用连接件组装而成，保证连接牢固。*前立柱、前横梁外径≥30mm×44mm（误差±1mm），后立柱、后横梁外径≥44mm×44mm（误差±1mm），铝合金管材的壁厚≥1.5 mm（误差±0.15 mm）。铝合金型材带凹槽，凹槽的宽度与柜体衬板相匹配，凹槽的深度不小于14mm（误差±0.15 mm），保证柜体衬板与铝型材之间接缝严密，无晃动现象，不发生脱落。铝合金型材表面经静电粉沫喷涂处理，整体耐腐蚀、防火、防潮、稳固耐用。</w:t>
            </w:r>
          </w:p>
          <w:p w14:paraId="2DB1036A">
            <w:pPr>
              <w:widowControl/>
              <w:numPr>
                <w:ilvl w:val="0"/>
                <w:numId w:val="311"/>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柜体衬板：用厚度≥16mm±0.3 mm、彩色和灰白色双面三聚氰胺板（即双饰面板）作为台体衬板，外漏截面采用≥1.5mm厚塑制优质封边条机械封边。</w:t>
            </w:r>
          </w:p>
          <w:p w14:paraId="7ADCCA94">
            <w:pPr>
              <w:widowControl/>
              <w:numPr>
                <w:ilvl w:val="0"/>
                <w:numId w:val="311"/>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柜门：上部为专用铝型材对开玻璃门，玻璃门边框规格≥52mm*18mm*1.2mm，预留4mm螺丝孔，上下框规格≥18mm*18mm*5mm，下部为对开木门。柜门采用优质定位铰链，*铰链下垫≥56mm*49mm*13mmABS胶垫并预留螺丝孔，铰链的壁厚≥1.5mm，安全、牢固、防腐、耐用。铝合金通体一字型扣手。</w:t>
            </w:r>
          </w:p>
          <w:p w14:paraId="03547E24">
            <w:pPr>
              <w:widowControl/>
              <w:numPr>
                <w:ilvl w:val="0"/>
                <w:numId w:val="311"/>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隔板：上柜设置2块活动隔板，下柜设置1块固定隔板。隔板所用的板材与柜体板材相同。隔板的长边采用铝合金山形槽包边，铝合金正面预留标签卡槽。表面进行喷塑处理。</w:t>
            </w:r>
          </w:p>
          <w:p w14:paraId="5B77CD9E">
            <w:pPr>
              <w:widowControl/>
              <w:numPr>
                <w:ilvl w:val="0"/>
                <w:numId w:val="311"/>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高度升降条：上部柜体内侧安装高度升降条（≥1.0 mm冷轧钢板制作），每侧2根，带12个活动支撑座（位置可调）。高度升降条和支撑座表面采用纯环氧树脂静电喷涂高温固化，具有较高耐蚀性能。</w:t>
            </w:r>
          </w:p>
          <w:p w14:paraId="1E181C7D">
            <w:pPr>
              <w:widowControl/>
              <w:numPr>
                <w:ilvl w:val="0"/>
                <w:numId w:val="311"/>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支脚：采用直径≥12mm的镀锌螺杆与ABS工程塑料一次注塑成型的脚垫，高度可调节。</w:t>
            </w:r>
          </w:p>
        </w:tc>
        <w:tc>
          <w:tcPr>
            <w:tcW w:w="880" w:type="dxa"/>
            <w:gridSpan w:val="5"/>
            <w:vAlign w:val="center"/>
          </w:tcPr>
          <w:p w14:paraId="1E09BC15">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套</w:t>
            </w:r>
          </w:p>
        </w:tc>
        <w:tc>
          <w:tcPr>
            <w:tcW w:w="935" w:type="dxa"/>
            <w:gridSpan w:val="3"/>
            <w:vAlign w:val="center"/>
          </w:tcPr>
          <w:p w14:paraId="76812ED8">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12</w:t>
            </w:r>
          </w:p>
        </w:tc>
      </w:tr>
      <w:tr w14:paraId="720FBD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49" w:type="dxa"/>
            <w:vAlign w:val="center"/>
          </w:tcPr>
          <w:p w14:paraId="6F8663DB">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10</w:t>
            </w:r>
          </w:p>
        </w:tc>
        <w:tc>
          <w:tcPr>
            <w:tcW w:w="1227" w:type="dxa"/>
            <w:vAlign w:val="center"/>
          </w:tcPr>
          <w:p w14:paraId="11B1C77E">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教室边柜</w:t>
            </w:r>
          </w:p>
        </w:tc>
        <w:tc>
          <w:tcPr>
            <w:tcW w:w="6187" w:type="dxa"/>
            <w:gridSpan w:val="2"/>
            <w:vAlign w:val="center"/>
          </w:tcPr>
          <w:p w14:paraId="6C3ED4DC">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根据房间尺寸定制，应设置抽斗、门及可拆卸PP置物篮。PP置物篮规格≥430*300*100mm，配备塑制滑轨。</w:t>
            </w:r>
          </w:p>
        </w:tc>
        <w:tc>
          <w:tcPr>
            <w:tcW w:w="880" w:type="dxa"/>
            <w:gridSpan w:val="5"/>
            <w:vAlign w:val="center"/>
          </w:tcPr>
          <w:p w14:paraId="4178DC94">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室</w:t>
            </w:r>
          </w:p>
        </w:tc>
        <w:tc>
          <w:tcPr>
            <w:tcW w:w="935" w:type="dxa"/>
            <w:gridSpan w:val="3"/>
            <w:vAlign w:val="center"/>
          </w:tcPr>
          <w:p w14:paraId="54B2FFE4">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42F69D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49" w:type="dxa"/>
            <w:vAlign w:val="center"/>
          </w:tcPr>
          <w:p w14:paraId="60F016A4">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11</w:t>
            </w:r>
          </w:p>
        </w:tc>
        <w:tc>
          <w:tcPr>
            <w:tcW w:w="1227" w:type="dxa"/>
            <w:vAlign w:val="center"/>
          </w:tcPr>
          <w:p w14:paraId="75A176F4">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音乐教学软件</w:t>
            </w:r>
          </w:p>
        </w:tc>
        <w:tc>
          <w:tcPr>
            <w:tcW w:w="6187" w:type="dxa"/>
            <w:gridSpan w:val="2"/>
            <w:vAlign w:val="center"/>
          </w:tcPr>
          <w:p w14:paraId="4E5D65A0">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具备音乐课堂教学、资料检索、学生自主学习等功能</w:t>
            </w:r>
          </w:p>
        </w:tc>
        <w:tc>
          <w:tcPr>
            <w:tcW w:w="880" w:type="dxa"/>
            <w:gridSpan w:val="5"/>
            <w:vAlign w:val="center"/>
          </w:tcPr>
          <w:p w14:paraId="7010960C">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35" w:type="dxa"/>
            <w:gridSpan w:val="3"/>
            <w:vAlign w:val="center"/>
          </w:tcPr>
          <w:p w14:paraId="47592BEA">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8</w:t>
            </w:r>
          </w:p>
        </w:tc>
      </w:tr>
      <w:tr w14:paraId="2463F5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49" w:type="dxa"/>
            <w:vAlign w:val="center"/>
          </w:tcPr>
          <w:p w14:paraId="09F2FA66">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12</w:t>
            </w:r>
          </w:p>
        </w:tc>
        <w:tc>
          <w:tcPr>
            <w:tcW w:w="1227" w:type="dxa"/>
            <w:vAlign w:val="center"/>
          </w:tcPr>
          <w:p w14:paraId="497CE143">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音乐欣赏教学曲库</w:t>
            </w:r>
          </w:p>
        </w:tc>
        <w:tc>
          <w:tcPr>
            <w:tcW w:w="6187" w:type="dxa"/>
            <w:gridSpan w:val="2"/>
            <w:vAlign w:val="center"/>
          </w:tcPr>
          <w:p w14:paraId="56DAA8BF">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阶段音乐欣赏教学资料（CD），应为国家正式出版物</w:t>
            </w:r>
          </w:p>
        </w:tc>
        <w:tc>
          <w:tcPr>
            <w:tcW w:w="880" w:type="dxa"/>
            <w:gridSpan w:val="5"/>
            <w:vAlign w:val="center"/>
          </w:tcPr>
          <w:p w14:paraId="1D888653">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套</w:t>
            </w:r>
          </w:p>
        </w:tc>
        <w:tc>
          <w:tcPr>
            <w:tcW w:w="935" w:type="dxa"/>
            <w:gridSpan w:val="3"/>
            <w:vAlign w:val="center"/>
          </w:tcPr>
          <w:p w14:paraId="1995D6F3">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8</w:t>
            </w:r>
          </w:p>
        </w:tc>
      </w:tr>
      <w:tr w14:paraId="19C404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49" w:type="dxa"/>
            <w:vAlign w:val="center"/>
          </w:tcPr>
          <w:p w14:paraId="29E05F86">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13</w:t>
            </w:r>
          </w:p>
        </w:tc>
        <w:tc>
          <w:tcPr>
            <w:tcW w:w="1227" w:type="dxa"/>
            <w:vAlign w:val="center"/>
          </w:tcPr>
          <w:p w14:paraId="1FBD5A25">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音乐欣赏教学影像库</w:t>
            </w:r>
          </w:p>
        </w:tc>
        <w:tc>
          <w:tcPr>
            <w:tcW w:w="6187" w:type="dxa"/>
            <w:gridSpan w:val="2"/>
            <w:vAlign w:val="center"/>
          </w:tcPr>
          <w:p w14:paraId="3E37F557">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各类音乐教学音像、歌舞剧等影像资料（VCD、DVD等），应为国家正式出版物</w:t>
            </w:r>
          </w:p>
        </w:tc>
        <w:tc>
          <w:tcPr>
            <w:tcW w:w="880" w:type="dxa"/>
            <w:gridSpan w:val="5"/>
            <w:vAlign w:val="center"/>
          </w:tcPr>
          <w:p w14:paraId="03CBD16B">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套</w:t>
            </w:r>
          </w:p>
        </w:tc>
        <w:tc>
          <w:tcPr>
            <w:tcW w:w="935" w:type="dxa"/>
            <w:gridSpan w:val="3"/>
            <w:vAlign w:val="center"/>
          </w:tcPr>
          <w:p w14:paraId="3D2D9BEF">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8</w:t>
            </w:r>
          </w:p>
        </w:tc>
      </w:tr>
      <w:tr w14:paraId="677E7F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49" w:type="dxa"/>
            <w:vAlign w:val="center"/>
          </w:tcPr>
          <w:p w14:paraId="0FE02E54">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14</w:t>
            </w:r>
          </w:p>
        </w:tc>
        <w:tc>
          <w:tcPr>
            <w:tcW w:w="1227" w:type="dxa"/>
            <w:vAlign w:val="center"/>
          </w:tcPr>
          <w:p w14:paraId="265DFE0C">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音筒</w:t>
            </w:r>
          </w:p>
        </w:tc>
        <w:tc>
          <w:tcPr>
            <w:tcW w:w="6187" w:type="dxa"/>
            <w:gridSpan w:val="2"/>
            <w:vAlign w:val="center"/>
          </w:tcPr>
          <w:p w14:paraId="7EE7C84E">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8音一组（根据条件至少选择一种课堂教学用有音高乐器）</w:t>
            </w:r>
          </w:p>
        </w:tc>
        <w:tc>
          <w:tcPr>
            <w:tcW w:w="880" w:type="dxa"/>
            <w:gridSpan w:val="5"/>
            <w:vAlign w:val="center"/>
          </w:tcPr>
          <w:p w14:paraId="1CFC5026">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组</w:t>
            </w:r>
          </w:p>
        </w:tc>
        <w:tc>
          <w:tcPr>
            <w:tcW w:w="935" w:type="dxa"/>
            <w:gridSpan w:val="3"/>
            <w:vAlign w:val="center"/>
          </w:tcPr>
          <w:p w14:paraId="169B865E">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8</w:t>
            </w:r>
          </w:p>
        </w:tc>
      </w:tr>
      <w:tr w14:paraId="33D806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49" w:type="dxa"/>
            <w:vAlign w:val="center"/>
          </w:tcPr>
          <w:p w14:paraId="7AE8197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15</w:t>
            </w:r>
          </w:p>
        </w:tc>
        <w:tc>
          <w:tcPr>
            <w:tcW w:w="1227" w:type="dxa"/>
            <w:vAlign w:val="center"/>
          </w:tcPr>
          <w:p w14:paraId="3526343D">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沙锤</w:t>
            </w:r>
          </w:p>
        </w:tc>
        <w:tc>
          <w:tcPr>
            <w:tcW w:w="6187" w:type="dxa"/>
            <w:gridSpan w:val="2"/>
            <w:vAlign w:val="center"/>
          </w:tcPr>
          <w:p w14:paraId="15AED69D">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木制</w:t>
            </w:r>
          </w:p>
        </w:tc>
        <w:tc>
          <w:tcPr>
            <w:tcW w:w="880" w:type="dxa"/>
            <w:gridSpan w:val="5"/>
            <w:vAlign w:val="center"/>
          </w:tcPr>
          <w:p w14:paraId="6F6BFF54">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对</w:t>
            </w:r>
          </w:p>
        </w:tc>
        <w:tc>
          <w:tcPr>
            <w:tcW w:w="935" w:type="dxa"/>
            <w:gridSpan w:val="3"/>
            <w:vAlign w:val="center"/>
          </w:tcPr>
          <w:p w14:paraId="1D2F1F7F">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8</w:t>
            </w:r>
          </w:p>
        </w:tc>
      </w:tr>
      <w:tr w14:paraId="57A1B9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49" w:type="dxa"/>
            <w:vAlign w:val="center"/>
          </w:tcPr>
          <w:p w14:paraId="018BD07C">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16</w:t>
            </w:r>
          </w:p>
        </w:tc>
        <w:tc>
          <w:tcPr>
            <w:tcW w:w="1227" w:type="dxa"/>
            <w:vAlign w:val="center"/>
          </w:tcPr>
          <w:p w14:paraId="6BC9DF1D">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摇铃（串铃）</w:t>
            </w:r>
          </w:p>
        </w:tc>
        <w:tc>
          <w:tcPr>
            <w:tcW w:w="6187" w:type="dxa"/>
            <w:gridSpan w:val="2"/>
            <w:vAlign w:val="center"/>
          </w:tcPr>
          <w:p w14:paraId="3A8152F9">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7铃</w:t>
            </w:r>
          </w:p>
        </w:tc>
        <w:tc>
          <w:tcPr>
            <w:tcW w:w="880" w:type="dxa"/>
            <w:gridSpan w:val="5"/>
            <w:vAlign w:val="center"/>
          </w:tcPr>
          <w:p w14:paraId="0E58EE01">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对</w:t>
            </w:r>
          </w:p>
        </w:tc>
        <w:tc>
          <w:tcPr>
            <w:tcW w:w="935" w:type="dxa"/>
            <w:gridSpan w:val="3"/>
            <w:vAlign w:val="center"/>
          </w:tcPr>
          <w:p w14:paraId="04AF6426">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8</w:t>
            </w:r>
          </w:p>
        </w:tc>
      </w:tr>
      <w:tr w14:paraId="295971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49" w:type="dxa"/>
            <w:vAlign w:val="center"/>
          </w:tcPr>
          <w:p w14:paraId="725F100D">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17</w:t>
            </w:r>
          </w:p>
        </w:tc>
        <w:tc>
          <w:tcPr>
            <w:tcW w:w="1227" w:type="dxa"/>
            <w:vAlign w:val="center"/>
          </w:tcPr>
          <w:p w14:paraId="43F7A9C0">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双响筒</w:t>
            </w:r>
          </w:p>
        </w:tc>
        <w:tc>
          <w:tcPr>
            <w:tcW w:w="6187" w:type="dxa"/>
            <w:gridSpan w:val="2"/>
            <w:vAlign w:val="center"/>
          </w:tcPr>
          <w:p w14:paraId="0F37FB4D">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木制，长17cm～18cm，宽19cm～20cm，棍长18cm～19cm</w:t>
            </w:r>
          </w:p>
        </w:tc>
        <w:tc>
          <w:tcPr>
            <w:tcW w:w="880" w:type="dxa"/>
            <w:gridSpan w:val="5"/>
            <w:vAlign w:val="center"/>
          </w:tcPr>
          <w:p w14:paraId="71B07690">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副</w:t>
            </w:r>
          </w:p>
        </w:tc>
        <w:tc>
          <w:tcPr>
            <w:tcW w:w="935" w:type="dxa"/>
            <w:gridSpan w:val="3"/>
            <w:vAlign w:val="center"/>
          </w:tcPr>
          <w:p w14:paraId="19C157FE">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8</w:t>
            </w:r>
          </w:p>
        </w:tc>
      </w:tr>
      <w:tr w14:paraId="3E8CEF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49" w:type="dxa"/>
            <w:vAlign w:val="center"/>
          </w:tcPr>
          <w:p w14:paraId="67635D17">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18</w:t>
            </w:r>
          </w:p>
        </w:tc>
        <w:tc>
          <w:tcPr>
            <w:tcW w:w="1227" w:type="dxa"/>
            <w:vAlign w:val="center"/>
          </w:tcPr>
          <w:p w14:paraId="69F71A4A">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响板</w:t>
            </w:r>
          </w:p>
        </w:tc>
        <w:tc>
          <w:tcPr>
            <w:tcW w:w="6187" w:type="dxa"/>
            <w:gridSpan w:val="2"/>
            <w:vAlign w:val="center"/>
          </w:tcPr>
          <w:p w14:paraId="47B8680B">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木制，音色清脆、响亮，适合抓握</w:t>
            </w:r>
          </w:p>
        </w:tc>
        <w:tc>
          <w:tcPr>
            <w:tcW w:w="880" w:type="dxa"/>
            <w:gridSpan w:val="5"/>
            <w:vAlign w:val="center"/>
          </w:tcPr>
          <w:p w14:paraId="087C3BB3">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35" w:type="dxa"/>
            <w:gridSpan w:val="3"/>
            <w:vAlign w:val="center"/>
          </w:tcPr>
          <w:p w14:paraId="210B035E">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8</w:t>
            </w:r>
          </w:p>
        </w:tc>
      </w:tr>
      <w:tr w14:paraId="196D16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49" w:type="dxa"/>
            <w:vAlign w:val="center"/>
          </w:tcPr>
          <w:p w14:paraId="3FD111EF">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19</w:t>
            </w:r>
          </w:p>
        </w:tc>
        <w:tc>
          <w:tcPr>
            <w:tcW w:w="1227" w:type="dxa"/>
            <w:vAlign w:val="center"/>
          </w:tcPr>
          <w:p w14:paraId="52A9C4A1">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响棒</w:t>
            </w:r>
          </w:p>
        </w:tc>
        <w:tc>
          <w:tcPr>
            <w:tcW w:w="6187" w:type="dxa"/>
            <w:gridSpan w:val="2"/>
            <w:vAlign w:val="center"/>
          </w:tcPr>
          <w:p w14:paraId="55E94747">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硬木制，发音清脆，表面光滑</w:t>
            </w:r>
          </w:p>
        </w:tc>
        <w:tc>
          <w:tcPr>
            <w:tcW w:w="880" w:type="dxa"/>
            <w:gridSpan w:val="5"/>
            <w:vAlign w:val="center"/>
          </w:tcPr>
          <w:p w14:paraId="7160531F">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副</w:t>
            </w:r>
          </w:p>
        </w:tc>
        <w:tc>
          <w:tcPr>
            <w:tcW w:w="935" w:type="dxa"/>
            <w:gridSpan w:val="3"/>
            <w:vAlign w:val="center"/>
          </w:tcPr>
          <w:p w14:paraId="1761AE6C">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8</w:t>
            </w:r>
          </w:p>
        </w:tc>
      </w:tr>
      <w:tr w14:paraId="202A4E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49" w:type="dxa"/>
            <w:vAlign w:val="center"/>
          </w:tcPr>
          <w:p w14:paraId="0914D2E6">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20</w:t>
            </w:r>
          </w:p>
        </w:tc>
        <w:tc>
          <w:tcPr>
            <w:tcW w:w="1227" w:type="dxa"/>
            <w:vAlign w:val="center"/>
          </w:tcPr>
          <w:p w14:paraId="7EEB6465">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刮棒</w:t>
            </w:r>
          </w:p>
        </w:tc>
        <w:tc>
          <w:tcPr>
            <w:tcW w:w="6187" w:type="dxa"/>
            <w:gridSpan w:val="2"/>
            <w:vAlign w:val="center"/>
          </w:tcPr>
          <w:p w14:paraId="2777624A">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木制，刮棱尺寸均匀，外表光滑</w:t>
            </w:r>
          </w:p>
        </w:tc>
        <w:tc>
          <w:tcPr>
            <w:tcW w:w="880" w:type="dxa"/>
            <w:gridSpan w:val="5"/>
            <w:vAlign w:val="center"/>
          </w:tcPr>
          <w:p w14:paraId="2A02846E">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副</w:t>
            </w:r>
          </w:p>
        </w:tc>
        <w:tc>
          <w:tcPr>
            <w:tcW w:w="935" w:type="dxa"/>
            <w:gridSpan w:val="3"/>
            <w:vAlign w:val="center"/>
          </w:tcPr>
          <w:p w14:paraId="3D9F37BE">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8</w:t>
            </w:r>
          </w:p>
        </w:tc>
      </w:tr>
      <w:tr w14:paraId="214DD1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49" w:type="dxa"/>
            <w:vAlign w:val="center"/>
          </w:tcPr>
          <w:p w14:paraId="120B282F">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21</w:t>
            </w:r>
          </w:p>
        </w:tc>
        <w:tc>
          <w:tcPr>
            <w:tcW w:w="1227" w:type="dxa"/>
            <w:vAlign w:val="center"/>
          </w:tcPr>
          <w:p w14:paraId="511153BD">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北梆子</w:t>
            </w:r>
          </w:p>
        </w:tc>
        <w:tc>
          <w:tcPr>
            <w:tcW w:w="6187" w:type="dxa"/>
            <w:gridSpan w:val="2"/>
            <w:vAlign w:val="center"/>
          </w:tcPr>
          <w:p w14:paraId="20C64A23">
            <w:pPr>
              <w:widowControl/>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硬木制，坚实无疤节或劈裂，外表光滑无毛刺</w:t>
            </w:r>
          </w:p>
          <w:p w14:paraId="7216D756">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长度266mm 宽度93mm 高度40mm 开槽长度200mm 开槽宽8mm</w:t>
            </w:r>
          </w:p>
        </w:tc>
        <w:tc>
          <w:tcPr>
            <w:tcW w:w="880" w:type="dxa"/>
            <w:gridSpan w:val="5"/>
            <w:vAlign w:val="center"/>
          </w:tcPr>
          <w:p w14:paraId="714FE80A">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副</w:t>
            </w:r>
          </w:p>
        </w:tc>
        <w:tc>
          <w:tcPr>
            <w:tcW w:w="935" w:type="dxa"/>
            <w:gridSpan w:val="3"/>
            <w:vAlign w:val="center"/>
          </w:tcPr>
          <w:p w14:paraId="2185B3C2">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8</w:t>
            </w:r>
          </w:p>
        </w:tc>
      </w:tr>
      <w:tr w14:paraId="42A64C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49" w:type="dxa"/>
            <w:vAlign w:val="center"/>
          </w:tcPr>
          <w:p w14:paraId="415D7712">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22</w:t>
            </w:r>
          </w:p>
        </w:tc>
        <w:tc>
          <w:tcPr>
            <w:tcW w:w="1227" w:type="dxa"/>
            <w:vAlign w:val="center"/>
          </w:tcPr>
          <w:p w14:paraId="39ADC654">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木鱼</w:t>
            </w:r>
          </w:p>
        </w:tc>
        <w:tc>
          <w:tcPr>
            <w:tcW w:w="6187" w:type="dxa"/>
            <w:gridSpan w:val="2"/>
            <w:vAlign w:val="center"/>
          </w:tcPr>
          <w:p w14:paraId="5A9E67B8">
            <w:pPr>
              <w:widowControl/>
              <w:numPr>
                <w:ilvl w:val="0"/>
                <w:numId w:val="312"/>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材质：硬木 结构：八个一组</w:t>
            </w:r>
          </w:p>
          <w:p w14:paraId="09FDEA91">
            <w:pPr>
              <w:widowControl/>
              <w:numPr>
                <w:ilvl w:val="0"/>
                <w:numId w:val="312"/>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宽度：91mm～93mm、80mm～90mm、83mm～85mm、83mm～85mm、75mm～77mm、69mm～71mm、59mm～61mm、59mm～61mm</w:t>
            </w:r>
          </w:p>
          <w:p w14:paraId="6D1C85A7">
            <w:pPr>
              <w:widowControl/>
              <w:numPr>
                <w:ilvl w:val="0"/>
                <w:numId w:val="312"/>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高度：75mm～77mm、70mm～72mm、68mm～70mm、66mm～68mm、62mm～64mm、58mm～60mm、50mm～52mm、50mm～52mm</w:t>
            </w:r>
          </w:p>
          <w:p w14:paraId="7A4054B8">
            <w:pPr>
              <w:widowControl/>
              <w:numPr>
                <w:ilvl w:val="0"/>
                <w:numId w:val="312"/>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锤柄长度：206mm～210mm  锤头直径：22mm～23mm</w:t>
            </w:r>
          </w:p>
        </w:tc>
        <w:tc>
          <w:tcPr>
            <w:tcW w:w="880" w:type="dxa"/>
            <w:gridSpan w:val="5"/>
            <w:vAlign w:val="center"/>
          </w:tcPr>
          <w:p w14:paraId="10FF1D32">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套</w:t>
            </w:r>
          </w:p>
        </w:tc>
        <w:tc>
          <w:tcPr>
            <w:tcW w:w="935" w:type="dxa"/>
            <w:gridSpan w:val="3"/>
            <w:vAlign w:val="center"/>
          </w:tcPr>
          <w:p w14:paraId="260FAE81">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8</w:t>
            </w:r>
          </w:p>
        </w:tc>
      </w:tr>
      <w:tr w14:paraId="51FCF4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49" w:type="dxa"/>
            <w:vAlign w:val="center"/>
          </w:tcPr>
          <w:p w14:paraId="00C6295B">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23</w:t>
            </w:r>
          </w:p>
        </w:tc>
        <w:tc>
          <w:tcPr>
            <w:tcW w:w="1227" w:type="dxa"/>
            <w:vAlign w:val="center"/>
          </w:tcPr>
          <w:p w14:paraId="4D2D3FF4">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铃鼓</w:t>
            </w:r>
          </w:p>
        </w:tc>
        <w:tc>
          <w:tcPr>
            <w:tcW w:w="6187" w:type="dxa"/>
            <w:gridSpan w:val="2"/>
            <w:vAlign w:val="center"/>
          </w:tcPr>
          <w:p w14:paraId="5BFB60D0">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木框,铜钹,羊皮鼓面,鼓面直径20cm～25cm</w:t>
            </w:r>
          </w:p>
        </w:tc>
        <w:tc>
          <w:tcPr>
            <w:tcW w:w="880" w:type="dxa"/>
            <w:gridSpan w:val="5"/>
            <w:vAlign w:val="center"/>
          </w:tcPr>
          <w:p w14:paraId="55BDE374">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套</w:t>
            </w:r>
          </w:p>
        </w:tc>
        <w:tc>
          <w:tcPr>
            <w:tcW w:w="935" w:type="dxa"/>
            <w:gridSpan w:val="3"/>
            <w:vAlign w:val="center"/>
          </w:tcPr>
          <w:p w14:paraId="70CBB573">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8</w:t>
            </w:r>
          </w:p>
        </w:tc>
      </w:tr>
      <w:tr w14:paraId="23657E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49" w:type="dxa"/>
            <w:vAlign w:val="center"/>
          </w:tcPr>
          <w:p w14:paraId="7040096A">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24</w:t>
            </w:r>
          </w:p>
        </w:tc>
        <w:tc>
          <w:tcPr>
            <w:tcW w:w="1227" w:type="dxa"/>
            <w:vAlign w:val="center"/>
          </w:tcPr>
          <w:p w14:paraId="63B60910">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三角铁</w:t>
            </w:r>
          </w:p>
        </w:tc>
        <w:tc>
          <w:tcPr>
            <w:tcW w:w="6187" w:type="dxa"/>
            <w:gridSpan w:val="2"/>
            <w:vAlign w:val="center"/>
          </w:tcPr>
          <w:p w14:paraId="598697D5">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钢制，边长分别为15cm、20cm、25cm，三件一套</w:t>
            </w:r>
          </w:p>
        </w:tc>
        <w:tc>
          <w:tcPr>
            <w:tcW w:w="880" w:type="dxa"/>
            <w:gridSpan w:val="5"/>
            <w:vAlign w:val="center"/>
          </w:tcPr>
          <w:p w14:paraId="1B7BAB3C">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套</w:t>
            </w:r>
          </w:p>
        </w:tc>
        <w:tc>
          <w:tcPr>
            <w:tcW w:w="935" w:type="dxa"/>
            <w:gridSpan w:val="3"/>
            <w:vAlign w:val="center"/>
          </w:tcPr>
          <w:p w14:paraId="7264E300">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8</w:t>
            </w:r>
          </w:p>
        </w:tc>
      </w:tr>
      <w:tr w14:paraId="6D1025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49" w:type="dxa"/>
            <w:vAlign w:val="center"/>
          </w:tcPr>
          <w:p w14:paraId="07BD2A81">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25</w:t>
            </w:r>
          </w:p>
        </w:tc>
        <w:tc>
          <w:tcPr>
            <w:tcW w:w="1227" w:type="dxa"/>
            <w:vAlign w:val="center"/>
          </w:tcPr>
          <w:p w14:paraId="7F144FA8">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碰铃</w:t>
            </w:r>
          </w:p>
        </w:tc>
        <w:tc>
          <w:tcPr>
            <w:tcW w:w="6187" w:type="dxa"/>
            <w:gridSpan w:val="2"/>
            <w:vAlign w:val="center"/>
          </w:tcPr>
          <w:p w14:paraId="4940D418">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黄铜制，系绳</w:t>
            </w:r>
          </w:p>
        </w:tc>
        <w:tc>
          <w:tcPr>
            <w:tcW w:w="880" w:type="dxa"/>
            <w:gridSpan w:val="5"/>
            <w:vAlign w:val="center"/>
          </w:tcPr>
          <w:p w14:paraId="5715847E">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副</w:t>
            </w:r>
          </w:p>
        </w:tc>
        <w:tc>
          <w:tcPr>
            <w:tcW w:w="935" w:type="dxa"/>
            <w:gridSpan w:val="3"/>
            <w:vAlign w:val="center"/>
          </w:tcPr>
          <w:p w14:paraId="6F88C590">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8</w:t>
            </w:r>
          </w:p>
        </w:tc>
      </w:tr>
      <w:tr w14:paraId="59D00D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49" w:type="dxa"/>
            <w:vAlign w:val="center"/>
          </w:tcPr>
          <w:p w14:paraId="1F878A2F">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26</w:t>
            </w:r>
          </w:p>
        </w:tc>
        <w:tc>
          <w:tcPr>
            <w:tcW w:w="1227" w:type="dxa"/>
            <w:vAlign w:val="center"/>
          </w:tcPr>
          <w:p w14:paraId="2DCCFD06">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扁鼓</w:t>
            </w:r>
          </w:p>
        </w:tc>
        <w:tc>
          <w:tcPr>
            <w:tcW w:w="6187" w:type="dxa"/>
            <w:gridSpan w:val="2"/>
            <w:vAlign w:val="center"/>
          </w:tcPr>
          <w:p w14:paraId="2C13A1C1">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圆形，木框，两面蒙牛皮，用绳索绷紧。鼓面直径37cm～45cm</w:t>
            </w:r>
          </w:p>
        </w:tc>
        <w:tc>
          <w:tcPr>
            <w:tcW w:w="880" w:type="dxa"/>
            <w:gridSpan w:val="5"/>
            <w:vAlign w:val="center"/>
          </w:tcPr>
          <w:p w14:paraId="0831230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35" w:type="dxa"/>
            <w:gridSpan w:val="3"/>
            <w:vAlign w:val="center"/>
          </w:tcPr>
          <w:p w14:paraId="6019D367">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8</w:t>
            </w:r>
          </w:p>
        </w:tc>
      </w:tr>
      <w:tr w14:paraId="6DC15A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49" w:type="dxa"/>
            <w:vAlign w:val="center"/>
          </w:tcPr>
          <w:p w14:paraId="1D90B3FD">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27</w:t>
            </w:r>
          </w:p>
        </w:tc>
        <w:tc>
          <w:tcPr>
            <w:tcW w:w="1227" w:type="dxa"/>
            <w:vAlign w:val="center"/>
          </w:tcPr>
          <w:p w14:paraId="5355C0B5">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中虎音锣</w:t>
            </w:r>
          </w:p>
        </w:tc>
        <w:tc>
          <w:tcPr>
            <w:tcW w:w="6187" w:type="dxa"/>
            <w:gridSpan w:val="2"/>
            <w:vAlign w:val="center"/>
          </w:tcPr>
          <w:p w14:paraId="1BCECAC1">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铜制，直径约30cm</w:t>
            </w:r>
          </w:p>
        </w:tc>
        <w:tc>
          <w:tcPr>
            <w:tcW w:w="880" w:type="dxa"/>
            <w:gridSpan w:val="5"/>
            <w:vAlign w:val="center"/>
          </w:tcPr>
          <w:p w14:paraId="67451046">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35" w:type="dxa"/>
            <w:gridSpan w:val="3"/>
            <w:vAlign w:val="center"/>
          </w:tcPr>
          <w:p w14:paraId="5F8E362E">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8</w:t>
            </w:r>
          </w:p>
        </w:tc>
      </w:tr>
      <w:tr w14:paraId="73F6D0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49" w:type="dxa"/>
            <w:vAlign w:val="center"/>
          </w:tcPr>
          <w:p w14:paraId="2DA6A34B">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28</w:t>
            </w:r>
          </w:p>
        </w:tc>
        <w:tc>
          <w:tcPr>
            <w:tcW w:w="1227" w:type="dxa"/>
            <w:vAlign w:val="center"/>
          </w:tcPr>
          <w:p w14:paraId="6CD3404C">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小锣</w:t>
            </w:r>
          </w:p>
        </w:tc>
        <w:tc>
          <w:tcPr>
            <w:tcW w:w="6187" w:type="dxa"/>
            <w:gridSpan w:val="2"/>
            <w:vAlign w:val="center"/>
          </w:tcPr>
          <w:p w14:paraId="7F568B75">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铜制，直径约22cm</w:t>
            </w:r>
          </w:p>
        </w:tc>
        <w:tc>
          <w:tcPr>
            <w:tcW w:w="880" w:type="dxa"/>
            <w:gridSpan w:val="5"/>
            <w:vAlign w:val="center"/>
          </w:tcPr>
          <w:p w14:paraId="3630FE6B">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35" w:type="dxa"/>
            <w:gridSpan w:val="3"/>
            <w:vAlign w:val="center"/>
          </w:tcPr>
          <w:p w14:paraId="109D0C8A">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8</w:t>
            </w:r>
          </w:p>
        </w:tc>
      </w:tr>
      <w:tr w14:paraId="7EFF8A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49" w:type="dxa"/>
            <w:vAlign w:val="center"/>
          </w:tcPr>
          <w:p w14:paraId="5EA65AE2">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29</w:t>
            </w:r>
          </w:p>
        </w:tc>
        <w:tc>
          <w:tcPr>
            <w:tcW w:w="1227" w:type="dxa"/>
            <w:vAlign w:val="center"/>
          </w:tcPr>
          <w:p w14:paraId="2EF96AFE">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铙</w:t>
            </w:r>
          </w:p>
        </w:tc>
        <w:tc>
          <w:tcPr>
            <w:tcW w:w="6187" w:type="dxa"/>
            <w:gridSpan w:val="2"/>
            <w:vAlign w:val="center"/>
          </w:tcPr>
          <w:p w14:paraId="318A526A">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响铜制，直径≥300cm,边缘厚度≥1.2mm 质量≥1400g 铙面光、弧度适度、圆度准确、边缘厚度一致，中间的帽形大小和两面的音高要相同，两面为一副</w:t>
            </w:r>
          </w:p>
        </w:tc>
        <w:tc>
          <w:tcPr>
            <w:tcW w:w="880" w:type="dxa"/>
            <w:gridSpan w:val="5"/>
            <w:vAlign w:val="center"/>
          </w:tcPr>
          <w:p w14:paraId="22887291">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副</w:t>
            </w:r>
          </w:p>
        </w:tc>
        <w:tc>
          <w:tcPr>
            <w:tcW w:w="935" w:type="dxa"/>
            <w:gridSpan w:val="3"/>
            <w:vAlign w:val="center"/>
          </w:tcPr>
          <w:p w14:paraId="679FF825">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8</w:t>
            </w:r>
          </w:p>
        </w:tc>
      </w:tr>
      <w:tr w14:paraId="33665F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49" w:type="dxa"/>
            <w:vAlign w:val="center"/>
          </w:tcPr>
          <w:p w14:paraId="2C75ADCF">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30</w:t>
            </w:r>
          </w:p>
        </w:tc>
        <w:tc>
          <w:tcPr>
            <w:tcW w:w="1227" w:type="dxa"/>
            <w:vAlign w:val="center"/>
          </w:tcPr>
          <w:p w14:paraId="3999B2F2">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钹</w:t>
            </w:r>
          </w:p>
        </w:tc>
        <w:tc>
          <w:tcPr>
            <w:tcW w:w="6187" w:type="dxa"/>
            <w:gridSpan w:val="2"/>
            <w:vAlign w:val="center"/>
          </w:tcPr>
          <w:p w14:paraId="5872B219">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响铜制，钹面直径≥148cm,钹面光、弧度适度、圆度准确、边缘厚度一致，中间的帽形大小和两面的音高要相同，两面为一副</w:t>
            </w:r>
          </w:p>
        </w:tc>
        <w:tc>
          <w:tcPr>
            <w:tcW w:w="880" w:type="dxa"/>
            <w:gridSpan w:val="5"/>
            <w:vAlign w:val="center"/>
          </w:tcPr>
          <w:p w14:paraId="43274E2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副</w:t>
            </w:r>
          </w:p>
        </w:tc>
        <w:tc>
          <w:tcPr>
            <w:tcW w:w="935" w:type="dxa"/>
            <w:gridSpan w:val="3"/>
            <w:vAlign w:val="center"/>
          </w:tcPr>
          <w:p w14:paraId="55EE5602">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8</w:t>
            </w:r>
          </w:p>
        </w:tc>
      </w:tr>
      <w:tr w14:paraId="6BF9F0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49" w:type="dxa"/>
            <w:vAlign w:val="center"/>
          </w:tcPr>
          <w:p w14:paraId="7974E89F">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31</w:t>
            </w:r>
          </w:p>
        </w:tc>
        <w:tc>
          <w:tcPr>
            <w:tcW w:w="1227" w:type="dxa"/>
            <w:vAlign w:val="center"/>
          </w:tcPr>
          <w:p w14:paraId="150D16B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口风琴</w:t>
            </w:r>
          </w:p>
        </w:tc>
        <w:tc>
          <w:tcPr>
            <w:tcW w:w="6187" w:type="dxa"/>
            <w:gridSpan w:val="2"/>
            <w:vAlign w:val="center"/>
          </w:tcPr>
          <w:p w14:paraId="322D6D88">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37键，高级品QB/T 2740-2014</w:t>
            </w:r>
          </w:p>
        </w:tc>
        <w:tc>
          <w:tcPr>
            <w:tcW w:w="880" w:type="dxa"/>
            <w:gridSpan w:val="5"/>
            <w:vAlign w:val="center"/>
          </w:tcPr>
          <w:p w14:paraId="13CFC856">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35" w:type="dxa"/>
            <w:gridSpan w:val="3"/>
            <w:vAlign w:val="center"/>
          </w:tcPr>
          <w:p w14:paraId="25453B20">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56</w:t>
            </w:r>
          </w:p>
        </w:tc>
      </w:tr>
      <w:tr w14:paraId="11F5D5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49" w:type="dxa"/>
            <w:vAlign w:val="center"/>
          </w:tcPr>
          <w:p w14:paraId="6E94C897">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32</w:t>
            </w:r>
          </w:p>
        </w:tc>
        <w:tc>
          <w:tcPr>
            <w:tcW w:w="1227" w:type="dxa"/>
            <w:vAlign w:val="center"/>
          </w:tcPr>
          <w:p w14:paraId="5CE02B8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竖笛</w:t>
            </w:r>
          </w:p>
        </w:tc>
        <w:tc>
          <w:tcPr>
            <w:tcW w:w="6187" w:type="dxa"/>
            <w:gridSpan w:val="2"/>
            <w:vAlign w:val="center"/>
          </w:tcPr>
          <w:p w14:paraId="1EF30927">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六孔，高级品，木制QB/T 4130-2010</w:t>
            </w:r>
          </w:p>
        </w:tc>
        <w:tc>
          <w:tcPr>
            <w:tcW w:w="880" w:type="dxa"/>
            <w:gridSpan w:val="5"/>
            <w:vAlign w:val="center"/>
          </w:tcPr>
          <w:p w14:paraId="6CB2E39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支</w:t>
            </w:r>
          </w:p>
        </w:tc>
        <w:tc>
          <w:tcPr>
            <w:tcW w:w="935" w:type="dxa"/>
            <w:gridSpan w:val="3"/>
            <w:vAlign w:val="center"/>
          </w:tcPr>
          <w:p w14:paraId="25D25AE5">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6</w:t>
            </w:r>
          </w:p>
        </w:tc>
      </w:tr>
      <w:tr w14:paraId="3DCC0F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49" w:type="dxa"/>
            <w:vAlign w:val="center"/>
          </w:tcPr>
          <w:p w14:paraId="1F1959FF">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33</w:t>
            </w:r>
          </w:p>
        </w:tc>
        <w:tc>
          <w:tcPr>
            <w:tcW w:w="1227" w:type="dxa"/>
            <w:vAlign w:val="center"/>
          </w:tcPr>
          <w:p w14:paraId="2A9E4AA7">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陶笛</w:t>
            </w:r>
          </w:p>
        </w:tc>
        <w:tc>
          <w:tcPr>
            <w:tcW w:w="6187" w:type="dxa"/>
            <w:gridSpan w:val="2"/>
            <w:vAlign w:val="center"/>
          </w:tcPr>
          <w:p w14:paraId="15A2B94B">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单管十二孔中音C调（AC）等</w:t>
            </w:r>
          </w:p>
        </w:tc>
        <w:tc>
          <w:tcPr>
            <w:tcW w:w="880" w:type="dxa"/>
            <w:gridSpan w:val="5"/>
            <w:vAlign w:val="center"/>
          </w:tcPr>
          <w:p w14:paraId="1EAB36CF">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35" w:type="dxa"/>
            <w:gridSpan w:val="3"/>
            <w:vAlign w:val="center"/>
          </w:tcPr>
          <w:p w14:paraId="29625E65">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6</w:t>
            </w:r>
          </w:p>
        </w:tc>
      </w:tr>
      <w:tr w14:paraId="568F3F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49" w:type="dxa"/>
            <w:vAlign w:val="center"/>
          </w:tcPr>
          <w:p w14:paraId="586FEE71">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34</w:t>
            </w:r>
          </w:p>
        </w:tc>
        <w:tc>
          <w:tcPr>
            <w:tcW w:w="1227" w:type="dxa"/>
            <w:vAlign w:val="center"/>
          </w:tcPr>
          <w:p w14:paraId="591B59DD">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葫芦丝</w:t>
            </w:r>
          </w:p>
        </w:tc>
        <w:tc>
          <w:tcPr>
            <w:tcW w:w="6187" w:type="dxa"/>
            <w:gridSpan w:val="2"/>
            <w:vAlign w:val="center"/>
          </w:tcPr>
          <w:p w14:paraId="095353F2">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中音C调</w:t>
            </w:r>
          </w:p>
        </w:tc>
        <w:tc>
          <w:tcPr>
            <w:tcW w:w="880" w:type="dxa"/>
            <w:gridSpan w:val="5"/>
            <w:vAlign w:val="center"/>
          </w:tcPr>
          <w:p w14:paraId="5CC82A87">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支</w:t>
            </w:r>
          </w:p>
        </w:tc>
        <w:tc>
          <w:tcPr>
            <w:tcW w:w="935" w:type="dxa"/>
            <w:gridSpan w:val="3"/>
            <w:vAlign w:val="center"/>
          </w:tcPr>
          <w:p w14:paraId="06145F0E">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6</w:t>
            </w:r>
          </w:p>
        </w:tc>
      </w:tr>
      <w:tr w14:paraId="3917AC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49" w:type="dxa"/>
            <w:vAlign w:val="center"/>
          </w:tcPr>
          <w:p w14:paraId="508AB467">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35</w:t>
            </w:r>
          </w:p>
        </w:tc>
        <w:tc>
          <w:tcPr>
            <w:tcW w:w="1227" w:type="dxa"/>
            <w:vAlign w:val="center"/>
          </w:tcPr>
          <w:p w14:paraId="7437A41D">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吉它</w:t>
            </w:r>
          </w:p>
        </w:tc>
        <w:tc>
          <w:tcPr>
            <w:tcW w:w="6187" w:type="dxa"/>
            <w:gridSpan w:val="2"/>
            <w:vAlign w:val="center"/>
          </w:tcPr>
          <w:p w14:paraId="159FDE6E">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六弦 QB/T 1153-2014，配套教材和详细使用说明</w:t>
            </w:r>
          </w:p>
        </w:tc>
        <w:tc>
          <w:tcPr>
            <w:tcW w:w="880" w:type="dxa"/>
            <w:gridSpan w:val="5"/>
            <w:vAlign w:val="center"/>
          </w:tcPr>
          <w:p w14:paraId="3124D90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把</w:t>
            </w:r>
          </w:p>
        </w:tc>
        <w:tc>
          <w:tcPr>
            <w:tcW w:w="935" w:type="dxa"/>
            <w:gridSpan w:val="3"/>
            <w:vAlign w:val="center"/>
          </w:tcPr>
          <w:p w14:paraId="6DA6F526">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15</w:t>
            </w:r>
          </w:p>
        </w:tc>
      </w:tr>
      <w:tr w14:paraId="081298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49" w:type="dxa"/>
            <w:vAlign w:val="center"/>
          </w:tcPr>
          <w:p w14:paraId="5C43F098">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36</w:t>
            </w:r>
          </w:p>
        </w:tc>
        <w:tc>
          <w:tcPr>
            <w:tcW w:w="1227" w:type="dxa"/>
            <w:vAlign w:val="center"/>
          </w:tcPr>
          <w:p w14:paraId="3571E0B8">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大军鼓</w:t>
            </w:r>
          </w:p>
        </w:tc>
        <w:tc>
          <w:tcPr>
            <w:tcW w:w="6187" w:type="dxa"/>
            <w:gridSpan w:val="2"/>
            <w:vAlign w:val="center"/>
          </w:tcPr>
          <w:p w14:paraId="6CC6C317">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66cm×30.5cm(26in×12in),含鼓槌</w:t>
            </w:r>
          </w:p>
        </w:tc>
        <w:tc>
          <w:tcPr>
            <w:tcW w:w="880" w:type="dxa"/>
            <w:gridSpan w:val="5"/>
            <w:vAlign w:val="center"/>
          </w:tcPr>
          <w:p w14:paraId="203737CD">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35" w:type="dxa"/>
            <w:gridSpan w:val="3"/>
            <w:vAlign w:val="center"/>
          </w:tcPr>
          <w:p w14:paraId="0164836D">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6</w:t>
            </w:r>
          </w:p>
        </w:tc>
      </w:tr>
      <w:tr w14:paraId="570E19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49" w:type="dxa"/>
            <w:vAlign w:val="center"/>
          </w:tcPr>
          <w:p w14:paraId="4C7CF71F">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37</w:t>
            </w:r>
          </w:p>
        </w:tc>
        <w:tc>
          <w:tcPr>
            <w:tcW w:w="1227" w:type="dxa"/>
            <w:vAlign w:val="center"/>
          </w:tcPr>
          <w:p w14:paraId="71212EE5">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小军鼓</w:t>
            </w:r>
          </w:p>
        </w:tc>
        <w:tc>
          <w:tcPr>
            <w:tcW w:w="6187" w:type="dxa"/>
            <w:gridSpan w:val="2"/>
            <w:vAlign w:val="center"/>
          </w:tcPr>
          <w:p w14:paraId="21110C6B">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35.5cm×14cm（14in×5.5in）,含鼓棒</w:t>
            </w:r>
          </w:p>
        </w:tc>
        <w:tc>
          <w:tcPr>
            <w:tcW w:w="880" w:type="dxa"/>
            <w:gridSpan w:val="5"/>
            <w:vAlign w:val="center"/>
          </w:tcPr>
          <w:p w14:paraId="261616DA">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35" w:type="dxa"/>
            <w:gridSpan w:val="3"/>
            <w:vAlign w:val="center"/>
          </w:tcPr>
          <w:p w14:paraId="38776297">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10</w:t>
            </w:r>
          </w:p>
        </w:tc>
      </w:tr>
      <w:tr w14:paraId="5D2A38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49" w:type="dxa"/>
            <w:vAlign w:val="center"/>
          </w:tcPr>
          <w:p w14:paraId="5305F948">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38</w:t>
            </w:r>
          </w:p>
        </w:tc>
        <w:tc>
          <w:tcPr>
            <w:tcW w:w="1227" w:type="dxa"/>
            <w:vAlign w:val="center"/>
          </w:tcPr>
          <w:p w14:paraId="27392AFB">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多音鼓</w:t>
            </w:r>
          </w:p>
        </w:tc>
        <w:tc>
          <w:tcPr>
            <w:tcW w:w="6187" w:type="dxa"/>
            <w:gridSpan w:val="2"/>
            <w:vAlign w:val="center"/>
          </w:tcPr>
          <w:p w14:paraId="5732A145">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25.4cm×12.5cm（10in×5in），四鼓，带架</w:t>
            </w:r>
          </w:p>
        </w:tc>
        <w:tc>
          <w:tcPr>
            <w:tcW w:w="880" w:type="dxa"/>
            <w:gridSpan w:val="5"/>
            <w:vAlign w:val="center"/>
          </w:tcPr>
          <w:p w14:paraId="4C61B5D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套</w:t>
            </w:r>
          </w:p>
        </w:tc>
        <w:tc>
          <w:tcPr>
            <w:tcW w:w="935" w:type="dxa"/>
            <w:gridSpan w:val="3"/>
            <w:vAlign w:val="center"/>
          </w:tcPr>
          <w:p w14:paraId="5B8A213E">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6</w:t>
            </w:r>
          </w:p>
        </w:tc>
      </w:tr>
      <w:tr w14:paraId="78A4CE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jc w:val="center"/>
        </w:trPr>
        <w:tc>
          <w:tcPr>
            <w:tcW w:w="9978" w:type="dxa"/>
            <w:gridSpan w:val="12"/>
            <w:tcBorders>
              <w:top w:val="single" w:color="000000" w:sz="4" w:space="0"/>
              <w:left w:val="single" w:color="000000" w:sz="4" w:space="0"/>
              <w:bottom w:val="single" w:color="000000" w:sz="4" w:space="0"/>
              <w:right w:val="single" w:color="000000" w:sz="4" w:space="0"/>
            </w:tcBorders>
            <w:noWrap/>
            <w:vAlign w:val="center"/>
          </w:tcPr>
          <w:p w14:paraId="37C416A0">
            <w:pPr>
              <w:widowControl/>
              <w:jc w:val="center"/>
              <w:textAlignment w:val="center"/>
              <w:rPr>
                <w:rFonts w:hint="eastAsia" w:ascii="宋体" w:hAnsi="宋体"/>
                <w:b/>
                <w:bCs/>
                <w:color w:val="auto"/>
                <w:szCs w:val="21"/>
                <w:highlight w:val="none"/>
              </w:rPr>
            </w:pPr>
            <w:r>
              <w:rPr>
                <w:rFonts w:ascii="Times New Roman" w:hAnsi="Times New Roman" w:cs="Times New Roman"/>
                <w:color w:val="auto"/>
                <w:highlight w:val="none"/>
              </w:rPr>
              <w:br w:type="page"/>
            </w:r>
            <w:r>
              <w:rPr>
                <w:rFonts w:hint="eastAsia" w:ascii="宋体" w:hAnsi="宋体"/>
                <w:b/>
                <w:bCs/>
                <w:color w:val="auto"/>
                <w:kern w:val="0"/>
                <w:szCs w:val="21"/>
                <w:highlight w:val="none"/>
                <w:lang w:bidi="ar"/>
              </w:rPr>
              <w:t>十一、心理咨询室</w:t>
            </w:r>
          </w:p>
        </w:tc>
      </w:tr>
      <w:tr w14:paraId="3DCC91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jc w:val="center"/>
        </w:trPr>
        <w:tc>
          <w:tcPr>
            <w:tcW w:w="749" w:type="dxa"/>
            <w:tcBorders>
              <w:top w:val="single" w:color="000000" w:sz="4" w:space="0"/>
              <w:left w:val="single" w:color="000000" w:sz="4" w:space="0"/>
              <w:bottom w:val="single" w:color="000000" w:sz="4" w:space="0"/>
              <w:right w:val="single" w:color="000000" w:sz="4" w:space="0"/>
            </w:tcBorders>
            <w:noWrap/>
            <w:vAlign w:val="center"/>
          </w:tcPr>
          <w:p w14:paraId="658808DE">
            <w:pPr>
              <w:widowControl/>
              <w:textAlignment w:val="center"/>
              <w:rPr>
                <w:rFonts w:hint="eastAsia" w:ascii="宋体" w:hAnsi="宋体"/>
                <w:color w:val="auto"/>
                <w:szCs w:val="21"/>
                <w:highlight w:val="none"/>
              </w:rPr>
            </w:pPr>
            <w:r>
              <w:rPr>
                <w:rFonts w:hint="eastAsia" w:ascii="宋体" w:hAnsi="宋体"/>
                <w:color w:val="auto"/>
                <w:kern w:val="0"/>
                <w:szCs w:val="21"/>
                <w:highlight w:val="none"/>
                <w:lang w:bidi="ar"/>
              </w:rPr>
              <w:t>（一）</w:t>
            </w:r>
          </w:p>
        </w:tc>
        <w:tc>
          <w:tcPr>
            <w:tcW w:w="1227" w:type="dxa"/>
            <w:tcBorders>
              <w:top w:val="single" w:color="000000" w:sz="4" w:space="0"/>
              <w:left w:val="single" w:color="000000" w:sz="4" w:space="0"/>
              <w:bottom w:val="single" w:color="000000" w:sz="4" w:space="0"/>
              <w:right w:val="single" w:color="000000" w:sz="4" w:space="0"/>
            </w:tcBorders>
            <w:noWrap/>
            <w:vAlign w:val="center"/>
          </w:tcPr>
          <w:p w14:paraId="2EC91447">
            <w:pPr>
              <w:widowControl/>
              <w:jc w:val="center"/>
              <w:textAlignment w:val="center"/>
              <w:rPr>
                <w:rFonts w:hint="eastAsia" w:ascii="宋体" w:hAnsi="宋体"/>
                <w:b/>
                <w:bCs/>
                <w:color w:val="auto"/>
                <w:szCs w:val="21"/>
                <w:highlight w:val="none"/>
              </w:rPr>
            </w:pPr>
            <w:r>
              <w:rPr>
                <w:rFonts w:hint="eastAsia" w:ascii="宋体" w:hAnsi="宋体"/>
                <w:b/>
                <w:bCs/>
                <w:color w:val="auto"/>
                <w:kern w:val="0"/>
                <w:szCs w:val="21"/>
                <w:highlight w:val="none"/>
                <w:lang w:bidi="ar"/>
              </w:rPr>
              <w:t>接待测评室</w:t>
            </w:r>
          </w:p>
        </w:tc>
        <w:tc>
          <w:tcPr>
            <w:tcW w:w="6224" w:type="dxa"/>
            <w:gridSpan w:val="4"/>
            <w:tcBorders>
              <w:top w:val="single" w:color="000000" w:sz="4" w:space="0"/>
              <w:left w:val="single" w:color="000000" w:sz="4" w:space="0"/>
              <w:bottom w:val="single" w:color="000000" w:sz="4" w:space="0"/>
              <w:right w:val="single" w:color="000000" w:sz="4" w:space="0"/>
            </w:tcBorders>
            <w:noWrap/>
            <w:vAlign w:val="center"/>
          </w:tcPr>
          <w:p w14:paraId="731BA349">
            <w:pPr>
              <w:jc w:val="left"/>
              <w:rPr>
                <w:rFonts w:hint="eastAsia" w:ascii="宋体" w:hAnsi="宋体"/>
                <w:color w:val="auto"/>
                <w:szCs w:val="21"/>
                <w:highlight w:val="none"/>
              </w:rPr>
            </w:pPr>
          </w:p>
        </w:tc>
        <w:tc>
          <w:tcPr>
            <w:tcW w:w="843" w:type="dxa"/>
            <w:gridSpan w:val="3"/>
            <w:tcBorders>
              <w:top w:val="single" w:color="000000" w:sz="4" w:space="0"/>
              <w:left w:val="single" w:color="000000" w:sz="4" w:space="0"/>
              <w:bottom w:val="single" w:color="000000" w:sz="4" w:space="0"/>
              <w:right w:val="single" w:color="000000" w:sz="4" w:space="0"/>
            </w:tcBorders>
            <w:vAlign w:val="center"/>
          </w:tcPr>
          <w:p w14:paraId="065409E7">
            <w:pPr>
              <w:jc w:val="center"/>
              <w:rPr>
                <w:rFonts w:hint="eastAsia" w:ascii="宋体" w:hAnsi="宋体"/>
                <w:color w:val="auto"/>
                <w:szCs w:val="21"/>
                <w:highlight w:val="none"/>
              </w:rPr>
            </w:pPr>
          </w:p>
        </w:tc>
        <w:tc>
          <w:tcPr>
            <w:tcW w:w="935" w:type="dxa"/>
            <w:gridSpan w:val="3"/>
            <w:tcBorders>
              <w:top w:val="single" w:color="000000" w:sz="4" w:space="0"/>
              <w:left w:val="single" w:color="000000" w:sz="4" w:space="0"/>
              <w:bottom w:val="single" w:color="000000" w:sz="4" w:space="0"/>
              <w:right w:val="single" w:color="000000" w:sz="4" w:space="0"/>
            </w:tcBorders>
            <w:vAlign w:val="center"/>
          </w:tcPr>
          <w:p w14:paraId="610CA96C">
            <w:pPr>
              <w:jc w:val="center"/>
              <w:rPr>
                <w:rFonts w:hint="eastAsia" w:ascii="宋体" w:hAnsi="宋体"/>
                <w:color w:val="auto"/>
                <w:szCs w:val="21"/>
                <w:highlight w:val="none"/>
              </w:rPr>
            </w:pPr>
          </w:p>
        </w:tc>
      </w:tr>
      <w:tr w14:paraId="2FF215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jc w:val="center"/>
        </w:trPr>
        <w:tc>
          <w:tcPr>
            <w:tcW w:w="749" w:type="dxa"/>
            <w:tcBorders>
              <w:top w:val="single" w:color="000000" w:sz="4" w:space="0"/>
              <w:left w:val="single" w:color="000000" w:sz="4" w:space="0"/>
              <w:bottom w:val="single" w:color="000000" w:sz="4" w:space="0"/>
              <w:right w:val="single" w:color="000000" w:sz="4" w:space="0"/>
            </w:tcBorders>
            <w:vAlign w:val="center"/>
          </w:tcPr>
          <w:p w14:paraId="6BF74367">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c>
          <w:tcPr>
            <w:tcW w:w="1227" w:type="dxa"/>
            <w:tcBorders>
              <w:top w:val="single" w:color="000000" w:sz="4" w:space="0"/>
              <w:left w:val="single" w:color="000000" w:sz="4" w:space="0"/>
              <w:bottom w:val="single" w:color="000000" w:sz="4" w:space="0"/>
              <w:right w:val="single" w:color="000000" w:sz="4" w:space="0"/>
            </w:tcBorders>
            <w:vAlign w:val="center"/>
          </w:tcPr>
          <w:p w14:paraId="07E1A714">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沙发</w:t>
            </w:r>
          </w:p>
        </w:tc>
        <w:tc>
          <w:tcPr>
            <w:tcW w:w="6224" w:type="dxa"/>
            <w:gridSpan w:val="4"/>
            <w:tcBorders>
              <w:top w:val="single" w:color="000000" w:sz="4" w:space="0"/>
              <w:left w:val="single" w:color="000000" w:sz="4" w:space="0"/>
              <w:bottom w:val="single" w:color="000000" w:sz="4" w:space="0"/>
              <w:right w:val="single" w:color="000000" w:sz="4" w:space="0"/>
            </w:tcBorders>
            <w:vAlign w:val="center"/>
          </w:tcPr>
          <w:p w14:paraId="76D36A07">
            <w:pPr>
              <w:widowControl/>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沙发规格：3+2沙发,面料: 超柔绒布，实木框架，布艺沙发。</w:t>
            </w:r>
          </w:p>
          <w:p w14:paraId="27977E7D">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茶几：简单时尚。</w:t>
            </w:r>
          </w:p>
        </w:tc>
        <w:tc>
          <w:tcPr>
            <w:tcW w:w="843" w:type="dxa"/>
            <w:gridSpan w:val="3"/>
            <w:tcBorders>
              <w:top w:val="single" w:color="000000" w:sz="4" w:space="0"/>
              <w:left w:val="single" w:color="000000" w:sz="4" w:space="0"/>
              <w:bottom w:val="single" w:color="000000" w:sz="4" w:space="0"/>
              <w:right w:val="single" w:color="000000" w:sz="4" w:space="0"/>
            </w:tcBorders>
            <w:vAlign w:val="center"/>
          </w:tcPr>
          <w:p w14:paraId="79DC4345">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套</w:t>
            </w:r>
          </w:p>
        </w:tc>
        <w:tc>
          <w:tcPr>
            <w:tcW w:w="935" w:type="dxa"/>
            <w:gridSpan w:val="3"/>
            <w:tcBorders>
              <w:top w:val="single" w:color="000000" w:sz="4" w:space="0"/>
              <w:left w:val="single" w:color="000000" w:sz="4" w:space="0"/>
              <w:bottom w:val="single" w:color="000000" w:sz="4" w:space="0"/>
              <w:right w:val="single" w:color="000000" w:sz="4" w:space="0"/>
            </w:tcBorders>
            <w:vAlign w:val="center"/>
          </w:tcPr>
          <w:p w14:paraId="120DA14F">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7D3551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jc w:val="center"/>
        </w:trPr>
        <w:tc>
          <w:tcPr>
            <w:tcW w:w="749" w:type="dxa"/>
            <w:tcBorders>
              <w:top w:val="single" w:color="000000" w:sz="4" w:space="0"/>
              <w:left w:val="single" w:color="000000" w:sz="4" w:space="0"/>
              <w:bottom w:val="single" w:color="000000" w:sz="4" w:space="0"/>
              <w:right w:val="single" w:color="000000" w:sz="4" w:space="0"/>
            </w:tcBorders>
            <w:vAlign w:val="center"/>
          </w:tcPr>
          <w:p w14:paraId="752682B4">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w:t>
            </w:r>
          </w:p>
        </w:tc>
        <w:tc>
          <w:tcPr>
            <w:tcW w:w="1227" w:type="dxa"/>
            <w:tcBorders>
              <w:top w:val="single" w:color="000000" w:sz="4" w:space="0"/>
              <w:left w:val="single" w:color="000000" w:sz="4" w:space="0"/>
              <w:bottom w:val="single" w:color="000000" w:sz="4" w:space="0"/>
              <w:right w:val="single" w:color="000000" w:sz="4" w:space="0"/>
            </w:tcBorders>
            <w:vAlign w:val="center"/>
          </w:tcPr>
          <w:p w14:paraId="61712BA6">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办公桌椅</w:t>
            </w:r>
          </w:p>
        </w:tc>
        <w:tc>
          <w:tcPr>
            <w:tcW w:w="6224" w:type="dxa"/>
            <w:gridSpan w:val="4"/>
            <w:tcBorders>
              <w:top w:val="single" w:color="000000" w:sz="4" w:space="0"/>
              <w:left w:val="single" w:color="000000" w:sz="4" w:space="0"/>
              <w:bottom w:val="single" w:color="000000" w:sz="4" w:space="0"/>
              <w:right w:val="single" w:color="000000" w:sz="4" w:space="0"/>
            </w:tcBorders>
            <w:vAlign w:val="center"/>
          </w:tcPr>
          <w:p w14:paraId="4DA46DAC">
            <w:pPr>
              <w:widowControl/>
              <w:numPr>
                <w:ilvl w:val="0"/>
                <w:numId w:val="313"/>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规格：≥1500mm×1200mm×1100mm</w:t>
            </w:r>
          </w:p>
          <w:p w14:paraId="38104EAE">
            <w:pPr>
              <w:widowControl/>
              <w:numPr>
                <w:ilvl w:val="0"/>
                <w:numId w:val="313"/>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桌面及立腿采用≥25mm厚优质E1级颗粒板。</w:t>
            </w:r>
          </w:p>
          <w:p w14:paraId="64A731F7">
            <w:pPr>
              <w:widowControl/>
              <w:numPr>
                <w:ilvl w:val="0"/>
                <w:numId w:val="313"/>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柜体板材采用E1级颗粒板，厚度≥18mm，</w:t>
            </w:r>
          </w:p>
          <w:p w14:paraId="7D34B8E1">
            <w:pPr>
              <w:widowControl/>
              <w:numPr>
                <w:ilvl w:val="0"/>
                <w:numId w:val="313"/>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封边：四周采用≥1.5mm厚同色封边条机械封边，</w:t>
            </w:r>
          </w:p>
          <w:p w14:paraId="6AA57C02">
            <w:pPr>
              <w:widowControl/>
              <w:numPr>
                <w:ilvl w:val="0"/>
                <w:numId w:val="313"/>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采用优质五金配件</w:t>
            </w:r>
          </w:p>
          <w:p w14:paraId="699344B2">
            <w:pPr>
              <w:widowControl/>
              <w:numPr>
                <w:ilvl w:val="0"/>
                <w:numId w:val="313"/>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办公椅：工字型网布面料五金配件，美观大方。</w:t>
            </w:r>
          </w:p>
        </w:tc>
        <w:tc>
          <w:tcPr>
            <w:tcW w:w="843" w:type="dxa"/>
            <w:gridSpan w:val="3"/>
            <w:tcBorders>
              <w:top w:val="single" w:color="000000" w:sz="4" w:space="0"/>
              <w:left w:val="single" w:color="000000" w:sz="4" w:space="0"/>
              <w:bottom w:val="single" w:color="000000" w:sz="4" w:space="0"/>
              <w:right w:val="single" w:color="000000" w:sz="4" w:space="0"/>
            </w:tcBorders>
            <w:vAlign w:val="center"/>
          </w:tcPr>
          <w:p w14:paraId="51BF570D">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套</w:t>
            </w:r>
          </w:p>
        </w:tc>
        <w:tc>
          <w:tcPr>
            <w:tcW w:w="935" w:type="dxa"/>
            <w:gridSpan w:val="3"/>
            <w:tcBorders>
              <w:top w:val="single" w:color="000000" w:sz="4" w:space="0"/>
              <w:left w:val="single" w:color="000000" w:sz="4" w:space="0"/>
              <w:bottom w:val="single" w:color="000000" w:sz="4" w:space="0"/>
              <w:right w:val="single" w:color="000000" w:sz="4" w:space="0"/>
            </w:tcBorders>
            <w:vAlign w:val="center"/>
          </w:tcPr>
          <w:p w14:paraId="347B6743">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375873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jc w:val="center"/>
        </w:trPr>
        <w:tc>
          <w:tcPr>
            <w:tcW w:w="749" w:type="dxa"/>
            <w:tcBorders>
              <w:top w:val="single" w:color="000000" w:sz="4" w:space="0"/>
              <w:left w:val="single" w:color="000000" w:sz="4" w:space="0"/>
              <w:bottom w:val="single" w:color="000000" w:sz="4" w:space="0"/>
              <w:right w:val="single" w:color="000000" w:sz="4" w:space="0"/>
            </w:tcBorders>
            <w:vAlign w:val="center"/>
          </w:tcPr>
          <w:p w14:paraId="01848561">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3</w:t>
            </w:r>
          </w:p>
        </w:tc>
        <w:tc>
          <w:tcPr>
            <w:tcW w:w="1227" w:type="dxa"/>
            <w:tcBorders>
              <w:top w:val="single" w:color="000000" w:sz="4" w:space="0"/>
              <w:left w:val="single" w:color="000000" w:sz="4" w:space="0"/>
              <w:bottom w:val="single" w:color="000000" w:sz="4" w:space="0"/>
              <w:right w:val="single" w:color="000000" w:sz="4" w:space="0"/>
            </w:tcBorders>
            <w:vAlign w:val="center"/>
          </w:tcPr>
          <w:p w14:paraId="53FD80AD">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心理测评档案管理系统（专业平台版）</w:t>
            </w:r>
          </w:p>
        </w:tc>
        <w:tc>
          <w:tcPr>
            <w:tcW w:w="6224" w:type="dxa"/>
            <w:gridSpan w:val="4"/>
            <w:tcBorders>
              <w:top w:val="single" w:color="000000" w:sz="4" w:space="0"/>
              <w:left w:val="single" w:color="000000" w:sz="4" w:space="0"/>
              <w:bottom w:val="single" w:color="000000" w:sz="4" w:space="0"/>
              <w:right w:val="single" w:color="000000" w:sz="4" w:space="0"/>
            </w:tcBorders>
            <w:vAlign w:val="center"/>
          </w:tcPr>
          <w:p w14:paraId="3F3E4DA8">
            <w:pPr>
              <w:widowControl/>
              <w:numPr>
                <w:ilvl w:val="0"/>
                <w:numId w:val="314"/>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此产品为平台型产品内置4大系统：</w:t>
            </w:r>
          </w:p>
          <w:p w14:paraId="5435FF0C">
            <w:pPr>
              <w:widowControl/>
              <w:numPr>
                <w:ilvl w:val="1"/>
                <w:numId w:val="314"/>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心理测评系统：用于学生心理健康状况普查，心理健康测试，并针对测试结果提出专家指导意见。</w:t>
            </w:r>
          </w:p>
          <w:p w14:paraId="3686411B">
            <w:pPr>
              <w:widowControl/>
              <w:numPr>
                <w:ilvl w:val="1"/>
                <w:numId w:val="314"/>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心理测评预警系统：对测试出现心理危机的学生，系统自动将该学生纳入危机预警系统，提醒老师重点关注该学生的心理问题，并可以让学生家长也参与进来共同关注。</w:t>
            </w:r>
          </w:p>
          <w:p w14:paraId="577C892A">
            <w:pPr>
              <w:widowControl/>
              <w:numPr>
                <w:ilvl w:val="1"/>
                <w:numId w:val="314"/>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心理CT系统：内置160个量表，涵盖各个年龄阶段。（其中包含心理CT专用量表：MMPI明尼苏达多项人格测验。）</w:t>
            </w:r>
          </w:p>
          <w:p w14:paraId="5FA700B9">
            <w:pPr>
              <w:widowControl/>
              <w:numPr>
                <w:ilvl w:val="1"/>
                <w:numId w:val="314"/>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 xml:space="preserve">心理数据云平台系统：系统可以安装到服务器上，支持千人同时在线测试，系统还支持学校局域网和单机测试，满足学校各种不同环境需求。 </w:t>
            </w:r>
          </w:p>
          <w:p w14:paraId="24D3ABB3">
            <w:pPr>
              <w:widowControl/>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主要功能：</w:t>
            </w:r>
          </w:p>
          <w:p w14:paraId="676EBA7B">
            <w:pPr>
              <w:widowControl/>
              <w:numPr>
                <w:ilvl w:val="0"/>
                <w:numId w:val="314"/>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界面丰富多样：整体布局切换包括固定头部、固定菜单、菜单折叠、顶部菜单、盒装布局以及12套颜色皮肤跟换，使用者可根据喜好选择，同时也有利于心理咨询师从色彩心理学分析被矫正人员。</w:t>
            </w:r>
          </w:p>
          <w:p w14:paraId="1DF4F354">
            <w:pPr>
              <w:widowControl/>
              <w:numPr>
                <w:ilvl w:val="0"/>
                <w:numId w:val="314"/>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界面可视化：（1）主页学校情况呈现包括：量表数量、测评数量、班级数量、预警数量和近30日测评数量趋势图。（2）心理普查信息包括：所用测试量表信息、参与人数、男女占比、应参与人数、实际参与人数、完成全部测评人数、预警人数和预警量表占比。</w:t>
            </w:r>
          </w:p>
          <w:p w14:paraId="59278D8B">
            <w:pPr>
              <w:widowControl/>
              <w:numPr>
                <w:ilvl w:val="0"/>
                <w:numId w:val="314"/>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数据导入功能：提供完善的数据导入服务,通过系统模板方便心理老师将全校学生和班级信息一次性添加到系统，并自动生成班级和学生信息方便智能便捷。</w:t>
            </w:r>
          </w:p>
          <w:p w14:paraId="5D6DF7E5">
            <w:pPr>
              <w:widowControl/>
              <w:numPr>
                <w:ilvl w:val="0"/>
                <w:numId w:val="314"/>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班级管理员权限管理：为减轻心理老师工作压力，可根据需要设置班级管理员查看所属班级学生信息和全校学生信息。也可设置管理员是否可见：基本信息、报告图片、因子得分、分数级别、因子说明、指导意见和测评答案。</w:t>
            </w:r>
          </w:p>
          <w:p w14:paraId="5ECBE355">
            <w:pPr>
              <w:widowControl/>
              <w:numPr>
                <w:ilvl w:val="0"/>
                <w:numId w:val="314"/>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测试报告输出：自动生成报告和剖面图，直接显示，心理老师或者班主任可以在每个分值下更改和填写指导建议并以PDF文本样式显示，同时为用户提供文本、带剖面图及彩色等多种打印选择，并且可以采用批量处理的方式，避免了逐条逐步处理报告的繁锁。报告提供了简单报告和复杂报告方式，便于心理老师对测试人员进行讲解。</w:t>
            </w:r>
          </w:p>
          <w:p w14:paraId="4EDD173C">
            <w:pPr>
              <w:widowControl/>
              <w:numPr>
                <w:ilvl w:val="0"/>
                <w:numId w:val="314"/>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危机预警管理：该系统分为4级预警分别为：红色、橙色、黄色和绿色4级预警监；预警管理侧面研判用户心理健康信息，咨询师可以根据学生情况批量解除、删除和下载预警人员。也可以根据量表、班级、性别等信息进行筛选预警人员。</w:t>
            </w:r>
          </w:p>
          <w:p w14:paraId="12D12D18">
            <w:pPr>
              <w:widowControl/>
              <w:numPr>
                <w:ilvl w:val="0"/>
                <w:numId w:val="314"/>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二维码扫描测试功能：管理者可使用二维码发起团体测试，测试者只需拿出手机、pad等移动端扫描系统二维码即可实现系统登录、手机端测试、手机端查看报告等多种应用，最大限度的方便管理员和测试用户使用。</w:t>
            </w:r>
          </w:p>
          <w:p w14:paraId="7DBBB274">
            <w:pPr>
              <w:widowControl/>
              <w:numPr>
                <w:ilvl w:val="0"/>
                <w:numId w:val="314"/>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纸质化答题测试数据导入：为方便照顾低龄和特殊群体，可将通过系统模板将测试答案和用户信息批量导入系统内，自动生成人员信息和测试报告。</w:t>
            </w:r>
          </w:p>
          <w:p w14:paraId="24BA09F2">
            <w:pPr>
              <w:widowControl/>
              <w:numPr>
                <w:ilvl w:val="0"/>
                <w:numId w:val="314"/>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开展心理普查:  并支持提前结束普查和恢复普查，也可中途增加测评人员。学校在使用该系统时主要用于两方面一方面是心理普查，另一方面是日常测试。心理普查可以全面的了解每个班级的某项指标日常测试是针对个别学生出现的问题进行心理干预前的测试诊断。心理普查与日常测试数据的分开，保证了普查取样的准确性和科学性。</w:t>
            </w:r>
          </w:p>
          <w:p w14:paraId="101C61DB">
            <w:pPr>
              <w:widowControl/>
              <w:numPr>
                <w:ilvl w:val="0"/>
                <w:numId w:val="314"/>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团体报告：团体报告分为普查数据和日常数据，系统既可对整个学校进行统计，分析，也可以对某一年级、班级或某一特殊群体、某一年龄段、某一性别等做团体和个体分析。团体报告通过图标形式呈现，数据包括：测评量表、测评人数、参与人数、汇总人数、性别数量、团队平均状态等其他信息。</w:t>
            </w:r>
          </w:p>
          <w:p w14:paraId="2BE2D957">
            <w:pPr>
              <w:widowControl/>
              <w:numPr>
                <w:ilvl w:val="0"/>
                <w:numId w:val="314"/>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学生档案管理：包括基本信息、联系人信息、奖惩信息、老师评语、自我鉴定等。可设置是否允许学生查看档案和填写自我鉴定。</w:t>
            </w:r>
          </w:p>
          <w:p w14:paraId="38B89CB9">
            <w:pPr>
              <w:widowControl/>
              <w:numPr>
                <w:ilvl w:val="0"/>
                <w:numId w:val="314"/>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考试成绩导入：可将学生各科考试成绩导入，并支持考试科目无限增加</w:t>
            </w:r>
          </w:p>
          <w:p w14:paraId="1D612EF0">
            <w:pPr>
              <w:widowControl/>
              <w:numPr>
                <w:ilvl w:val="0"/>
                <w:numId w:val="314"/>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量表管理：不同学校和单位因面对人群不同，可将不常用和常用量表进行禁用和恢复。并根据自身情况将量表自行分类管理。</w:t>
            </w:r>
          </w:p>
          <w:p w14:paraId="34527CD6">
            <w:pPr>
              <w:widowControl/>
              <w:numPr>
                <w:ilvl w:val="0"/>
                <w:numId w:val="314"/>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在线咨询功能：学生可选择咨询对象进行心理咨询，老师在线解答。</w:t>
            </w:r>
          </w:p>
          <w:p w14:paraId="5B8BFACD">
            <w:pPr>
              <w:widowControl/>
              <w:numPr>
                <w:ilvl w:val="0"/>
                <w:numId w:val="314"/>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数据备份还原：具备强大的数据备份和还原功能。</w:t>
            </w:r>
          </w:p>
          <w:p w14:paraId="24217B3E">
            <w:pPr>
              <w:widowControl/>
              <w:numPr>
                <w:ilvl w:val="0"/>
                <w:numId w:val="314"/>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学校名称修改：可根据学校名称更改学校基本信息和logo。</w:t>
            </w:r>
          </w:p>
          <w:p w14:paraId="3381BB29">
            <w:pPr>
              <w:widowControl/>
              <w:numPr>
                <w:ilvl w:val="0"/>
                <w:numId w:val="314"/>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班级转移：可将整班学生或部分学生转移到其他班级，提供将某段时间设置为转班提醒功能。</w:t>
            </w:r>
          </w:p>
          <w:p w14:paraId="12F5F23B">
            <w:pPr>
              <w:widowControl/>
              <w:numPr>
                <w:ilvl w:val="0"/>
                <w:numId w:val="314"/>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软件语音播报：语音播报心理测试题目及答案,实施显示测试进度百分比。</w:t>
            </w:r>
          </w:p>
          <w:p w14:paraId="005A8F37">
            <w:pPr>
              <w:widowControl/>
              <w:numPr>
                <w:ilvl w:val="0"/>
                <w:numId w:val="314"/>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断电功能：因断电或者其他特殊原因未能完成测试导致中途中断，下次登录可在上次断点出继续测试并最终完成测试。</w:t>
            </w:r>
          </w:p>
          <w:p w14:paraId="2D34D2ED">
            <w:pPr>
              <w:widowControl/>
              <w:numPr>
                <w:ilvl w:val="0"/>
                <w:numId w:val="314"/>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答题过快提醒：为避免恶意测试，测试过程如出现答题过快，明显超过看题速度，系统会弹出答题过快认真作答警示框。在测试完成后有针对针对测试时间，加以判断是否认真作答。</w:t>
            </w:r>
          </w:p>
          <w:p w14:paraId="5E8C8C70">
            <w:pPr>
              <w:widowControl/>
              <w:numPr>
                <w:ilvl w:val="0"/>
                <w:numId w:val="314"/>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查询功能：对于庞大的学生信息数据，快捷、方便的查询功能是必须的。老师只要输入学号，或者姓名，或者班级，就能按范围找到想要的信息。</w:t>
            </w:r>
          </w:p>
        </w:tc>
        <w:tc>
          <w:tcPr>
            <w:tcW w:w="843" w:type="dxa"/>
            <w:gridSpan w:val="3"/>
            <w:tcBorders>
              <w:top w:val="single" w:color="000000" w:sz="4" w:space="0"/>
              <w:left w:val="single" w:color="000000" w:sz="4" w:space="0"/>
              <w:bottom w:val="single" w:color="000000" w:sz="4" w:space="0"/>
              <w:right w:val="single" w:color="000000" w:sz="4" w:space="0"/>
            </w:tcBorders>
            <w:vAlign w:val="center"/>
          </w:tcPr>
          <w:p w14:paraId="50F491B5">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套</w:t>
            </w:r>
          </w:p>
        </w:tc>
        <w:tc>
          <w:tcPr>
            <w:tcW w:w="935" w:type="dxa"/>
            <w:gridSpan w:val="3"/>
            <w:tcBorders>
              <w:top w:val="single" w:color="000000" w:sz="4" w:space="0"/>
              <w:left w:val="single" w:color="000000" w:sz="4" w:space="0"/>
              <w:bottom w:val="single" w:color="000000" w:sz="4" w:space="0"/>
              <w:right w:val="single" w:color="000000" w:sz="4" w:space="0"/>
            </w:tcBorders>
            <w:vAlign w:val="center"/>
          </w:tcPr>
          <w:p w14:paraId="5186B19B">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39C1F6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jc w:val="center"/>
        </w:trPr>
        <w:tc>
          <w:tcPr>
            <w:tcW w:w="749" w:type="dxa"/>
            <w:tcBorders>
              <w:top w:val="single" w:color="000000" w:sz="4" w:space="0"/>
              <w:left w:val="single" w:color="000000" w:sz="4" w:space="0"/>
              <w:bottom w:val="single" w:color="000000" w:sz="4" w:space="0"/>
              <w:right w:val="single" w:color="000000" w:sz="4" w:space="0"/>
            </w:tcBorders>
            <w:vAlign w:val="center"/>
          </w:tcPr>
          <w:p w14:paraId="57626025">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4</w:t>
            </w:r>
          </w:p>
        </w:tc>
        <w:tc>
          <w:tcPr>
            <w:tcW w:w="1227" w:type="dxa"/>
            <w:tcBorders>
              <w:top w:val="single" w:color="000000" w:sz="4" w:space="0"/>
              <w:left w:val="single" w:color="000000" w:sz="4" w:space="0"/>
              <w:bottom w:val="single" w:color="000000" w:sz="4" w:space="0"/>
              <w:right w:val="single" w:color="000000" w:sz="4" w:space="0"/>
            </w:tcBorders>
            <w:vAlign w:val="center"/>
          </w:tcPr>
          <w:p w14:paraId="740F4A5F">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潜能测试开发指导系统</w:t>
            </w:r>
          </w:p>
        </w:tc>
        <w:tc>
          <w:tcPr>
            <w:tcW w:w="6224" w:type="dxa"/>
            <w:gridSpan w:val="4"/>
            <w:tcBorders>
              <w:top w:val="single" w:color="000000" w:sz="4" w:space="0"/>
              <w:left w:val="single" w:color="000000" w:sz="4" w:space="0"/>
              <w:bottom w:val="single" w:color="000000" w:sz="4" w:space="0"/>
              <w:right w:val="single" w:color="000000" w:sz="4" w:space="0"/>
            </w:tcBorders>
            <w:vAlign w:val="center"/>
          </w:tcPr>
          <w:p w14:paraId="09A5240A">
            <w:pPr>
              <w:widowControl/>
              <w:numPr>
                <w:ilvl w:val="2"/>
                <w:numId w:val="238"/>
              </w:numPr>
              <w:jc w:val="left"/>
              <w:textAlignment w:val="center"/>
              <w:rPr>
                <w:rFonts w:hint="eastAsia" w:ascii="宋体" w:hAnsi="宋体"/>
                <w:b/>
                <w:bCs/>
                <w:color w:val="auto"/>
                <w:kern w:val="0"/>
                <w:szCs w:val="21"/>
                <w:highlight w:val="none"/>
                <w:lang w:bidi="ar"/>
              </w:rPr>
            </w:pPr>
            <w:r>
              <w:rPr>
                <w:rFonts w:hint="eastAsia" w:ascii="宋体" w:hAnsi="宋体"/>
                <w:b/>
                <w:bCs/>
                <w:color w:val="auto"/>
                <w:kern w:val="0"/>
                <w:szCs w:val="21"/>
                <w:highlight w:val="none"/>
                <w:lang w:bidi="ar"/>
              </w:rPr>
              <w:t>科学评估：</w:t>
            </w:r>
          </w:p>
          <w:p w14:paraId="1F643B1F">
            <w:pPr>
              <w:widowControl/>
              <w:numPr>
                <w:ilvl w:val="0"/>
                <w:numId w:val="315"/>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包含90个自助测评问卷，并按照来访者的心理特点设计了九大类测试，包含大脑健康状况、大脑认知功能、道德智力水平、个性认知、情商管理水平、人际关系能力、心理健康、心理拓展素质、综合学习能力。</w:t>
            </w:r>
          </w:p>
          <w:p w14:paraId="633CE389">
            <w:pPr>
              <w:widowControl/>
              <w:numPr>
                <w:ilvl w:val="0"/>
                <w:numId w:val="315"/>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大脑健康状况包含：大脑健康综合测评、大脑健康自评量表、大脑放松能力测评、大脑活力评估问卷、大脑营养状况评估、用脑习惯调查表、疲劳程度测评量表、睡眠质量评估量表、脑力活动频率问卷和脑力疲劳恢复量表等10种测评问卷。</w:t>
            </w:r>
          </w:p>
          <w:p w14:paraId="31F1DF5A">
            <w:pPr>
              <w:widowControl/>
              <w:numPr>
                <w:ilvl w:val="0"/>
                <w:numId w:val="315"/>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大脑认知功能包含：创造力思维测评、思维速度评估问卷、执行功能测评表、数字敏感度测试、注意力集中测试、空间认知能力测试、认知灵活性量表、记忆力测评量表、语言表达能力评估和逻辑推理能力测评等10种测评问卷。</w:t>
            </w:r>
          </w:p>
          <w:p w14:paraId="27125EB5">
            <w:pPr>
              <w:widowControl/>
              <w:numPr>
                <w:ilvl w:val="0"/>
                <w:numId w:val="315"/>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道德智力水平包含：价值观取向问卷、伦理决策测评表、公平意识测试、公民意识问卷、利他行为测评表、同理心能力评估、诚信度评估量表、责任感测评问卷、道德判断能力测试和道德勇气量表等10种测评问卷。</w:t>
            </w:r>
          </w:p>
          <w:p w14:paraId="06C80586">
            <w:pPr>
              <w:widowControl/>
              <w:numPr>
                <w:ilvl w:val="0"/>
                <w:numId w:val="315"/>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个性认知包含：内外向性格测试、冒险倾向测试、宜人性测评表、尽责性评估问卷、开放性人格量表、性格特征问卷、情绪稳定性测评、独立性测评问卷、自信心评估量表和自我认知能力测试等10种测评问卷。</w:t>
            </w:r>
          </w:p>
          <w:p w14:paraId="428888E5">
            <w:pPr>
              <w:widowControl/>
              <w:numPr>
                <w:ilvl w:val="0"/>
                <w:numId w:val="315"/>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情商管理水平包含：冲突解决能力测评、压力应对能力评估、同理心能力测试、情绪智力综合评估、情绪管理能力评估、情绪表达问卷、情绪识别测试、情绪调节测评表、社交情绪智力问卷和自我激励测评等10种测评问卷。</w:t>
            </w:r>
          </w:p>
          <w:p w14:paraId="0AF8A145">
            <w:pPr>
              <w:widowControl/>
              <w:numPr>
                <w:ilvl w:val="0"/>
                <w:numId w:val="315"/>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人际关系能力包含：人际交往能力测试、友谊质量问卷、同伴接纳度测试、团队合作测评表、家庭关系测评、师生关系评估表、沟通技巧评估问卷、社交焦虑评估量表、社交网络分析问卷和领导能力测试等10种测评问卷。</w:t>
            </w:r>
          </w:p>
          <w:p w14:paraId="7F4F9301">
            <w:pPr>
              <w:widowControl/>
              <w:numPr>
                <w:ilvl w:val="0"/>
                <w:numId w:val="315"/>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心理健康包含压：力水平测评、心理健康筛查量表、心理健康综合测评、心理韧性测试、情绪状态评估表、抑郁情绪评估问卷、焦虑水平测评表、生活满意度评估、自尊水平测试和适应能力问卷等10种测评问卷。</w:t>
            </w:r>
          </w:p>
          <w:p w14:paraId="2AC77D62">
            <w:pPr>
              <w:widowControl/>
              <w:numPr>
                <w:ilvl w:val="0"/>
                <w:numId w:val="315"/>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心理拓展素质包含：乐观倾向测试、创造力评估问卷、好奇心评估量表、心理弹性量表、心理素质综合测评、成长型思维评估、抗压能力测评表、毅力测评问卷、自我效能感测评和适应力测试等10种测评问卷。</w:t>
            </w:r>
          </w:p>
          <w:p w14:paraId="4221E15B">
            <w:pPr>
              <w:widowControl/>
              <w:numPr>
                <w:ilvl w:val="0"/>
                <w:numId w:val="315"/>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综合学习能力包含：学业自我效能测试、学习习惯测评、学习动机测评问卷、学习方法评估量表、学习环境评估表、学习策略使用评估、时间管理能力测试、注意力集中测评、综合学习能力测评和记忆力策略问卷等10种测评问卷。</w:t>
            </w:r>
          </w:p>
          <w:p w14:paraId="28CF4836">
            <w:pPr>
              <w:widowControl/>
              <w:numPr>
                <w:ilvl w:val="0"/>
                <w:numId w:val="315"/>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学生可以进行自助问卷，并对来访者问卷情况自成生成分数分析、咨询建议等，使来访者快速了解自身心理情况。</w:t>
            </w:r>
          </w:p>
          <w:p w14:paraId="33120587">
            <w:pPr>
              <w:widowControl/>
              <w:numPr>
                <w:ilvl w:val="0"/>
                <w:numId w:val="315"/>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每种问卷有不同的题目数量和不同的做完时间，每个问卷都有不同的作用便于管理员查看。</w:t>
            </w:r>
          </w:p>
          <w:p w14:paraId="556AD193">
            <w:pPr>
              <w:widowControl/>
              <w:jc w:val="left"/>
              <w:textAlignment w:val="center"/>
              <w:rPr>
                <w:rFonts w:hint="eastAsia" w:ascii="宋体" w:hAnsi="宋体"/>
                <w:b/>
                <w:bCs/>
                <w:color w:val="auto"/>
                <w:kern w:val="0"/>
                <w:szCs w:val="21"/>
                <w:highlight w:val="none"/>
                <w:lang w:bidi="ar"/>
              </w:rPr>
            </w:pPr>
            <w:r>
              <w:rPr>
                <w:rFonts w:hint="eastAsia" w:ascii="宋体" w:hAnsi="宋体"/>
                <w:b/>
                <w:bCs/>
                <w:color w:val="auto"/>
                <w:kern w:val="0"/>
                <w:szCs w:val="21"/>
                <w:highlight w:val="none"/>
                <w:lang w:bidi="ar"/>
              </w:rPr>
              <w:t>二丶认知训练</w:t>
            </w:r>
          </w:p>
          <w:p w14:paraId="7DF6E3D1">
            <w:pPr>
              <w:widowControl/>
              <w:numPr>
                <w:ilvl w:val="0"/>
                <w:numId w:val="316"/>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通过认知游戏训练学生不同的认知能力，发展来访者个性与潜能；认知游戏36个，包括想象力、创造力、记忆力、感知力、思维逻辑、情绪宣泄、协调能力、智力、注意力等九大认知主题。</w:t>
            </w:r>
          </w:p>
          <w:p w14:paraId="038ECCF4">
            <w:pPr>
              <w:widowControl/>
              <w:numPr>
                <w:ilvl w:val="0"/>
                <w:numId w:val="316"/>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想象力训练包含：故事接龙、图形联想、场景构建和未来预测4款训练游戏。</w:t>
            </w:r>
          </w:p>
          <w:p w14:paraId="18596238">
            <w:pPr>
              <w:widowControl/>
              <w:numPr>
                <w:ilvl w:val="0"/>
                <w:numId w:val="316"/>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创造力培养包含：创意拼图、问题解决、发明设计和艺术创作4款训练游戏。</w:t>
            </w:r>
          </w:p>
          <w:p w14:paraId="3819ACF3">
            <w:pPr>
              <w:widowControl/>
              <w:numPr>
                <w:ilvl w:val="0"/>
                <w:numId w:val="316"/>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记忆力提升包含：数字记忆、图像记忆、位置记忆和故事记忆4款训练游戏</w:t>
            </w:r>
          </w:p>
          <w:p w14:paraId="4C0CBF5E">
            <w:pPr>
              <w:widowControl/>
              <w:numPr>
                <w:ilvl w:val="0"/>
                <w:numId w:val="316"/>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感知力发展包含：视觉辨别、听觉训练、触觉识别和多感官整合4款训练游戏</w:t>
            </w:r>
          </w:p>
          <w:p w14:paraId="201651DE">
            <w:pPr>
              <w:widowControl/>
              <w:numPr>
                <w:ilvl w:val="0"/>
                <w:numId w:val="316"/>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思维逻辑训练包含：逻辑推理、数学思维、分类归纳和因果分析4款训练游戏。</w:t>
            </w:r>
          </w:p>
          <w:p w14:paraId="134F6786">
            <w:pPr>
              <w:widowControl/>
              <w:numPr>
                <w:ilvl w:val="0"/>
                <w:numId w:val="316"/>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情绪宣泄方法包含：情绪识别、压力释放、情感表达和放松训练4款训练游戏。</w:t>
            </w:r>
          </w:p>
          <w:p w14:paraId="68434A28">
            <w:pPr>
              <w:widowControl/>
              <w:numPr>
                <w:ilvl w:val="0"/>
                <w:numId w:val="316"/>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协调能力培养包含：手眼协调、左右脑协调、动作序列和节奏感训练4款训练游戏。</w:t>
            </w:r>
          </w:p>
          <w:p w14:paraId="7880CF7F">
            <w:pPr>
              <w:widowControl/>
              <w:numPr>
                <w:ilvl w:val="0"/>
                <w:numId w:val="316"/>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智力开发包含：空间智力、语言智力、数学智力和音乐智力4款训练游戏。</w:t>
            </w:r>
          </w:p>
          <w:p w14:paraId="00A53BB8">
            <w:pPr>
              <w:widowControl/>
              <w:numPr>
                <w:ilvl w:val="0"/>
                <w:numId w:val="316"/>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注意力训练包含：专注力提升、选择性注意、分配性注意和保持性注意4款训练游戏。</w:t>
            </w:r>
          </w:p>
          <w:p w14:paraId="5DF0A9A1">
            <w:pPr>
              <w:widowControl/>
              <w:numPr>
                <w:ilvl w:val="0"/>
                <w:numId w:val="316"/>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每款游戏都有游戏目标，游戏规则，适合年龄以及训练能力。</w:t>
            </w:r>
          </w:p>
          <w:p w14:paraId="74A870A2">
            <w:pPr>
              <w:widowControl/>
              <w:jc w:val="left"/>
              <w:textAlignment w:val="center"/>
              <w:rPr>
                <w:rFonts w:hint="eastAsia" w:ascii="宋体" w:hAnsi="宋体"/>
                <w:b/>
                <w:bCs/>
                <w:color w:val="auto"/>
                <w:kern w:val="0"/>
                <w:szCs w:val="21"/>
                <w:highlight w:val="none"/>
                <w:lang w:bidi="ar"/>
              </w:rPr>
            </w:pPr>
            <w:r>
              <w:rPr>
                <w:rFonts w:hint="eastAsia" w:ascii="宋体" w:hAnsi="宋体"/>
                <w:b/>
                <w:bCs/>
                <w:color w:val="auto"/>
                <w:kern w:val="0"/>
                <w:szCs w:val="21"/>
                <w:highlight w:val="none"/>
                <w:lang w:bidi="ar"/>
              </w:rPr>
              <w:t>三丶成长追踪</w:t>
            </w:r>
          </w:p>
          <w:p w14:paraId="7CF5F8C6">
            <w:pPr>
              <w:widowControl/>
              <w:numPr>
                <w:ilvl w:val="0"/>
                <w:numId w:val="317"/>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一键注册登录。</w:t>
            </w:r>
          </w:p>
          <w:p w14:paraId="0355C2F0">
            <w:pPr>
              <w:widowControl/>
              <w:numPr>
                <w:ilvl w:val="0"/>
                <w:numId w:val="317"/>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便于来访者查看测试报告。</w:t>
            </w:r>
          </w:p>
          <w:p w14:paraId="0C24202C">
            <w:pPr>
              <w:widowControl/>
              <w:numPr>
                <w:ilvl w:val="0"/>
                <w:numId w:val="317"/>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断电功能：因断电或者其他特殊原因未能完成测试导致中途中断，下次登录可在上次断点出继续测试并最终完成测试。</w:t>
            </w:r>
          </w:p>
        </w:tc>
        <w:tc>
          <w:tcPr>
            <w:tcW w:w="843" w:type="dxa"/>
            <w:gridSpan w:val="3"/>
            <w:tcBorders>
              <w:top w:val="single" w:color="000000" w:sz="4" w:space="0"/>
              <w:left w:val="single" w:color="000000" w:sz="4" w:space="0"/>
              <w:bottom w:val="single" w:color="000000" w:sz="4" w:space="0"/>
              <w:right w:val="single" w:color="000000" w:sz="4" w:space="0"/>
            </w:tcBorders>
            <w:vAlign w:val="center"/>
          </w:tcPr>
          <w:p w14:paraId="60F2E730">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套</w:t>
            </w:r>
          </w:p>
        </w:tc>
        <w:tc>
          <w:tcPr>
            <w:tcW w:w="935" w:type="dxa"/>
            <w:gridSpan w:val="3"/>
            <w:tcBorders>
              <w:top w:val="single" w:color="000000" w:sz="4" w:space="0"/>
              <w:left w:val="single" w:color="000000" w:sz="4" w:space="0"/>
              <w:bottom w:val="single" w:color="000000" w:sz="4" w:space="0"/>
              <w:right w:val="single" w:color="000000" w:sz="4" w:space="0"/>
            </w:tcBorders>
            <w:vAlign w:val="center"/>
          </w:tcPr>
          <w:p w14:paraId="619C06E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16D33F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jc w:val="center"/>
        </w:trPr>
        <w:tc>
          <w:tcPr>
            <w:tcW w:w="749" w:type="dxa"/>
            <w:tcBorders>
              <w:top w:val="single" w:color="000000" w:sz="4" w:space="0"/>
              <w:left w:val="single" w:color="000000" w:sz="4" w:space="0"/>
              <w:bottom w:val="single" w:color="000000" w:sz="4" w:space="0"/>
              <w:right w:val="single" w:color="000000" w:sz="4" w:space="0"/>
            </w:tcBorders>
            <w:vAlign w:val="center"/>
          </w:tcPr>
          <w:p w14:paraId="61242958">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5</w:t>
            </w:r>
          </w:p>
        </w:tc>
        <w:tc>
          <w:tcPr>
            <w:tcW w:w="1227" w:type="dxa"/>
            <w:tcBorders>
              <w:top w:val="single" w:color="000000" w:sz="4" w:space="0"/>
              <w:left w:val="single" w:color="000000" w:sz="4" w:space="0"/>
              <w:bottom w:val="single" w:color="000000" w:sz="4" w:space="0"/>
              <w:right w:val="single" w:color="000000" w:sz="4" w:space="0"/>
            </w:tcBorders>
            <w:vAlign w:val="center"/>
          </w:tcPr>
          <w:p w14:paraId="43531000">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心理挂图</w:t>
            </w:r>
          </w:p>
        </w:tc>
        <w:tc>
          <w:tcPr>
            <w:tcW w:w="6224" w:type="dxa"/>
            <w:gridSpan w:val="4"/>
            <w:tcBorders>
              <w:top w:val="single" w:color="000000" w:sz="4" w:space="0"/>
              <w:left w:val="single" w:color="000000" w:sz="4" w:space="0"/>
              <w:bottom w:val="single" w:color="000000" w:sz="4" w:space="0"/>
              <w:right w:val="single" w:color="000000" w:sz="4" w:space="0"/>
            </w:tcBorders>
            <w:vAlign w:val="center"/>
          </w:tcPr>
          <w:p w14:paraId="6499B394">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心理挂图中的图片所包含内容有心理学家、不可能图形、两歧图形、错觉图形、心理趣味图和主题统觉图片以及励志，积极向上等图片。实木边框，规格：40*40cm。</w:t>
            </w:r>
          </w:p>
        </w:tc>
        <w:tc>
          <w:tcPr>
            <w:tcW w:w="843" w:type="dxa"/>
            <w:gridSpan w:val="3"/>
            <w:tcBorders>
              <w:top w:val="single" w:color="000000" w:sz="4" w:space="0"/>
              <w:left w:val="single" w:color="000000" w:sz="4" w:space="0"/>
              <w:bottom w:val="single" w:color="000000" w:sz="4" w:space="0"/>
              <w:right w:val="single" w:color="000000" w:sz="4" w:space="0"/>
            </w:tcBorders>
            <w:vAlign w:val="center"/>
          </w:tcPr>
          <w:p w14:paraId="778B1DF6">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室</w:t>
            </w:r>
          </w:p>
        </w:tc>
        <w:tc>
          <w:tcPr>
            <w:tcW w:w="935" w:type="dxa"/>
            <w:gridSpan w:val="3"/>
            <w:tcBorders>
              <w:top w:val="single" w:color="000000" w:sz="4" w:space="0"/>
              <w:left w:val="single" w:color="000000" w:sz="4" w:space="0"/>
              <w:bottom w:val="single" w:color="000000" w:sz="4" w:space="0"/>
              <w:right w:val="single" w:color="000000" w:sz="4" w:space="0"/>
            </w:tcBorders>
            <w:vAlign w:val="center"/>
          </w:tcPr>
          <w:p w14:paraId="2F096778">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473060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jc w:val="center"/>
        </w:trPr>
        <w:tc>
          <w:tcPr>
            <w:tcW w:w="749" w:type="dxa"/>
            <w:tcBorders>
              <w:top w:val="single" w:color="000000" w:sz="4" w:space="0"/>
              <w:left w:val="single" w:color="000000" w:sz="4" w:space="0"/>
              <w:bottom w:val="single" w:color="000000" w:sz="4" w:space="0"/>
              <w:right w:val="single" w:color="000000" w:sz="4" w:space="0"/>
            </w:tcBorders>
            <w:vAlign w:val="center"/>
          </w:tcPr>
          <w:p w14:paraId="412DB611">
            <w:pPr>
              <w:widowControl/>
              <w:textAlignment w:val="center"/>
              <w:rPr>
                <w:rFonts w:hint="eastAsia" w:ascii="宋体" w:hAnsi="宋体"/>
                <w:color w:val="auto"/>
                <w:szCs w:val="21"/>
                <w:highlight w:val="none"/>
              </w:rPr>
            </w:pPr>
            <w:r>
              <w:rPr>
                <w:rFonts w:hint="eastAsia" w:ascii="宋体" w:hAnsi="宋体"/>
                <w:color w:val="auto"/>
                <w:kern w:val="0"/>
                <w:szCs w:val="21"/>
                <w:highlight w:val="none"/>
                <w:lang w:bidi="ar"/>
              </w:rPr>
              <w:t>（二）</w:t>
            </w:r>
          </w:p>
        </w:tc>
        <w:tc>
          <w:tcPr>
            <w:tcW w:w="1227" w:type="dxa"/>
            <w:tcBorders>
              <w:top w:val="single" w:color="000000" w:sz="4" w:space="0"/>
              <w:left w:val="single" w:color="000000" w:sz="4" w:space="0"/>
              <w:bottom w:val="single" w:color="000000" w:sz="4" w:space="0"/>
              <w:right w:val="single" w:color="000000" w:sz="4" w:space="0"/>
            </w:tcBorders>
            <w:vAlign w:val="center"/>
          </w:tcPr>
          <w:p w14:paraId="11AE78C7">
            <w:pPr>
              <w:widowControl/>
              <w:jc w:val="center"/>
              <w:textAlignment w:val="center"/>
              <w:rPr>
                <w:rFonts w:hint="eastAsia" w:ascii="宋体" w:hAnsi="宋体"/>
                <w:b/>
                <w:bCs/>
                <w:color w:val="auto"/>
                <w:szCs w:val="21"/>
                <w:highlight w:val="none"/>
              </w:rPr>
            </w:pPr>
            <w:r>
              <w:rPr>
                <w:rFonts w:hint="eastAsia" w:ascii="宋体" w:hAnsi="宋体"/>
                <w:b/>
                <w:bCs/>
                <w:color w:val="auto"/>
                <w:kern w:val="0"/>
                <w:szCs w:val="21"/>
                <w:highlight w:val="none"/>
                <w:lang w:bidi="ar"/>
              </w:rPr>
              <w:t>沙盘活动室</w:t>
            </w:r>
          </w:p>
        </w:tc>
        <w:tc>
          <w:tcPr>
            <w:tcW w:w="6224" w:type="dxa"/>
            <w:gridSpan w:val="4"/>
            <w:tcBorders>
              <w:top w:val="single" w:color="000000" w:sz="4" w:space="0"/>
              <w:left w:val="single" w:color="000000" w:sz="4" w:space="0"/>
              <w:bottom w:val="single" w:color="000000" w:sz="4" w:space="0"/>
              <w:right w:val="single" w:color="000000" w:sz="4" w:space="0"/>
            </w:tcBorders>
            <w:vAlign w:val="center"/>
          </w:tcPr>
          <w:p w14:paraId="6D5C3285">
            <w:pPr>
              <w:jc w:val="left"/>
              <w:rPr>
                <w:rFonts w:hint="eastAsia" w:ascii="宋体" w:hAnsi="宋体"/>
                <w:color w:val="auto"/>
                <w:szCs w:val="21"/>
                <w:highlight w:val="none"/>
              </w:rPr>
            </w:pPr>
          </w:p>
        </w:tc>
        <w:tc>
          <w:tcPr>
            <w:tcW w:w="843" w:type="dxa"/>
            <w:gridSpan w:val="3"/>
            <w:tcBorders>
              <w:top w:val="single" w:color="000000" w:sz="4" w:space="0"/>
              <w:left w:val="single" w:color="000000" w:sz="4" w:space="0"/>
              <w:bottom w:val="single" w:color="000000" w:sz="4" w:space="0"/>
              <w:right w:val="single" w:color="000000" w:sz="4" w:space="0"/>
            </w:tcBorders>
            <w:vAlign w:val="center"/>
          </w:tcPr>
          <w:p w14:paraId="050B1C6B">
            <w:pPr>
              <w:jc w:val="center"/>
              <w:rPr>
                <w:rFonts w:hint="eastAsia" w:ascii="宋体" w:hAnsi="宋体"/>
                <w:color w:val="auto"/>
                <w:szCs w:val="21"/>
                <w:highlight w:val="none"/>
              </w:rPr>
            </w:pPr>
          </w:p>
        </w:tc>
        <w:tc>
          <w:tcPr>
            <w:tcW w:w="935" w:type="dxa"/>
            <w:gridSpan w:val="3"/>
            <w:tcBorders>
              <w:top w:val="single" w:color="000000" w:sz="4" w:space="0"/>
              <w:left w:val="single" w:color="000000" w:sz="4" w:space="0"/>
              <w:bottom w:val="single" w:color="000000" w:sz="4" w:space="0"/>
              <w:right w:val="single" w:color="000000" w:sz="4" w:space="0"/>
            </w:tcBorders>
            <w:vAlign w:val="center"/>
          </w:tcPr>
          <w:p w14:paraId="164DF157">
            <w:pPr>
              <w:jc w:val="center"/>
              <w:rPr>
                <w:rFonts w:hint="eastAsia" w:ascii="宋体" w:hAnsi="宋体"/>
                <w:color w:val="auto"/>
                <w:szCs w:val="21"/>
                <w:highlight w:val="none"/>
              </w:rPr>
            </w:pPr>
          </w:p>
        </w:tc>
      </w:tr>
      <w:tr w14:paraId="2D5E1D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jc w:val="center"/>
        </w:trPr>
        <w:tc>
          <w:tcPr>
            <w:tcW w:w="749" w:type="dxa"/>
            <w:tcBorders>
              <w:top w:val="single" w:color="000000" w:sz="4" w:space="0"/>
              <w:left w:val="single" w:color="000000" w:sz="4" w:space="0"/>
              <w:bottom w:val="single" w:color="000000" w:sz="4" w:space="0"/>
              <w:right w:val="single" w:color="000000" w:sz="4" w:space="0"/>
            </w:tcBorders>
            <w:vAlign w:val="center"/>
          </w:tcPr>
          <w:p w14:paraId="25F252A2">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c>
          <w:tcPr>
            <w:tcW w:w="1227" w:type="dxa"/>
            <w:tcBorders>
              <w:top w:val="single" w:color="000000" w:sz="4" w:space="0"/>
              <w:left w:val="single" w:color="000000" w:sz="4" w:space="0"/>
              <w:bottom w:val="single" w:color="000000" w:sz="4" w:space="0"/>
              <w:right w:val="single" w:color="000000" w:sz="4" w:space="0"/>
            </w:tcBorders>
            <w:vAlign w:val="center"/>
          </w:tcPr>
          <w:p w14:paraId="5C58E5AB">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心理沙盘</w:t>
            </w:r>
          </w:p>
        </w:tc>
        <w:tc>
          <w:tcPr>
            <w:tcW w:w="6224" w:type="dxa"/>
            <w:gridSpan w:val="4"/>
            <w:tcBorders>
              <w:top w:val="single" w:color="000000" w:sz="4" w:space="0"/>
              <w:left w:val="single" w:color="000000" w:sz="4" w:space="0"/>
              <w:bottom w:val="single" w:color="000000" w:sz="4" w:space="0"/>
              <w:right w:val="single" w:color="000000" w:sz="4" w:space="0"/>
            </w:tcBorders>
            <w:vAlign w:val="center"/>
          </w:tcPr>
          <w:p w14:paraId="596FC2A3">
            <w:pPr>
              <w:widowControl/>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心理沙盘（亦称箱庭疗法）是一种采用意象的创造性治疗形式，主要借助沙盘游戏室中的各类沙具进行非语言的深度心理治疗。</w:t>
            </w:r>
          </w:p>
          <w:p w14:paraId="2F8AC82C">
            <w:pPr>
              <w:widowControl/>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【硬件组成】</w:t>
            </w:r>
          </w:p>
          <w:p w14:paraId="7A2E1B78">
            <w:pPr>
              <w:widowControl/>
              <w:numPr>
                <w:ilvl w:val="0"/>
                <w:numId w:val="318"/>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沙具1500件+个体沙箱2个+陈列架2个+海沙30公斤+心理指导手册1本+沙盘管理系统1套+辅助工具1套（沙刷、沙耙、沙框、洒水壶）。</w:t>
            </w:r>
          </w:p>
          <w:p w14:paraId="55E0C27A">
            <w:pPr>
              <w:widowControl/>
              <w:numPr>
                <w:ilvl w:val="1"/>
                <w:numId w:val="318"/>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沙具：由大到小四级分类全面深入，包括人物、建筑物、动物、植物、食品果实、家具生活用品、交通工具、自然景观等≥8大类，≥55小类。每个沙具类别下包括各种原型象征物；根据用户需求使用国家标准环保树脂、塑料、ABS、铁艺、油漆、陶瓷、树脂、木质、塑胶、搪胶、泥质等材质，严格执行打磨、清漆、上色、哑光漆等生产工艺步骤。</w:t>
            </w:r>
          </w:p>
          <w:p w14:paraId="2A91B423">
            <w:pPr>
              <w:widowControl/>
              <w:numPr>
                <w:ilvl w:val="1"/>
                <w:numId w:val="318"/>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2个沙盘 （57×72×7cm）沙箱尺寸：≥长 72cm×宽 57cm×深7cm(内径尺寸)，沙箱架高≥70cm。沙盘采用三聚氰胺饰面板；内侧底与边框、底部为蓝色，外部为实木色，立腿为≥33*65*1.8mm厚D型优质铝合金型材制作而成，拉称为≥32*35*1.5mm厚铝合金型材制作而成，连接采用钢制卡锁式连接件组装而成，表面光滑不伤手、防水、耐磨不掉色。</w:t>
            </w:r>
          </w:p>
          <w:p w14:paraId="32B8792F">
            <w:pPr>
              <w:widowControl/>
              <w:numPr>
                <w:ilvl w:val="1"/>
                <w:numId w:val="318"/>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2个沙具架，沙具架规格：≥200cm×35cm×100cm（±3cm），柜体采用5层8阶设计，既美观又便于分类摆放选取沙具。</w:t>
            </w:r>
          </w:p>
          <w:p w14:paraId="6A0DCB13">
            <w:pPr>
              <w:widowControl/>
              <w:numPr>
                <w:ilvl w:val="1"/>
                <w:numId w:val="318"/>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天然海沙：精选优质海沙，大小在10目-15目左右，颗粒均匀、色泽柔和、清洁卫生。</w:t>
            </w:r>
          </w:p>
          <w:p w14:paraId="2E34914A">
            <w:pPr>
              <w:widowControl/>
              <w:numPr>
                <w:ilvl w:val="1"/>
                <w:numId w:val="318"/>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心理沙盘进行心理教育、心理咨询、心理辅导的管理软件。该软件可以存储记录来访者在沙盘游戏过程中的图片和视频资料，以完整、详细地呈现其沙盘心理历程。此外，心理工作者针对来访者的沙盘所进行的体验、分析及后续的辅导均可得到记录、输出和转换。</w:t>
            </w:r>
          </w:p>
          <w:p w14:paraId="31B68140">
            <w:pPr>
              <w:widowControl/>
              <w:numPr>
                <w:ilvl w:val="0"/>
                <w:numId w:val="318"/>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【心理沙盘管理系统】</w:t>
            </w:r>
          </w:p>
          <w:p w14:paraId="41894506">
            <w:pPr>
              <w:widowControl/>
              <w:numPr>
                <w:ilvl w:val="1"/>
                <w:numId w:val="318"/>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添加完整的个人信息；将个体沙盘作品进行上传，内容包含沙盘主题，个人信息，沙盘图片、视频，以及老师咨询问题和过程解读备注。</w:t>
            </w:r>
          </w:p>
          <w:p w14:paraId="4A29C9AD">
            <w:pPr>
              <w:widowControl/>
              <w:numPr>
                <w:ilvl w:val="1"/>
                <w:numId w:val="318"/>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团体沙盘管理：批量增加来访者；将团体沙盘作品进行上传，内容包括沙盘主题，团队信息，沙盘图片、视频，以及老师咨询问题和过程解读备注。</w:t>
            </w:r>
          </w:p>
          <w:p w14:paraId="402ACB2A">
            <w:pPr>
              <w:widowControl/>
              <w:numPr>
                <w:ilvl w:val="1"/>
                <w:numId w:val="318"/>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系统内置沙盘教学视频包括：沙盘游戏的运用、展沙盘游戏工作基本条件、空间及规则设置、操作性意义、心理分析与沙盘游戏咨询：基本原理与临床运用发展、理解沙盘游戏技术：基本原理、内涵与运用、积极想象的原理与内涵：从催眠、自由联想到积极想象和积极想象的步骤：如何进行积极想象。</w:t>
            </w:r>
          </w:p>
          <w:p w14:paraId="44C0D184">
            <w:pPr>
              <w:widowControl/>
              <w:numPr>
                <w:ilvl w:val="1"/>
                <w:numId w:val="318"/>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查询管理：可根据各条件进行个体、团体，或时间段内的作品查询。</w:t>
            </w:r>
          </w:p>
          <w:p w14:paraId="343284D4">
            <w:pPr>
              <w:widowControl/>
              <w:numPr>
                <w:ilvl w:val="1"/>
                <w:numId w:val="318"/>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数据保护：具备强大的数据备份和还原功能。</w:t>
            </w:r>
          </w:p>
          <w:p w14:paraId="111E849F">
            <w:pPr>
              <w:widowControl/>
              <w:numPr>
                <w:ilvl w:val="1"/>
                <w:numId w:val="318"/>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 xml:space="preserve">沙盘象征：建筑物、文化宗教、自然景观、人物意义、动物意义、植物意义、交通工具、神话传说、其他物品和事件意义。 </w:t>
            </w:r>
          </w:p>
          <w:p w14:paraId="5AD285CD">
            <w:pPr>
              <w:widowControl/>
              <w:numPr>
                <w:ilvl w:val="0"/>
                <w:numId w:val="318"/>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建筑物包括：房屋、商业场所、城堡、连接物和障碍物等；</w:t>
            </w:r>
          </w:p>
          <w:p w14:paraId="5963F299">
            <w:pPr>
              <w:widowControl/>
              <w:numPr>
                <w:ilvl w:val="0"/>
                <w:numId w:val="318"/>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文化宗教包括：僧侣、法师和古代的神等；</w:t>
            </w:r>
          </w:p>
          <w:p w14:paraId="6A5EAB59">
            <w:pPr>
              <w:widowControl/>
              <w:numPr>
                <w:ilvl w:val="0"/>
                <w:numId w:val="318"/>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自然景观包括：森林、山岳、山谷、水、湖泊、沙漠、山洞和石头等；</w:t>
            </w:r>
          </w:p>
          <w:p w14:paraId="4CE07862">
            <w:pPr>
              <w:widowControl/>
              <w:numPr>
                <w:ilvl w:val="0"/>
                <w:numId w:val="318"/>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人物意义包括：普通人物、老人、儿童、运动员、战士、文娱演员、机器人、卡通人物 和陌生人等；</w:t>
            </w:r>
          </w:p>
          <w:p w14:paraId="5A771587">
            <w:pPr>
              <w:widowControl/>
              <w:numPr>
                <w:ilvl w:val="0"/>
                <w:numId w:val="318"/>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动物意义包括：小狗、凤凰、鹰、猫头鹰、鸿子、鹌鹑、蝙蝠、蝴蝶、蜘蛛等；</w:t>
            </w:r>
          </w:p>
          <w:p w14:paraId="2581B24A">
            <w:pPr>
              <w:widowControl/>
              <w:numPr>
                <w:ilvl w:val="0"/>
                <w:numId w:val="318"/>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植物意义包括：松树、果树、花卉、牡丹、莲花和草等；</w:t>
            </w:r>
          </w:p>
          <w:p w14:paraId="7BA176FA">
            <w:pPr>
              <w:widowControl/>
              <w:numPr>
                <w:ilvl w:val="0"/>
                <w:numId w:val="318"/>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交通工具包括：汽车、自行车、火车、船、飞机和军用车辆等；</w:t>
            </w:r>
          </w:p>
          <w:p w14:paraId="7C5E5A90">
            <w:pPr>
              <w:widowControl/>
              <w:numPr>
                <w:ilvl w:val="0"/>
                <w:numId w:val="318"/>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神话传说包括：三皇五帝、女娲补天、死亡之神阎罗王、哪吒、钟馗、八仙过海、战神雅典娜和童话故事中的白雪公主、圣诞老人、灰姑娘等；</w:t>
            </w:r>
          </w:p>
          <w:p w14:paraId="4AC54F5B">
            <w:pPr>
              <w:widowControl/>
              <w:numPr>
                <w:ilvl w:val="0"/>
                <w:numId w:val="318"/>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其他物品包括：照明物、乐器、食物、家具、镜子、伞、武器、成瘾和医疗药物及物件和多用途材料等；</w:t>
            </w:r>
          </w:p>
        </w:tc>
        <w:tc>
          <w:tcPr>
            <w:tcW w:w="843" w:type="dxa"/>
            <w:gridSpan w:val="3"/>
            <w:tcBorders>
              <w:top w:val="single" w:color="000000" w:sz="4" w:space="0"/>
              <w:left w:val="single" w:color="000000" w:sz="4" w:space="0"/>
              <w:bottom w:val="single" w:color="000000" w:sz="4" w:space="0"/>
              <w:right w:val="single" w:color="000000" w:sz="4" w:space="0"/>
            </w:tcBorders>
            <w:vAlign w:val="center"/>
          </w:tcPr>
          <w:p w14:paraId="0E823871">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套</w:t>
            </w:r>
          </w:p>
        </w:tc>
        <w:tc>
          <w:tcPr>
            <w:tcW w:w="935" w:type="dxa"/>
            <w:gridSpan w:val="3"/>
            <w:tcBorders>
              <w:top w:val="single" w:color="000000" w:sz="4" w:space="0"/>
              <w:left w:val="single" w:color="000000" w:sz="4" w:space="0"/>
              <w:bottom w:val="single" w:color="000000" w:sz="4" w:space="0"/>
              <w:right w:val="single" w:color="000000" w:sz="4" w:space="0"/>
            </w:tcBorders>
            <w:vAlign w:val="center"/>
          </w:tcPr>
          <w:p w14:paraId="34BC0D7C">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7AC629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jc w:val="center"/>
        </w:trPr>
        <w:tc>
          <w:tcPr>
            <w:tcW w:w="749" w:type="dxa"/>
            <w:tcBorders>
              <w:top w:val="single" w:color="000000" w:sz="4" w:space="0"/>
              <w:left w:val="single" w:color="000000" w:sz="4" w:space="0"/>
              <w:bottom w:val="single" w:color="000000" w:sz="4" w:space="0"/>
              <w:right w:val="single" w:color="000000" w:sz="4" w:space="0"/>
            </w:tcBorders>
            <w:vAlign w:val="center"/>
          </w:tcPr>
          <w:p w14:paraId="0EB19236">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w:t>
            </w:r>
          </w:p>
        </w:tc>
        <w:tc>
          <w:tcPr>
            <w:tcW w:w="1227" w:type="dxa"/>
            <w:tcBorders>
              <w:top w:val="single" w:color="000000" w:sz="4" w:space="0"/>
              <w:left w:val="single" w:color="000000" w:sz="4" w:space="0"/>
              <w:bottom w:val="single" w:color="000000" w:sz="4" w:space="0"/>
              <w:right w:val="single" w:color="000000" w:sz="4" w:space="0"/>
            </w:tcBorders>
            <w:vAlign w:val="center"/>
          </w:tcPr>
          <w:p w14:paraId="4D42DB8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异形组合桌</w:t>
            </w:r>
          </w:p>
        </w:tc>
        <w:tc>
          <w:tcPr>
            <w:tcW w:w="6224" w:type="dxa"/>
            <w:gridSpan w:val="4"/>
            <w:tcBorders>
              <w:top w:val="single" w:color="000000" w:sz="4" w:space="0"/>
              <w:left w:val="single" w:color="000000" w:sz="4" w:space="0"/>
              <w:bottom w:val="single" w:color="000000" w:sz="4" w:space="0"/>
              <w:right w:val="single" w:color="000000" w:sz="4" w:space="0"/>
            </w:tcBorders>
            <w:vAlign w:val="center"/>
          </w:tcPr>
          <w:p w14:paraId="18ED0045">
            <w:pPr>
              <w:widowControl/>
              <w:numPr>
                <w:ilvl w:val="0"/>
                <w:numId w:val="319"/>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每套异形组合桌有6个扇形桌组成，能够根据团体活动需要，组合成圆形、扇形、方形、S形、C形、X形等十几种排列方式。</w:t>
            </w:r>
          </w:p>
          <w:p w14:paraId="57302750">
            <w:pPr>
              <w:widowControl/>
              <w:numPr>
                <w:ilvl w:val="0"/>
                <w:numId w:val="319"/>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单桌尺寸：≥长860mm（最长处）*宽450mm*高670-760mm（三挡）</w:t>
            </w:r>
          </w:p>
          <w:p w14:paraId="6D611681">
            <w:pPr>
              <w:widowControl/>
              <w:numPr>
                <w:ilvl w:val="0"/>
                <w:numId w:val="319"/>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桌面：采用优质实芯理化板经CNC机械加工成型，经环保耐蚀工艺处理，具有抗腐蚀、抗菌，耐磨、防火、质感强、不变形等优点。</w:t>
            </w:r>
          </w:p>
          <w:p w14:paraId="40A94907">
            <w:pPr>
              <w:widowControl/>
              <w:numPr>
                <w:ilvl w:val="0"/>
                <w:numId w:val="319"/>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桌兜：材质：采用 PP 耐冲击塑料一体注塑成型。尺寸：≥长 475×宽 330×高（前高 130，后高 160）。功能：大角度内倾式书箱，防止物品滑落。</w:t>
            </w:r>
          </w:p>
          <w:p w14:paraId="39635641">
            <w:pPr>
              <w:widowControl/>
              <w:numPr>
                <w:ilvl w:val="0"/>
                <w:numId w:val="319"/>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 xml:space="preserve">桌腿规格：桌子上管采用≥19mm×39mm×1.2mm 眼睛管。下管采用≥ 29mm×49mm×1.5mm 眼睛管。拉筋及斗下垫管采用≥22mm×32mm×1.5mm 眼睛管。桌面托撑采用≥2mm 厚的钢板冲压件,焊接≥ø6mm 钢筋 U 型书包挂钩。 </w:t>
            </w:r>
          </w:p>
          <w:p w14:paraId="32F0C4BF">
            <w:pPr>
              <w:widowControl/>
              <w:numPr>
                <w:ilvl w:val="0"/>
                <w:numId w:val="319"/>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 xml:space="preserve">升降套：采用尼龙材质注塑成型，使上下管之间连接紧密，美观大方。 </w:t>
            </w:r>
          </w:p>
        </w:tc>
        <w:tc>
          <w:tcPr>
            <w:tcW w:w="843" w:type="dxa"/>
            <w:gridSpan w:val="3"/>
            <w:tcBorders>
              <w:top w:val="single" w:color="000000" w:sz="4" w:space="0"/>
              <w:left w:val="single" w:color="000000" w:sz="4" w:space="0"/>
              <w:bottom w:val="single" w:color="000000" w:sz="4" w:space="0"/>
              <w:right w:val="single" w:color="000000" w:sz="4" w:space="0"/>
            </w:tcBorders>
            <w:vAlign w:val="center"/>
          </w:tcPr>
          <w:p w14:paraId="59B891A7">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套</w:t>
            </w:r>
          </w:p>
        </w:tc>
        <w:tc>
          <w:tcPr>
            <w:tcW w:w="935" w:type="dxa"/>
            <w:gridSpan w:val="3"/>
            <w:tcBorders>
              <w:top w:val="single" w:color="000000" w:sz="4" w:space="0"/>
              <w:left w:val="single" w:color="000000" w:sz="4" w:space="0"/>
              <w:bottom w:val="single" w:color="000000" w:sz="4" w:space="0"/>
              <w:right w:val="single" w:color="000000" w:sz="4" w:space="0"/>
            </w:tcBorders>
            <w:vAlign w:val="center"/>
          </w:tcPr>
          <w:p w14:paraId="18B88B56">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3</w:t>
            </w:r>
          </w:p>
        </w:tc>
      </w:tr>
      <w:tr w14:paraId="739DBD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jc w:val="center"/>
        </w:trPr>
        <w:tc>
          <w:tcPr>
            <w:tcW w:w="749" w:type="dxa"/>
            <w:tcBorders>
              <w:top w:val="single" w:color="000000" w:sz="4" w:space="0"/>
              <w:left w:val="single" w:color="000000" w:sz="4" w:space="0"/>
              <w:bottom w:val="single" w:color="000000" w:sz="4" w:space="0"/>
              <w:right w:val="single" w:color="000000" w:sz="4" w:space="0"/>
            </w:tcBorders>
            <w:vAlign w:val="center"/>
          </w:tcPr>
          <w:p w14:paraId="1F38A31E">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3</w:t>
            </w:r>
          </w:p>
        </w:tc>
        <w:tc>
          <w:tcPr>
            <w:tcW w:w="1227" w:type="dxa"/>
            <w:tcBorders>
              <w:top w:val="single" w:color="000000" w:sz="4" w:space="0"/>
              <w:left w:val="single" w:color="000000" w:sz="4" w:space="0"/>
              <w:bottom w:val="single" w:color="000000" w:sz="4" w:space="0"/>
              <w:right w:val="single" w:color="000000" w:sz="4" w:space="0"/>
            </w:tcBorders>
            <w:vAlign w:val="center"/>
          </w:tcPr>
          <w:p w14:paraId="5AD67942">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学生座椅</w:t>
            </w:r>
          </w:p>
        </w:tc>
        <w:tc>
          <w:tcPr>
            <w:tcW w:w="6224" w:type="dxa"/>
            <w:gridSpan w:val="4"/>
            <w:tcBorders>
              <w:top w:val="single" w:color="000000" w:sz="4" w:space="0"/>
              <w:left w:val="single" w:color="000000" w:sz="4" w:space="0"/>
              <w:bottom w:val="single" w:color="000000" w:sz="4" w:space="0"/>
              <w:right w:val="single" w:color="000000" w:sz="4" w:space="0"/>
            </w:tcBorders>
            <w:vAlign w:val="center"/>
          </w:tcPr>
          <w:p w14:paraId="70F6BE21">
            <w:pPr>
              <w:widowControl/>
              <w:numPr>
                <w:ilvl w:val="0"/>
                <w:numId w:val="320"/>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椅子：座高≥450mm。</w:t>
            </w:r>
          </w:p>
          <w:p w14:paraId="44E8DA12">
            <w:pPr>
              <w:widowControl/>
              <w:numPr>
                <w:ilvl w:val="0"/>
                <w:numId w:val="320"/>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靠背:1.材质:采用PP耐冲击塑料一体注塑成型。2.尺寸：靠背规格≥340mm*390mm。 3.靠背中间有50mm内凹式曲线弧度设计，能很好的支撑着正在成长中学童的背部脊椎，使其免于侧弯，靠背有有最小直径5mm至最大长16mm*宽椭圆形发散通风孔4.功能：椅背背面设计有把手功能部件、方便提拿，同时也是挂钩功能，可挂书包、衣服等。</w:t>
            </w:r>
          </w:p>
          <w:p w14:paraId="3402B58A">
            <w:pPr>
              <w:widowControl/>
              <w:numPr>
                <w:ilvl w:val="0"/>
                <w:numId w:val="320"/>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坐垫：1.材质：采用PP耐冲击塑料一体注塑成型。2.尺寸：≥415mm×380mm。</w:t>
            </w:r>
          </w:p>
          <w:p w14:paraId="66FB302B">
            <w:pPr>
              <w:widowControl/>
              <w:numPr>
                <w:ilvl w:val="0"/>
                <w:numId w:val="320"/>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椅面采用人体工程学设计，坐垫中间有45mm内凹式设计，坐垫前端有波浪形加瀑布型设计，能让学生整个臀部坐在内凹处，借此可分散上半身的所有重量，使学童在学习时更舒服，更健康地成长，椅面有最小直径5mm至最大长16mm宽椭圆形发散通风孔。</w:t>
            </w:r>
          </w:p>
          <w:p w14:paraId="4D73D4EF">
            <w:pPr>
              <w:widowControl/>
              <w:numPr>
                <w:ilvl w:val="0"/>
                <w:numId w:val="320"/>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钢架部分：1.采用满焊焊接。2.管材直径尺寸：≥管长38mm*宽20mm*厚2.0mm眼睛管；横杆≥长32mm*宽22mm*厚1.5mm鱼眼管。</w:t>
            </w:r>
          </w:p>
          <w:p w14:paraId="6FBCC391">
            <w:pPr>
              <w:widowControl/>
              <w:numPr>
                <w:ilvl w:val="0"/>
                <w:numId w:val="320"/>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表面涂装：钢管架焊接完成后，经抛丸除锈，静电喷塑。</w:t>
            </w:r>
          </w:p>
        </w:tc>
        <w:tc>
          <w:tcPr>
            <w:tcW w:w="843" w:type="dxa"/>
            <w:gridSpan w:val="3"/>
            <w:tcBorders>
              <w:top w:val="single" w:color="000000" w:sz="4" w:space="0"/>
              <w:left w:val="single" w:color="000000" w:sz="4" w:space="0"/>
              <w:bottom w:val="single" w:color="000000" w:sz="4" w:space="0"/>
              <w:right w:val="single" w:color="000000" w:sz="4" w:space="0"/>
            </w:tcBorders>
            <w:vAlign w:val="center"/>
          </w:tcPr>
          <w:p w14:paraId="37A77D5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35" w:type="dxa"/>
            <w:gridSpan w:val="3"/>
            <w:tcBorders>
              <w:top w:val="single" w:color="000000" w:sz="4" w:space="0"/>
              <w:left w:val="single" w:color="000000" w:sz="4" w:space="0"/>
              <w:bottom w:val="single" w:color="000000" w:sz="4" w:space="0"/>
              <w:right w:val="single" w:color="000000" w:sz="4" w:space="0"/>
            </w:tcBorders>
            <w:vAlign w:val="center"/>
          </w:tcPr>
          <w:p w14:paraId="2F8099EC">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18</w:t>
            </w:r>
          </w:p>
        </w:tc>
      </w:tr>
      <w:tr w14:paraId="069249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jc w:val="center"/>
        </w:trPr>
        <w:tc>
          <w:tcPr>
            <w:tcW w:w="749" w:type="dxa"/>
            <w:tcBorders>
              <w:top w:val="single" w:color="000000" w:sz="4" w:space="0"/>
              <w:left w:val="single" w:color="000000" w:sz="4" w:space="0"/>
              <w:bottom w:val="single" w:color="000000" w:sz="4" w:space="0"/>
              <w:right w:val="single" w:color="000000" w:sz="4" w:space="0"/>
            </w:tcBorders>
            <w:vAlign w:val="center"/>
          </w:tcPr>
          <w:p w14:paraId="05766F55">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4</w:t>
            </w:r>
          </w:p>
        </w:tc>
        <w:tc>
          <w:tcPr>
            <w:tcW w:w="1227" w:type="dxa"/>
            <w:tcBorders>
              <w:top w:val="single" w:color="000000" w:sz="4" w:space="0"/>
              <w:left w:val="single" w:color="000000" w:sz="4" w:space="0"/>
              <w:bottom w:val="single" w:color="000000" w:sz="4" w:space="0"/>
              <w:right w:val="single" w:color="000000" w:sz="4" w:space="0"/>
            </w:tcBorders>
            <w:vAlign w:val="center"/>
          </w:tcPr>
          <w:p w14:paraId="2B99BB90">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团体活动工具箱</w:t>
            </w:r>
          </w:p>
        </w:tc>
        <w:tc>
          <w:tcPr>
            <w:tcW w:w="6224" w:type="dxa"/>
            <w:gridSpan w:val="4"/>
            <w:tcBorders>
              <w:top w:val="single" w:color="000000" w:sz="4" w:space="0"/>
              <w:left w:val="single" w:color="000000" w:sz="4" w:space="0"/>
              <w:bottom w:val="single" w:color="000000" w:sz="4" w:space="0"/>
              <w:right w:val="single" w:color="000000" w:sz="4" w:space="0"/>
            </w:tcBorders>
            <w:vAlign w:val="center"/>
          </w:tcPr>
          <w:p w14:paraId="43BD592E">
            <w:pPr>
              <w:widowControl/>
              <w:numPr>
                <w:ilvl w:val="0"/>
                <w:numId w:val="321"/>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活动指导手册1套+活动工具箱1个+活动音乐盘1张</w:t>
            </w:r>
          </w:p>
          <w:p w14:paraId="521319B1">
            <w:pPr>
              <w:widowControl/>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【硬件参数】</w:t>
            </w:r>
          </w:p>
          <w:p w14:paraId="41CD8F4A">
            <w:pPr>
              <w:widowControl/>
              <w:numPr>
                <w:ilvl w:val="0"/>
                <w:numId w:val="321"/>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团体活动工具箱含热身游戏、放松游戏，以及八个系列的主题训练活动：环境适应、沟通交往、竞争合作、自我意识、创新实践、意志责任、学习管理、心灵成长。</w:t>
            </w:r>
          </w:p>
          <w:p w14:paraId="05FEEA9E">
            <w:pPr>
              <w:widowControl/>
              <w:numPr>
                <w:ilvl w:val="0"/>
                <w:numId w:val="321"/>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相应的活动器材包括有活动工具箱和活动音乐等，包含了学生在活动过程中将要使用的工具和配乐。活动包尺寸：55*35*22cm各类型，适合30－50个人同时使用，适用于公司、社区、企事业单位、学校、部队等所有进行团体活动的部门。</w:t>
            </w:r>
          </w:p>
          <w:p w14:paraId="1F7B75FC">
            <w:pPr>
              <w:widowControl/>
              <w:numPr>
                <w:ilvl w:val="1"/>
                <w:numId w:val="321"/>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环境适应篇：有缘相识、寻人行动、个性名片“松鼠”搬家、多元排队、体验放松“蜈蚣”翻身。</w:t>
            </w:r>
          </w:p>
          <w:p w14:paraId="5E69FC11">
            <w:pPr>
              <w:widowControl/>
              <w:numPr>
                <w:ilvl w:val="1"/>
                <w:numId w:val="321"/>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沟通交往篇：“变形虫”、我说你画、“盲人”旅行、最佳配图、我说你剪、风雨同行、找“领袖”、人体“拷贝”。</w:t>
            </w:r>
          </w:p>
          <w:p w14:paraId="22F808DF">
            <w:pPr>
              <w:widowControl/>
              <w:numPr>
                <w:ilvl w:val="1"/>
                <w:numId w:val="321"/>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竞争合作篇：“啄木鸟”行动、广告设计、解开“手链”、造“房子”、穿越“沼泽地”。</w:t>
            </w:r>
          </w:p>
          <w:p w14:paraId="20790DAF">
            <w:pPr>
              <w:widowControl/>
              <w:numPr>
                <w:ilvl w:val="1"/>
                <w:numId w:val="321"/>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自我意识篇：画“自画像”、音乐与意象、我要、留舍最爱、背后留言、目标搜索。</w:t>
            </w:r>
          </w:p>
          <w:p w14:paraId="5F0EAEAA">
            <w:pPr>
              <w:widowControl/>
              <w:numPr>
                <w:ilvl w:val="1"/>
                <w:numId w:val="321"/>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创新实践篇：卖梳子、遵从指导、心中的塔、传球夺秒、比比谁高、高空飞蛋、畅想拼图、平面魔方。</w:t>
            </w:r>
          </w:p>
          <w:p w14:paraId="514FA385">
            <w:pPr>
              <w:widowControl/>
              <w:numPr>
                <w:ilvl w:val="1"/>
                <w:numId w:val="321"/>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意志责任篇：突出重围、举手仪式、护蛋行动、手指的力量、祝福花篮、接受现实、承担责任、信任后仰。</w:t>
            </w:r>
          </w:p>
          <w:p w14:paraId="77411781">
            <w:pPr>
              <w:widowControl/>
              <w:numPr>
                <w:ilvl w:val="1"/>
                <w:numId w:val="321"/>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学习管理篇：时间分割、于无声处、时装秀、用途无限、资源共享、寻找变化、一分钟价值、集思广益。</w:t>
            </w:r>
          </w:p>
          <w:p w14:paraId="172FA92D">
            <w:pPr>
              <w:widowControl/>
              <w:numPr>
                <w:ilvl w:val="1"/>
                <w:numId w:val="321"/>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心灵成长篇：走出“舒服圈”、收获“糖弹”、看我“走过来”、规则的意义、寻宝记、心灵电报、感恩父母、命运之牌。</w:t>
            </w:r>
          </w:p>
          <w:p w14:paraId="1A79D9D3">
            <w:pPr>
              <w:widowControl/>
              <w:numPr>
                <w:ilvl w:val="0"/>
                <w:numId w:val="321"/>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【软件参数】：内置3大系统</w:t>
            </w:r>
          </w:p>
          <w:p w14:paraId="4FA62927">
            <w:pPr>
              <w:widowControl/>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团体活动训练系统：单个活动团体活动训练记录、备注、场景上传等。</w:t>
            </w:r>
          </w:p>
          <w:p w14:paraId="34858B2B">
            <w:pPr>
              <w:widowControl/>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团体活动素质拓展训练系统：户外拓展项目的登记记录、信息上传、活动查询等。</w:t>
            </w:r>
          </w:p>
          <w:p w14:paraId="0238CDD6">
            <w:pPr>
              <w:widowControl/>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团体活动协同追踪系统：通过调用所安装电脑摄像头捕捉追踪次数，并通过系统进行记录以及统计，今日追踪、本周追踪和本月追踪的数据。</w:t>
            </w:r>
          </w:p>
          <w:p w14:paraId="583D3CB8">
            <w:pPr>
              <w:widowControl/>
              <w:numPr>
                <w:ilvl w:val="1"/>
                <w:numId w:val="321"/>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部门信息模块：系统支持部门信息的增删改查。</w:t>
            </w:r>
          </w:p>
          <w:p w14:paraId="404F3E9B">
            <w:pPr>
              <w:widowControl/>
              <w:numPr>
                <w:ilvl w:val="1"/>
                <w:numId w:val="321"/>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视频管理模块：支持活动视频信息的增删改查。</w:t>
            </w:r>
          </w:p>
          <w:p w14:paraId="3B219008">
            <w:pPr>
              <w:widowControl/>
              <w:numPr>
                <w:ilvl w:val="1"/>
                <w:numId w:val="321"/>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活动总结模块：系统每次活动的内容和过程进行信息的增删改查。</w:t>
            </w:r>
          </w:p>
          <w:p w14:paraId="119F66F0">
            <w:pPr>
              <w:widowControl/>
              <w:numPr>
                <w:ilvl w:val="1"/>
                <w:numId w:val="321"/>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系统活动模块：活动内容包括：音乐与意象、我要、留舍最爱、背后留言、目标搜索、卖梳子、遵从指导、心中的塔、传球夺秒、比比谁高、高空飞蛋、畅想拼图、平面魔方等。</w:t>
            </w:r>
          </w:p>
          <w:p w14:paraId="2B3CCB79">
            <w:pPr>
              <w:widowControl/>
              <w:ind w:firstLine="420" w:firstLineChars="200"/>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⑤基础设置和数据管理模块：可以根据所在单位信息更改名称和logo。为方便数据保存拥有强大的数据备份和还原功能。</w:t>
            </w:r>
          </w:p>
        </w:tc>
        <w:tc>
          <w:tcPr>
            <w:tcW w:w="843" w:type="dxa"/>
            <w:gridSpan w:val="3"/>
            <w:tcBorders>
              <w:top w:val="single" w:color="000000" w:sz="4" w:space="0"/>
              <w:left w:val="single" w:color="000000" w:sz="4" w:space="0"/>
              <w:bottom w:val="single" w:color="000000" w:sz="4" w:space="0"/>
              <w:right w:val="single" w:color="000000" w:sz="4" w:space="0"/>
            </w:tcBorders>
            <w:vAlign w:val="center"/>
          </w:tcPr>
          <w:p w14:paraId="5656A2F8">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套</w:t>
            </w:r>
          </w:p>
        </w:tc>
        <w:tc>
          <w:tcPr>
            <w:tcW w:w="935" w:type="dxa"/>
            <w:gridSpan w:val="3"/>
            <w:tcBorders>
              <w:top w:val="single" w:color="000000" w:sz="4" w:space="0"/>
              <w:left w:val="single" w:color="000000" w:sz="4" w:space="0"/>
              <w:bottom w:val="single" w:color="000000" w:sz="4" w:space="0"/>
              <w:right w:val="single" w:color="000000" w:sz="4" w:space="0"/>
            </w:tcBorders>
            <w:vAlign w:val="center"/>
          </w:tcPr>
          <w:p w14:paraId="54B6DEE8">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715944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jc w:val="center"/>
        </w:trPr>
        <w:tc>
          <w:tcPr>
            <w:tcW w:w="749" w:type="dxa"/>
            <w:tcBorders>
              <w:top w:val="single" w:color="000000" w:sz="4" w:space="0"/>
              <w:left w:val="single" w:color="000000" w:sz="4" w:space="0"/>
              <w:bottom w:val="single" w:color="000000" w:sz="4" w:space="0"/>
              <w:right w:val="single" w:color="000000" w:sz="4" w:space="0"/>
            </w:tcBorders>
            <w:vAlign w:val="center"/>
          </w:tcPr>
          <w:p w14:paraId="3526A11B">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5</w:t>
            </w:r>
          </w:p>
        </w:tc>
        <w:tc>
          <w:tcPr>
            <w:tcW w:w="1227" w:type="dxa"/>
            <w:tcBorders>
              <w:top w:val="single" w:color="000000" w:sz="4" w:space="0"/>
              <w:left w:val="single" w:color="000000" w:sz="4" w:space="0"/>
              <w:bottom w:val="single" w:color="000000" w:sz="4" w:space="0"/>
              <w:right w:val="single" w:color="000000" w:sz="4" w:space="0"/>
            </w:tcBorders>
            <w:vAlign w:val="center"/>
          </w:tcPr>
          <w:p w14:paraId="25FF5BE8">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团体素质拓展训练箱（基础版）</w:t>
            </w:r>
          </w:p>
        </w:tc>
        <w:tc>
          <w:tcPr>
            <w:tcW w:w="6224" w:type="dxa"/>
            <w:gridSpan w:val="4"/>
            <w:tcBorders>
              <w:top w:val="single" w:color="000000" w:sz="4" w:space="0"/>
              <w:left w:val="single" w:color="000000" w:sz="4" w:space="0"/>
              <w:bottom w:val="single" w:color="000000" w:sz="4" w:space="0"/>
              <w:right w:val="single" w:color="000000" w:sz="4" w:space="0"/>
            </w:tcBorders>
            <w:vAlign w:val="center"/>
          </w:tcPr>
          <w:p w14:paraId="5075979D">
            <w:pPr>
              <w:widowControl/>
              <w:numPr>
                <w:ilvl w:val="0"/>
                <w:numId w:val="322"/>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产品包含：软件和活动器材。</w:t>
            </w:r>
          </w:p>
          <w:p w14:paraId="4A46550D">
            <w:pPr>
              <w:widowControl/>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【硬件简介】</w:t>
            </w:r>
          </w:p>
          <w:p w14:paraId="0739A699">
            <w:pPr>
              <w:widowControl/>
              <w:numPr>
                <w:ilvl w:val="0"/>
                <w:numId w:val="322"/>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有轨电车、急速60秒、穿越生死网、动力圈、突破雷阵、动感颠球、珠行万里、袋鼠跳等活动。</w:t>
            </w:r>
          </w:p>
          <w:p w14:paraId="49B8EB03">
            <w:pPr>
              <w:widowControl/>
              <w:numPr>
                <w:ilvl w:val="1"/>
                <w:numId w:val="322"/>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有轨电车</w:t>
            </w:r>
          </w:p>
          <w:p w14:paraId="561CAB1B">
            <w:pPr>
              <w:widowControl/>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培养学员之间沟通协作的能力；理解个人行为对整个团队的影响，个人要服从于团队；体验团队和谐的快乐支持多组竞赛。</w:t>
            </w:r>
          </w:p>
          <w:p w14:paraId="24DCFC8F">
            <w:pPr>
              <w:widowControl/>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②急速60秒</w:t>
            </w:r>
          </w:p>
          <w:p w14:paraId="4CD1B3F1">
            <w:pPr>
              <w:widowControl/>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培养团队意识和团队协作能力；锻炼团队领导力和决策力；提升团队执行力和有效沟通能力。</w:t>
            </w:r>
          </w:p>
          <w:p w14:paraId="23F11505">
            <w:pPr>
              <w:widowControl/>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③穿越生死网</w:t>
            </w:r>
          </w:p>
          <w:p w14:paraId="72C02CF1">
            <w:pPr>
              <w:widowControl/>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体现学员的领导力，沟通协调能力；培养学员解决问题的能力；培养学员面对困难时的做事方式。</w:t>
            </w:r>
          </w:p>
          <w:p w14:paraId="5189085E">
            <w:pPr>
              <w:widowControl/>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④动力圈</w:t>
            </w:r>
          </w:p>
          <w:p w14:paraId="1112F0DE">
            <w:pPr>
              <w:widowControl/>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培养学员之间互相沟通、相互信任的能力。</w:t>
            </w:r>
          </w:p>
          <w:p w14:paraId="1EAF2BA6">
            <w:pPr>
              <w:widowControl/>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⑤突破雷阵</w:t>
            </w:r>
          </w:p>
          <w:p w14:paraId="412A3F38">
            <w:pPr>
              <w:widowControl/>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 xml:space="preserve">培养领导力，充分体现管理者在组织中的作用；培养领导者的决策能力与决策目标；帮助团队成员突破思维定势。 </w:t>
            </w:r>
          </w:p>
          <w:p w14:paraId="0CC81EDD">
            <w:pPr>
              <w:widowControl/>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⑥动感颠球</w:t>
            </w:r>
          </w:p>
          <w:p w14:paraId="7454BDC1">
            <w:pPr>
              <w:widowControl/>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培养学员取长补短，团结协作的团队能力。培养学员不怕挫折，不断进取，争创佳绩的意识。感受相互鼓励对完成任务的积极作用。</w:t>
            </w:r>
          </w:p>
          <w:p w14:paraId="72007B2A">
            <w:pPr>
              <w:widowControl/>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⑦珠行万里</w:t>
            </w:r>
          </w:p>
          <w:p w14:paraId="1781E363">
            <w:pPr>
              <w:widowControl/>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感受团队合作的力量，锻炼自我控制能力，提升集体的荣誉感。</w:t>
            </w:r>
          </w:p>
          <w:p w14:paraId="6CFCFA72">
            <w:pPr>
              <w:widowControl/>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⑧袋鼠跳</w:t>
            </w:r>
          </w:p>
          <w:p w14:paraId="4020CB12">
            <w:pPr>
              <w:widowControl/>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锻炼学员的集体合作能力和肢体协调能力，增强团队的自豪感。</w:t>
            </w:r>
          </w:p>
          <w:p w14:paraId="451B3B7E">
            <w:pPr>
              <w:widowControl/>
              <w:numPr>
                <w:ilvl w:val="0"/>
                <w:numId w:val="322"/>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【软件参数】：内置3大系统</w:t>
            </w:r>
          </w:p>
          <w:p w14:paraId="40C63554">
            <w:pPr>
              <w:widowControl/>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团体活动训练系统：单个活动团体活动训练记录、备注、场景上传等。</w:t>
            </w:r>
          </w:p>
          <w:p w14:paraId="0EF8A837">
            <w:pPr>
              <w:widowControl/>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团体活动素质拓展训练系统：户外拓展项目的登记记录、信息上传、活动查询等。</w:t>
            </w:r>
          </w:p>
          <w:p w14:paraId="745A1181">
            <w:pPr>
              <w:widowControl/>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团体活动协同追踪系统：通过调用所安装电脑摄像头捕捉追踪次数，并通过系统进行记录以及统计，今日追踪、本周追踪和本月追踪的数据。</w:t>
            </w:r>
          </w:p>
          <w:p w14:paraId="3E5E85AA">
            <w:pPr>
              <w:widowControl/>
              <w:numPr>
                <w:ilvl w:val="1"/>
                <w:numId w:val="322"/>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部门信息模块：系统支持部门信息的增删改查。</w:t>
            </w:r>
          </w:p>
          <w:p w14:paraId="4B3A91B7">
            <w:pPr>
              <w:widowControl/>
              <w:numPr>
                <w:ilvl w:val="1"/>
                <w:numId w:val="322"/>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视频管理模块：支持活动视频信息的增删改查。</w:t>
            </w:r>
          </w:p>
          <w:p w14:paraId="20F4F3D9">
            <w:pPr>
              <w:widowControl/>
              <w:numPr>
                <w:ilvl w:val="1"/>
                <w:numId w:val="322"/>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活动总结模块：系统每次活动的内容和过程进行信息的增删改查。</w:t>
            </w:r>
          </w:p>
          <w:p w14:paraId="703B818E">
            <w:pPr>
              <w:widowControl/>
              <w:numPr>
                <w:ilvl w:val="1"/>
                <w:numId w:val="322"/>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系统活动模块：活动内容包括：音乐与意象、我要、留舍最爱、背后留言、目标搜索、卖梳子、遵从指导、心中的塔、传球夺秒、比比谁高、高空飞蛋、畅想拼图、平面魔方等。</w:t>
            </w:r>
          </w:p>
          <w:p w14:paraId="35E6077E">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⑤基础设置和数据管理模块：可以根据所在单位信息更改名称和logo。为方便数据保存拥有强大的数据备份和还原功能。</w:t>
            </w:r>
          </w:p>
        </w:tc>
        <w:tc>
          <w:tcPr>
            <w:tcW w:w="843" w:type="dxa"/>
            <w:gridSpan w:val="3"/>
            <w:tcBorders>
              <w:top w:val="single" w:color="000000" w:sz="4" w:space="0"/>
              <w:left w:val="single" w:color="000000" w:sz="4" w:space="0"/>
              <w:bottom w:val="single" w:color="000000" w:sz="4" w:space="0"/>
              <w:right w:val="single" w:color="000000" w:sz="4" w:space="0"/>
            </w:tcBorders>
            <w:vAlign w:val="center"/>
          </w:tcPr>
          <w:p w14:paraId="54BA3D9F">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套</w:t>
            </w:r>
          </w:p>
        </w:tc>
        <w:tc>
          <w:tcPr>
            <w:tcW w:w="935" w:type="dxa"/>
            <w:gridSpan w:val="3"/>
            <w:tcBorders>
              <w:top w:val="single" w:color="000000" w:sz="4" w:space="0"/>
              <w:left w:val="single" w:color="000000" w:sz="4" w:space="0"/>
              <w:bottom w:val="single" w:color="000000" w:sz="4" w:space="0"/>
              <w:right w:val="single" w:color="000000" w:sz="4" w:space="0"/>
            </w:tcBorders>
            <w:vAlign w:val="center"/>
          </w:tcPr>
          <w:p w14:paraId="07DAD63B">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6BB1C6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jc w:val="center"/>
        </w:trPr>
        <w:tc>
          <w:tcPr>
            <w:tcW w:w="749" w:type="dxa"/>
            <w:tcBorders>
              <w:top w:val="single" w:color="000000" w:sz="4" w:space="0"/>
              <w:left w:val="single" w:color="000000" w:sz="4" w:space="0"/>
              <w:bottom w:val="single" w:color="000000" w:sz="4" w:space="0"/>
              <w:right w:val="single" w:color="000000" w:sz="4" w:space="0"/>
            </w:tcBorders>
            <w:vAlign w:val="center"/>
          </w:tcPr>
          <w:p w14:paraId="089CAC57">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6</w:t>
            </w:r>
          </w:p>
        </w:tc>
        <w:tc>
          <w:tcPr>
            <w:tcW w:w="1227" w:type="dxa"/>
            <w:tcBorders>
              <w:top w:val="single" w:color="000000" w:sz="4" w:space="0"/>
              <w:left w:val="single" w:color="000000" w:sz="4" w:space="0"/>
              <w:bottom w:val="single" w:color="000000" w:sz="4" w:space="0"/>
              <w:right w:val="single" w:color="000000" w:sz="4" w:space="0"/>
            </w:tcBorders>
            <w:vAlign w:val="center"/>
          </w:tcPr>
          <w:p w14:paraId="7D8C2B97">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心理情景剧工具箱</w:t>
            </w:r>
          </w:p>
        </w:tc>
        <w:tc>
          <w:tcPr>
            <w:tcW w:w="6224" w:type="dxa"/>
            <w:gridSpan w:val="4"/>
            <w:tcBorders>
              <w:top w:val="single" w:color="000000" w:sz="4" w:space="0"/>
              <w:left w:val="single" w:color="000000" w:sz="4" w:space="0"/>
              <w:bottom w:val="single" w:color="000000" w:sz="4" w:space="0"/>
              <w:right w:val="single" w:color="000000" w:sz="4" w:space="0"/>
            </w:tcBorders>
            <w:vAlign w:val="center"/>
          </w:tcPr>
          <w:p w14:paraId="05714395">
            <w:pPr>
              <w:widowControl/>
              <w:numPr>
                <w:ilvl w:val="0"/>
                <w:numId w:val="323"/>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心理剧道具箱是以美国最新的心理剧理论（螺旋心理剧，简称TSM）为依据，以国内心理学专家的实际经验为指导而研发而成的。不同于传统心理剧，TSM更加注重“主角”力量的建设，避免对“主角”造成二次创伤，因而道具箱在设计的时候也注重增加力量构建的元素。在听取了有关专家的意见之后增添了促进快速放松的元素，使得道具箱不仅实际应用性强，而且具有新奇、增强兴趣等特点。适用于各种心理问题：一般心理问题如环境适应、人际交往；严重心理问题如长期情绪困扰、压力问题，心理创伤如PTSD、性创伤、童年创伤等。</w:t>
            </w:r>
          </w:p>
          <w:p w14:paraId="653A6B31">
            <w:pPr>
              <w:widowControl/>
              <w:numPr>
                <w:ilvl w:val="0"/>
                <w:numId w:val="323"/>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【硬件参数】</w:t>
            </w:r>
          </w:p>
          <w:p w14:paraId="0D2F1C42">
            <w:pPr>
              <w:widowControl/>
              <w:numPr>
                <w:ilvl w:val="1"/>
                <w:numId w:val="323"/>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心理剧道具箱一个</w:t>
            </w:r>
          </w:p>
          <w:p w14:paraId="635BC134">
            <w:pPr>
              <w:widowControl/>
              <w:numPr>
                <w:ilvl w:val="1"/>
                <w:numId w:val="323"/>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彩色丝巾≥40条</w:t>
            </w:r>
          </w:p>
          <w:p w14:paraId="520FCEB1">
            <w:pPr>
              <w:widowControl/>
              <w:numPr>
                <w:ilvl w:val="1"/>
                <w:numId w:val="323"/>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 xml:space="preserve">辅助放松的产品：香薰以及其他产品 </w:t>
            </w:r>
          </w:p>
          <w:p w14:paraId="43793E3B">
            <w:pPr>
              <w:widowControl/>
              <w:numPr>
                <w:ilvl w:val="1"/>
                <w:numId w:val="323"/>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具有人物个性的面具</w:t>
            </w:r>
          </w:p>
          <w:p w14:paraId="1D5546C9">
            <w:pPr>
              <w:widowControl/>
              <w:numPr>
                <w:ilvl w:val="1"/>
                <w:numId w:val="323"/>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十分戏剧的创伤衣</w:t>
            </w:r>
          </w:p>
          <w:p w14:paraId="6B894F54">
            <w:pPr>
              <w:widowControl/>
              <w:numPr>
                <w:ilvl w:val="1"/>
                <w:numId w:val="323"/>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心理创伤卡片</w:t>
            </w:r>
          </w:p>
          <w:p w14:paraId="0DB54035">
            <w:pPr>
              <w:widowControl/>
              <w:numPr>
                <w:ilvl w:val="1"/>
                <w:numId w:val="323"/>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心理剧相关书籍</w:t>
            </w:r>
          </w:p>
          <w:p w14:paraId="7D6CD9F0">
            <w:pPr>
              <w:widowControl/>
              <w:numPr>
                <w:ilvl w:val="1"/>
                <w:numId w:val="323"/>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胶带以及剪刀等常用工具</w:t>
            </w:r>
          </w:p>
          <w:p w14:paraId="53F1BE3A">
            <w:pPr>
              <w:widowControl/>
              <w:numPr>
                <w:ilvl w:val="1"/>
                <w:numId w:val="323"/>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心理剧使用手册：心理剧道具箱简介、心理剧参考书目。</w:t>
            </w:r>
          </w:p>
          <w:p w14:paraId="7C1BA297">
            <w:pPr>
              <w:widowControl/>
              <w:numPr>
                <w:ilvl w:val="0"/>
                <w:numId w:val="323"/>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【软件参数】：内置3大系统</w:t>
            </w:r>
          </w:p>
          <w:p w14:paraId="4B396DCC">
            <w:pPr>
              <w:widowControl/>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团体活动训练系统：单个活动团体活动训练记录、备注、场景上传等。</w:t>
            </w:r>
          </w:p>
          <w:p w14:paraId="7535F729">
            <w:pPr>
              <w:widowControl/>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团体活动素质拓展训练系统：户外拓展项目的登记记录、信息上传、活动查询等。</w:t>
            </w:r>
          </w:p>
          <w:p w14:paraId="3257C7BF">
            <w:pPr>
              <w:widowControl/>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团体活动协同追踪系统：通过调用所安装电脑摄像头捕捉追踪次数，并通过系统进行记录以及统计，今日追踪、本周追踪和本月追踪的数据。</w:t>
            </w:r>
          </w:p>
          <w:p w14:paraId="6C96BAEF">
            <w:pPr>
              <w:widowControl/>
              <w:numPr>
                <w:ilvl w:val="0"/>
                <w:numId w:val="323"/>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部门信息模块：系统支持部门信息的增删改查。</w:t>
            </w:r>
          </w:p>
          <w:p w14:paraId="6D8E46C7">
            <w:pPr>
              <w:widowControl/>
              <w:numPr>
                <w:ilvl w:val="0"/>
                <w:numId w:val="323"/>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视频管理模块：支持活动视频信息的增删改查。</w:t>
            </w:r>
          </w:p>
          <w:p w14:paraId="063E2620">
            <w:pPr>
              <w:widowControl/>
              <w:numPr>
                <w:ilvl w:val="0"/>
                <w:numId w:val="323"/>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活动总结模块：系统每次活动的内容和过程进行信息的增删改查。</w:t>
            </w:r>
          </w:p>
          <w:p w14:paraId="19494769">
            <w:pPr>
              <w:widowControl/>
              <w:numPr>
                <w:ilvl w:val="0"/>
                <w:numId w:val="323"/>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系统活动模块：活动内容包括：音乐与意象、我要、留舍最爱、背后留言、目标搜索、卖梳子、遵从指导、心中的塔、传球夺秒、比比谁高、高空飞蛋、畅想拼图、平面魔方等。</w:t>
            </w:r>
          </w:p>
          <w:p w14:paraId="2B4539F3">
            <w:pPr>
              <w:widowControl/>
              <w:numPr>
                <w:ilvl w:val="0"/>
                <w:numId w:val="323"/>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基础设置和数据管理模块：可以根据所在单位信息更改名称和logo。为方便数据保存拥有强大的数据备份和还原功能。</w:t>
            </w:r>
          </w:p>
        </w:tc>
        <w:tc>
          <w:tcPr>
            <w:tcW w:w="843" w:type="dxa"/>
            <w:gridSpan w:val="3"/>
            <w:tcBorders>
              <w:top w:val="single" w:color="000000" w:sz="4" w:space="0"/>
              <w:left w:val="single" w:color="000000" w:sz="4" w:space="0"/>
              <w:bottom w:val="single" w:color="000000" w:sz="4" w:space="0"/>
              <w:right w:val="single" w:color="000000" w:sz="4" w:space="0"/>
            </w:tcBorders>
            <w:vAlign w:val="center"/>
          </w:tcPr>
          <w:p w14:paraId="19CCD89A">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套</w:t>
            </w:r>
          </w:p>
        </w:tc>
        <w:tc>
          <w:tcPr>
            <w:tcW w:w="935" w:type="dxa"/>
            <w:gridSpan w:val="3"/>
            <w:tcBorders>
              <w:top w:val="single" w:color="000000" w:sz="4" w:space="0"/>
              <w:left w:val="single" w:color="000000" w:sz="4" w:space="0"/>
              <w:bottom w:val="single" w:color="000000" w:sz="4" w:space="0"/>
              <w:right w:val="single" w:color="000000" w:sz="4" w:space="0"/>
            </w:tcBorders>
            <w:vAlign w:val="center"/>
          </w:tcPr>
          <w:p w14:paraId="629E3DB2">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02C1D1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jc w:val="center"/>
        </w:trPr>
        <w:tc>
          <w:tcPr>
            <w:tcW w:w="749" w:type="dxa"/>
            <w:tcBorders>
              <w:top w:val="single" w:color="000000" w:sz="4" w:space="0"/>
              <w:left w:val="single" w:color="000000" w:sz="4" w:space="0"/>
              <w:bottom w:val="single" w:color="000000" w:sz="4" w:space="0"/>
              <w:right w:val="single" w:color="000000" w:sz="4" w:space="0"/>
            </w:tcBorders>
            <w:vAlign w:val="center"/>
          </w:tcPr>
          <w:p w14:paraId="1E279130">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7</w:t>
            </w:r>
          </w:p>
        </w:tc>
        <w:tc>
          <w:tcPr>
            <w:tcW w:w="1227" w:type="dxa"/>
            <w:tcBorders>
              <w:top w:val="single" w:color="000000" w:sz="4" w:space="0"/>
              <w:left w:val="single" w:color="000000" w:sz="4" w:space="0"/>
              <w:bottom w:val="single" w:color="000000" w:sz="4" w:space="0"/>
              <w:right w:val="single" w:color="000000" w:sz="4" w:space="0"/>
            </w:tcBorders>
            <w:vAlign w:val="center"/>
          </w:tcPr>
          <w:p w14:paraId="6EF9A431">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团体艺术辅导箱</w:t>
            </w:r>
          </w:p>
        </w:tc>
        <w:tc>
          <w:tcPr>
            <w:tcW w:w="6224" w:type="dxa"/>
            <w:gridSpan w:val="4"/>
            <w:tcBorders>
              <w:top w:val="single" w:color="000000" w:sz="4" w:space="0"/>
              <w:left w:val="single" w:color="000000" w:sz="4" w:space="0"/>
              <w:bottom w:val="single" w:color="000000" w:sz="4" w:space="0"/>
              <w:right w:val="single" w:color="000000" w:sz="4" w:space="0"/>
            </w:tcBorders>
            <w:vAlign w:val="center"/>
          </w:tcPr>
          <w:p w14:paraId="7A1CF01F">
            <w:pPr>
              <w:widowControl/>
              <w:numPr>
                <w:ilvl w:val="0"/>
                <w:numId w:val="324"/>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艺术治疗又称艺术疗法，是心理治疗的一种。一般心理治疗多以语言为沟通、治疗的主要媒介，而艺术治疗特色最为鲜明，主要是以艺术（包括音乐、美术、舞蹈、书法等艺术形式）为介质进行心理辅导与治疗的方法。</w:t>
            </w:r>
          </w:p>
          <w:p w14:paraId="4334CD12">
            <w:pPr>
              <w:widowControl/>
              <w:numPr>
                <w:ilvl w:val="0"/>
                <w:numId w:val="324"/>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艺术心理辅导道具分音乐类、美术类和舞动类等三大类。其中，美术类又分为绘画类、串珠类和纸工类等三小类。                                                                                                            【硬件参数】</w:t>
            </w:r>
          </w:p>
          <w:p w14:paraId="5BAC1676">
            <w:pPr>
              <w:widowControl/>
              <w:numPr>
                <w:ilvl w:val="1"/>
                <w:numId w:val="324"/>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音乐心理辅导器具：旋律乐器≥5件，无旋律乐器≥15件。</w:t>
            </w:r>
          </w:p>
          <w:p w14:paraId="73E68E6C">
            <w:pPr>
              <w:widowControl/>
              <w:numPr>
                <w:ilvl w:val="1"/>
                <w:numId w:val="324"/>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美术心理辅导器具：绘画类用品≥20种，串珠类用品≥20种，纸工类用品≥20种，美术辅助用品≥8种。</w:t>
            </w:r>
          </w:p>
          <w:p w14:paraId="6EF2B21A">
            <w:pPr>
              <w:widowControl/>
              <w:numPr>
                <w:ilvl w:val="1"/>
                <w:numId w:val="324"/>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舞动心理辅导器具：球类2种，绳索类3种，丝绸类2种，舞动辅助用品5种，大部分道具的尺寸处于20-50cm之间。材质主要采用塑料、橡胶、金属、木质、布料等材质，所有材质都无毒无味，符合环保要求。</w:t>
            </w:r>
          </w:p>
          <w:p w14:paraId="6FA78CCC">
            <w:pPr>
              <w:widowControl/>
              <w:numPr>
                <w:ilvl w:val="1"/>
                <w:numId w:val="324"/>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配套书籍1本（正式出版物）。</w:t>
            </w:r>
          </w:p>
          <w:p w14:paraId="09D169F8">
            <w:pPr>
              <w:widowControl/>
              <w:numPr>
                <w:ilvl w:val="1"/>
                <w:numId w:val="324"/>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器材收纳箱1个。</w:t>
            </w:r>
          </w:p>
          <w:p w14:paraId="41DB0C4F">
            <w:pPr>
              <w:widowControl/>
              <w:numPr>
                <w:ilvl w:val="0"/>
                <w:numId w:val="324"/>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【软件参数】：内置3大系统</w:t>
            </w:r>
          </w:p>
          <w:p w14:paraId="0B741BE7">
            <w:pPr>
              <w:widowControl/>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团体活动训练系统：单个活动团体活动训练记录、备注、场景上传等。</w:t>
            </w:r>
          </w:p>
          <w:p w14:paraId="005F214C">
            <w:pPr>
              <w:widowControl/>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团体活动素质拓展训练系统：户外拓展项目的登记记录、信息上传、活动查询等。</w:t>
            </w:r>
          </w:p>
          <w:p w14:paraId="5C8D12CF">
            <w:pPr>
              <w:widowControl/>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团体活动协同追踪系统：通过调用所安装电脑摄像头捕捉追踪次数，并通过系统进行记录以及统计，今日追踪、本周追踪和本月追踪的数据。</w:t>
            </w:r>
          </w:p>
          <w:p w14:paraId="2B1783DE">
            <w:pPr>
              <w:widowControl/>
              <w:numPr>
                <w:ilvl w:val="0"/>
                <w:numId w:val="324"/>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部门信息模块：系统支持部门信息的增删改查。</w:t>
            </w:r>
          </w:p>
          <w:p w14:paraId="402A9664">
            <w:pPr>
              <w:widowControl/>
              <w:numPr>
                <w:ilvl w:val="0"/>
                <w:numId w:val="324"/>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视频管理模块：支持活动视频信息的增删改查。</w:t>
            </w:r>
          </w:p>
          <w:p w14:paraId="3CD863C1">
            <w:pPr>
              <w:widowControl/>
              <w:numPr>
                <w:ilvl w:val="0"/>
                <w:numId w:val="324"/>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活动总结模块：系统每次活动的内容和过程进行信息的增删改查。</w:t>
            </w:r>
          </w:p>
          <w:p w14:paraId="5477AC64">
            <w:pPr>
              <w:widowControl/>
              <w:numPr>
                <w:ilvl w:val="0"/>
                <w:numId w:val="324"/>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系统活动模块：活动内容包括：音乐与意象、我要、留舍最爱、背后留言、目标搜索、卖梳子、遵从指导、心中的塔、传球夺秒、比比谁高、高空飞蛋、畅想拼图、平面魔方等。</w:t>
            </w:r>
          </w:p>
          <w:p w14:paraId="0E1D6AE6">
            <w:pPr>
              <w:widowControl/>
              <w:numPr>
                <w:ilvl w:val="0"/>
                <w:numId w:val="324"/>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基础设置和数据管理模块：可以根据所在单位信息更改名称和logo。为方便数据保存拥有强大的数据备份和还原功能。</w:t>
            </w:r>
          </w:p>
        </w:tc>
        <w:tc>
          <w:tcPr>
            <w:tcW w:w="843" w:type="dxa"/>
            <w:gridSpan w:val="3"/>
            <w:tcBorders>
              <w:top w:val="single" w:color="000000" w:sz="4" w:space="0"/>
              <w:left w:val="single" w:color="000000" w:sz="4" w:space="0"/>
              <w:bottom w:val="single" w:color="000000" w:sz="4" w:space="0"/>
              <w:right w:val="single" w:color="000000" w:sz="4" w:space="0"/>
            </w:tcBorders>
            <w:vAlign w:val="center"/>
          </w:tcPr>
          <w:p w14:paraId="199AA29E">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套</w:t>
            </w:r>
          </w:p>
        </w:tc>
        <w:tc>
          <w:tcPr>
            <w:tcW w:w="935" w:type="dxa"/>
            <w:gridSpan w:val="3"/>
            <w:tcBorders>
              <w:top w:val="single" w:color="000000" w:sz="4" w:space="0"/>
              <w:left w:val="single" w:color="000000" w:sz="4" w:space="0"/>
              <w:bottom w:val="single" w:color="000000" w:sz="4" w:space="0"/>
              <w:right w:val="single" w:color="000000" w:sz="4" w:space="0"/>
            </w:tcBorders>
            <w:vAlign w:val="center"/>
          </w:tcPr>
          <w:p w14:paraId="5C5D4F8E">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642E9E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jc w:val="center"/>
        </w:trPr>
        <w:tc>
          <w:tcPr>
            <w:tcW w:w="749" w:type="dxa"/>
            <w:tcBorders>
              <w:top w:val="single" w:color="000000" w:sz="4" w:space="0"/>
              <w:left w:val="single" w:color="000000" w:sz="4" w:space="0"/>
              <w:bottom w:val="single" w:color="000000" w:sz="4" w:space="0"/>
              <w:right w:val="single" w:color="000000" w:sz="4" w:space="0"/>
            </w:tcBorders>
            <w:vAlign w:val="center"/>
          </w:tcPr>
          <w:p w14:paraId="60895092">
            <w:pPr>
              <w:widowControl/>
              <w:textAlignment w:val="center"/>
              <w:rPr>
                <w:rFonts w:hint="eastAsia" w:ascii="宋体" w:hAnsi="宋体"/>
                <w:color w:val="auto"/>
                <w:szCs w:val="21"/>
                <w:highlight w:val="none"/>
              </w:rPr>
            </w:pPr>
            <w:r>
              <w:rPr>
                <w:rFonts w:hint="eastAsia" w:ascii="宋体" w:hAnsi="宋体"/>
                <w:color w:val="auto"/>
                <w:kern w:val="0"/>
                <w:szCs w:val="21"/>
                <w:highlight w:val="none"/>
                <w:lang w:bidi="ar"/>
              </w:rPr>
              <w:t>（三）</w:t>
            </w:r>
          </w:p>
        </w:tc>
        <w:tc>
          <w:tcPr>
            <w:tcW w:w="1227" w:type="dxa"/>
            <w:tcBorders>
              <w:top w:val="single" w:color="000000" w:sz="4" w:space="0"/>
              <w:left w:val="single" w:color="000000" w:sz="4" w:space="0"/>
              <w:bottom w:val="single" w:color="000000" w:sz="4" w:space="0"/>
              <w:right w:val="single" w:color="000000" w:sz="4" w:space="0"/>
            </w:tcBorders>
            <w:vAlign w:val="center"/>
          </w:tcPr>
          <w:p w14:paraId="0EE4D9F2">
            <w:pPr>
              <w:widowControl/>
              <w:jc w:val="center"/>
              <w:textAlignment w:val="center"/>
              <w:rPr>
                <w:rFonts w:hint="eastAsia" w:ascii="宋体" w:hAnsi="宋体"/>
                <w:b/>
                <w:bCs/>
                <w:color w:val="auto"/>
                <w:szCs w:val="21"/>
                <w:highlight w:val="none"/>
              </w:rPr>
            </w:pPr>
            <w:r>
              <w:rPr>
                <w:rFonts w:hint="eastAsia" w:ascii="宋体" w:hAnsi="宋体"/>
                <w:b/>
                <w:bCs/>
                <w:color w:val="auto"/>
                <w:kern w:val="0"/>
                <w:szCs w:val="21"/>
                <w:highlight w:val="none"/>
                <w:lang w:bidi="ar"/>
              </w:rPr>
              <w:t>放松宣泄室</w:t>
            </w:r>
          </w:p>
        </w:tc>
        <w:tc>
          <w:tcPr>
            <w:tcW w:w="6224" w:type="dxa"/>
            <w:gridSpan w:val="4"/>
            <w:tcBorders>
              <w:top w:val="single" w:color="000000" w:sz="4" w:space="0"/>
              <w:left w:val="single" w:color="000000" w:sz="4" w:space="0"/>
              <w:bottom w:val="single" w:color="000000" w:sz="4" w:space="0"/>
              <w:right w:val="single" w:color="000000" w:sz="4" w:space="0"/>
            </w:tcBorders>
            <w:vAlign w:val="center"/>
          </w:tcPr>
          <w:p w14:paraId="7C89C86A">
            <w:pPr>
              <w:jc w:val="left"/>
              <w:rPr>
                <w:rFonts w:hint="eastAsia" w:ascii="宋体" w:hAnsi="宋体"/>
                <w:color w:val="auto"/>
                <w:szCs w:val="21"/>
                <w:highlight w:val="none"/>
              </w:rPr>
            </w:pPr>
          </w:p>
        </w:tc>
        <w:tc>
          <w:tcPr>
            <w:tcW w:w="843" w:type="dxa"/>
            <w:gridSpan w:val="3"/>
            <w:tcBorders>
              <w:top w:val="single" w:color="000000" w:sz="4" w:space="0"/>
              <w:left w:val="single" w:color="000000" w:sz="4" w:space="0"/>
              <w:bottom w:val="single" w:color="000000" w:sz="4" w:space="0"/>
              <w:right w:val="single" w:color="000000" w:sz="4" w:space="0"/>
            </w:tcBorders>
            <w:vAlign w:val="center"/>
          </w:tcPr>
          <w:p w14:paraId="4CDA90DB">
            <w:pPr>
              <w:jc w:val="center"/>
              <w:rPr>
                <w:rFonts w:hint="eastAsia" w:ascii="宋体" w:hAnsi="宋体"/>
                <w:color w:val="auto"/>
                <w:szCs w:val="21"/>
                <w:highlight w:val="none"/>
              </w:rPr>
            </w:pPr>
          </w:p>
        </w:tc>
        <w:tc>
          <w:tcPr>
            <w:tcW w:w="935" w:type="dxa"/>
            <w:gridSpan w:val="3"/>
            <w:tcBorders>
              <w:top w:val="single" w:color="000000" w:sz="4" w:space="0"/>
              <w:left w:val="single" w:color="000000" w:sz="4" w:space="0"/>
              <w:bottom w:val="single" w:color="000000" w:sz="4" w:space="0"/>
              <w:right w:val="single" w:color="000000" w:sz="4" w:space="0"/>
            </w:tcBorders>
            <w:vAlign w:val="center"/>
          </w:tcPr>
          <w:p w14:paraId="77F3EF42">
            <w:pPr>
              <w:jc w:val="center"/>
              <w:rPr>
                <w:rFonts w:hint="eastAsia" w:ascii="宋体" w:hAnsi="宋体"/>
                <w:color w:val="auto"/>
                <w:szCs w:val="21"/>
                <w:highlight w:val="none"/>
              </w:rPr>
            </w:pPr>
          </w:p>
        </w:tc>
      </w:tr>
      <w:tr w14:paraId="5CB214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jc w:val="center"/>
        </w:trPr>
        <w:tc>
          <w:tcPr>
            <w:tcW w:w="749" w:type="dxa"/>
            <w:tcBorders>
              <w:top w:val="single" w:color="000000" w:sz="4" w:space="0"/>
              <w:left w:val="single" w:color="000000" w:sz="4" w:space="0"/>
              <w:bottom w:val="single" w:color="000000" w:sz="4" w:space="0"/>
              <w:right w:val="single" w:color="000000" w:sz="4" w:space="0"/>
            </w:tcBorders>
            <w:vAlign w:val="center"/>
          </w:tcPr>
          <w:p w14:paraId="6B8A3BAC">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c>
          <w:tcPr>
            <w:tcW w:w="1227" w:type="dxa"/>
            <w:tcBorders>
              <w:top w:val="single" w:color="000000" w:sz="4" w:space="0"/>
              <w:left w:val="single" w:color="000000" w:sz="4" w:space="0"/>
              <w:bottom w:val="single" w:color="000000" w:sz="4" w:space="0"/>
              <w:right w:val="single" w:color="000000" w:sz="4" w:space="0"/>
            </w:tcBorders>
            <w:vAlign w:val="center"/>
          </w:tcPr>
          <w:p w14:paraId="312013BF">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心理能量疗愈系统</w:t>
            </w:r>
          </w:p>
        </w:tc>
        <w:tc>
          <w:tcPr>
            <w:tcW w:w="6224" w:type="dxa"/>
            <w:gridSpan w:val="4"/>
            <w:tcBorders>
              <w:top w:val="single" w:color="000000" w:sz="4" w:space="0"/>
              <w:left w:val="single" w:color="000000" w:sz="4" w:space="0"/>
              <w:bottom w:val="single" w:color="000000" w:sz="4" w:space="0"/>
              <w:right w:val="single" w:color="000000" w:sz="4" w:space="0"/>
            </w:tcBorders>
            <w:vAlign w:val="center"/>
          </w:tcPr>
          <w:p w14:paraId="36A24D58">
            <w:pPr>
              <w:widowControl/>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能量疗愈系统是将心理学、神经科学与能量干预技术融合，通过数字化、场景化产品形态帮助来访者快速调节身心状态、释放情绪压力、构建内在韧性，实现从“被动修复”到“主动自愈”的转变，快速缓解焦虑、平复情绪，改善睡眠与疲劳感。</w:t>
            </w:r>
          </w:p>
          <w:p w14:paraId="0B7E0356">
            <w:pPr>
              <w:widowControl/>
              <w:ind w:left="440"/>
              <w:jc w:val="left"/>
              <w:textAlignment w:val="center"/>
              <w:rPr>
                <w:rFonts w:hint="eastAsia" w:ascii="宋体" w:hAnsi="宋体"/>
                <w:b/>
                <w:bCs/>
                <w:color w:val="auto"/>
                <w:kern w:val="0"/>
                <w:szCs w:val="21"/>
                <w:highlight w:val="none"/>
                <w:lang w:bidi="ar"/>
              </w:rPr>
            </w:pPr>
            <w:r>
              <w:rPr>
                <w:rFonts w:hint="eastAsia" w:ascii="宋体" w:hAnsi="宋体"/>
                <w:b/>
                <w:bCs/>
                <w:color w:val="auto"/>
                <w:kern w:val="0"/>
                <w:szCs w:val="21"/>
                <w:highlight w:val="none"/>
                <w:lang w:bidi="ar"/>
              </w:rPr>
              <w:t>【硬件参数】</w:t>
            </w:r>
          </w:p>
          <w:p w14:paraId="7C52AFF6">
            <w:pPr>
              <w:widowControl/>
              <w:numPr>
                <w:ilvl w:val="0"/>
                <w:numId w:val="325"/>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以国产平板为主要运行终端，画面清晰流畅，支持联网和单机运行。</w:t>
            </w:r>
          </w:p>
          <w:p w14:paraId="0B3579A4">
            <w:pPr>
              <w:widowControl/>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【软件介绍】</w:t>
            </w:r>
          </w:p>
          <w:p w14:paraId="1D883311">
            <w:pPr>
              <w:widowControl/>
              <w:numPr>
                <w:ilvl w:val="0"/>
                <w:numId w:val="325"/>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系统含生命树、趣味坊、星际家园、一路生花、心理减压室等八大核心功能。覆盖压力缓解、专注力训练、正念冥想、心理疗愈等全场景需求。</w:t>
            </w:r>
          </w:p>
          <w:p w14:paraId="0D1BC648">
            <w:pPr>
              <w:widowControl/>
              <w:numPr>
                <w:ilvl w:val="0"/>
                <w:numId w:val="325"/>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生命树：Tree of Life是一种心理疗愈工具，将向下扎根（接纳过去），向上生长（拥抱未来），内外整合（打开内心），成为一棵可感知、可描绘、可解读的树。系统不少于15棵树，功能调控不少于6种，打破固定场景的局限性。（提供软件内容视频演示，时间不少于2分钟。）</w:t>
            </w:r>
          </w:p>
          <w:p w14:paraId="7D9266FC">
            <w:pPr>
              <w:widowControl/>
              <w:numPr>
                <w:ilvl w:val="0"/>
                <w:numId w:val="325"/>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趣味坊：用于趣味训练和意志力培养，通过轻量化和互动性的游戏，实现缓解压力和焦虑 ，提升自信心、专注力和共情力，增加自我掌控感。训练含压力气球、关灯游戏、情绪云，STROOP效应等6款。</w:t>
            </w:r>
          </w:p>
          <w:p w14:paraId="7485BF8A">
            <w:pPr>
              <w:widowControl/>
              <w:numPr>
                <w:ilvl w:val="0"/>
                <w:numId w:val="325"/>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压力气球通过触觉刺激和动作宣泄，实现快速减压和稳定情绪、缓解紧张。气球底色图不少于30张 ，填充不少于6种颜色，支持DIY自绘曼陀罗纹理。气球爆炸分解多种颜色小球，绚丽多彩。</w:t>
            </w:r>
          </w:p>
          <w:p w14:paraId="4A1203D9">
            <w:pPr>
              <w:widowControl/>
              <w:numPr>
                <w:ilvl w:val="0"/>
                <w:numId w:val="325"/>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关灯游戏：借助可视化控制器，实现小芽不同场景和状态的切换，动态元素包含：神清气爽、朝气蓬勃、歌舞升平、大显身手、开卷有益、恬静入睡、目不转睛、乐在其中、追风少年、暖心向阳、自愈自强。</w:t>
            </w:r>
          </w:p>
          <w:p w14:paraId="302A7945">
            <w:pPr>
              <w:widowControl/>
              <w:numPr>
                <w:ilvl w:val="0"/>
                <w:numId w:val="325"/>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情绪云：坏情绪消消乐通过轻松有趣的消除玩法，把带有愤怒、焦虑、悲伤、恐惧等字眼的负面情绪，转化为可消除的虚拟元素。游戏节奏舒缓、操作简单，既能快速转移负面情绪，又能释放心理压力，让人在轻松的互动中平复心情、舒缓紧绷状态，达到情绪调节与心理放松的效果。</w:t>
            </w:r>
          </w:p>
          <w:p w14:paraId="687B12F2">
            <w:pPr>
              <w:widowControl/>
              <w:numPr>
                <w:ilvl w:val="0"/>
                <w:numId w:val="325"/>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STROOP效应：考察个体对干扰信息的抑制能力，判断能否忽略文字字义，专注于颜色判断，反映大脑执行功能水平；当处于疲劳、焦虑、压力过大时，Stroop 任务正确率下降、反应变慢，可间接反映当前心理疲劳与情绪状态。</w:t>
            </w:r>
          </w:p>
          <w:p w14:paraId="5492C7AC">
            <w:pPr>
              <w:widowControl/>
              <w:numPr>
                <w:ilvl w:val="0"/>
                <w:numId w:val="325"/>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星际家园：以注意力恢复理论（ART）为基础，高精度沉浸宇宙场景的美感与规律，帮助来访者从日常压力、焦虑、内耗中抽离，恢复注意力；同时结合天体象征心理学，还原行星真实轨道，支持时间流速调节、暂停/重置、多角度视图操作，精准解析天体信息关键知识点。</w:t>
            </w:r>
          </w:p>
          <w:p w14:paraId="1E02F1B2">
            <w:pPr>
              <w:widowControl/>
              <w:numPr>
                <w:ilvl w:val="0"/>
                <w:numId w:val="325"/>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一路生花： 以视觉放松和自然沉浸为主题的心灵花园，通过不同颜色花朵的生长效果，切换6种地面场景，可实时映射心理状态。为来访者打造自然生态场景，有效改善抑郁、低落等情绪状态。</w:t>
            </w:r>
          </w:p>
          <w:p w14:paraId="71FEF5D4">
            <w:pPr>
              <w:widowControl/>
              <w:numPr>
                <w:ilvl w:val="0"/>
                <w:numId w:val="325"/>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心理减压室：具有天空模式和全景模式两种。天空模式支持10款佩带音乐背景的自然环境可选，亮度、环境调节。天空模式支持8种颜色选择。</w:t>
            </w:r>
          </w:p>
        </w:tc>
        <w:tc>
          <w:tcPr>
            <w:tcW w:w="843" w:type="dxa"/>
            <w:gridSpan w:val="3"/>
            <w:tcBorders>
              <w:top w:val="single" w:color="000000" w:sz="4" w:space="0"/>
              <w:left w:val="single" w:color="000000" w:sz="4" w:space="0"/>
              <w:bottom w:val="single" w:color="000000" w:sz="4" w:space="0"/>
              <w:right w:val="single" w:color="000000" w:sz="4" w:space="0"/>
            </w:tcBorders>
            <w:vAlign w:val="center"/>
          </w:tcPr>
          <w:p w14:paraId="5D29C0BF">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套</w:t>
            </w:r>
          </w:p>
        </w:tc>
        <w:tc>
          <w:tcPr>
            <w:tcW w:w="935" w:type="dxa"/>
            <w:gridSpan w:val="3"/>
            <w:tcBorders>
              <w:top w:val="single" w:color="000000" w:sz="4" w:space="0"/>
              <w:left w:val="single" w:color="000000" w:sz="4" w:space="0"/>
              <w:bottom w:val="single" w:color="000000" w:sz="4" w:space="0"/>
              <w:right w:val="single" w:color="000000" w:sz="4" w:space="0"/>
            </w:tcBorders>
            <w:vAlign w:val="center"/>
          </w:tcPr>
          <w:p w14:paraId="25D44D9C">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6F055F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jc w:val="center"/>
        </w:trPr>
        <w:tc>
          <w:tcPr>
            <w:tcW w:w="749" w:type="dxa"/>
            <w:tcBorders>
              <w:top w:val="single" w:color="000000" w:sz="4" w:space="0"/>
              <w:left w:val="single" w:color="000000" w:sz="4" w:space="0"/>
              <w:bottom w:val="single" w:color="000000" w:sz="4" w:space="0"/>
              <w:right w:val="single" w:color="000000" w:sz="4" w:space="0"/>
            </w:tcBorders>
            <w:vAlign w:val="center"/>
          </w:tcPr>
          <w:p w14:paraId="36CBCFAD">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w:t>
            </w:r>
          </w:p>
        </w:tc>
        <w:tc>
          <w:tcPr>
            <w:tcW w:w="1227" w:type="dxa"/>
            <w:tcBorders>
              <w:top w:val="single" w:color="000000" w:sz="4" w:space="0"/>
              <w:left w:val="single" w:color="000000" w:sz="4" w:space="0"/>
              <w:bottom w:val="single" w:color="000000" w:sz="4" w:space="0"/>
              <w:right w:val="single" w:color="000000" w:sz="4" w:space="0"/>
            </w:tcBorders>
            <w:vAlign w:val="center"/>
          </w:tcPr>
          <w:p w14:paraId="43EAE0E3">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情绪压力反馈减压太空舱（PC端）</w:t>
            </w:r>
          </w:p>
        </w:tc>
        <w:tc>
          <w:tcPr>
            <w:tcW w:w="6224" w:type="dxa"/>
            <w:gridSpan w:val="4"/>
            <w:tcBorders>
              <w:top w:val="single" w:color="000000" w:sz="4" w:space="0"/>
              <w:left w:val="single" w:color="000000" w:sz="4" w:space="0"/>
              <w:bottom w:val="single" w:color="000000" w:sz="4" w:space="0"/>
              <w:right w:val="single" w:color="000000" w:sz="4" w:space="0"/>
            </w:tcBorders>
            <w:vAlign w:val="center"/>
          </w:tcPr>
          <w:p w14:paraId="24C2316B">
            <w:pPr>
              <w:widowControl/>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1、初始状态尺寸：高114cm 长99cm 宽100cm。带头罩高130cm ，坐深60cm，坐宽60cm，扶手高63cm。采用头等舱设计超纤皮面料（人体接触面）</w:t>
            </w:r>
          </w:p>
          <w:p w14:paraId="48EE9E40">
            <w:pPr>
              <w:widowControl/>
              <w:jc w:val="left"/>
              <w:textAlignment w:val="center"/>
              <w:rPr>
                <w:rFonts w:hint="eastAsia" w:ascii="宋体" w:hAnsi="宋体"/>
                <w:b/>
                <w:bCs/>
                <w:color w:val="auto"/>
                <w:kern w:val="0"/>
                <w:szCs w:val="21"/>
                <w:highlight w:val="none"/>
                <w:lang w:bidi="ar"/>
              </w:rPr>
            </w:pPr>
            <w:r>
              <w:rPr>
                <w:rFonts w:hint="eastAsia" w:ascii="宋体" w:hAnsi="宋体"/>
                <w:b/>
                <w:bCs/>
                <w:color w:val="auto"/>
                <w:kern w:val="0"/>
                <w:szCs w:val="21"/>
                <w:highlight w:val="none"/>
                <w:lang w:bidi="ar"/>
              </w:rPr>
              <w:t>二、沙发整体组合材质</w:t>
            </w:r>
          </w:p>
          <w:p w14:paraId="0539E8ED">
            <w:pPr>
              <w:widowControl/>
              <w:numPr>
                <w:ilvl w:val="0"/>
                <w:numId w:val="326"/>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高规格加粗木方做骨架</w:t>
            </w:r>
          </w:p>
          <w:p w14:paraId="19A98040">
            <w:pPr>
              <w:widowControl/>
              <w:numPr>
                <w:ilvl w:val="0"/>
                <w:numId w:val="326"/>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加密弓字簧+进口牛皮筋+中软海棉+无纺布+坐架布</w:t>
            </w:r>
          </w:p>
          <w:p w14:paraId="16A9DAEA">
            <w:pPr>
              <w:widowControl/>
              <w:numPr>
                <w:ilvl w:val="0"/>
                <w:numId w:val="326"/>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坐垫使用高密度海绵，靠背、扶手内胆填充3A公仔棉</w:t>
            </w:r>
          </w:p>
          <w:p w14:paraId="0D3FF750">
            <w:pPr>
              <w:widowControl/>
              <w:numPr>
                <w:ilvl w:val="0"/>
                <w:numId w:val="326"/>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晨光龙机械架</w:t>
            </w:r>
          </w:p>
          <w:p w14:paraId="69FF634B">
            <w:pPr>
              <w:widowControl/>
              <w:numPr>
                <w:ilvl w:val="0"/>
                <w:numId w:val="326"/>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睡眠级遮光头罩</w:t>
            </w:r>
          </w:p>
          <w:p w14:paraId="05912D09">
            <w:pPr>
              <w:widowControl/>
              <w:numPr>
                <w:ilvl w:val="0"/>
                <w:numId w:val="326"/>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扶手两侧圆形氛围灯圈。</w:t>
            </w:r>
          </w:p>
          <w:p w14:paraId="2D795E41">
            <w:pPr>
              <w:widowControl/>
              <w:numPr>
                <w:ilvl w:val="0"/>
                <w:numId w:val="326"/>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顶级体感音波音频谐振系统，振动频率在16-150赫兹之间。</w:t>
            </w:r>
          </w:p>
          <w:p w14:paraId="2421AEFE">
            <w:pPr>
              <w:widowControl/>
              <w:numPr>
                <w:ilvl w:val="0"/>
                <w:numId w:val="326"/>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内置碳纤维加热垫，背部温热舒适</w:t>
            </w:r>
          </w:p>
          <w:p w14:paraId="3B4315C6">
            <w:pPr>
              <w:widowControl/>
              <w:ind w:left="440"/>
              <w:jc w:val="left"/>
              <w:textAlignment w:val="center"/>
              <w:rPr>
                <w:rFonts w:hint="eastAsia" w:ascii="宋体" w:hAnsi="宋体"/>
                <w:b/>
                <w:bCs/>
                <w:color w:val="auto"/>
                <w:kern w:val="0"/>
                <w:szCs w:val="21"/>
                <w:highlight w:val="none"/>
                <w:lang w:bidi="ar"/>
              </w:rPr>
            </w:pPr>
            <w:r>
              <w:rPr>
                <w:rFonts w:hint="eastAsia" w:ascii="宋体" w:hAnsi="宋体"/>
                <w:b/>
                <w:bCs/>
                <w:color w:val="auto"/>
                <w:kern w:val="0"/>
                <w:szCs w:val="21"/>
                <w:highlight w:val="none"/>
                <w:lang w:bidi="ar"/>
              </w:rPr>
              <w:t>三、电脑一体化控制面板</w:t>
            </w:r>
          </w:p>
          <w:p w14:paraId="17A71C0F">
            <w:pPr>
              <w:widowControl/>
              <w:numPr>
                <w:ilvl w:val="0"/>
                <w:numId w:val="327"/>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控制整个椅子电源开启</w:t>
            </w:r>
          </w:p>
          <w:p w14:paraId="00EC17BC">
            <w:pPr>
              <w:widowControl/>
              <w:numPr>
                <w:ilvl w:val="0"/>
                <w:numId w:val="327"/>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控制沙发角度调节（伸展与收缩）</w:t>
            </w:r>
          </w:p>
          <w:p w14:paraId="7C57482E">
            <w:pPr>
              <w:widowControl/>
              <w:numPr>
                <w:ilvl w:val="0"/>
                <w:numId w:val="327"/>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控制头罩打开与闭合</w:t>
            </w:r>
          </w:p>
          <w:p w14:paraId="3B791874">
            <w:pPr>
              <w:widowControl/>
              <w:numPr>
                <w:ilvl w:val="0"/>
                <w:numId w:val="327"/>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控制靠垫温度加热，温度三挡可调</w:t>
            </w:r>
          </w:p>
          <w:p w14:paraId="2FABF661">
            <w:pPr>
              <w:widowControl/>
              <w:numPr>
                <w:ilvl w:val="0"/>
                <w:numId w:val="327"/>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一键复位，所有角度恢复原始状态</w:t>
            </w:r>
          </w:p>
          <w:p w14:paraId="7317B1B7">
            <w:pPr>
              <w:widowControl/>
              <w:numPr>
                <w:ilvl w:val="0"/>
                <w:numId w:val="327"/>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体感音乐模式控制（1.播放与暂停 2.上一曲 3.下一曲 4.振动增强 5.振动减弱 6音量增大</w:t>
            </w:r>
          </w:p>
          <w:p w14:paraId="6F09A872">
            <w:pPr>
              <w:widowControl/>
              <w:numPr>
                <w:ilvl w:val="0"/>
                <w:numId w:val="327"/>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 xml:space="preserve">音量减小 8.蓝牙模式 9.单曲循环） </w:t>
            </w:r>
          </w:p>
          <w:p w14:paraId="60901E10">
            <w:pPr>
              <w:widowControl/>
              <w:numPr>
                <w:ilvl w:val="0"/>
                <w:numId w:val="327"/>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音源模式：SD卡、蓝牙、3.5MM音频输入及WiFi云端接收。</w:t>
            </w:r>
          </w:p>
          <w:p w14:paraId="13DE475F">
            <w:pPr>
              <w:widowControl/>
              <w:ind w:left="440"/>
              <w:jc w:val="left"/>
              <w:textAlignment w:val="center"/>
              <w:rPr>
                <w:rFonts w:hint="eastAsia" w:ascii="宋体" w:hAnsi="宋体"/>
                <w:b/>
                <w:bCs/>
                <w:color w:val="auto"/>
                <w:kern w:val="0"/>
                <w:szCs w:val="21"/>
                <w:highlight w:val="none"/>
                <w:lang w:bidi="ar"/>
              </w:rPr>
            </w:pPr>
            <w:r>
              <w:rPr>
                <w:rFonts w:hint="eastAsia" w:ascii="宋体" w:hAnsi="宋体"/>
                <w:b/>
                <w:bCs/>
                <w:color w:val="auto"/>
                <w:kern w:val="0"/>
                <w:szCs w:val="21"/>
                <w:highlight w:val="none"/>
                <w:lang w:bidi="ar"/>
              </w:rPr>
              <w:t>四、设备功能</w:t>
            </w:r>
          </w:p>
          <w:p w14:paraId="5164CF24">
            <w:pPr>
              <w:widowControl/>
              <w:numPr>
                <w:ilvl w:val="0"/>
                <w:numId w:val="328"/>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音乐随动体感功能：随着音乐体感振动，增强乐感振撼效果，让身体与大脑同时感知音乐，实现舒缓压力、调节身心、重塑健康心境的效果。</w:t>
            </w:r>
          </w:p>
          <w:p w14:paraId="236B8ACC">
            <w:pPr>
              <w:widowControl/>
              <w:numPr>
                <w:ilvl w:val="0"/>
                <w:numId w:val="328"/>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睡眠级遮光头罩：提供一个安全私密、独享空间。</w:t>
            </w:r>
          </w:p>
          <w:p w14:paraId="6FB86B1B">
            <w:pPr>
              <w:widowControl/>
              <w:numPr>
                <w:ilvl w:val="0"/>
                <w:numId w:val="328"/>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无线触摸控制；独立完成各项指令操作</w:t>
            </w:r>
          </w:p>
          <w:p w14:paraId="10F1D117">
            <w:pPr>
              <w:widowControl/>
              <w:numPr>
                <w:ilvl w:val="0"/>
                <w:numId w:val="328"/>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音乐放松：里面集成了海量专业心理音乐资料文件包含:放松类；激杨类；抒发类；振奋类等.</w:t>
            </w:r>
          </w:p>
          <w:p w14:paraId="27EF1096">
            <w:pPr>
              <w:widowControl/>
              <w:ind w:left="440"/>
              <w:jc w:val="left"/>
              <w:textAlignment w:val="center"/>
              <w:rPr>
                <w:rFonts w:hint="eastAsia" w:ascii="宋体" w:hAnsi="宋体"/>
                <w:b/>
                <w:bCs/>
                <w:color w:val="auto"/>
                <w:kern w:val="0"/>
                <w:szCs w:val="21"/>
                <w:highlight w:val="none"/>
                <w:lang w:bidi="ar"/>
              </w:rPr>
            </w:pPr>
            <w:r>
              <w:rPr>
                <w:rFonts w:hint="eastAsia" w:ascii="宋体" w:hAnsi="宋体"/>
                <w:b/>
                <w:bCs/>
                <w:color w:val="auto"/>
                <w:kern w:val="0"/>
                <w:szCs w:val="21"/>
                <w:highlight w:val="none"/>
                <w:lang w:bidi="ar"/>
              </w:rPr>
              <w:t>五、软件功能（情绪压力与认知调节系统—PC端）</w:t>
            </w:r>
          </w:p>
          <w:p w14:paraId="195C0AEF">
            <w:pPr>
              <w:widowControl/>
              <w:numPr>
                <w:ilvl w:val="0"/>
                <w:numId w:val="329"/>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通过采集人体的生理指标来反映人体的心理状态。依据生物反馈原理，采用游戏、音乐、图像等多种方式进行训练，可以起到消除焦虑紧张情绪，缓解压力，实现身心健康。游戏化的训练可增强训练的趣味性和依从性，提高训练的效果。情绪压力与认知调节系统分为：用户管理、健康检测、报告管理、系统设置以及训练模块。训练模块展示包含：呼吸训练、音乐调试、视频调试、心理电影、松弛疗愈、睡眠入梦、沉思冥想、思绪场景、形象放松、认知疗愈、健康检测、萌芽小宠、眼动训练和应激训练等14个训练模块。</w:t>
            </w:r>
          </w:p>
          <w:p w14:paraId="7B1C2E64">
            <w:pPr>
              <w:widowControl/>
              <w:numPr>
                <w:ilvl w:val="0"/>
                <w:numId w:val="329"/>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用户管理：有以下三种模式登录进入：</w:t>
            </w:r>
          </w:p>
          <w:p w14:paraId="032C9BAE">
            <w:pPr>
              <w:widowControl/>
              <w:numPr>
                <w:ilvl w:val="1"/>
                <w:numId w:val="329"/>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游客：游客模式仅限部分功能使用，且数据信息不会录入系统保存。</w:t>
            </w:r>
          </w:p>
          <w:p w14:paraId="615D24AC">
            <w:pPr>
              <w:widowControl/>
              <w:numPr>
                <w:ilvl w:val="1"/>
                <w:numId w:val="329"/>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管理员：包含用户管理、系统设置、健康检测、报告管理。用户管理可记录查看本设备所有人员信息。</w:t>
            </w:r>
          </w:p>
          <w:p w14:paraId="4D54B8BF">
            <w:pPr>
              <w:widowControl/>
              <w:numPr>
                <w:ilvl w:val="1"/>
                <w:numId w:val="329"/>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注册：用户可自主注册信息进行使用，注册用户不包含用户管理权限。</w:t>
            </w:r>
          </w:p>
          <w:p w14:paraId="46405532">
            <w:pPr>
              <w:widowControl/>
              <w:numPr>
                <w:ilvl w:val="0"/>
                <w:numId w:val="329"/>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健康检测：适度的压力有助于提高学习和工作效率，但过度的压力会危害人的健康，压力可以通过PSTR心理压力量表来了解，用户通过佩戴生理指标采集仪，结合心理压力测试量表，可以从生理、情绪、行为、认知等维度对来访者的心理压力进行评估。在答题过程中对用户的生理指标进行检测以及计算，实时显示心率、血氧饱和度、抗压能力、身体疲劳状态、精神压力、情绪指数、PNN50、SDNN、LF/HF、RMSDD、SDSD等指标数据。</w:t>
            </w:r>
          </w:p>
          <w:p w14:paraId="2D1148E4">
            <w:pPr>
              <w:widowControl/>
              <w:numPr>
                <w:ilvl w:val="0"/>
                <w:numId w:val="329"/>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悬浮小球：状态检测，实时显示疲劳指数、抗压能力、精神压力。可点击隐藏和展示。</w:t>
            </w:r>
          </w:p>
          <w:p w14:paraId="0B26119F">
            <w:pPr>
              <w:widowControl/>
              <w:numPr>
                <w:ilvl w:val="0"/>
                <w:numId w:val="329"/>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报告管理：有效的保存个人数据信息，包含个人的压力评估以及使用的各类数据值，可导出PDF文件。</w:t>
            </w:r>
          </w:p>
          <w:p w14:paraId="4E7EBC7B">
            <w:pPr>
              <w:widowControl/>
              <w:numPr>
                <w:ilvl w:val="0"/>
                <w:numId w:val="329"/>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 xml:space="preserve">列表展示昵称、邮箱、监测项目以及监测时间，可以删除该报告。 </w:t>
            </w:r>
          </w:p>
          <w:p w14:paraId="6F118B9B">
            <w:pPr>
              <w:widowControl/>
              <w:numPr>
                <w:ilvl w:val="0"/>
                <w:numId w:val="329"/>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用户管理：管理员登录的可以管理该设备所有人员信息，可对人员进行编辑修改删除等操作。也可以在这里单独创建用户。</w:t>
            </w:r>
          </w:p>
          <w:p w14:paraId="0F2599BF">
            <w:pPr>
              <w:widowControl/>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 xml:space="preserve">系统设置： </w:t>
            </w:r>
          </w:p>
          <w:p w14:paraId="3087DF2C">
            <w:pPr>
              <w:widowControl/>
              <w:numPr>
                <w:ilvl w:val="0"/>
                <w:numId w:val="329"/>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连接采集仪：检测是否正常连接生理指标采集仪。</w:t>
            </w:r>
          </w:p>
          <w:p w14:paraId="678969F5">
            <w:pPr>
              <w:widowControl/>
              <w:numPr>
                <w:ilvl w:val="0"/>
                <w:numId w:val="329"/>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个人信息：对个人信息的编辑修改删除等操作。</w:t>
            </w:r>
          </w:p>
          <w:p w14:paraId="1DB2C714">
            <w:pPr>
              <w:widowControl/>
              <w:numPr>
                <w:ilvl w:val="0"/>
                <w:numId w:val="329"/>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时间设置：为萌芽小宠和眼动训练模块设置倒计时，以秒为单位，可自主添加时长。</w:t>
            </w:r>
          </w:p>
          <w:p w14:paraId="6E8C1365">
            <w:pPr>
              <w:widowControl/>
              <w:numPr>
                <w:ilvl w:val="0"/>
                <w:numId w:val="329"/>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皮肤设置：有科技蓝、涧石蓝、清水绿、橄榄绿、薄荷青、烟灰白、象牙白、柠檬黄、茉莉黄、山茶红、丹粉红、珊瑚红等十二种皮肤颜色可选择。</w:t>
            </w:r>
          </w:p>
          <w:p w14:paraId="0ED0EE53">
            <w:pPr>
              <w:widowControl/>
              <w:numPr>
                <w:ilvl w:val="0"/>
                <w:numId w:val="329"/>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首页：训练展示模块内容。</w:t>
            </w:r>
          </w:p>
          <w:p w14:paraId="00539789">
            <w:pPr>
              <w:widowControl/>
              <w:numPr>
                <w:ilvl w:val="1"/>
                <w:numId w:val="330"/>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呼吸训练：具备训练方案30余部、愉悦放松6部、专业应用20余部和自由呼吸7部。通过呼吸方法的训练改善机体的供养分配修复调节各项身体机能，达到平衡身心的目的。</w:t>
            </w:r>
          </w:p>
          <w:p w14:paraId="21E90AC9">
            <w:pPr>
              <w:widowControl/>
              <w:numPr>
                <w:ilvl w:val="1"/>
                <w:numId w:val="330"/>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音乐调试：具备昂扬向上7部、激情动感7部、交响曲10余部、考试压力20余部、疗愈音乐9部、身心缓解5部、舒缓心灵14部、五行疗愈5部、音乐疗愈20余部和自然疗愈10余部。</w:t>
            </w:r>
          </w:p>
          <w:p w14:paraId="044F745A">
            <w:pPr>
              <w:widowControl/>
              <w:numPr>
                <w:ilvl w:val="1"/>
                <w:numId w:val="330"/>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视频调试：心理调试解压视频20余部，通过看解压视频可以缓解心理压力。在现代社会，人们的工作压力、生活压力等都很大。当情绪达到一定的累积时，人们需要一种方法来释放这种压力。看解压视频可以让人们暂时忘记自己的烦恼，放松自己的心情。这种方式可以让人们在短时间内得到心理上的缓解。</w:t>
            </w:r>
          </w:p>
          <w:p w14:paraId="772F4C73">
            <w:pPr>
              <w:widowControl/>
              <w:numPr>
                <w:ilvl w:val="1"/>
                <w:numId w:val="330"/>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 xml:space="preserve">心理电影：内置5部电影和1部心理电视剧。通过对心理影片的欣赏,让大家可以在电影中学会释放压力,放松心情,懂得如何去调节内心;更重要的是让大家能够在以后的学习生活中更加轻松与开心。通过心理电影可以让学生直观感受心理知识,获得体验,有所感悟,促进成长。 </w:t>
            </w:r>
          </w:p>
          <w:p w14:paraId="6C94DAF9">
            <w:pPr>
              <w:widowControl/>
              <w:numPr>
                <w:ilvl w:val="1"/>
                <w:numId w:val="330"/>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松弛疗愈：8部松弛疗愈，缓解紧张时可能会压迫肌肉当中的血管，影响血液的流动，而放松肌肉可以改善血液循环的症状，从而促使血液流动更加的通畅，能缓解疲劳，同时还能够避免运动损伤。</w:t>
            </w:r>
          </w:p>
          <w:p w14:paraId="25A184C2">
            <w:pPr>
              <w:widowControl/>
              <w:numPr>
                <w:ilvl w:val="1"/>
                <w:numId w:val="330"/>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睡眠入梦：包括动物叫声10部、活力调整7部、交通声7部、空灵梵音4部、朗读声10余部、乐器独奏20余部、脑电波5部、潜意识14部、情绪调整8部、生活声20余部、心灵关爱8部和自然声40余部。</w:t>
            </w:r>
          </w:p>
          <w:p w14:paraId="406EDB85">
            <w:pPr>
              <w:widowControl/>
              <w:numPr>
                <w:ilvl w:val="1"/>
                <w:numId w:val="330"/>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沉思冥想：包括17天冥想10余部、30天冥想训练20余部、冥想科普8部、睡眠冥想法7部、学习冥想2部和正念冥想4部。</w:t>
            </w:r>
          </w:p>
          <w:p w14:paraId="77E85D5F">
            <w:pPr>
              <w:widowControl/>
              <w:numPr>
                <w:ilvl w:val="1"/>
                <w:numId w:val="330"/>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思绪场景：普通场景8部。测试者内心对环境的挑选。当你置身其外的时候，它对你也虎视眈眈。当你把它视为自己的环境时，它也会对你视如己出。想找回自己，不妨先从认同环境开始。</w:t>
            </w:r>
          </w:p>
          <w:p w14:paraId="28530079">
            <w:pPr>
              <w:widowControl/>
              <w:numPr>
                <w:ilvl w:val="1"/>
                <w:numId w:val="330"/>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想象放松：自然风光5部。提升测试者的格局与视野美妙舒服的环境，则让我们驱走坏情绪，产生好心情。</w:t>
            </w:r>
          </w:p>
          <w:p w14:paraId="1345D848">
            <w:pPr>
              <w:widowControl/>
              <w:numPr>
                <w:ilvl w:val="1"/>
                <w:numId w:val="330"/>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认知疗愈:控制怒火、疗愈心理、心情缓解和找回自信4部。</w:t>
            </w:r>
          </w:p>
          <w:p w14:paraId="79871014">
            <w:pPr>
              <w:widowControl/>
              <w:numPr>
                <w:ilvl w:val="1"/>
                <w:numId w:val="330"/>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健康检测：实时显示各项生理指标。</w:t>
            </w:r>
          </w:p>
          <w:p w14:paraId="4D80CBDF">
            <w:pPr>
              <w:widowControl/>
              <w:numPr>
                <w:ilvl w:val="1"/>
                <w:numId w:val="330"/>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萌芽小宠：通过生理指标变化可以控制宠物表情变化。可以设置训练时长，如训练成果较好可以提前结束训练，出具训练报告。</w:t>
            </w:r>
          </w:p>
          <w:p w14:paraId="611A068C">
            <w:pPr>
              <w:widowControl/>
              <w:numPr>
                <w:ilvl w:val="1"/>
                <w:numId w:val="330"/>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(眼动训练：基于EMDR眼动脱敏技术，可对训练者进行心理调适，降低应激事件带来的负面影响。系统支持调节眼动训练2种摆动的轨迹以及3种速度调节。</w:t>
            </w:r>
          </w:p>
          <w:p w14:paraId="3E7A0F36">
            <w:pPr>
              <w:widowControl/>
              <w:numPr>
                <w:ilvl w:val="1"/>
                <w:numId w:val="330"/>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应激训练：包括灾难和自然灾害。具有火灾、飓风、地震、洪水、雷电、泥石流、沉船、火山、海啸、战争、车祸、矿难、空难多种应激心理训练情境，可有效对训练者进行专业的心理干预、调适，缓解心理和生理的压力，降低应激事件带来的负面影响，提高心理健康水平。训练过程中实时监控训练者各项生理指标，训练结束后出具详细的训练报告。</w:t>
            </w:r>
          </w:p>
          <w:p w14:paraId="6BA66919">
            <w:pPr>
              <w:widowControl/>
              <w:numPr>
                <w:ilvl w:val="1"/>
                <w:numId w:val="330"/>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 xml:space="preserve">生物反馈训练：含菩提树、孔雀开屏、春夏秋冬、花开富贵、枯木逢春等等不少于十二种生物反馈游戏训练，所有游戏包含初、中、高三种训练级别选择，训练结束可生成相对应的报告。 </w:t>
            </w:r>
          </w:p>
          <w:p w14:paraId="6A1AE628">
            <w:pPr>
              <w:widowControl/>
              <w:ind w:left="440"/>
              <w:jc w:val="left"/>
              <w:textAlignment w:val="center"/>
              <w:rPr>
                <w:rFonts w:hint="eastAsia" w:ascii="宋体" w:hAnsi="宋体"/>
                <w:b/>
                <w:bCs/>
                <w:color w:val="auto"/>
                <w:kern w:val="0"/>
                <w:szCs w:val="21"/>
                <w:highlight w:val="none"/>
                <w:lang w:bidi="ar"/>
              </w:rPr>
            </w:pPr>
            <w:r>
              <w:rPr>
                <w:rFonts w:hint="eastAsia" w:ascii="宋体" w:hAnsi="宋体"/>
                <w:b/>
                <w:bCs/>
                <w:color w:val="auto"/>
                <w:kern w:val="0"/>
                <w:szCs w:val="21"/>
                <w:highlight w:val="none"/>
                <w:lang w:bidi="ar"/>
              </w:rPr>
              <w:t>六、部件描述：</w:t>
            </w:r>
          </w:p>
          <w:p w14:paraId="24FC72F6">
            <w:pPr>
              <w:widowControl/>
              <w:numPr>
                <w:ilvl w:val="1"/>
                <w:numId w:val="331"/>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放松椅：人体工程学设计的外形，电动可收缩折叠，浅色真皮外套。</w:t>
            </w:r>
          </w:p>
          <w:p w14:paraId="03D30676">
            <w:pPr>
              <w:widowControl/>
              <w:numPr>
                <w:ilvl w:val="1"/>
                <w:numId w:val="331"/>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情绪压力与认知调节系统</w:t>
            </w:r>
          </w:p>
          <w:p w14:paraId="51AB8E18">
            <w:pPr>
              <w:widowControl/>
              <w:numPr>
                <w:ilvl w:val="1"/>
                <w:numId w:val="331"/>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生理指标传感器及数模转换器：用于处理和传感人体生理指标，并对指标进行分析。</w:t>
            </w:r>
          </w:p>
          <w:p w14:paraId="3D771585">
            <w:pPr>
              <w:widowControl/>
              <w:numPr>
                <w:ilvl w:val="1"/>
                <w:numId w:val="331"/>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放松治疗控制器：双通道音频主机，19.5寸液晶示器，键盘，鼠标。</w:t>
            </w:r>
          </w:p>
          <w:p w14:paraId="1C817140">
            <w:pPr>
              <w:widowControl/>
              <w:numPr>
                <w:ilvl w:val="1"/>
                <w:numId w:val="331"/>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工作台，环保型复合材料，自由推动，方便，美观</w:t>
            </w:r>
          </w:p>
        </w:tc>
        <w:tc>
          <w:tcPr>
            <w:tcW w:w="843" w:type="dxa"/>
            <w:gridSpan w:val="3"/>
            <w:tcBorders>
              <w:top w:val="single" w:color="000000" w:sz="4" w:space="0"/>
              <w:left w:val="single" w:color="000000" w:sz="4" w:space="0"/>
              <w:bottom w:val="single" w:color="000000" w:sz="4" w:space="0"/>
              <w:right w:val="single" w:color="000000" w:sz="4" w:space="0"/>
            </w:tcBorders>
            <w:vAlign w:val="center"/>
          </w:tcPr>
          <w:p w14:paraId="2CE2673D">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套</w:t>
            </w:r>
          </w:p>
        </w:tc>
        <w:tc>
          <w:tcPr>
            <w:tcW w:w="935" w:type="dxa"/>
            <w:gridSpan w:val="3"/>
            <w:tcBorders>
              <w:top w:val="single" w:color="000000" w:sz="4" w:space="0"/>
              <w:left w:val="single" w:color="000000" w:sz="4" w:space="0"/>
              <w:bottom w:val="single" w:color="000000" w:sz="4" w:space="0"/>
              <w:right w:val="single" w:color="000000" w:sz="4" w:space="0"/>
            </w:tcBorders>
            <w:vAlign w:val="center"/>
          </w:tcPr>
          <w:p w14:paraId="049F517A">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3E2977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jc w:val="center"/>
        </w:trPr>
        <w:tc>
          <w:tcPr>
            <w:tcW w:w="749" w:type="dxa"/>
            <w:tcBorders>
              <w:top w:val="single" w:color="000000" w:sz="4" w:space="0"/>
              <w:left w:val="single" w:color="000000" w:sz="4" w:space="0"/>
              <w:bottom w:val="single" w:color="000000" w:sz="4" w:space="0"/>
              <w:right w:val="single" w:color="000000" w:sz="4" w:space="0"/>
            </w:tcBorders>
            <w:vAlign w:val="center"/>
          </w:tcPr>
          <w:p w14:paraId="3C251C35">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3</w:t>
            </w:r>
          </w:p>
        </w:tc>
        <w:tc>
          <w:tcPr>
            <w:tcW w:w="1227" w:type="dxa"/>
            <w:tcBorders>
              <w:top w:val="single" w:color="000000" w:sz="4" w:space="0"/>
              <w:left w:val="single" w:color="000000" w:sz="4" w:space="0"/>
              <w:bottom w:val="single" w:color="000000" w:sz="4" w:space="0"/>
              <w:right w:val="single" w:color="000000" w:sz="4" w:space="0"/>
            </w:tcBorders>
            <w:vAlign w:val="center"/>
          </w:tcPr>
          <w:p w14:paraId="76B7E901">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宣泄器材（专业版）</w:t>
            </w:r>
          </w:p>
        </w:tc>
        <w:tc>
          <w:tcPr>
            <w:tcW w:w="6224" w:type="dxa"/>
            <w:gridSpan w:val="4"/>
            <w:tcBorders>
              <w:top w:val="single" w:color="000000" w:sz="4" w:space="0"/>
              <w:left w:val="single" w:color="000000" w:sz="4" w:space="0"/>
              <w:bottom w:val="single" w:color="000000" w:sz="4" w:space="0"/>
              <w:right w:val="single" w:color="000000" w:sz="4" w:space="0"/>
            </w:tcBorders>
            <w:vAlign w:val="center"/>
          </w:tcPr>
          <w:p w14:paraId="0872BDB5">
            <w:pPr>
              <w:widowControl/>
              <w:numPr>
                <w:ilvl w:val="0"/>
                <w:numId w:val="332"/>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宣泄人总高度：160CM-180CM可调</w:t>
            </w:r>
          </w:p>
          <w:p w14:paraId="34E4836C">
            <w:pPr>
              <w:widowControl/>
              <w:numPr>
                <w:ilvl w:val="0"/>
                <w:numId w:val="332"/>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主题高度：90CM;肩宽50CM；</w:t>
            </w:r>
          </w:p>
          <w:p w14:paraId="3D92A8B1">
            <w:pPr>
              <w:widowControl/>
              <w:numPr>
                <w:ilvl w:val="0"/>
                <w:numId w:val="332"/>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颜色：蓝色；</w:t>
            </w:r>
          </w:p>
          <w:p w14:paraId="3E5E5BB4">
            <w:pPr>
              <w:widowControl/>
              <w:numPr>
                <w:ilvl w:val="0"/>
                <w:numId w:val="332"/>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重量：≥20KG；</w:t>
            </w:r>
          </w:p>
          <w:p w14:paraId="44F0D438">
            <w:pPr>
              <w:widowControl/>
              <w:numPr>
                <w:ilvl w:val="0"/>
                <w:numId w:val="332"/>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产品设计：全硅胶宣泄人造型美观，质感细腻，弹性可以模拟人体肌肉，在搏击中不仅能享受搏击时的快感，更能释放高节奏生活及社会竞争带来的压力，同时具备健身训练和减压阀的多重功能，是心理咨询师最佳的辅助器材和宣泄室必备的宣泄器材。</w:t>
            </w:r>
          </w:p>
          <w:p w14:paraId="660A3B4A">
            <w:pPr>
              <w:widowControl/>
              <w:numPr>
                <w:ilvl w:val="0"/>
                <w:numId w:val="332"/>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可击打发声，利用低电压震动系统，能够在极低的震动下做出响应，来访者在击打的时候可以随机发出7种不同的幽默语句，使得趣味性提高，来访者在进行体力宣泄的时候开怀大笑。转移来访者的注意力，将心中不悦的情绪最大程度释放。</w:t>
            </w:r>
          </w:p>
          <w:p w14:paraId="319162A5">
            <w:pPr>
              <w:widowControl/>
              <w:numPr>
                <w:ilvl w:val="0"/>
                <w:numId w:val="332"/>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底座：采用注沙底座，不但增加了产品的稳定性，还有效保护适用场所的地面材料。筒式吸盘抓地设计，配8个吸盘，安装方便，使用更安全。</w:t>
            </w:r>
          </w:p>
          <w:p w14:paraId="318228D6">
            <w:pPr>
              <w:widowControl/>
              <w:numPr>
                <w:ilvl w:val="0"/>
                <w:numId w:val="332"/>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宣泄柱1个，重量29-33kg，总高度1700mm，主体高度1350mm，主体直径260mm。填充物为环保高弹性发泡料，皮革厚度为3-4mm，不需要支架，底部有吸盘，增加了宣泄柱的稳定性。</w:t>
            </w:r>
          </w:p>
          <w:p w14:paraId="69656BDD">
            <w:pPr>
              <w:widowControl/>
              <w:numPr>
                <w:ilvl w:val="0"/>
                <w:numId w:val="332"/>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立式宣泄球2个，落地式。产品特点：明显提升宣泄的效果。</w:t>
            </w:r>
          </w:p>
          <w:p w14:paraId="72E7DA1E">
            <w:pPr>
              <w:widowControl/>
              <w:numPr>
                <w:ilvl w:val="0"/>
                <w:numId w:val="332"/>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手套4幅，国标。</w:t>
            </w:r>
          </w:p>
          <w:p w14:paraId="43A7B320">
            <w:pPr>
              <w:widowControl/>
              <w:numPr>
                <w:ilvl w:val="0"/>
                <w:numId w:val="332"/>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宣泄棒，2根，PVC材质一体成型。</w:t>
            </w:r>
          </w:p>
          <w:p w14:paraId="138FA0C7">
            <w:pPr>
              <w:widowControl/>
              <w:numPr>
                <w:ilvl w:val="0"/>
                <w:numId w:val="332"/>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宣泄抱枕，2个。</w:t>
            </w:r>
          </w:p>
          <w:p w14:paraId="0817B715">
            <w:pPr>
              <w:widowControl/>
              <w:numPr>
                <w:ilvl w:val="0"/>
                <w:numId w:val="332"/>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宣泄面罩，10个。</w:t>
            </w:r>
          </w:p>
          <w:p w14:paraId="10D74A5E">
            <w:pPr>
              <w:widowControl/>
              <w:numPr>
                <w:ilvl w:val="0"/>
                <w:numId w:val="332"/>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宣泄挂图，6幅，PVC材质。</w:t>
            </w:r>
          </w:p>
          <w:p w14:paraId="2E4CB24B">
            <w:pPr>
              <w:widowControl/>
              <w:numPr>
                <w:ilvl w:val="0"/>
                <w:numId w:val="332"/>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宣泄室制度1张,PVC材质。</w:t>
            </w:r>
          </w:p>
        </w:tc>
        <w:tc>
          <w:tcPr>
            <w:tcW w:w="843" w:type="dxa"/>
            <w:gridSpan w:val="3"/>
            <w:tcBorders>
              <w:top w:val="single" w:color="000000" w:sz="4" w:space="0"/>
              <w:left w:val="single" w:color="000000" w:sz="4" w:space="0"/>
              <w:bottom w:val="single" w:color="000000" w:sz="4" w:space="0"/>
              <w:right w:val="single" w:color="000000" w:sz="4" w:space="0"/>
            </w:tcBorders>
            <w:vAlign w:val="center"/>
          </w:tcPr>
          <w:p w14:paraId="4F60BF4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套</w:t>
            </w:r>
          </w:p>
        </w:tc>
        <w:tc>
          <w:tcPr>
            <w:tcW w:w="935" w:type="dxa"/>
            <w:gridSpan w:val="3"/>
            <w:tcBorders>
              <w:top w:val="single" w:color="000000" w:sz="4" w:space="0"/>
              <w:left w:val="single" w:color="000000" w:sz="4" w:space="0"/>
              <w:bottom w:val="single" w:color="000000" w:sz="4" w:space="0"/>
              <w:right w:val="single" w:color="000000" w:sz="4" w:space="0"/>
            </w:tcBorders>
            <w:vAlign w:val="center"/>
          </w:tcPr>
          <w:p w14:paraId="4D973DC4">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5B4EEB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jc w:val="center"/>
        </w:trPr>
        <w:tc>
          <w:tcPr>
            <w:tcW w:w="749" w:type="dxa"/>
            <w:tcBorders>
              <w:top w:val="single" w:color="000000" w:sz="4" w:space="0"/>
              <w:left w:val="single" w:color="000000" w:sz="4" w:space="0"/>
              <w:bottom w:val="single" w:color="000000" w:sz="4" w:space="0"/>
              <w:right w:val="single" w:color="000000" w:sz="4" w:space="0"/>
            </w:tcBorders>
            <w:vAlign w:val="center"/>
          </w:tcPr>
          <w:p w14:paraId="57E4AC2A">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4</w:t>
            </w:r>
          </w:p>
        </w:tc>
        <w:tc>
          <w:tcPr>
            <w:tcW w:w="1227" w:type="dxa"/>
            <w:tcBorders>
              <w:top w:val="single" w:color="000000" w:sz="4" w:space="0"/>
              <w:left w:val="single" w:color="000000" w:sz="4" w:space="0"/>
              <w:bottom w:val="single" w:color="000000" w:sz="4" w:space="0"/>
              <w:right w:val="single" w:color="000000" w:sz="4" w:space="0"/>
            </w:tcBorders>
            <w:vAlign w:val="center"/>
          </w:tcPr>
          <w:p w14:paraId="7AAD9ACD">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宣泄墙</w:t>
            </w:r>
          </w:p>
        </w:tc>
        <w:tc>
          <w:tcPr>
            <w:tcW w:w="6224" w:type="dxa"/>
            <w:gridSpan w:val="4"/>
            <w:tcBorders>
              <w:top w:val="single" w:color="000000" w:sz="4" w:space="0"/>
              <w:left w:val="single" w:color="000000" w:sz="4" w:space="0"/>
              <w:bottom w:val="single" w:color="000000" w:sz="4" w:space="0"/>
              <w:right w:val="single" w:color="000000" w:sz="4" w:space="0"/>
            </w:tcBorders>
            <w:vAlign w:val="center"/>
          </w:tcPr>
          <w:p w14:paraId="7118989D">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根据房间尺寸做软包宣泄墙</w:t>
            </w:r>
          </w:p>
        </w:tc>
        <w:tc>
          <w:tcPr>
            <w:tcW w:w="843" w:type="dxa"/>
            <w:gridSpan w:val="3"/>
            <w:tcBorders>
              <w:top w:val="single" w:color="000000" w:sz="4" w:space="0"/>
              <w:left w:val="single" w:color="000000" w:sz="4" w:space="0"/>
              <w:bottom w:val="single" w:color="000000" w:sz="4" w:space="0"/>
              <w:right w:val="single" w:color="000000" w:sz="4" w:space="0"/>
            </w:tcBorders>
            <w:vAlign w:val="center"/>
          </w:tcPr>
          <w:p w14:paraId="57A3BFD6">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项</w:t>
            </w:r>
          </w:p>
        </w:tc>
        <w:tc>
          <w:tcPr>
            <w:tcW w:w="935" w:type="dxa"/>
            <w:gridSpan w:val="3"/>
            <w:tcBorders>
              <w:top w:val="single" w:color="000000" w:sz="4" w:space="0"/>
              <w:left w:val="single" w:color="000000" w:sz="4" w:space="0"/>
              <w:bottom w:val="single" w:color="000000" w:sz="4" w:space="0"/>
              <w:right w:val="single" w:color="000000" w:sz="4" w:space="0"/>
            </w:tcBorders>
            <w:vAlign w:val="center"/>
          </w:tcPr>
          <w:p w14:paraId="400357DF">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228D74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jc w:val="center"/>
        </w:trPr>
        <w:tc>
          <w:tcPr>
            <w:tcW w:w="749" w:type="dxa"/>
            <w:tcBorders>
              <w:top w:val="single" w:color="000000" w:sz="4" w:space="0"/>
              <w:left w:val="single" w:color="000000" w:sz="4" w:space="0"/>
              <w:bottom w:val="single" w:color="000000" w:sz="4" w:space="0"/>
              <w:right w:val="single" w:color="000000" w:sz="4" w:space="0"/>
            </w:tcBorders>
            <w:vAlign w:val="center"/>
          </w:tcPr>
          <w:p w14:paraId="7DB78B4D">
            <w:pPr>
              <w:widowControl/>
              <w:textAlignment w:val="center"/>
              <w:rPr>
                <w:rFonts w:hint="eastAsia" w:ascii="宋体" w:hAnsi="宋体"/>
                <w:b/>
                <w:bCs/>
                <w:color w:val="auto"/>
                <w:szCs w:val="21"/>
                <w:highlight w:val="none"/>
              </w:rPr>
            </w:pPr>
            <w:r>
              <w:rPr>
                <w:rFonts w:hint="eastAsia" w:ascii="宋体" w:hAnsi="宋体"/>
                <w:b/>
                <w:bCs/>
                <w:color w:val="auto"/>
                <w:kern w:val="0"/>
                <w:szCs w:val="21"/>
                <w:highlight w:val="none"/>
                <w:lang w:bidi="ar"/>
              </w:rPr>
              <w:t>（四）</w:t>
            </w:r>
          </w:p>
        </w:tc>
        <w:tc>
          <w:tcPr>
            <w:tcW w:w="1227" w:type="dxa"/>
            <w:tcBorders>
              <w:top w:val="single" w:color="000000" w:sz="4" w:space="0"/>
              <w:left w:val="single" w:color="000000" w:sz="4" w:space="0"/>
              <w:bottom w:val="single" w:color="000000" w:sz="4" w:space="0"/>
              <w:right w:val="single" w:color="000000" w:sz="4" w:space="0"/>
            </w:tcBorders>
            <w:vAlign w:val="center"/>
          </w:tcPr>
          <w:p w14:paraId="056805A8">
            <w:pPr>
              <w:widowControl/>
              <w:jc w:val="center"/>
              <w:textAlignment w:val="center"/>
              <w:rPr>
                <w:rFonts w:hint="eastAsia" w:ascii="宋体" w:hAnsi="宋体"/>
                <w:b/>
                <w:bCs/>
                <w:color w:val="auto"/>
                <w:szCs w:val="21"/>
                <w:highlight w:val="none"/>
              </w:rPr>
            </w:pPr>
            <w:r>
              <w:rPr>
                <w:rFonts w:hint="eastAsia" w:ascii="宋体" w:hAnsi="宋体"/>
                <w:b/>
                <w:bCs/>
                <w:color w:val="auto"/>
                <w:kern w:val="0"/>
                <w:szCs w:val="21"/>
                <w:highlight w:val="none"/>
                <w:lang w:bidi="ar"/>
              </w:rPr>
              <w:t>环境布置</w:t>
            </w:r>
          </w:p>
        </w:tc>
        <w:tc>
          <w:tcPr>
            <w:tcW w:w="6224" w:type="dxa"/>
            <w:gridSpan w:val="4"/>
            <w:tcBorders>
              <w:top w:val="single" w:color="000000" w:sz="4" w:space="0"/>
              <w:left w:val="single" w:color="000000" w:sz="4" w:space="0"/>
              <w:bottom w:val="single" w:color="000000" w:sz="4" w:space="0"/>
              <w:right w:val="single" w:color="000000" w:sz="4" w:space="0"/>
            </w:tcBorders>
          </w:tcPr>
          <w:p w14:paraId="02ADBB1A">
            <w:pPr>
              <w:rPr>
                <w:rFonts w:hint="eastAsia" w:ascii="宋体" w:hAnsi="宋体"/>
                <w:b/>
                <w:bCs/>
                <w:color w:val="auto"/>
                <w:szCs w:val="21"/>
                <w:highlight w:val="none"/>
              </w:rPr>
            </w:pPr>
          </w:p>
        </w:tc>
        <w:tc>
          <w:tcPr>
            <w:tcW w:w="843" w:type="dxa"/>
            <w:gridSpan w:val="3"/>
            <w:tcBorders>
              <w:top w:val="single" w:color="000000" w:sz="4" w:space="0"/>
              <w:left w:val="single" w:color="000000" w:sz="4" w:space="0"/>
              <w:bottom w:val="single" w:color="000000" w:sz="4" w:space="0"/>
              <w:right w:val="single" w:color="000000" w:sz="4" w:space="0"/>
            </w:tcBorders>
            <w:vAlign w:val="center"/>
          </w:tcPr>
          <w:p w14:paraId="5DEF8958">
            <w:pPr>
              <w:jc w:val="center"/>
              <w:rPr>
                <w:rFonts w:hint="eastAsia" w:ascii="宋体" w:hAnsi="宋体"/>
                <w:b/>
                <w:bCs/>
                <w:color w:val="auto"/>
                <w:szCs w:val="21"/>
                <w:highlight w:val="none"/>
              </w:rPr>
            </w:pPr>
          </w:p>
        </w:tc>
        <w:tc>
          <w:tcPr>
            <w:tcW w:w="935" w:type="dxa"/>
            <w:gridSpan w:val="3"/>
            <w:tcBorders>
              <w:top w:val="single" w:color="000000" w:sz="4" w:space="0"/>
              <w:left w:val="single" w:color="000000" w:sz="4" w:space="0"/>
              <w:bottom w:val="single" w:color="000000" w:sz="4" w:space="0"/>
              <w:right w:val="single" w:color="000000" w:sz="4" w:space="0"/>
            </w:tcBorders>
            <w:vAlign w:val="center"/>
          </w:tcPr>
          <w:p w14:paraId="4974D7F3">
            <w:pPr>
              <w:jc w:val="center"/>
              <w:rPr>
                <w:rFonts w:hint="eastAsia" w:ascii="宋体" w:hAnsi="宋体"/>
                <w:b/>
                <w:bCs/>
                <w:color w:val="auto"/>
                <w:szCs w:val="21"/>
                <w:highlight w:val="none"/>
              </w:rPr>
            </w:pPr>
          </w:p>
        </w:tc>
      </w:tr>
      <w:tr w14:paraId="5BE9A9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jc w:val="center"/>
        </w:trPr>
        <w:tc>
          <w:tcPr>
            <w:tcW w:w="749" w:type="dxa"/>
            <w:tcBorders>
              <w:top w:val="single" w:color="000000" w:sz="4" w:space="0"/>
              <w:left w:val="single" w:color="000000" w:sz="4" w:space="0"/>
              <w:bottom w:val="single" w:color="000000" w:sz="4" w:space="0"/>
              <w:right w:val="single" w:color="000000" w:sz="4" w:space="0"/>
            </w:tcBorders>
            <w:vAlign w:val="center"/>
          </w:tcPr>
          <w:p w14:paraId="27ABAF5C">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c>
          <w:tcPr>
            <w:tcW w:w="1227" w:type="dxa"/>
            <w:tcBorders>
              <w:top w:val="single" w:color="000000" w:sz="4" w:space="0"/>
              <w:left w:val="single" w:color="000000" w:sz="4" w:space="0"/>
              <w:bottom w:val="single" w:color="000000" w:sz="4" w:space="0"/>
              <w:right w:val="single" w:color="000000" w:sz="4" w:space="0"/>
            </w:tcBorders>
            <w:vAlign w:val="center"/>
          </w:tcPr>
          <w:p w14:paraId="007332D2">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环境布置</w:t>
            </w:r>
          </w:p>
        </w:tc>
        <w:tc>
          <w:tcPr>
            <w:tcW w:w="6224" w:type="dxa"/>
            <w:gridSpan w:val="4"/>
            <w:tcBorders>
              <w:top w:val="single" w:color="000000" w:sz="4" w:space="0"/>
              <w:left w:val="single" w:color="000000" w:sz="4" w:space="0"/>
              <w:bottom w:val="single" w:color="000000" w:sz="4" w:space="0"/>
              <w:right w:val="single" w:color="000000" w:sz="4" w:space="0"/>
            </w:tcBorders>
          </w:tcPr>
          <w:p w14:paraId="5E713FF6">
            <w:pPr>
              <w:widowControl/>
              <w:jc w:val="left"/>
              <w:textAlignment w:val="top"/>
              <w:rPr>
                <w:rFonts w:hint="eastAsia" w:ascii="宋体" w:hAnsi="宋体"/>
                <w:color w:val="auto"/>
                <w:szCs w:val="21"/>
                <w:highlight w:val="none"/>
              </w:rPr>
            </w:pPr>
            <w:r>
              <w:rPr>
                <w:rFonts w:hint="eastAsia" w:ascii="宋体" w:hAnsi="宋体"/>
                <w:color w:val="auto"/>
                <w:kern w:val="0"/>
                <w:szCs w:val="21"/>
                <w:highlight w:val="none"/>
                <w:lang w:bidi="ar"/>
              </w:rPr>
              <w:t>需满足项目学校功能室基本环境需求：包含综合布线、地面复原、垃圾清运、设备安装、货物搬运、基础装修等</w:t>
            </w:r>
          </w:p>
        </w:tc>
        <w:tc>
          <w:tcPr>
            <w:tcW w:w="843" w:type="dxa"/>
            <w:gridSpan w:val="3"/>
            <w:tcBorders>
              <w:top w:val="single" w:color="000000" w:sz="4" w:space="0"/>
              <w:left w:val="single" w:color="000000" w:sz="4" w:space="0"/>
              <w:bottom w:val="single" w:color="000000" w:sz="4" w:space="0"/>
              <w:right w:val="single" w:color="000000" w:sz="4" w:space="0"/>
            </w:tcBorders>
            <w:vAlign w:val="center"/>
          </w:tcPr>
          <w:p w14:paraId="39AF9783">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室</w:t>
            </w:r>
          </w:p>
        </w:tc>
        <w:tc>
          <w:tcPr>
            <w:tcW w:w="935" w:type="dxa"/>
            <w:gridSpan w:val="3"/>
            <w:tcBorders>
              <w:top w:val="single" w:color="000000" w:sz="4" w:space="0"/>
              <w:left w:val="single" w:color="000000" w:sz="4" w:space="0"/>
              <w:bottom w:val="single" w:color="000000" w:sz="4" w:space="0"/>
              <w:right w:val="single" w:color="000000" w:sz="4" w:space="0"/>
            </w:tcBorders>
            <w:vAlign w:val="center"/>
          </w:tcPr>
          <w:p w14:paraId="2054450C">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42DA2C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jc w:val="center"/>
        </w:trPr>
        <w:tc>
          <w:tcPr>
            <w:tcW w:w="9978" w:type="dxa"/>
            <w:gridSpan w:val="12"/>
            <w:tcBorders>
              <w:top w:val="single" w:color="000000" w:sz="4" w:space="0"/>
              <w:left w:val="single" w:color="000000" w:sz="4" w:space="0"/>
              <w:bottom w:val="single" w:color="000000" w:sz="4" w:space="0"/>
              <w:right w:val="single" w:color="000000" w:sz="4" w:space="0"/>
            </w:tcBorders>
            <w:noWrap/>
            <w:vAlign w:val="center"/>
          </w:tcPr>
          <w:p w14:paraId="2E1DA89C">
            <w:pPr>
              <w:widowControl/>
              <w:jc w:val="center"/>
              <w:textAlignment w:val="center"/>
              <w:rPr>
                <w:rFonts w:hint="eastAsia" w:ascii="宋体" w:hAnsi="宋体"/>
                <w:b/>
                <w:bCs/>
                <w:color w:val="auto"/>
                <w:szCs w:val="21"/>
                <w:highlight w:val="none"/>
              </w:rPr>
            </w:pPr>
            <w:r>
              <w:rPr>
                <w:rFonts w:hint="eastAsia" w:ascii="宋体" w:hAnsi="宋体"/>
                <w:b/>
                <w:bCs/>
                <w:color w:val="auto"/>
                <w:kern w:val="0"/>
                <w:szCs w:val="21"/>
                <w:highlight w:val="none"/>
                <w:lang w:bidi="ar"/>
              </w:rPr>
              <w:t>十二、劳技教室</w:t>
            </w:r>
          </w:p>
        </w:tc>
      </w:tr>
      <w:tr w14:paraId="12A68A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jc w:val="center"/>
        </w:trPr>
        <w:tc>
          <w:tcPr>
            <w:tcW w:w="749" w:type="dxa"/>
            <w:tcBorders>
              <w:top w:val="single" w:color="000000" w:sz="4" w:space="0"/>
              <w:left w:val="single" w:color="000000" w:sz="4" w:space="0"/>
              <w:bottom w:val="single" w:color="000000" w:sz="4" w:space="0"/>
              <w:right w:val="single" w:color="000000" w:sz="4" w:space="0"/>
            </w:tcBorders>
            <w:noWrap/>
            <w:vAlign w:val="center"/>
          </w:tcPr>
          <w:p w14:paraId="46F1F2E5">
            <w:pPr>
              <w:widowControl/>
              <w:textAlignment w:val="center"/>
              <w:rPr>
                <w:rFonts w:hint="eastAsia" w:ascii="宋体" w:hAnsi="宋体"/>
                <w:b/>
                <w:bCs/>
                <w:color w:val="auto"/>
                <w:szCs w:val="21"/>
                <w:highlight w:val="none"/>
              </w:rPr>
            </w:pPr>
            <w:r>
              <w:rPr>
                <w:rFonts w:hint="eastAsia" w:ascii="宋体" w:hAnsi="宋体"/>
                <w:b/>
                <w:bCs/>
                <w:color w:val="auto"/>
                <w:kern w:val="0"/>
                <w:szCs w:val="21"/>
                <w:highlight w:val="none"/>
                <w:lang w:bidi="ar"/>
              </w:rPr>
              <w:t>（一）</w:t>
            </w:r>
          </w:p>
        </w:tc>
        <w:tc>
          <w:tcPr>
            <w:tcW w:w="1227" w:type="dxa"/>
            <w:tcBorders>
              <w:top w:val="single" w:color="000000" w:sz="4" w:space="0"/>
              <w:left w:val="single" w:color="000000" w:sz="4" w:space="0"/>
              <w:bottom w:val="single" w:color="000000" w:sz="4" w:space="0"/>
              <w:right w:val="single" w:color="000000" w:sz="4" w:space="0"/>
            </w:tcBorders>
            <w:noWrap/>
            <w:vAlign w:val="center"/>
          </w:tcPr>
          <w:p w14:paraId="4B001E8C">
            <w:pPr>
              <w:widowControl/>
              <w:jc w:val="center"/>
              <w:textAlignment w:val="center"/>
              <w:rPr>
                <w:rFonts w:hint="eastAsia" w:ascii="宋体" w:hAnsi="宋体"/>
                <w:b/>
                <w:bCs/>
                <w:color w:val="auto"/>
                <w:szCs w:val="21"/>
                <w:highlight w:val="none"/>
              </w:rPr>
            </w:pPr>
            <w:r>
              <w:rPr>
                <w:rFonts w:hint="eastAsia" w:ascii="宋体" w:hAnsi="宋体"/>
                <w:b/>
                <w:bCs/>
                <w:color w:val="auto"/>
                <w:kern w:val="0"/>
                <w:szCs w:val="21"/>
                <w:highlight w:val="none"/>
                <w:lang w:bidi="ar"/>
              </w:rPr>
              <w:t>设备</w:t>
            </w:r>
          </w:p>
        </w:tc>
        <w:tc>
          <w:tcPr>
            <w:tcW w:w="6200" w:type="dxa"/>
            <w:gridSpan w:val="3"/>
            <w:tcBorders>
              <w:top w:val="single" w:color="000000" w:sz="4" w:space="0"/>
              <w:left w:val="single" w:color="000000" w:sz="4" w:space="0"/>
              <w:bottom w:val="single" w:color="000000" w:sz="4" w:space="0"/>
              <w:right w:val="single" w:color="000000" w:sz="4" w:space="0"/>
            </w:tcBorders>
            <w:noWrap/>
            <w:vAlign w:val="center"/>
          </w:tcPr>
          <w:p w14:paraId="5EA0B527">
            <w:pPr>
              <w:jc w:val="left"/>
              <w:rPr>
                <w:rFonts w:hint="eastAsia" w:ascii="宋体" w:hAnsi="宋体"/>
                <w:b/>
                <w:bCs/>
                <w:color w:val="auto"/>
                <w:szCs w:val="21"/>
                <w:highlight w:val="none"/>
              </w:rPr>
            </w:pPr>
          </w:p>
        </w:tc>
        <w:tc>
          <w:tcPr>
            <w:tcW w:w="867" w:type="dxa"/>
            <w:gridSpan w:val="4"/>
            <w:tcBorders>
              <w:top w:val="single" w:color="000000" w:sz="4" w:space="0"/>
              <w:left w:val="single" w:color="000000" w:sz="4" w:space="0"/>
              <w:bottom w:val="single" w:color="000000" w:sz="4" w:space="0"/>
              <w:right w:val="single" w:color="000000" w:sz="4" w:space="0"/>
            </w:tcBorders>
            <w:vAlign w:val="center"/>
          </w:tcPr>
          <w:p w14:paraId="56528045">
            <w:pPr>
              <w:jc w:val="center"/>
              <w:rPr>
                <w:rFonts w:hint="eastAsia" w:ascii="宋体" w:hAnsi="宋体"/>
                <w:b/>
                <w:bCs/>
                <w:color w:val="auto"/>
                <w:szCs w:val="21"/>
                <w:highlight w:val="none"/>
              </w:rPr>
            </w:pPr>
          </w:p>
        </w:tc>
        <w:tc>
          <w:tcPr>
            <w:tcW w:w="935" w:type="dxa"/>
            <w:gridSpan w:val="3"/>
            <w:tcBorders>
              <w:top w:val="single" w:color="000000" w:sz="4" w:space="0"/>
              <w:left w:val="single" w:color="000000" w:sz="4" w:space="0"/>
              <w:bottom w:val="single" w:color="000000" w:sz="4" w:space="0"/>
              <w:right w:val="single" w:color="000000" w:sz="4" w:space="0"/>
            </w:tcBorders>
            <w:vAlign w:val="center"/>
          </w:tcPr>
          <w:p w14:paraId="360FAE82">
            <w:pPr>
              <w:jc w:val="center"/>
              <w:rPr>
                <w:rFonts w:hint="eastAsia" w:ascii="宋体" w:hAnsi="宋体"/>
                <w:b/>
                <w:bCs/>
                <w:color w:val="auto"/>
                <w:szCs w:val="21"/>
                <w:highlight w:val="none"/>
              </w:rPr>
            </w:pPr>
          </w:p>
        </w:tc>
      </w:tr>
      <w:tr w14:paraId="31BA34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jc w:val="center"/>
        </w:trPr>
        <w:tc>
          <w:tcPr>
            <w:tcW w:w="749" w:type="dxa"/>
            <w:tcBorders>
              <w:top w:val="single" w:color="000000" w:sz="4" w:space="0"/>
              <w:left w:val="single" w:color="000000" w:sz="4" w:space="0"/>
              <w:bottom w:val="single" w:color="000000" w:sz="4" w:space="0"/>
              <w:right w:val="single" w:color="000000" w:sz="4" w:space="0"/>
            </w:tcBorders>
            <w:vAlign w:val="center"/>
          </w:tcPr>
          <w:p w14:paraId="1A0C7E88">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c>
          <w:tcPr>
            <w:tcW w:w="1227" w:type="dxa"/>
            <w:tcBorders>
              <w:top w:val="single" w:color="000000" w:sz="4" w:space="0"/>
              <w:left w:val="single" w:color="000000" w:sz="4" w:space="0"/>
              <w:bottom w:val="single" w:color="000000" w:sz="4" w:space="0"/>
              <w:right w:val="single" w:color="000000" w:sz="4" w:space="0"/>
            </w:tcBorders>
            <w:vAlign w:val="center"/>
          </w:tcPr>
          <w:p w14:paraId="6C5EE9A4">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教师操作台</w:t>
            </w:r>
          </w:p>
        </w:tc>
        <w:tc>
          <w:tcPr>
            <w:tcW w:w="6200" w:type="dxa"/>
            <w:gridSpan w:val="3"/>
            <w:tcBorders>
              <w:top w:val="single" w:color="000000" w:sz="4" w:space="0"/>
              <w:left w:val="single" w:color="000000" w:sz="4" w:space="0"/>
              <w:bottom w:val="single" w:color="000000" w:sz="4" w:space="0"/>
              <w:right w:val="single" w:color="000000" w:sz="4" w:space="0"/>
            </w:tcBorders>
            <w:vAlign w:val="center"/>
          </w:tcPr>
          <w:p w14:paraId="1036284D">
            <w:pPr>
              <w:widowControl/>
              <w:numPr>
                <w:ilvl w:val="0"/>
                <w:numId w:val="333"/>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≥2400mm×700mm×850mm；铝木结构。</w:t>
            </w:r>
          </w:p>
          <w:p w14:paraId="08B4BEDC">
            <w:pPr>
              <w:widowControl/>
              <w:numPr>
                <w:ilvl w:val="0"/>
                <w:numId w:val="333"/>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台面为≥40mm厚硬实木齿接板材表面涂环保亚光清漆；</w:t>
            </w:r>
          </w:p>
          <w:p w14:paraId="190AA9D5">
            <w:pPr>
              <w:widowControl/>
              <w:numPr>
                <w:ilvl w:val="0"/>
                <w:numId w:val="333"/>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桌面铺设≥3mm厚水晶防护垫，耐酸碱防腐蚀、耐磨抗污抗冲击，有效减少噪音污染；</w:t>
            </w:r>
          </w:p>
          <w:p w14:paraId="492214CA">
            <w:pPr>
              <w:widowControl/>
              <w:numPr>
                <w:ilvl w:val="0"/>
                <w:numId w:val="333"/>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台身：台体柜架采用模具成型的专用铝合金型材制作，铝合金型材厚≥1.5mm，柜架立柱为≥33×60D方管，拉称为：≥33×35mm方管。通过铝材专用连接件，组装而成，保证组装接缝严密无松动现象，铝材上应带凹槽，槽的宽度和深度应与所采用的柜体板材正配，柜体采用≥16mm厚优质E0级三聚氰胺板，外露界面采用≥1.5mm优质封边条机械封边。嵌入式防水电源插座220V五眼（有安全防护盖及开关）</w:t>
            </w:r>
          </w:p>
        </w:tc>
        <w:tc>
          <w:tcPr>
            <w:tcW w:w="867" w:type="dxa"/>
            <w:gridSpan w:val="4"/>
            <w:tcBorders>
              <w:top w:val="single" w:color="000000" w:sz="4" w:space="0"/>
              <w:left w:val="single" w:color="000000" w:sz="4" w:space="0"/>
              <w:bottom w:val="single" w:color="000000" w:sz="4" w:space="0"/>
              <w:right w:val="single" w:color="000000" w:sz="4" w:space="0"/>
            </w:tcBorders>
            <w:vAlign w:val="center"/>
          </w:tcPr>
          <w:p w14:paraId="3B845D01">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张</w:t>
            </w:r>
          </w:p>
        </w:tc>
        <w:tc>
          <w:tcPr>
            <w:tcW w:w="935" w:type="dxa"/>
            <w:gridSpan w:val="3"/>
            <w:tcBorders>
              <w:top w:val="single" w:color="000000" w:sz="4" w:space="0"/>
              <w:left w:val="single" w:color="000000" w:sz="4" w:space="0"/>
              <w:bottom w:val="single" w:color="000000" w:sz="4" w:space="0"/>
              <w:right w:val="single" w:color="000000" w:sz="4" w:space="0"/>
            </w:tcBorders>
            <w:vAlign w:val="center"/>
          </w:tcPr>
          <w:p w14:paraId="5FF0BE1C">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179C54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jc w:val="center"/>
        </w:trPr>
        <w:tc>
          <w:tcPr>
            <w:tcW w:w="749" w:type="dxa"/>
            <w:tcBorders>
              <w:top w:val="single" w:color="000000" w:sz="4" w:space="0"/>
              <w:left w:val="single" w:color="000000" w:sz="4" w:space="0"/>
              <w:bottom w:val="single" w:color="000000" w:sz="4" w:space="0"/>
              <w:right w:val="single" w:color="000000" w:sz="4" w:space="0"/>
            </w:tcBorders>
            <w:vAlign w:val="center"/>
          </w:tcPr>
          <w:p w14:paraId="4F84B2E2">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w:t>
            </w:r>
          </w:p>
        </w:tc>
        <w:tc>
          <w:tcPr>
            <w:tcW w:w="1227" w:type="dxa"/>
            <w:tcBorders>
              <w:top w:val="single" w:color="000000" w:sz="4" w:space="0"/>
              <w:left w:val="single" w:color="000000" w:sz="4" w:space="0"/>
              <w:bottom w:val="single" w:color="000000" w:sz="4" w:space="0"/>
              <w:right w:val="single" w:color="000000" w:sz="4" w:space="0"/>
            </w:tcBorders>
            <w:vAlign w:val="center"/>
          </w:tcPr>
          <w:p w14:paraId="30CF6B9C">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学生实践桌</w:t>
            </w:r>
          </w:p>
        </w:tc>
        <w:tc>
          <w:tcPr>
            <w:tcW w:w="6200" w:type="dxa"/>
            <w:gridSpan w:val="3"/>
            <w:tcBorders>
              <w:top w:val="single" w:color="000000" w:sz="4" w:space="0"/>
              <w:left w:val="single" w:color="000000" w:sz="4" w:space="0"/>
              <w:bottom w:val="single" w:color="000000" w:sz="4" w:space="0"/>
              <w:right w:val="single" w:color="000000" w:sz="4" w:space="0"/>
            </w:tcBorders>
            <w:vAlign w:val="center"/>
          </w:tcPr>
          <w:p w14:paraId="205FFB8B">
            <w:pPr>
              <w:widowControl/>
              <w:numPr>
                <w:ilvl w:val="0"/>
                <w:numId w:val="334"/>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规格尺寸：≥2400mm*1200mm*780mm（以学校教室实际尺寸进行调整）；</w:t>
            </w:r>
          </w:p>
          <w:p w14:paraId="1D41BBFF">
            <w:pPr>
              <w:widowControl/>
              <w:numPr>
                <w:ilvl w:val="0"/>
                <w:numId w:val="334"/>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台面：采用≥40mm实木板材加工，干燥处理； 桌面铺设≥2mm透明橡胶防护垫；中间配有防护网；配有带盖板电源插座两组，提供220V电源，插座引入线埋于台面下，不能外露。台体柜架采用模具成型的专用铝合金型材制作，铝合金型材厚≥1.5mm，柜架立柱为≥33×60D方管，拉称为：≥33×35mm方管。通过铝材专用连接件，组装而成，保证组装接缝严密无松动现象，铝材上应带凹槽，槽的宽度和深度应与所采用的柜体板材正配，柜体采用≥16mm厚优质E0级三聚氰胺板，外露界面采用≥1.5mm优质封边条机械封边。长方向两侧各有工具抽屉，带有两个存放柜。</w:t>
            </w:r>
          </w:p>
        </w:tc>
        <w:tc>
          <w:tcPr>
            <w:tcW w:w="867" w:type="dxa"/>
            <w:gridSpan w:val="4"/>
            <w:tcBorders>
              <w:top w:val="single" w:color="000000" w:sz="4" w:space="0"/>
              <w:left w:val="single" w:color="000000" w:sz="4" w:space="0"/>
              <w:bottom w:val="single" w:color="000000" w:sz="4" w:space="0"/>
              <w:right w:val="single" w:color="000000" w:sz="4" w:space="0"/>
            </w:tcBorders>
            <w:vAlign w:val="center"/>
          </w:tcPr>
          <w:p w14:paraId="7DD5D776">
            <w:pPr>
              <w:widowControl/>
              <w:jc w:val="center"/>
              <w:textAlignment w:val="center"/>
              <w:rPr>
                <w:rFonts w:hint="eastAsia" w:ascii="宋体" w:hAnsi="宋体"/>
                <w:color w:val="auto"/>
                <w:szCs w:val="21"/>
                <w:highlight w:val="none"/>
              </w:rPr>
            </w:pPr>
            <w:r>
              <w:rPr>
                <w:rFonts w:hint="eastAsia" w:ascii="宋体" w:hAnsi="宋体"/>
                <w:color w:val="auto"/>
                <w:szCs w:val="21"/>
                <w:highlight w:val="none"/>
              </w:rPr>
              <w:t>位</w:t>
            </w:r>
          </w:p>
        </w:tc>
        <w:tc>
          <w:tcPr>
            <w:tcW w:w="935" w:type="dxa"/>
            <w:gridSpan w:val="3"/>
            <w:tcBorders>
              <w:top w:val="single" w:color="000000" w:sz="4" w:space="0"/>
              <w:left w:val="single" w:color="000000" w:sz="4" w:space="0"/>
              <w:bottom w:val="single" w:color="000000" w:sz="4" w:space="0"/>
              <w:right w:val="single" w:color="000000" w:sz="4" w:space="0"/>
            </w:tcBorders>
            <w:vAlign w:val="center"/>
          </w:tcPr>
          <w:p w14:paraId="0FB7C20E">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56</w:t>
            </w:r>
          </w:p>
        </w:tc>
      </w:tr>
      <w:tr w14:paraId="66D208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jc w:val="center"/>
        </w:trPr>
        <w:tc>
          <w:tcPr>
            <w:tcW w:w="749" w:type="dxa"/>
            <w:tcBorders>
              <w:top w:val="single" w:color="000000" w:sz="4" w:space="0"/>
              <w:left w:val="single" w:color="000000" w:sz="4" w:space="0"/>
              <w:bottom w:val="single" w:color="000000" w:sz="4" w:space="0"/>
              <w:right w:val="single" w:color="000000" w:sz="4" w:space="0"/>
            </w:tcBorders>
            <w:vAlign w:val="center"/>
          </w:tcPr>
          <w:p w14:paraId="63513CB4">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3</w:t>
            </w:r>
          </w:p>
        </w:tc>
        <w:tc>
          <w:tcPr>
            <w:tcW w:w="1227" w:type="dxa"/>
            <w:tcBorders>
              <w:top w:val="single" w:color="000000" w:sz="4" w:space="0"/>
              <w:left w:val="single" w:color="000000" w:sz="4" w:space="0"/>
              <w:bottom w:val="single" w:color="000000" w:sz="4" w:space="0"/>
              <w:right w:val="single" w:color="000000" w:sz="4" w:space="0"/>
            </w:tcBorders>
            <w:vAlign w:val="center"/>
          </w:tcPr>
          <w:p w14:paraId="3E92B842">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教师椅</w:t>
            </w:r>
          </w:p>
        </w:tc>
        <w:tc>
          <w:tcPr>
            <w:tcW w:w="6200" w:type="dxa"/>
            <w:gridSpan w:val="3"/>
            <w:tcBorders>
              <w:top w:val="single" w:color="000000" w:sz="4" w:space="0"/>
              <w:left w:val="single" w:color="000000" w:sz="4" w:space="0"/>
              <w:bottom w:val="single" w:color="000000" w:sz="4" w:space="0"/>
              <w:right w:val="single" w:color="000000" w:sz="4" w:space="0"/>
            </w:tcBorders>
            <w:vAlign w:val="center"/>
          </w:tcPr>
          <w:p w14:paraId="1DB380EA">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工字型网布面料五金配件，美观大方。</w:t>
            </w:r>
          </w:p>
        </w:tc>
        <w:tc>
          <w:tcPr>
            <w:tcW w:w="867" w:type="dxa"/>
            <w:gridSpan w:val="4"/>
            <w:tcBorders>
              <w:top w:val="single" w:color="000000" w:sz="4" w:space="0"/>
              <w:left w:val="single" w:color="000000" w:sz="4" w:space="0"/>
              <w:bottom w:val="single" w:color="000000" w:sz="4" w:space="0"/>
              <w:right w:val="single" w:color="000000" w:sz="4" w:space="0"/>
            </w:tcBorders>
            <w:vAlign w:val="center"/>
          </w:tcPr>
          <w:p w14:paraId="0A6548AF">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把</w:t>
            </w:r>
          </w:p>
        </w:tc>
        <w:tc>
          <w:tcPr>
            <w:tcW w:w="935" w:type="dxa"/>
            <w:gridSpan w:val="3"/>
            <w:tcBorders>
              <w:top w:val="single" w:color="000000" w:sz="4" w:space="0"/>
              <w:left w:val="single" w:color="000000" w:sz="4" w:space="0"/>
              <w:bottom w:val="single" w:color="000000" w:sz="4" w:space="0"/>
              <w:right w:val="single" w:color="000000" w:sz="4" w:space="0"/>
            </w:tcBorders>
            <w:vAlign w:val="center"/>
          </w:tcPr>
          <w:p w14:paraId="6AA2137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055069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jc w:val="center"/>
        </w:trPr>
        <w:tc>
          <w:tcPr>
            <w:tcW w:w="749" w:type="dxa"/>
            <w:tcBorders>
              <w:top w:val="single" w:color="000000" w:sz="4" w:space="0"/>
              <w:left w:val="single" w:color="000000" w:sz="4" w:space="0"/>
              <w:bottom w:val="single" w:color="000000" w:sz="4" w:space="0"/>
              <w:right w:val="single" w:color="000000" w:sz="4" w:space="0"/>
            </w:tcBorders>
            <w:vAlign w:val="center"/>
          </w:tcPr>
          <w:p w14:paraId="228DFD61">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4</w:t>
            </w:r>
          </w:p>
        </w:tc>
        <w:tc>
          <w:tcPr>
            <w:tcW w:w="1227" w:type="dxa"/>
            <w:tcBorders>
              <w:top w:val="single" w:color="000000" w:sz="4" w:space="0"/>
              <w:left w:val="single" w:color="000000" w:sz="4" w:space="0"/>
              <w:bottom w:val="single" w:color="000000" w:sz="4" w:space="0"/>
              <w:right w:val="single" w:color="000000" w:sz="4" w:space="0"/>
            </w:tcBorders>
            <w:vAlign w:val="center"/>
          </w:tcPr>
          <w:p w14:paraId="3C3E389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学生凳</w:t>
            </w:r>
          </w:p>
        </w:tc>
        <w:tc>
          <w:tcPr>
            <w:tcW w:w="6200" w:type="dxa"/>
            <w:gridSpan w:val="3"/>
            <w:tcBorders>
              <w:top w:val="single" w:color="000000" w:sz="4" w:space="0"/>
              <w:left w:val="single" w:color="000000" w:sz="4" w:space="0"/>
              <w:bottom w:val="single" w:color="000000" w:sz="4" w:space="0"/>
              <w:right w:val="single" w:color="000000" w:sz="4" w:space="0"/>
            </w:tcBorders>
            <w:vAlign w:val="center"/>
          </w:tcPr>
          <w:p w14:paraId="3A0E0E90">
            <w:pPr>
              <w:widowControl/>
              <w:numPr>
                <w:ilvl w:val="0"/>
                <w:numId w:val="335"/>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座高：≥450mm。</w:t>
            </w:r>
          </w:p>
          <w:p w14:paraId="48518101">
            <w:pPr>
              <w:widowControl/>
              <w:numPr>
                <w:ilvl w:val="0"/>
                <w:numId w:val="335"/>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坐板：材质：采用全新PP一次注塑成三角型，坐垫下自生加强筋及塑制背盖，</w:t>
            </w:r>
          </w:p>
          <w:p w14:paraId="79CEE345">
            <w:pPr>
              <w:widowControl/>
              <w:numPr>
                <w:ilvl w:val="0"/>
                <w:numId w:val="335"/>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脚架：≥22*32*2.0mm枣弧管。经数控弯管机弯曲成型，</w:t>
            </w:r>
          </w:p>
          <w:p w14:paraId="10F1BB17">
            <w:pPr>
              <w:widowControl/>
              <w:numPr>
                <w:ilvl w:val="0"/>
                <w:numId w:val="335"/>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钢管架焊接完成后，表面经大型抛丸机抛丸除锈。静电喷塑，外表采用一级颗粒粉末，经高温粉体烤漆，附着力强，不脱漆。涂层需无漏喷、锈蚀；涂层需光滑均匀，色泽一致，长时间使用也不会产生表面漆剥落现象。</w:t>
            </w:r>
          </w:p>
          <w:p w14:paraId="24A31FEC">
            <w:pPr>
              <w:widowControl/>
              <w:numPr>
                <w:ilvl w:val="0"/>
                <w:numId w:val="335"/>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脚垫：材质采用PA塑料。</w:t>
            </w:r>
          </w:p>
        </w:tc>
        <w:tc>
          <w:tcPr>
            <w:tcW w:w="867" w:type="dxa"/>
            <w:gridSpan w:val="4"/>
            <w:tcBorders>
              <w:top w:val="single" w:color="000000" w:sz="4" w:space="0"/>
              <w:left w:val="single" w:color="000000" w:sz="4" w:space="0"/>
              <w:bottom w:val="single" w:color="000000" w:sz="4" w:space="0"/>
              <w:right w:val="single" w:color="000000" w:sz="4" w:space="0"/>
            </w:tcBorders>
            <w:vAlign w:val="center"/>
          </w:tcPr>
          <w:p w14:paraId="210C6DEA">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35" w:type="dxa"/>
            <w:gridSpan w:val="3"/>
            <w:tcBorders>
              <w:top w:val="single" w:color="000000" w:sz="4" w:space="0"/>
              <w:left w:val="single" w:color="000000" w:sz="4" w:space="0"/>
              <w:bottom w:val="single" w:color="000000" w:sz="4" w:space="0"/>
              <w:right w:val="single" w:color="000000" w:sz="4" w:space="0"/>
            </w:tcBorders>
            <w:vAlign w:val="center"/>
          </w:tcPr>
          <w:p w14:paraId="74E160ED">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56</w:t>
            </w:r>
          </w:p>
        </w:tc>
      </w:tr>
      <w:tr w14:paraId="719B80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jc w:val="center"/>
        </w:trPr>
        <w:tc>
          <w:tcPr>
            <w:tcW w:w="749" w:type="dxa"/>
            <w:tcBorders>
              <w:top w:val="single" w:color="000000" w:sz="4" w:space="0"/>
              <w:left w:val="single" w:color="000000" w:sz="4" w:space="0"/>
              <w:bottom w:val="single" w:color="000000" w:sz="4" w:space="0"/>
              <w:right w:val="single" w:color="000000" w:sz="4" w:space="0"/>
            </w:tcBorders>
            <w:vAlign w:val="center"/>
          </w:tcPr>
          <w:p w14:paraId="78F68633">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5</w:t>
            </w:r>
          </w:p>
        </w:tc>
        <w:tc>
          <w:tcPr>
            <w:tcW w:w="1227" w:type="dxa"/>
            <w:tcBorders>
              <w:top w:val="single" w:color="000000" w:sz="4" w:space="0"/>
              <w:left w:val="single" w:color="000000" w:sz="4" w:space="0"/>
              <w:bottom w:val="single" w:color="000000" w:sz="4" w:space="0"/>
              <w:right w:val="single" w:color="000000" w:sz="4" w:space="0"/>
            </w:tcBorders>
            <w:vAlign w:val="center"/>
          </w:tcPr>
          <w:p w14:paraId="2487585A">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作品陈列柜</w:t>
            </w:r>
          </w:p>
        </w:tc>
        <w:tc>
          <w:tcPr>
            <w:tcW w:w="6200" w:type="dxa"/>
            <w:gridSpan w:val="3"/>
            <w:tcBorders>
              <w:top w:val="single" w:color="000000" w:sz="4" w:space="0"/>
              <w:left w:val="single" w:color="000000" w:sz="4" w:space="0"/>
              <w:bottom w:val="single" w:color="000000" w:sz="4" w:space="0"/>
              <w:right w:val="single" w:color="000000" w:sz="4" w:space="0"/>
            </w:tcBorders>
            <w:vAlign w:val="center"/>
          </w:tcPr>
          <w:p w14:paraId="7755380E">
            <w:pPr>
              <w:widowControl/>
              <w:numPr>
                <w:ilvl w:val="0"/>
                <w:numId w:val="336"/>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柜体尺寸（宽深高）≥1000 mm×500 mm×2000mm。铝木结构，</w:t>
            </w:r>
          </w:p>
          <w:p w14:paraId="1B54563E">
            <w:pPr>
              <w:widowControl/>
              <w:numPr>
                <w:ilvl w:val="0"/>
                <w:numId w:val="336"/>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柜体框架：采用模具成型的专用铝合金方管制作，通过ABS专用连接件组装而成，保证连接牢固。前立柱、前横梁外径为≥30mm×44mm（误差±1mm），后立柱、后横梁外径为≥44mm×44mm（误差±1mm），铝合金管材的壁厚≥1.5 mm（误差±0.15 mm）。铝合金型材带凹槽，凹槽的宽度与柜体衬板相匹配，凹槽的深度≥14mm（误差±0.15 mm），保证柜体衬板与铝型材之间接缝严密，无晃动现象，不发生脱落。铝合金型材表面经静电粉沫喷涂处理，整体耐腐蚀、防火、防潮、稳固耐用。</w:t>
            </w:r>
          </w:p>
          <w:p w14:paraId="0D7D4465">
            <w:pPr>
              <w:widowControl/>
              <w:numPr>
                <w:ilvl w:val="0"/>
                <w:numId w:val="336"/>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柜体衬板采用与铝合金匹配的双面三聚氰胺板（即双饰面板）作为台体衬板，外漏截面采用≥1.5mm厚塑制优质封边条机械封边。</w:t>
            </w:r>
          </w:p>
          <w:p w14:paraId="19B58F31">
            <w:pPr>
              <w:widowControl/>
              <w:numPr>
                <w:ilvl w:val="0"/>
                <w:numId w:val="336"/>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柜门：上部为专用木框对开玻璃门，下部为对开木门，铝合金一字型扣手。柜门采用优质不锈钢定位铰链，铰链下垫≥56*49*13mmABS胶垫并预留螺丝孔，铰链的壁厚≥1.5mm，安全、牢固、防腐、耐用。</w:t>
            </w:r>
          </w:p>
          <w:p w14:paraId="6542FCA0">
            <w:pPr>
              <w:widowControl/>
              <w:numPr>
                <w:ilvl w:val="0"/>
                <w:numId w:val="336"/>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隔板：上柜设置2块活动隔板，下柜设置1块固定隔板。隔板所用的板材与柜体板材相同。隔板的两条长边采用铝合金山形槽包边，铝合金正面预留标签卡槽。表面进行喷塑处理。</w:t>
            </w:r>
          </w:p>
          <w:p w14:paraId="55E27E4F">
            <w:pPr>
              <w:widowControl/>
              <w:numPr>
                <w:ilvl w:val="0"/>
                <w:numId w:val="336"/>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高度升降条：上部柜体内侧均安装高度升降条（≥1.0 mm冷轧钢板制作），每侧2根，带12个活动支撑座（位置可调）。高度升降条和支撑座表面采用纯环氧树脂静电喷涂高温固化，具有较高耐蚀性能。</w:t>
            </w:r>
          </w:p>
          <w:p w14:paraId="6D148406">
            <w:pPr>
              <w:widowControl/>
              <w:numPr>
                <w:ilvl w:val="0"/>
                <w:numId w:val="336"/>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支脚：采用直径≥12mm的不锈钢螺杆与ABS工程塑料一次注塑成型的脚垫，高度可调节，并可锁紧。</w:t>
            </w:r>
          </w:p>
        </w:tc>
        <w:tc>
          <w:tcPr>
            <w:tcW w:w="867" w:type="dxa"/>
            <w:gridSpan w:val="4"/>
            <w:tcBorders>
              <w:top w:val="single" w:color="000000" w:sz="4" w:space="0"/>
              <w:left w:val="single" w:color="000000" w:sz="4" w:space="0"/>
              <w:bottom w:val="single" w:color="000000" w:sz="4" w:space="0"/>
              <w:right w:val="single" w:color="000000" w:sz="4" w:space="0"/>
            </w:tcBorders>
            <w:vAlign w:val="center"/>
          </w:tcPr>
          <w:p w14:paraId="4719C687">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套</w:t>
            </w:r>
          </w:p>
        </w:tc>
        <w:tc>
          <w:tcPr>
            <w:tcW w:w="935" w:type="dxa"/>
            <w:gridSpan w:val="3"/>
            <w:tcBorders>
              <w:top w:val="single" w:color="000000" w:sz="4" w:space="0"/>
              <w:left w:val="single" w:color="000000" w:sz="4" w:space="0"/>
              <w:bottom w:val="single" w:color="000000" w:sz="4" w:space="0"/>
              <w:right w:val="single" w:color="000000" w:sz="4" w:space="0"/>
            </w:tcBorders>
            <w:vAlign w:val="center"/>
          </w:tcPr>
          <w:p w14:paraId="42E1F5B2">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12</w:t>
            </w:r>
          </w:p>
        </w:tc>
      </w:tr>
      <w:tr w14:paraId="27846D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jc w:val="center"/>
        </w:trPr>
        <w:tc>
          <w:tcPr>
            <w:tcW w:w="749" w:type="dxa"/>
            <w:tcBorders>
              <w:top w:val="single" w:color="000000" w:sz="4" w:space="0"/>
              <w:left w:val="single" w:color="000000" w:sz="4" w:space="0"/>
              <w:bottom w:val="single" w:color="000000" w:sz="4" w:space="0"/>
              <w:right w:val="single" w:color="000000" w:sz="4" w:space="0"/>
            </w:tcBorders>
            <w:vAlign w:val="center"/>
          </w:tcPr>
          <w:p w14:paraId="759EDD8F">
            <w:pPr>
              <w:widowControl/>
              <w:textAlignment w:val="center"/>
              <w:rPr>
                <w:rFonts w:hint="eastAsia" w:ascii="宋体" w:hAnsi="宋体"/>
                <w:b/>
                <w:bCs/>
                <w:color w:val="auto"/>
                <w:szCs w:val="21"/>
                <w:highlight w:val="none"/>
              </w:rPr>
            </w:pPr>
            <w:r>
              <w:rPr>
                <w:rFonts w:hint="eastAsia" w:ascii="宋体" w:hAnsi="宋体"/>
                <w:b/>
                <w:bCs/>
                <w:color w:val="auto"/>
                <w:kern w:val="0"/>
                <w:szCs w:val="21"/>
                <w:highlight w:val="none"/>
                <w:lang w:bidi="ar"/>
              </w:rPr>
              <w:t>（二）</w:t>
            </w:r>
          </w:p>
        </w:tc>
        <w:tc>
          <w:tcPr>
            <w:tcW w:w="1227" w:type="dxa"/>
            <w:tcBorders>
              <w:top w:val="single" w:color="000000" w:sz="4" w:space="0"/>
              <w:left w:val="single" w:color="000000" w:sz="4" w:space="0"/>
              <w:bottom w:val="single" w:color="000000" w:sz="4" w:space="0"/>
              <w:right w:val="single" w:color="000000" w:sz="4" w:space="0"/>
            </w:tcBorders>
            <w:vAlign w:val="center"/>
          </w:tcPr>
          <w:p w14:paraId="6AA6B666">
            <w:pPr>
              <w:widowControl/>
              <w:jc w:val="center"/>
              <w:textAlignment w:val="center"/>
              <w:rPr>
                <w:rFonts w:hint="eastAsia" w:ascii="宋体" w:hAnsi="宋体"/>
                <w:b/>
                <w:bCs/>
                <w:color w:val="auto"/>
                <w:szCs w:val="21"/>
                <w:highlight w:val="none"/>
              </w:rPr>
            </w:pPr>
            <w:r>
              <w:rPr>
                <w:rFonts w:hint="eastAsia" w:ascii="宋体" w:hAnsi="宋体"/>
                <w:b/>
                <w:bCs/>
                <w:color w:val="auto"/>
                <w:kern w:val="0"/>
                <w:szCs w:val="21"/>
                <w:highlight w:val="none"/>
                <w:lang w:bidi="ar"/>
              </w:rPr>
              <w:t>木工—设计与制作</w:t>
            </w:r>
          </w:p>
        </w:tc>
        <w:tc>
          <w:tcPr>
            <w:tcW w:w="6200" w:type="dxa"/>
            <w:gridSpan w:val="3"/>
            <w:tcBorders>
              <w:top w:val="single" w:color="000000" w:sz="4" w:space="0"/>
              <w:left w:val="single" w:color="000000" w:sz="4" w:space="0"/>
              <w:bottom w:val="single" w:color="000000" w:sz="4" w:space="0"/>
              <w:right w:val="single" w:color="000000" w:sz="4" w:space="0"/>
            </w:tcBorders>
            <w:vAlign w:val="center"/>
          </w:tcPr>
          <w:p w14:paraId="18B06636">
            <w:pPr>
              <w:jc w:val="left"/>
              <w:rPr>
                <w:rFonts w:hint="eastAsia" w:ascii="宋体" w:hAnsi="宋体"/>
                <w:b/>
                <w:bCs/>
                <w:color w:val="auto"/>
                <w:szCs w:val="21"/>
                <w:highlight w:val="none"/>
              </w:rPr>
            </w:pPr>
          </w:p>
        </w:tc>
        <w:tc>
          <w:tcPr>
            <w:tcW w:w="867" w:type="dxa"/>
            <w:gridSpan w:val="4"/>
            <w:tcBorders>
              <w:top w:val="single" w:color="000000" w:sz="4" w:space="0"/>
              <w:left w:val="single" w:color="000000" w:sz="4" w:space="0"/>
              <w:bottom w:val="single" w:color="000000" w:sz="4" w:space="0"/>
              <w:right w:val="single" w:color="000000" w:sz="4" w:space="0"/>
            </w:tcBorders>
            <w:vAlign w:val="bottom"/>
          </w:tcPr>
          <w:p w14:paraId="424DE276">
            <w:pPr>
              <w:jc w:val="center"/>
              <w:rPr>
                <w:rFonts w:hint="eastAsia" w:ascii="宋体" w:hAnsi="宋体"/>
                <w:b/>
                <w:bCs/>
                <w:color w:val="auto"/>
                <w:szCs w:val="21"/>
                <w:highlight w:val="none"/>
              </w:rPr>
            </w:pPr>
          </w:p>
        </w:tc>
        <w:tc>
          <w:tcPr>
            <w:tcW w:w="935" w:type="dxa"/>
            <w:gridSpan w:val="3"/>
            <w:tcBorders>
              <w:top w:val="single" w:color="000000" w:sz="4" w:space="0"/>
              <w:left w:val="single" w:color="000000" w:sz="4" w:space="0"/>
              <w:bottom w:val="single" w:color="000000" w:sz="4" w:space="0"/>
              <w:right w:val="single" w:color="000000" w:sz="4" w:space="0"/>
            </w:tcBorders>
            <w:vAlign w:val="bottom"/>
          </w:tcPr>
          <w:p w14:paraId="40F58F3A">
            <w:pPr>
              <w:jc w:val="center"/>
              <w:rPr>
                <w:rFonts w:hint="eastAsia" w:ascii="宋体" w:hAnsi="宋体"/>
                <w:b/>
                <w:bCs/>
                <w:color w:val="auto"/>
                <w:szCs w:val="21"/>
                <w:highlight w:val="none"/>
              </w:rPr>
            </w:pPr>
          </w:p>
        </w:tc>
      </w:tr>
      <w:tr w14:paraId="16E680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jc w:val="center"/>
        </w:trPr>
        <w:tc>
          <w:tcPr>
            <w:tcW w:w="749" w:type="dxa"/>
            <w:tcBorders>
              <w:top w:val="single" w:color="000000" w:sz="4" w:space="0"/>
              <w:left w:val="single" w:color="000000" w:sz="4" w:space="0"/>
              <w:bottom w:val="single" w:color="000000" w:sz="4" w:space="0"/>
              <w:right w:val="single" w:color="000000" w:sz="4" w:space="0"/>
            </w:tcBorders>
            <w:vAlign w:val="center"/>
          </w:tcPr>
          <w:p w14:paraId="1E58626B">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c>
          <w:tcPr>
            <w:tcW w:w="1227" w:type="dxa"/>
            <w:tcBorders>
              <w:top w:val="single" w:color="000000" w:sz="4" w:space="0"/>
              <w:left w:val="single" w:color="000000" w:sz="4" w:space="0"/>
              <w:bottom w:val="single" w:color="000000" w:sz="4" w:space="0"/>
              <w:right w:val="single" w:color="000000" w:sz="4" w:space="0"/>
            </w:tcBorders>
            <w:vAlign w:val="center"/>
          </w:tcPr>
          <w:p w14:paraId="3FC45C6B">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木工工具</w:t>
            </w:r>
          </w:p>
        </w:tc>
        <w:tc>
          <w:tcPr>
            <w:tcW w:w="6200" w:type="dxa"/>
            <w:gridSpan w:val="3"/>
            <w:tcBorders>
              <w:top w:val="single" w:color="000000" w:sz="4" w:space="0"/>
              <w:left w:val="single" w:color="000000" w:sz="4" w:space="0"/>
              <w:bottom w:val="single" w:color="000000" w:sz="4" w:space="0"/>
              <w:right w:val="single" w:color="000000" w:sz="4" w:space="0"/>
            </w:tcBorders>
            <w:vAlign w:val="center"/>
          </w:tcPr>
          <w:p w14:paraId="6B1A3B87">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一、适用范围：适用于小学、初中劳技教学使用。二、技术要求：（1）1/2木工凿（2）包胶美工刀（3）多用剪刀（4）羊角锤(5)鸟刨（6）木工刨（7）250mm90度角尺（8）4寸+ 字螺丝刀(9)4寸- 字螺丝刀(10)6寸钢丝钳、45#钢锻打（11）5M*17mmABS钢卷尺（12）~（13）G形夹（14）钩刀（15)折叠锯（16）木工铅笔（17）水平尺；三水泡，可测量45°、90°、180°（18）新型迷你墨斗（19）6寸油石（20）8寸半圆木工锉（21）中空吹塑盒定位盒。</w:t>
            </w:r>
          </w:p>
        </w:tc>
        <w:tc>
          <w:tcPr>
            <w:tcW w:w="867" w:type="dxa"/>
            <w:gridSpan w:val="4"/>
            <w:tcBorders>
              <w:top w:val="single" w:color="000000" w:sz="4" w:space="0"/>
              <w:left w:val="single" w:color="000000" w:sz="4" w:space="0"/>
              <w:bottom w:val="single" w:color="000000" w:sz="4" w:space="0"/>
              <w:right w:val="single" w:color="000000" w:sz="4" w:space="0"/>
            </w:tcBorders>
            <w:vAlign w:val="center"/>
          </w:tcPr>
          <w:p w14:paraId="686A8EE5">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套</w:t>
            </w:r>
          </w:p>
        </w:tc>
        <w:tc>
          <w:tcPr>
            <w:tcW w:w="935" w:type="dxa"/>
            <w:gridSpan w:val="3"/>
            <w:tcBorders>
              <w:top w:val="single" w:color="000000" w:sz="4" w:space="0"/>
              <w:left w:val="single" w:color="000000" w:sz="4" w:space="0"/>
              <w:bottom w:val="single" w:color="000000" w:sz="4" w:space="0"/>
              <w:right w:val="single" w:color="000000" w:sz="4" w:space="0"/>
            </w:tcBorders>
            <w:vAlign w:val="center"/>
          </w:tcPr>
          <w:p w14:paraId="5AF8D3E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8</w:t>
            </w:r>
          </w:p>
        </w:tc>
      </w:tr>
      <w:tr w14:paraId="4357B3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jc w:val="center"/>
        </w:trPr>
        <w:tc>
          <w:tcPr>
            <w:tcW w:w="749" w:type="dxa"/>
            <w:tcBorders>
              <w:top w:val="single" w:color="000000" w:sz="4" w:space="0"/>
              <w:left w:val="single" w:color="000000" w:sz="4" w:space="0"/>
              <w:bottom w:val="single" w:color="000000" w:sz="4" w:space="0"/>
              <w:right w:val="single" w:color="000000" w:sz="4" w:space="0"/>
            </w:tcBorders>
            <w:vAlign w:val="center"/>
          </w:tcPr>
          <w:p w14:paraId="23EF409B">
            <w:pPr>
              <w:widowControl/>
              <w:textAlignment w:val="center"/>
              <w:rPr>
                <w:rFonts w:hint="eastAsia" w:ascii="宋体" w:hAnsi="宋体"/>
                <w:b/>
                <w:bCs/>
                <w:color w:val="auto"/>
                <w:szCs w:val="21"/>
                <w:highlight w:val="none"/>
              </w:rPr>
            </w:pPr>
            <w:r>
              <w:rPr>
                <w:rFonts w:hint="eastAsia" w:ascii="宋体" w:hAnsi="宋体"/>
                <w:b/>
                <w:bCs/>
                <w:color w:val="auto"/>
                <w:kern w:val="0"/>
                <w:szCs w:val="21"/>
                <w:highlight w:val="none"/>
                <w:lang w:bidi="ar"/>
              </w:rPr>
              <w:t>（三）</w:t>
            </w:r>
          </w:p>
        </w:tc>
        <w:tc>
          <w:tcPr>
            <w:tcW w:w="1227" w:type="dxa"/>
            <w:tcBorders>
              <w:top w:val="single" w:color="000000" w:sz="4" w:space="0"/>
              <w:left w:val="single" w:color="000000" w:sz="4" w:space="0"/>
              <w:bottom w:val="single" w:color="000000" w:sz="4" w:space="0"/>
              <w:right w:val="single" w:color="000000" w:sz="4" w:space="0"/>
            </w:tcBorders>
            <w:vAlign w:val="center"/>
          </w:tcPr>
          <w:p w14:paraId="2C8E33DB">
            <w:pPr>
              <w:widowControl/>
              <w:jc w:val="center"/>
              <w:textAlignment w:val="center"/>
              <w:rPr>
                <w:rFonts w:hint="eastAsia" w:ascii="宋体" w:hAnsi="宋体"/>
                <w:b/>
                <w:bCs/>
                <w:color w:val="auto"/>
                <w:szCs w:val="21"/>
                <w:highlight w:val="none"/>
              </w:rPr>
            </w:pPr>
            <w:r>
              <w:rPr>
                <w:rFonts w:hint="eastAsia" w:ascii="宋体" w:hAnsi="宋体"/>
                <w:b/>
                <w:bCs/>
                <w:color w:val="auto"/>
                <w:kern w:val="0"/>
                <w:szCs w:val="21"/>
                <w:highlight w:val="none"/>
                <w:lang w:bidi="ar"/>
              </w:rPr>
              <w:t>金工—设计与制作</w:t>
            </w:r>
          </w:p>
        </w:tc>
        <w:tc>
          <w:tcPr>
            <w:tcW w:w="6200" w:type="dxa"/>
            <w:gridSpan w:val="3"/>
            <w:tcBorders>
              <w:top w:val="single" w:color="000000" w:sz="4" w:space="0"/>
              <w:left w:val="single" w:color="000000" w:sz="4" w:space="0"/>
              <w:bottom w:val="single" w:color="000000" w:sz="4" w:space="0"/>
              <w:right w:val="single" w:color="000000" w:sz="4" w:space="0"/>
            </w:tcBorders>
            <w:vAlign w:val="center"/>
          </w:tcPr>
          <w:p w14:paraId="66681F37">
            <w:pPr>
              <w:jc w:val="left"/>
              <w:rPr>
                <w:rFonts w:hint="eastAsia" w:ascii="宋体" w:hAnsi="宋体"/>
                <w:b/>
                <w:bCs/>
                <w:color w:val="auto"/>
                <w:szCs w:val="21"/>
                <w:highlight w:val="none"/>
              </w:rPr>
            </w:pPr>
          </w:p>
        </w:tc>
        <w:tc>
          <w:tcPr>
            <w:tcW w:w="867" w:type="dxa"/>
            <w:gridSpan w:val="4"/>
            <w:tcBorders>
              <w:top w:val="single" w:color="000000" w:sz="4" w:space="0"/>
              <w:left w:val="single" w:color="000000" w:sz="4" w:space="0"/>
              <w:bottom w:val="single" w:color="000000" w:sz="4" w:space="0"/>
              <w:right w:val="single" w:color="000000" w:sz="4" w:space="0"/>
            </w:tcBorders>
            <w:vAlign w:val="bottom"/>
          </w:tcPr>
          <w:p w14:paraId="438265D6">
            <w:pPr>
              <w:jc w:val="center"/>
              <w:rPr>
                <w:rFonts w:hint="eastAsia" w:ascii="宋体" w:hAnsi="宋体"/>
                <w:b/>
                <w:bCs/>
                <w:color w:val="auto"/>
                <w:szCs w:val="21"/>
                <w:highlight w:val="none"/>
              </w:rPr>
            </w:pPr>
          </w:p>
        </w:tc>
        <w:tc>
          <w:tcPr>
            <w:tcW w:w="935" w:type="dxa"/>
            <w:gridSpan w:val="3"/>
            <w:tcBorders>
              <w:top w:val="single" w:color="000000" w:sz="4" w:space="0"/>
              <w:left w:val="single" w:color="000000" w:sz="4" w:space="0"/>
              <w:bottom w:val="single" w:color="000000" w:sz="4" w:space="0"/>
              <w:right w:val="single" w:color="000000" w:sz="4" w:space="0"/>
            </w:tcBorders>
            <w:vAlign w:val="bottom"/>
          </w:tcPr>
          <w:p w14:paraId="7C8988F2">
            <w:pPr>
              <w:jc w:val="center"/>
              <w:rPr>
                <w:rFonts w:hint="eastAsia" w:ascii="宋体" w:hAnsi="宋体"/>
                <w:b/>
                <w:bCs/>
                <w:color w:val="auto"/>
                <w:szCs w:val="21"/>
                <w:highlight w:val="none"/>
              </w:rPr>
            </w:pPr>
          </w:p>
        </w:tc>
      </w:tr>
      <w:tr w14:paraId="4C4770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jc w:val="center"/>
        </w:trPr>
        <w:tc>
          <w:tcPr>
            <w:tcW w:w="749" w:type="dxa"/>
            <w:tcBorders>
              <w:top w:val="single" w:color="000000" w:sz="4" w:space="0"/>
              <w:left w:val="single" w:color="000000" w:sz="4" w:space="0"/>
              <w:bottom w:val="single" w:color="000000" w:sz="4" w:space="0"/>
              <w:right w:val="single" w:color="000000" w:sz="4" w:space="0"/>
            </w:tcBorders>
            <w:vAlign w:val="center"/>
          </w:tcPr>
          <w:p w14:paraId="16951F83">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c>
          <w:tcPr>
            <w:tcW w:w="1227" w:type="dxa"/>
            <w:tcBorders>
              <w:top w:val="single" w:color="000000" w:sz="4" w:space="0"/>
              <w:left w:val="single" w:color="000000" w:sz="4" w:space="0"/>
              <w:bottom w:val="single" w:color="000000" w:sz="4" w:space="0"/>
              <w:right w:val="single" w:color="000000" w:sz="4" w:space="0"/>
            </w:tcBorders>
            <w:vAlign w:val="center"/>
          </w:tcPr>
          <w:p w14:paraId="71E69D62">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金工工具</w:t>
            </w:r>
          </w:p>
        </w:tc>
        <w:tc>
          <w:tcPr>
            <w:tcW w:w="6200" w:type="dxa"/>
            <w:gridSpan w:val="3"/>
            <w:tcBorders>
              <w:top w:val="single" w:color="000000" w:sz="4" w:space="0"/>
              <w:left w:val="single" w:color="000000" w:sz="4" w:space="0"/>
              <w:bottom w:val="single" w:color="000000" w:sz="4" w:space="0"/>
              <w:right w:val="single" w:color="000000" w:sz="4" w:space="0"/>
            </w:tcBorders>
            <w:vAlign w:val="center"/>
          </w:tcPr>
          <w:p w14:paraId="3730ACAB">
            <w:pPr>
              <w:widowControl/>
              <w:numPr>
                <w:ilvl w:val="0"/>
                <w:numId w:val="337"/>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 xml:space="preserve">适用范围：适用于小学、初中劳技教学使用。二、技术要求：（1）样冲（2)～(5)两用扳手：8号、10号、12号、14号（6）12寸活动钢锯架（7）～（12）轴承钢什锦锉6支(13)5M*17mmABS钢卷尺（14）200mm三角锉刀（15）200mm圆锉刀（16）200mm半圆锉刀（17）200mm扁锉刀（18）自行车钢丝扳手（19）8寸美式铁皮剪（20)三叉扳手：8号、10号、12号（21）140mm划针（22）45度三角直尺（23）8寸活动扳手（24）6寸钢尖嘴钳、45#钢锻打（25）6寸钢丝钳、45#钢锻打（26）~（27）4寸+ -PH2螺丝刀（28）~（29）3寸+ -PH1螺丝刀（30）6排木柄钢丝刷（31）高碳钢锻造、木柄钳工锤（32）150mm划规（33）高碳钢锻造、木柄圆头锤（34~45）丝锥板牙套装：5件公制丝锥、5件公制圆板牙、一件丝锥绞手（M6-M12）、一件板牙绞手架（M25）（46~54）内六角扳手9件套1.5mm-10mm（55）300mm钢直尺（56）中空吹塑盒定位盒。 </w:t>
            </w:r>
          </w:p>
        </w:tc>
        <w:tc>
          <w:tcPr>
            <w:tcW w:w="867" w:type="dxa"/>
            <w:gridSpan w:val="4"/>
            <w:tcBorders>
              <w:top w:val="single" w:color="000000" w:sz="4" w:space="0"/>
              <w:left w:val="single" w:color="000000" w:sz="4" w:space="0"/>
              <w:bottom w:val="single" w:color="000000" w:sz="4" w:space="0"/>
              <w:right w:val="single" w:color="000000" w:sz="4" w:space="0"/>
            </w:tcBorders>
            <w:vAlign w:val="center"/>
          </w:tcPr>
          <w:p w14:paraId="615CDD88">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套</w:t>
            </w:r>
          </w:p>
        </w:tc>
        <w:tc>
          <w:tcPr>
            <w:tcW w:w="935" w:type="dxa"/>
            <w:gridSpan w:val="3"/>
            <w:tcBorders>
              <w:top w:val="single" w:color="000000" w:sz="4" w:space="0"/>
              <w:left w:val="single" w:color="000000" w:sz="4" w:space="0"/>
              <w:bottom w:val="single" w:color="000000" w:sz="4" w:space="0"/>
              <w:right w:val="single" w:color="000000" w:sz="4" w:space="0"/>
            </w:tcBorders>
            <w:vAlign w:val="center"/>
          </w:tcPr>
          <w:p w14:paraId="42AB9A33">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8</w:t>
            </w:r>
          </w:p>
        </w:tc>
      </w:tr>
      <w:tr w14:paraId="628EB2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jc w:val="center"/>
        </w:trPr>
        <w:tc>
          <w:tcPr>
            <w:tcW w:w="749" w:type="dxa"/>
            <w:tcBorders>
              <w:top w:val="single" w:color="000000" w:sz="4" w:space="0"/>
              <w:left w:val="single" w:color="000000" w:sz="4" w:space="0"/>
              <w:bottom w:val="single" w:color="000000" w:sz="4" w:space="0"/>
              <w:right w:val="single" w:color="000000" w:sz="4" w:space="0"/>
            </w:tcBorders>
            <w:vAlign w:val="center"/>
          </w:tcPr>
          <w:p w14:paraId="6BBA174D">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w:t>
            </w:r>
          </w:p>
        </w:tc>
        <w:tc>
          <w:tcPr>
            <w:tcW w:w="1227" w:type="dxa"/>
            <w:tcBorders>
              <w:top w:val="single" w:color="000000" w:sz="4" w:space="0"/>
              <w:left w:val="single" w:color="000000" w:sz="4" w:space="0"/>
              <w:bottom w:val="single" w:color="000000" w:sz="4" w:space="0"/>
              <w:right w:val="single" w:color="000000" w:sz="4" w:space="0"/>
            </w:tcBorders>
            <w:vAlign w:val="center"/>
          </w:tcPr>
          <w:p w14:paraId="5D1CD43D">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游标卡尺</w:t>
            </w:r>
          </w:p>
        </w:tc>
        <w:tc>
          <w:tcPr>
            <w:tcW w:w="6200" w:type="dxa"/>
            <w:gridSpan w:val="3"/>
            <w:tcBorders>
              <w:top w:val="single" w:color="000000" w:sz="4" w:space="0"/>
              <w:left w:val="single" w:color="000000" w:sz="4" w:space="0"/>
              <w:bottom w:val="single" w:color="000000" w:sz="4" w:space="0"/>
              <w:right w:val="single" w:color="000000" w:sz="4" w:space="0"/>
            </w:tcBorders>
            <w:vAlign w:val="center"/>
          </w:tcPr>
          <w:p w14:paraId="36071E53">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≥150mm</w:t>
            </w:r>
          </w:p>
        </w:tc>
        <w:tc>
          <w:tcPr>
            <w:tcW w:w="867" w:type="dxa"/>
            <w:gridSpan w:val="4"/>
            <w:tcBorders>
              <w:top w:val="single" w:color="000000" w:sz="4" w:space="0"/>
              <w:left w:val="single" w:color="000000" w:sz="4" w:space="0"/>
              <w:bottom w:val="single" w:color="000000" w:sz="4" w:space="0"/>
              <w:right w:val="single" w:color="000000" w:sz="4" w:space="0"/>
            </w:tcBorders>
            <w:vAlign w:val="center"/>
          </w:tcPr>
          <w:p w14:paraId="4A231AC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把</w:t>
            </w:r>
          </w:p>
        </w:tc>
        <w:tc>
          <w:tcPr>
            <w:tcW w:w="935" w:type="dxa"/>
            <w:gridSpan w:val="3"/>
            <w:tcBorders>
              <w:top w:val="single" w:color="000000" w:sz="4" w:space="0"/>
              <w:left w:val="single" w:color="000000" w:sz="4" w:space="0"/>
              <w:bottom w:val="single" w:color="000000" w:sz="4" w:space="0"/>
              <w:right w:val="single" w:color="000000" w:sz="4" w:space="0"/>
            </w:tcBorders>
            <w:vAlign w:val="center"/>
          </w:tcPr>
          <w:p w14:paraId="3FC7798B">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8</w:t>
            </w:r>
          </w:p>
        </w:tc>
      </w:tr>
      <w:tr w14:paraId="414BFA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jc w:val="center"/>
        </w:trPr>
        <w:tc>
          <w:tcPr>
            <w:tcW w:w="749" w:type="dxa"/>
            <w:tcBorders>
              <w:top w:val="single" w:color="000000" w:sz="4" w:space="0"/>
              <w:left w:val="single" w:color="000000" w:sz="4" w:space="0"/>
              <w:bottom w:val="single" w:color="000000" w:sz="4" w:space="0"/>
              <w:right w:val="single" w:color="000000" w:sz="4" w:space="0"/>
            </w:tcBorders>
            <w:vAlign w:val="center"/>
          </w:tcPr>
          <w:p w14:paraId="1758F22E">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3</w:t>
            </w:r>
          </w:p>
        </w:tc>
        <w:tc>
          <w:tcPr>
            <w:tcW w:w="1227" w:type="dxa"/>
            <w:tcBorders>
              <w:top w:val="single" w:color="000000" w:sz="4" w:space="0"/>
              <w:left w:val="single" w:color="000000" w:sz="4" w:space="0"/>
              <w:bottom w:val="single" w:color="000000" w:sz="4" w:space="0"/>
              <w:right w:val="single" w:color="000000" w:sz="4" w:space="0"/>
            </w:tcBorders>
            <w:vAlign w:val="center"/>
          </w:tcPr>
          <w:p w14:paraId="4A4F99A4">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简易平台</w:t>
            </w:r>
          </w:p>
        </w:tc>
        <w:tc>
          <w:tcPr>
            <w:tcW w:w="6200" w:type="dxa"/>
            <w:gridSpan w:val="3"/>
            <w:tcBorders>
              <w:top w:val="single" w:color="000000" w:sz="4" w:space="0"/>
              <w:left w:val="single" w:color="000000" w:sz="4" w:space="0"/>
              <w:bottom w:val="single" w:color="000000" w:sz="4" w:space="0"/>
              <w:right w:val="single" w:color="000000" w:sz="4" w:space="0"/>
            </w:tcBorders>
            <w:vAlign w:val="center"/>
          </w:tcPr>
          <w:p w14:paraId="6AC5F4A1">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铸铁≥20*20cm，</w:t>
            </w:r>
          </w:p>
        </w:tc>
        <w:tc>
          <w:tcPr>
            <w:tcW w:w="867" w:type="dxa"/>
            <w:gridSpan w:val="4"/>
            <w:tcBorders>
              <w:top w:val="single" w:color="000000" w:sz="4" w:space="0"/>
              <w:left w:val="single" w:color="000000" w:sz="4" w:space="0"/>
              <w:bottom w:val="single" w:color="000000" w:sz="4" w:space="0"/>
              <w:right w:val="single" w:color="000000" w:sz="4" w:space="0"/>
            </w:tcBorders>
            <w:vAlign w:val="center"/>
          </w:tcPr>
          <w:p w14:paraId="4746AC57">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台</w:t>
            </w:r>
          </w:p>
        </w:tc>
        <w:tc>
          <w:tcPr>
            <w:tcW w:w="935" w:type="dxa"/>
            <w:gridSpan w:val="3"/>
            <w:tcBorders>
              <w:top w:val="single" w:color="000000" w:sz="4" w:space="0"/>
              <w:left w:val="single" w:color="000000" w:sz="4" w:space="0"/>
              <w:bottom w:val="single" w:color="000000" w:sz="4" w:space="0"/>
              <w:right w:val="single" w:color="000000" w:sz="4" w:space="0"/>
            </w:tcBorders>
            <w:vAlign w:val="center"/>
          </w:tcPr>
          <w:p w14:paraId="7D4E5626">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8</w:t>
            </w:r>
          </w:p>
        </w:tc>
      </w:tr>
      <w:tr w14:paraId="6F503C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jc w:val="center"/>
        </w:trPr>
        <w:tc>
          <w:tcPr>
            <w:tcW w:w="749" w:type="dxa"/>
            <w:tcBorders>
              <w:top w:val="single" w:color="000000" w:sz="4" w:space="0"/>
              <w:left w:val="single" w:color="000000" w:sz="4" w:space="0"/>
              <w:bottom w:val="single" w:color="000000" w:sz="4" w:space="0"/>
              <w:right w:val="single" w:color="000000" w:sz="4" w:space="0"/>
            </w:tcBorders>
            <w:vAlign w:val="center"/>
          </w:tcPr>
          <w:p w14:paraId="1AC75D18">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4</w:t>
            </w:r>
          </w:p>
        </w:tc>
        <w:tc>
          <w:tcPr>
            <w:tcW w:w="1227" w:type="dxa"/>
            <w:tcBorders>
              <w:top w:val="single" w:color="000000" w:sz="4" w:space="0"/>
              <w:left w:val="single" w:color="000000" w:sz="4" w:space="0"/>
              <w:bottom w:val="single" w:color="000000" w:sz="4" w:space="0"/>
              <w:right w:val="single" w:color="000000" w:sz="4" w:space="0"/>
            </w:tcBorders>
            <w:vAlign w:val="center"/>
          </w:tcPr>
          <w:p w14:paraId="6D4B0F6C">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V形铁</w:t>
            </w:r>
          </w:p>
        </w:tc>
        <w:tc>
          <w:tcPr>
            <w:tcW w:w="6200" w:type="dxa"/>
            <w:gridSpan w:val="3"/>
            <w:tcBorders>
              <w:top w:val="single" w:color="000000" w:sz="4" w:space="0"/>
              <w:left w:val="single" w:color="000000" w:sz="4" w:space="0"/>
              <w:bottom w:val="single" w:color="000000" w:sz="4" w:space="0"/>
              <w:right w:val="single" w:color="000000" w:sz="4" w:space="0"/>
            </w:tcBorders>
            <w:vAlign w:val="center"/>
          </w:tcPr>
          <w:p w14:paraId="739B9ACB">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铸铁材质≥100*80*30</w:t>
            </w:r>
          </w:p>
        </w:tc>
        <w:tc>
          <w:tcPr>
            <w:tcW w:w="867" w:type="dxa"/>
            <w:gridSpan w:val="4"/>
            <w:tcBorders>
              <w:top w:val="single" w:color="000000" w:sz="4" w:space="0"/>
              <w:left w:val="single" w:color="000000" w:sz="4" w:space="0"/>
              <w:bottom w:val="single" w:color="000000" w:sz="4" w:space="0"/>
              <w:right w:val="single" w:color="000000" w:sz="4" w:space="0"/>
            </w:tcBorders>
            <w:vAlign w:val="center"/>
          </w:tcPr>
          <w:p w14:paraId="338E41A0">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台</w:t>
            </w:r>
          </w:p>
        </w:tc>
        <w:tc>
          <w:tcPr>
            <w:tcW w:w="935" w:type="dxa"/>
            <w:gridSpan w:val="3"/>
            <w:tcBorders>
              <w:top w:val="single" w:color="000000" w:sz="4" w:space="0"/>
              <w:left w:val="single" w:color="000000" w:sz="4" w:space="0"/>
              <w:bottom w:val="single" w:color="000000" w:sz="4" w:space="0"/>
              <w:right w:val="single" w:color="000000" w:sz="4" w:space="0"/>
            </w:tcBorders>
            <w:vAlign w:val="center"/>
          </w:tcPr>
          <w:p w14:paraId="737875E8">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8</w:t>
            </w:r>
          </w:p>
        </w:tc>
      </w:tr>
      <w:tr w14:paraId="6C2567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jc w:val="center"/>
        </w:trPr>
        <w:tc>
          <w:tcPr>
            <w:tcW w:w="749" w:type="dxa"/>
            <w:tcBorders>
              <w:top w:val="single" w:color="000000" w:sz="4" w:space="0"/>
              <w:left w:val="single" w:color="000000" w:sz="4" w:space="0"/>
              <w:bottom w:val="single" w:color="000000" w:sz="4" w:space="0"/>
              <w:right w:val="single" w:color="000000" w:sz="4" w:space="0"/>
            </w:tcBorders>
            <w:vAlign w:val="center"/>
          </w:tcPr>
          <w:p w14:paraId="743BE697">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5</w:t>
            </w:r>
          </w:p>
        </w:tc>
        <w:tc>
          <w:tcPr>
            <w:tcW w:w="1227" w:type="dxa"/>
            <w:tcBorders>
              <w:top w:val="single" w:color="000000" w:sz="4" w:space="0"/>
              <w:left w:val="single" w:color="000000" w:sz="4" w:space="0"/>
              <w:bottom w:val="single" w:color="000000" w:sz="4" w:space="0"/>
              <w:right w:val="single" w:color="000000" w:sz="4" w:space="0"/>
            </w:tcBorders>
            <w:vAlign w:val="center"/>
          </w:tcPr>
          <w:p w14:paraId="390A15E2">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台虎钳</w:t>
            </w:r>
          </w:p>
        </w:tc>
        <w:tc>
          <w:tcPr>
            <w:tcW w:w="6200" w:type="dxa"/>
            <w:gridSpan w:val="3"/>
            <w:tcBorders>
              <w:top w:val="single" w:color="000000" w:sz="4" w:space="0"/>
              <w:left w:val="single" w:color="000000" w:sz="4" w:space="0"/>
              <w:bottom w:val="single" w:color="000000" w:sz="4" w:space="0"/>
              <w:right w:val="single" w:color="000000" w:sz="4" w:space="0"/>
            </w:tcBorders>
            <w:vAlign w:val="center"/>
          </w:tcPr>
          <w:p w14:paraId="52F64FA6">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耐用铸铁钳身，360度旋转底座，开口度≥100mm 。</w:t>
            </w:r>
          </w:p>
        </w:tc>
        <w:tc>
          <w:tcPr>
            <w:tcW w:w="867" w:type="dxa"/>
            <w:gridSpan w:val="4"/>
            <w:tcBorders>
              <w:top w:val="single" w:color="000000" w:sz="4" w:space="0"/>
              <w:left w:val="single" w:color="000000" w:sz="4" w:space="0"/>
              <w:bottom w:val="single" w:color="000000" w:sz="4" w:space="0"/>
              <w:right w:val="single" w:color="000000" w:sz="4" w:space="0"/>
            </w:tcBorders>
            <w:vAlign w:val="center"/>
          </w:tcPr>
          <w:p w14:paraId="4E5A7742">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台</w:t>
            </w:r>
          </w:p>
        </w:tc>
        <w:tc>
          <w:tcPr>
            <w:tcW w:w="935" w:type="dxa"/>
            <w:gridSpan w:val="3"/>
            <w:tcBorders>
              <w:top w:val="single" w:color="000000" w:sz="4" w:space="0"/>
              <w:left w:val="single" w:color="000000" w:sz="4" w:space="0"/>
              <w:bottom w:val="single" w:color="000000" w:sz="4" w:space="0"/>
              <w:right w:val="single" w:color="000000" w:sz="4" w:space="0"/>
            </w:tcBorders>
            <w:vAlign w:val="center"/>
          </w:tcPr>
          <w:p w14:paraId="7F9E04A7">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8</w:t>
            </w:r>
          </w:p>
        </w:tc>
      </w:tr>
      <w:tr w14:paraId="50C7F6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jc w:val="center"/>
        </w:trPr>
        <w:tc>
          <w:tcPr>
            <w:tcW w:w="749" w:type="dxa"/>
            <w:tcBorders>
              <w:top w:val="single" w:color="000000" w:sz="4" w:space="0"/>
              <w:left w:val="single" w:color="000000" w:sz="4" w:space="0"/>
              <w:bottom w:val="single" w:color="000000" w:sz="4" w:space="0"/>
              <w:right w:val="single" w:color="000000" w:sz="4" w:space="0"/>
            </w:tcBorders>
            <w:vAlign w:val="center"/>
          </w:tcPr>
          <w:p w14:paraId="71F390B2">
            <w:pPr>
              <w:widowControl/>
              <w:textAlignment w:val="center"/>
              <w:rPr>
                <w:rFonts w:hint="eastAsia" w:ascii="宋体" w:hAnsi="宋体"/>
                <w:b/>
                <w:bCs/>
                <w:color w:val="auto"/>
                <w:szCs w:val="21"/>
                <w:highlight w:val="none"/>
              </w:rPr>
            </w:pPr>
            <w:r>
              <w:rPr>
                <w:rFonts w:hint="eastAsia" w:ascii="宋体" w:hAnsi="宋体"/>
                <w:b/>
                <w:bCs/>
                <w:color w:val="auto"/>
                <w:kern w:val="0"/>
                <w:szCs w:val="21"/>
                <w:highlight w:val="none"/>
                <w:lang w:bidi="ar"/>
              </w:rPr>
              <w:t>（四）</w:t>
            </w:r>
          </w:p>
        </w:tc>
        <w:tc>
          <w:tcPr>
            <w:tcW w:w="1227" w:type="dxa"/>
            <w:tcBorders>
              <w:top w:val="single" w:color="000000" w:sz="4" w:space="0"/>
              <w:left w:val="single" w:color="000000" w:sz="4" w:space="0"/>
              <w:bottom w:val="single" w:color="000000" w:sz="4" w:space="0"/>
              <w:right w:val="single" w:color="000000" w:sz="4" w:space="0"/>
            </w:tcBorders>
            <w:vAlign w:val="center"/>
          </w:tcPr>
          <w:p w14:paraId="2802DFCC">
            <w:pPr>
              <w:widowControl/>
              <w:jc w:val="center"/>
              <w:textAlignment w:val="center"/>
              <w:rPr>
                <w:rFonts w:hint="eastAsia" w:ascii="宋体" w:hAnsi="宋体"/>
                <w:b/>
                <w:bCs/>
                <w:color w:val="auto"/>
                <w:szCs w:val="21"/>
                <w:highlight w:val="none"/>
              </w:rPr>
            </w:pPr>
            <w:r>
              <w:rPr>
                <w:rFonts w:hint="eastAsia" w:ascii="宋体" w:hAnsi="宋体"/>
                <w:b/>
                <w:bCs/>
                <w:color w:val="auto"/>
                <w:kern w:val="0"/>
                <w:szCs w:val="21"/>
                <w:highlight w:val="none"/>
                <w:lang w:bidi="ar"/>
              </w:rPr>
              <w:t>家用电工技术</w:t>
            </w:r>
          </w:p>
        </w:tc>
        <w:tc>
          <w:tcPr>
            <w:tcW w:w="6200" w:type="dxa"/>
            <w:gridSpan w:val="3"/>
            <w:tcBorders>
              <w:top w:val="single" w:color="000000" w:sz="4" w:space="0"/>
              <w:left w:val="single" w:color="000000" w:sz="4" w:space="0"/>
              <w:bottom w:val="single" w:color="000000" w:sz="4" w:space="0"/>
              <w:right w:val="single" w:color="000000" w:sz="4" w:space="0"/>
            </w:tcBorders>
            <w:vAlign w:val="center"/>
          </w:tcPr>
          <w:p w14:paraId="11505494">
            <w:pPr>
              <w:jc w:val="left"/>
              <w:rPr>
                <w:rFonts w:hint="eastAsia" w:ascii="宋体" w:hAnsi="宋体"/>
                <w:b/>
                <w:bCs/>
                <w:color w:val="auto"/>
                <w:szCs w:val="21"/>
                <w:highlight w:val="none"/>
              </w:rPr>
            </w:pPr>
          </w:p>
        </w:tc>
        <w:tc>
          <w:tcPr>
            <w:tcW w:w="867" w:type="dxa"/>
            <w:gridSpan w:val="4"/>
            <w:tcBorders>
              <w:top w:val="single" w:color="000000" w:sz="4" w:space="0"/>
              <w:left w:val="single" w:color="000000" w:sz="4" w:space="0"/>
              <w:bottom w:val="single" w:color="000000" w:sz="4" w:space="0"/>
              <w:right w:val="single" w:color="000000" w:sz="4" w:space="0"/>
            </w:tcBorders>
            <w:vAlign w:val="bottom"/>
          </w:tcPr>
          <w:p w14:paraId="51C95F79">
            <w:pPr>
              <w:jc w:val="center"/>
              <w:rPr>
                <w:rFonts w:hint="eastAsia" w:ascii="宋体" w:hAnsi="宋体"/>
                <w:b/>
                <w:bCs/>
                <w:color w:val="auto"/>
                <w:szCs w:val="21"/>
                <w:highlight w:val="none"/>
              </w:rPr>
            </w:pPr>
          </w:p>
        </w:tc>
        <w:tc>
          <w:tcPr>
            <w:tcW w:w="935" w:type="dxa"/>
            <w:gridSpan w:val="3"/>
            <w:tcBorders>
              <w:top w:val="single" w:color="000000" w:sz="4" w:space="0"/>
              <w:left w:val="single" w:color="000000" w:sz="4" w:space="0"/>
              <w:bottom w:val="single" w:color="000000" w:sz="4" w:space="0"/>
              <w:right w:val="single" w:color="000000" w:sz="4" w:space="0"/>
            </w:tcBorders>
            <w:vAlign w:val="bottom"/>
          </w:tcPr>
          <w:p w14:paraId="35607728">
            <w:pPr>
              <w:jc w:val="center"/>
              <w:rPr>
                <w:rFonts w:hint="eastAsia" w:ascii="宋体" w:hAnsi="宋体"/>
                <w:b/>
                <w:bCs/>
                <w:color w:val="auto"/>
                <w:szCs w:val="21"/>
                <w:highlight w:val="none"/>
              </w:rPr>
            </w:pPr>
          </w:p>
        </w:tc>
      </w:tr>
      <w:tr w14:paraId="2BBCA1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jc w:val="center"/>
        </w:trPr>
        <w:tc>
          <w:tcPr>
            <w:tcW w:w="749" w:type="dxa"/>
            <w:tcBorders>
              <w:top w:val="single" w:color="000000" w:sz="4" w:space="0"/>
              <w:left w:val="single" w:color="000000" w:sz="4" w:space="0"/>
              <w:bottom w:val="single" w:color="000000" w:sz="4" w:space="0"/>
              <w:right w:val="single" w:color="000000" w:sz="4" w:space="0"/>
            </w:tcBorders>
            <w:vAlign w:val="center"/>
          </w:tcPr>
          <w:p w14:paraId="225A8633">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c>
          <w:tcPr>
            <w:tcW w:w="1227" w:type="dxa"/>
            <w:tcBorders>
              <w:top w:val="single" w:color="000000" w:sz="4" w:space="0"/>
              <w:left w:val="single" w:color="000000" w:sz="4" w:space="0"/>
              <w:bottom w:val="single" w:color="000000" w:sz="4" w:space="0"/>
              <w:right w:val="single" w:color="000000" w:sz="4" w:space="0"/>
            </w:tcBorders>
            <w:vAlign w:val="center"/>
          </w:tcPr>
          <w:p w14:paraId="05DB20E8">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数字多用电表</w:t>
            </w:r>
          </w:p>
        </w:tc>
        <w:tc>
          <w:tcPr>
            <w:tcW w:w="6200" w:type="dxa"/>
            <w:gridSpan w:val="3"/>
            <w:tcBorders>
              <w:top w:val="single" w:color="000000" w:sz="4" w:space="0"/>
              <w:left w:val="single" w:color="000000" w:sz="4" w:space="0"/>
              <w:bottom w:val="single" w:color="000000" w:sz="4" w:space="0"/>
              <w:right w:val="single" w:color="000000" w:sz="4" w:space="0"/>
            </w:tcBorders>
            <w:vAlign w:val="center"/>
          </w:tcPr>
          <w:p w14:paraId="428A179B">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可测量交直流电压电流、电阻、电压、电容、频率。</w:t>
            </w:r>
          </w:p>
        </w:tc>
        <w:tc>
          <w:tcPr>
            <w:tcW w:w="867" w:type="dxa"/>
            <w:gridSpan w:val="4"/>
            <w:tcBorders>
              <w:top w:val="single" w:color="000000" w:sz="4" w:space="0"/>
              <w:left w:val="single" w:color="000000" w:sz="4" w:space="0"/>
              <w:bottom w:val="single" w:color="000000" w:sz="4" w:space="0"/>
              <w:right w:val="single" w:color="000000" w:sz="4" w:space="0"/>
            </w:tcBorders>
            <w:vAlign w:val="center"/>
          </w:tcPr>
          <w:p w14:paraId="46B87F68">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只</w:t>
            </w:r>
          </w:p>
        </w:tc>
        <w:tc>
          <w:tcPr>
            <w:tcW w:w="935" w:type="dxa"/>
            <w:gridSpan w:val="3"/>
            <w:tcBorders>
              <w:top w:val="single" w:color="000000" w:sz="4" w:space="0"/>
              <w:left w:val="single" w:color="000000" w:sz="4" w:space="0"/>
              <w:bottom w:val="single" w:color="000000" w:sz="4" w:space="0"/>
              <w:right w:val="single" w:color="000000" w:sz="4" w:space="0"/>
            </w:tcBorders>
            <w:vAlign w:val="center"/>
          </w:tcPr>
          <w:p w14:paraId="2EFC9A6A">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8</w:t>
            </w:r>
          </w:p>
        </w:tc>
      </w:tr>
      <w:tr w14:paraId="6AC585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jc w:val="center"/>
        </w:trPr>
        <w:tc>
          <w:tcPr>
            <w:tcW w:w="749" w:type="dxa"/>
            <w:tcBorders>
              <w:top w:val="single" w:color="000000" w:sz="4" w:space="0"/>
              <w:left w:val="single" w:color="000000" w:sz="4" w:space="0"/>
              <w:bottom w:val="single" w:color="000000" w:sz="4" w:space="0"/>
              <w:right w:val="single" w:color="000000" w:sz="4" w:space="0"/>
            </w:tcBorders>
            <w:vAlign w:val="center"/>
          </w:tcPr>
          <w:p w14:paraId="7E9F1357">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w:t>
            </w:r>
          </w:p>
        </w:tc>
        <w:tc>
          <w:tcPr>
            <w:tcW w:w="1227" w:type="dxa"/>
            <w:tcBorders>
              <w:top w:val="single" w:color="000000" w:sz="4" w:space="0"/>
              <w:left w:val="single" w:color="000000" w:sz="4" w:space="0"/>
              <w:bottom w:val="single" w:color="000000" w:sz="4" w:space="0"/>
              <w:right w:val="single" w:color="000000" w:sz="4" w:space="0"/>
            </w:tcBorders>
            <w:vAlign w:val="center"/>
          </w:tcPr>
          <w:p w14:paraId="37B5E5CB">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漏电保护器</w:t>
            </w:r>
          </w:p>
        </w:tc>
        <w:tc>
          <w:tcPr>
            <w:tcW w:w="6200" w:type="dxa"/>
            <w:gridSpan w:val="3"/>
            <w:tcBorders>
              <w:top w:val="single" w:color="000000" w:sz="4" w:space="0"/>
              <w:left w:val="single" w:color="000000" w:sz="4" w:space="0"/>
              <w:bottom w:val="single" w:color="000000" w:sz="4" w:space="0"/>
              <w:right w:val="single" w:color="000000" w:sz="4" w:space="0"/>
            </w:tcBorders>
            <w:vAlign w:val="center"/>
          </w:tcPr>
          <w:p w14:paraId="583D79E1">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额定电压：220V 50Hz 漏电动作时间：＜0.1s，保护电流1A。</w:t>
            </w:r>
          </w:p>
        </w:tc>
        <w:tc>
          <w:tcPr>
            <w:tcW w:w="867" w:type="dxa"/>
            <w:gridSpan w:val="4"/>
            <w:tcBorders>
              <w:top w:val="single" w:color="000000" w:sz="4" w:space="0"/>
              <w:left w:val="single" w:color="000000" w:sz="4" w:space="0"/>
              <w:bottom w:val="single" w:color="000000" w:sz="4" w:space="0"/>
              <w:right w:val="single" w:color="000000" w:sz="4" w:space="0"/>
            </w:tcBorders>
            <w:vAlign w:val="center"/>
          </w:tcPr>
          <w:p w14:paraId="4979A47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只</w:t>
            </w:r>
          </w:p>
        </w:tc>
        <w:tc>
          <w:tcPr>
            <w:tcW w:w="935" w:type="dxa"/>
            <w:gridSpan w:val="3"/>
            <w:tcBorders>
              <w:top w:val="single" w:color="000000" w:sz="4" w:space="0"/>
              <w:left w:val="single" w:color="000000" w:sz="4" w:space="0"/>
              <w:bottom w:val="single" w:color="000000" w:sz="4" w:space="0"/>
              <w:right w:val="single" w:color="000000" w:sz="4" w:space="0"/>
            </w:tcBorders>
            <w:vAlign w:val="center"/>
          </w:tcPr>
          <w:p w14:paraId="5AA799D6">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8</w:t>
            </w:r>
          </w:p>
        </w:tc>
      </w:tr>
      <w:tr w14:paraId="61E448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jc w:val="center"/>
        </w:trPr>
        <w:tc>
          <w:tcPr>
            <w:tcW w:w="749" w:type="dxa"/>
            <w:tcBorders>
              <w:top w:val="single" w:color="000000" w:sz="4" w:space="0"/>
              <w:left w:val="single" w:color="000000" w:sz="4" w:space="0"/>
              <w:bottom w:val="single" w:color="000000" w:sz="4" w:space="0"/>
              <w:right w:val="single" w:color="000000" w:sz="4" w:space="0"/>
            </w:tcBorders>
            <w:vAlign w:val="center"/>
          </w:tcPr>
          <w:p w14:paraId="369D7D65">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3</w:t>
            </w:r>
          </w:p>
        </w:tc>
        <w:tc>
          <w:tcPr>
            <w:tcW w:w="1227" w:type="dxa"/>
            <w:tcBorders>
              <w:top w:val="single" w:color="000000" w:sz="4" w:space="0"/>
              <w:left w:val="single" w:color="000000" w:sz="4" w:space="0"/>
              <w:bottom w:val="single" w:color="000000" w:sz="4" w:space="0"/>
              <w:right w:val="single" w:color="000000" w:sz="4" w:space="0"/>
            </w:tcBorders>
            <w:vAlign w:val="center"/>
          </w:tcPr>
          <w:p w14:paraId="52E065D4">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照明电路线路板</w:t>
            </w:r>
          </w:p>
        </w:tc>
        <w:tc>
          <w:tcPr>
            <w:tcW w:w="6200" w:type="dxa"/>
            <w:gridSpan w:val="3"/>
            <w:tcBorders>
              <w:top w:val="single" w:color="000000" w:sz="4" w:space="0"/>
              <w:left w:val="single" w:color="000000" w:sz="4" w:space="0"/>
              <w:bottom w:val="single" w:color="000000" w:sz="4" w:space="0"/>
              <w:right w:val="single" w:color="000000" w:sz="4" w:space="0"/>
            </w:tcBorders>
            <w:vAlign w:val="center"/>
          </w:tcPr>
          <w:p w14:paraId="05AF6391">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塑料盒包装：电路板、闸刀、开关、灯座等零配件。配件分类存放。</w:t>
            </w:r>
          </w:p>
        </w:tc>
        <w:tc>
          <w:tcPr>
            <w:tcW w:w="867" w:type="dxa"/>
            <w:gridSpan w:val="4"/>
            <w:tcBorders>
              <w:top w:val="single" w:color="000000" w:sz="4" w:space="0"/>
              <w:left w:val="single" w:color="000000" w:sz="4" w:space="0"/>
              <w:bottom w:val="single" w:color="000000" w:sz="4" w:space="0"/>
              <w:right w:val="single" w:color="000000" w:sz="4" w:space="0"/>
            </w:tcBorders>
            <w:vAlign w:val="center"/>
          </w:tcPr>
          <w:p w14:paraId="348B5438">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套</w:t>
            </w:r>
          </w:p>
        </w:tc>
        <w:tc>
          <w:tcPr>
            <w:tcW w:w="935" w:type="dxa"/>
            <w:gridSpan w:val="3"/>
            <w:tcBorders>
              <w:top w:val="single" w:color="000000" w:sz="4" w:space="0"/>
              <w:left w:val="single" w:color="000000" w:sz="4" w:space="0"/>
              <w:bottom w:val="single" w:color="000000" w:sz="4" w:space="0"/>
              <w:right w:val="single" w:color="000000" w:sz="4" w:space="0"/>
            </w:tcBorders>
            <w:vAlign w:val="center"/>
          </w:tcPr>
          <w:p w14:paraId="602AB811">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8</w:t>
            </w:r>
          </w:p>
        </w:tc>
      </w:tr>
      <w:tr w14:paraId="789A6B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jc w:val="center"/>
        </w:trPr>
        <w:tc>
          <w:tcPr>
            <w:tcW w:w="749" w:type="dxa"/>
            <w:tcBorders>
              <w:top w:val="single" w:color="000000" w:sz="4" w:space="0"/>
              <w:left w:val="single" w:color="000000" w:sz="4" w:space="0"/>
              <w:bottom w:val="single" w:color="000000" w:sz="4" w:space="0"/>
              <w:right w:val="single" w:color="000000" w:sz="4" w:space="0"/>
            </w:tcBorders>
            <w:vAlign w:val="center"/>
          </w:tcPr>
          <w:p w14:paraId="0DB2DF8A">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4</w:t>
            </w:r>
          </w:p>
        </w:tc>
        <w:tc>
          <w:tcPr>
            <w:tcW w:w="1227" w:type="dxa"/>
            <w:tcBorders>
              <w:top w:val="single" w:color="000000" w:sz="4" w:space="0"/>
              <w:left w:val="single" w:color="000000" w:sz="4" w:space="0"/>
              <w:bottom w:val="single" w:color="000000" w:sz="4" w:space="0"/>
              <w:right w:val="single" w:color="000000" w:sz="4" w:space="0"/>
            </w:tcBorders>
            <w:vAlign w:val="center"/>
          </w:tcPr>
          <w:p w14:paraId="22367326">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无线电组合技术实验箱</w:t>
            </w:r>
          </w:p>
        </w:tc>
        <w:tc>
          <w:tcPr>
            <w:tcW w:w="6200" w:type="dxa"/>
            <w:gridSpan w:val="3"/>
            <w:tcBorders>
              <w:top w:val="single" w:color="000000" w:sz="4" w:space="0"/>
              <w:left w:val="single" w:color="000000" w:sz="4" w:space="0"/>
              <w:bottom w:val="single" w:color="000000" w:sz="4" w:space="0"/>
              <w:right w:val="single" w:color="000000" w:sz="4" w:space="0"/>
            </w:tcBorders>
            <w:vAlign w:val="center"/>
          </w:tcPr>
          <w:p w14:paraId="1DEC2D42">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一、适用范围：适用于小学、初中劳技教学使用。二、技术要求：包装尺寸≥47.5*32*8cm：主要功能包含干簧管原理、发光二极管原理、蜂鸣片声控原理、电扇与飞碟的原理、太空大战集成电路原理、水控原理、音乐集成电路原理、电动控制原理、报警集成电路原理、喇叭的原理、触摸控制原理、光敏电阻原理、 蜂鸣片原理、电容器的原理等相关原理等电路组装。内含说明书一套</w:t>
            </w:r>
          </w:p>
        </w:tc>
        <w:tc>
          <w:tcPr>
            <w:tcW w:w="867" w:type="dxa"/>
            <w:gridSpan w:val="4"/>
            <w:tcBorders>
              <w:top w:val="single" w:color="000000" w:sz="4" w:space="0"/>
              <w:left w:val="single" w:color="000000" w:sz="4" w:space="0"/>
              <w:bottom w:val="single" w:color="000000" w:sz="4" w:space="0"/>
              <w:right w:val="single" w:color="000000" w:sz="4" w:space="0"/>
            </w:tcBorders>
            <w:vAlign w:val="center"/>
          </w:tcPr>
          <w:p w14:paraId="0890F627">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套</w:t>
            </w:r>
          </w:p>
        </w:tc>
        <w:tc>
          <w:tcPr>
            <w:tcW w:w="935" w:type="dxa"/>
            <w:gridSpan w:val="3"/>
            <w:tcBorders>
              <w:top w:val="single" w:color="000000" w:sz="4" w:space="0"/>
              <w:left w:val="single" w:color="000000" w:sz="4" w:space="0"/>
              <w:bottom w:val="single" w:color="000000" w:sz="4" w:space="0"/>
              <w:right w:val="single" w:color="000000" w:sz="4" w:space="0"/>
            </w:tcBorders>
            <w:vAlign w:val="center"/>
          </w:tcPr>
          <w:p w14:paraId="3C3FD9FC">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8</w:t>
            </w:r>
          </w:p>
        </w:tc>
      </w:tr>
      <w:tr w14:paraId="7BFC16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jc w:val="center"/>
        </w:trPr>
        <w:tc>
          <w:tcPr>
            <w:tcW w:w="749" w:type="dxa"/>
            <w:tcBorders>
              <w:top w:val="single" w:color="000000" w:sz="4" w:space="0"/>
              <w:left w:val="single" w:color="000000" w:sz="4" w:space="0"/>
              <w:bottom w:val="single" w:color="000000" w:sz="4" w:space="0"/>
              <w:right w:val="single" w:color="000000" w:sz="4" w:space="0"/>
            </w:tcBorders>
            <w:vAlign w:val="center"/>
          </w:tcPr>
          <w:p w14:paraId="57205D46">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5</w:t>
            </w:r>
          </w:p>
        </w:tc>
        <w:tc>
          <w:tcPr>
            <w:tcW w:w="1227" w:type="dxa"/>
            <w:tcBorders>
              <w:top w:val="single" w:color="000000" w:sz="4" w:space="0"/>
              <w:left w:val="single" w:color="000000" w:sz="4" w:space="0"/>
              <w:bottom w:val="single" w:color="000000" w:sz="4" w:space="0"/>
              <w:right w:val="single" w:color="000000" w:sz="4" w:space="0"/>
            </w:tcBorders>
            <w:vAlign w:val="center"/>
          </w:tcPr>
          <w:p w14:paraId="0FA73973">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电工工具箱</w:t>
            </w:r>
          </w:p>
        </w:tc>
        <w:tc>
          <w:tcPr>
            <w:tcW w:w="6200" w:type="dxa"/>
            <w:gridSpan w:val="3"/>
            <w:tcBorders>
              <w:top w:val="single" w:color="000000" w:sz="4" w:space="0"/>
              <w:left w:val="single" w:color="000000" w:sz="4" w:space="0"/>
              <w:bottom w:val="single" w:color="000000" w:sz="4" w:space="0"/>
              <w:right w:val="single" w:color="000000" w:sz="4" w:space="0"/>
            </w:tcBorders>
            <w:vAlign w:val="center"/>
          </w:tcPr>
          <w:p w14:paraId="1D539D4A">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一、适用范围：适用于小学、初中劳技教学使用。二、技术要求：（1）芝麻柄螺丝批4寸+（2）芝麻柄螺丝批4寸-（3）芝麻柄螺丝批3寸+（4）芝麻柄螺丝批3寸-（5）芝麻柄螺丝批6寸+（6）芝麻柄螺丝批6寸-（7）5M*17mmABS钢卷尺(8)吸锡器（9）6寸剥线钳、45#钢锻打（10）电脑刷（11）焊锡丝（12）小锯架（含锯条）（13）测电笔（14）数显万用表（15）精密螺丝批6件套（16）电烙铁（17）单发包胶美工刀（18~22）内六角扳手5套（23）烙铁架（24）8号活扳手（25）羊角锤（26）6寸钢丝钳、45#钢锻打（27）6寸尖嘴钳、45#钢锻打（28）6寸斜嘴钳、45#钢锻打（29）电工胶布 （30）中空吹塑盒定位盒。</w:t>
            </w:r>
          </w:p>
        </w:tc>
        <w:tc>
          <w:tcPr>
            <w:tcW w:w="867" w:type="dxa"/>
            <w:gridSpan w:val="4"/>
            <w:tcBorders>
              <w:top w:val="single" w:color="000000" w:sz="4" w:space="0"/>
              <w:left w:val="single" w:color="000000" w:sz="4" w:space="0"/>
              <w:bottom w:val="single" w:color="000000" w:sz="4" w:space="0"/>
              <w:right w:val="single" w:color="000000" w:sz="4" w:space="0"/>
            </w:tcBorders>
            <w:vAlign w:val="center"/>
          </w:tcPr>
          <w:p w14:paraId="2BC5CF50">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套</w:t>
            </w:r>
          </w:p>
        </w:tc>
        <w:tc>
          <w:tcPr>
            <w:tcW w:w="935" w:type="dxa"/>
            <w:gridSpan w:val="3"/>
            <w:tcBorders>
              <w:top w:val="single" w:color="000000" w:sz="4" w:space="0"/>
              <w:left w:val="single" w:color="000000" w:sz="4" w:space="0"/>
              <w:bottom w:val="single" w:color="000000" w:sz="4" w:space="0"/>
              <w:right w:val="single" w:color="000000" w:sz="4" w:space="0"/>
            </w:tcBorders>
            <w:vAlign w:val="center"/>
          </w:tcPr>
          <w:p w14:paraId="5EAF0913">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8</w:t>
            </w:r>
          </w:p>
        </w:tc>
      </w:tr>
      <w:tr w14:paraId="686F86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jc w:val="center"/>
        </w:trPr>
        <w:tc>
          <w:tcPr>
            <w:tcW w:w="749" w:type="dxa"/>
            <w:tcBorders>
              <w:top w:val="single" w:color="000000" w:sz="4" w:space="0"/>
              <w:left w:val="single" w:color="000000" w:sz="4" w:space="0"/>
              <w:bottom w:val="single" w:color="000000" w:sz="4" w:space="0"/>
              <w:right w:val="single" w:color="000000" w:sz="4" w:space="0"/>
            </w:tcBorders>
            <w:vAlign w:val="center"/>
          </w:tcPr>
          <w:p w14:paraId="10E55173">
            <w:pPr>
              <w:widowControl/>
              <w:textAlignment w:val="center"/>
              <w:rPr>
                <w:rFonts w:hint="eastAsia" w:ascii="宋体" w:hAnsi="宋体"/>
                <w:b/>
                <w:bCs/>
                <w:color w:val="auto"/>
                <w:szCs w:val="21"/>
                <w:highlight w:val="none"/>
              </w:rPr>
            </w:pPr>
            <w:r>
              <w:rPr>
                <w:rFonts w:hint="eastAsia" w:ascii="宋体" w:hAnsi="宋体"/>
                <w:b/>
                <w:bCs/>
                <w:color w:val="auto"/>
                <w:kern w:val="0"/>
                <w:szCs w:val="21"/>
                <w:highlight w:val="none"/>
                <w:lang w:bidi="ar"/>
              </w:rPr>
              <w:t>（五）</w:t>
            </w:r>
          </w:p>
        </w:tc>
        <w:tc>
          <w:tcPr>
            <w:tcW w:w="1227" w:type="dxa"/>
            <w:tcBorders>
              <w:top w:val="single" w:color="000000" w:sz="4" w:space="0"/>
              <w:left w:val="single" w:color="000000" w:sz="4" w:space="0"/>
              <w:bottom w:val="single" w:color="000000" w:sz="4" w:space="0"/>
              <w:right w:val="single" w:color="000000" w:sz="4" w:space="0"/>
            </w:tcBorders>
            <w:vAlign w:val="center"/>
          </w:tcPr>
          <w:p w14:paraId="48727308">
            <w:pPr>
              <w:widowControl/>
              <w:jc w:val="center"/>
              <w:textAlignment w:val="center"/>
              <w:rPr>
                <w:rFonts w:hint="eastAsia" w:ascii="宋体" w:hAnsi="宋体"/>
                <w:b/>
                <w:bCs/>
                <w:color w:val="auto"/>
                <w:szCs w:val="21"/>
                <w:highlight w:val="none"/>
              </w:rPr>
            </w:pPr>
            <w:r>
              <w:rPr>
                <w:rFonts w:hint="eastAsia" w:ascii="宋体" w:hAnsi="宋体"/>
                <w:b/>
                <w:bCs/>
                <w:color w:val="auto"/>
                <w:kern w:val="0"/>
                <w:szCs w:val="21"/>
                <w:highlight w:val="none"/>
                <w:lang w:bidi="ar"/>
              </w:rPr>
              <w:t>种植、养殖技术</w:t>
            </w:r>
          </w:p>
        </w:tc>
        <w:tc>
          <w:tcPr>
            <w:tcW w:w="6200" w:type="dxa"/>
            <w:gridSpan w:val="3"/>
            <w:tcBorders>
              <w:top w:val="single" w:color="000000" w:sz="4" w:space="0"/>
              <w:left w:val="single" w:color="000000" w:sz="4" w:space="0"/>
              <w:bottom w:val="single" w:color="000000" w:sz="4" w:space="0"/>
              <w:right w:val="single" w:color="000000" w:sz="4" w:space="0"/>
            </w:tcBorders>
            <w:vAlign w:val="center"/>
          </w:tcPr>
          <w:p w14:paraId="69B3D3F8">
            <w:pPr>
              <w:jc w:val="left"/>
              <w:rPr>
                <w:rFonts w:hint="eastAsia" w:ascii="宋体" w:hAnsi="宋体"/>
                <w:b/>
                <w:bCs/>
                <w:color w:val="auto"/>
                <w:szCs w:val="21"/>
                <w:highlight w:val="none"/>
              </w:rPr>
            </w:pPr>
          </w:p>
        </w:tc>
        <w:tc>
          <w:tcPr>
            <w:tcW w:w="867" w:type="dxa"/>
            <w:gridSpan w:val="4"/>
            <w:tcBorders>
              <w:top w:val="single" w:color="000000" w:sz="4" w:space="0"/>
              <w:left w:val="single" w:color="000000" w:sz="4" w:space="0"/>
              <w:bottom w:val="single" w:color="000000" w:sz="4" w:space="0"/>
              <w:right w:val="single" w:color="000000" w:sz="4" w:space="0"/>
            </w:tcBorders>
            <w:vAlign w:val="bottom"/>
          </w:tcPr>
          <w:p w14:paraId="32D7B7AC">
            <w:pPr>
              <w:jc w:val="center"/>
              <w:rPr>
                <w:rFonts w:hint="eastAsia" w:ascii="宋体" w:hAnsi="宋体"/>
                <w:b/>
                <w:bCs/>
                <w:color w:val="auto"/>
                <w:szCs w:val="21"/>
                <w:highlight w:val="none"/>
              </w:rPr>
            </w:pPr>
          </w:p>
        </w:tc>
        <w:tc>
          <w:tcPr>
            <w:tcW w:w="935" w:type="dxa"/>
            <w:gridSpan w:val="3"/>
            <w:tcBorders>
              <w:top w:val="single" w:color="000000" w:sz="4" w:space="0"/>
              <w:left w:val="single" w:color="000000" w:sz="4" w:space="0"/>
              <w:bottom w:val="single" w:color="000000" w:sz="4" w:space="0"/>
              <w:right w:val="single" w:color="000000" w:sz="4" w:space="0"/>
            </w:tcBorders>
            <w:vAlign w:val="bottom"/>
          </w:tcPr>
          <w:p w14:paraId="18AE0E83">
            <w:pPr>
              <w:jc w:val="center"/>
              <w:rPr>
                <w:rFonts w:hint="eastAsia" w:ascii="宋体" w:hAnsi="宋体"/>
                <w:b/>
                <w:bCs/>
                <w:color w:val="auto"/>
                <w:szCs w:val="21"/>
                <w:highlight w:val="none"/>
              </w:rPr>
            </w:pPr>
          </w:p>
        </w:tc>
      </w:tr>
      <w:tr w14:paraId="6BAE86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jc w:val="center"/>
        </w:trPr>
        <w:tc>
          <w:tcPr>
            <w:tcW w:w="749" w:type="dxa"/>
            <w:tcBorders>
              <w:top w:val="single" w:color="000000" w:sz="4" w:space="0"/>
              <w:left w:val="single" w:color="000000" w:sz="4" w:space="0"/>
              <w:bottom w:val="single" w:color="000000" w:sz="4" w:space="0"/>
              <w:right w:val="single" w:color="000000" w:sz="4" w:space="0"/>
            </w:tcBorders>
            <w:vAlign w:val="center"/>
          </w:tcPr>
          <w:p w14:paraId="19988CBE">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c>
          <w:tcPr>
            <w:tcW w:w="1227" w:type="dxa"/>
            <w:tcBorders>
              <w:top w:val="single" w:color="000000" w:sz="4" w:space="0"/>
              <w:left w:val="single" w:color="000000" w:sz="4" w:space="0"/>
              <w:bottom w:val="single" w:color="000000" w:sz="4" w:space="0"/>
              <w:right w:val="single" w:color="000000" w:sz="4" w:space="0"/>
            </w:tcBorders>
            <w:vAlign w:val="center"/>
          </w:tcPr>
          <w:p w14:paraId="0C5C098D">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小型种植工具</w:t>
            </w:r>
          </w:p>
        </w:tc>
        <w:tc>
          <w:tcPr>
            <w:tcW w:w="6200" w:type="dxa"/>
            <w:gridSpan w:val="3"/>
            <w:tcBorders>
              <w:top w:val="single" w:color="000000" w:sz="4" w:space="0"/>
              <w:left w:val="single" w:color="000000" w:sz="4" w:space="0"/>
              <w:bottom w:val="single" w:color="000000" w:sz="4" w:space="0"/>
              <w:right w:val="single" w:color="000000" w:sz="4" w:space="0"/>
            </w:tcBorders>
            <w:vAlign w:val="center"/>
          </w:tcPr>
          <w:p w14:paraId="41E7265D">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一、适用范围：适用于小学、初中劳技教学使用。二、技术要求：树枝剪1件，扎绳1件，3米卷尺1件，园艺小三件套1套，铲子1件，花园小铁耙1件，喷水壶1件，木柄两用锄头1件，木柄手工锯1件。</w:t>
            </w:r>
          </w:p>
        </w:tc>
        <w:tc>
          <w:tcPr>
            <w:tcW w:w="867" w:type="dxa"/>
            <w:gridSpan w:val="4"/>
            <w:tcBorders>
              <w:top w:val="single" w:color="000000" w:sz="4" w:space="0"/>
              <w:left w:val="single" w:color="000000" w:sz="4" w:space="0"/>
              <w:bottom w:val="single" w:color="000000" w:sz="4" w:space="0"/>
              <w:right w:val="single" w:color="000000" w:sz="4" w:space="0"/>
            </w:tcBorders>
            <w:vAlign w:val="center"/>
          </w:tcPr>
          <w:p w14:paraId="5BB783D7">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套</w:t>
            </w:r>
          </w:p>
        </w:tc>
        <w:tc>
          <w:tcPr>
            <w:tcW w:w="935" w:type="dxa"/>
            <w:gridSpan w:val="3"/>
            <w:tcBorders>
              <w:top w:val="single" w:color="000000" w:sz="4" w:space="0"/>
              <w:left w:val="single" w:color="000000" w:sz="4" w:space="0"/>
              <w:bottom w:val="single" w:color="000000" w:sz="4" w:space="0"/>
              <w:right w:val="single" w:color="000000" w:sz="4" w:space="0"/>
            </w:tcBorders>
            <w:vAlign w:val="center"/>
          </w:tcPr>
          <w:p w14:paraId="2A49C8F1">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8</w:t>
            </w:r>
          </w:p>
        </w:tc>
      </w:tr>
      <w:tr w14:paraId="7B4325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jc w:val="center"/>
        </w:trPr>
        <w:tc>
          <w:tcPr>
            <w:tcW w:w="749" w:type="dxa"/>
            <w:tcBorders>
              <w:top w:val="single" w:color="000000" w:sz="4" w:space="0"/>
              <w:left w:val="single" w:color="000000" w:sz="4" w:space="0"/>
              <w:bottom w:val="single" w:color="000000" w:sz="4" w:space="0"/>
              <w:right w:val="single" w:color="000000" w:sz="4" w:space="0"/>
            </w:tcBorders>
            <w:vAlign w:val="center"/>
          </w:tcPr>
          <w:p w14:paraId="21657C32">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w:t>
            </w:r>
          </w:p>
        </w:tc>
        <w:tc>
          <w:tcPr>
            <w:tcW w:w="1227" w:type="dxa"/>
            <w:tcBorders>
              <w:top w:val="single" w:color="000000" w:sz="4" w:space="0"/>
              <w:left w:val="single" w:color="000000" w:sz="4" w:space="0"/>
              <w:bottom w:val="single" w:color="000000" w:sz="4" w:space="0"/>
              <w:right w:val="single" w:color="000000" w:sz="4" w:space="0"/>
            </w:tcBorders>
            <w:vAlign w:val="center"/>
          </w:tcPr>
          <w:p w14:paraId="4D5A5EE8">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筛子</w:t>
            </w:r>
          </w:p>
        </w:tc>
        <w:tc>
          <w:tcPr>
            <w:tcW w:w="6200" w:type="dxa"/>
            <w:gridSpan w:val="3"/>
            <w:tcBorders>
              <w:top w:val="single" w:color="000000" w:sz="4" w:space="0"/>
              <w:left w:val="single" w:color="000000" w:sz="4" w:space="0"/>
              <w:bottom w:val="single" w:color="000000" w:sz="4" w:space="0"/>
              <w:right w:val="single" w:color="000000" w:sz="4" w:space="0"/>
            </w:tcBorders>
            <w:vAlign w:val="center"/>
          </w:tcPr>
          <w:p w14:paraId="1EF7D4D5">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五件套</w:t>
            </w:r>
          </w:p>
        </w:tc>
        <w:tc>
          <w:tcPr>
            <w:tcW w:w="867" w:type="dxa"/>
            <w:gridSpan w:val="4"/>
            <w:tcBorders>
              <w:top w:val="single" w:color="000000" w:sz="4" w:space="0"/>
              <w:left w:val="single" w:color="000000" w:sz="4" w:space="0"/>
              <w:bottom w:val="single" w:color="000000" w:sz="4" w:space="0"/>
              <w:right w:val="single" w:color="000000" w:sz="4" w:space="0"/>
            </w:tcBorders>
            <w:vAlign w:val="center"/>
          </w:tcPr>
          <w:p w14:paraId="24ACAE1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套</w:t>
            </w:r>
          </w:p>
        </w:tc>
        <w:tc>
          <w:tcPr>
            <w:tcW w:w="935" w:type="dxa"/>
            <w:gridSpan w:val="3"/>
            <w:tcBorders>
              <w:top w:val="single" w:color="000000" w:sz="4" w:space="0"/>
              <w:left w:val="single" w:color="000000" w:sz="4" w:space="0"/>
              <w:bottom w:val="single" w:color="000000" w:sz="4" w:space="0"/>
              <w:right w:val="single" w:color="000000" w:sz="4" w:space="0"/>
            </w:tcBorders>
            <w:vAlign w:val="center"/>
          </w:tcPr>
          <w:p w14:paraId="0F9FA9D6">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8</w:t>
            </w:r>
          </w:p>
        </w:tc>
      </w:tr>
      <w:tr w14:paraId="1ED94C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jc w:val="center"/>
        </w:trPr>
        <w:tc>
          <w:tcPr>
            <w:tcW w:w="749" w:type="dxa"/>
            <w:tcBorders>
              <w:top w:val="single" w:color="000000" w:sz="4" w:space="0"/>
              <w:left w:val="single" w:color="000000" w:sz="4" w:space="0"/>
              <w:bottom w:val="single" w:color="000000" w:sz="4" w:space="0"/>
              <w:right w:val="single" w:color="000000" w:sz="4" w:space="0"/>
            </w:tcBorders>
            <w:vAlign w:val="center"/>
          </w:tcPr>
          <w:p w14:paraId="59FF804B">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3</w:t>
            </w:r>
          </w:p>
        </w:tc>
        <w:tc>
          <w:tcPr>
            <w:tcW w:w="1227" w:type="dxa"/>
            <w:tcBorders>
              <w:top w:val="single" w:color="000000" w:sz="4" w:space="0"/>
              <w:left w:val="single" w:color="000000" w:sz="4" w:space="0"/>
              <w:bottom w:val="single" w:color="000000" w:sz="4" w:space="0"/>
              <w:right w:val="single" w:color="000000" w:sz="4" w:space="0"/>
            </w:tcBorders>
            <w:vAlign w:val="center"/>
          </w:tcPr>
          <w:p w14:paraId="39E991FE">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喷雾器</w:t>
            </w:r>
          </w:p>
        </w:tc>
        <w:tc>
          <w:tcPr>
            <w:tcW w:w="6200" w:type="dxa"/>
            <w:gridSpan w:val="3"/>
            <w:tcBorders>
              <w:top w:val="single" w:color="000000" w:sz="4" w:space="0"/>
              <w:left w:val="single" w:color="000000" w:sz="4" w:space="0"/>
              <w:bottom w:val="single" w:color="000000" w:sz="4" w:space="0"/>
              <w:right w:val="single" w:color="000000" w:sz="4" w:space="0"/>
            </w:tcBorders>
            <w:vAlign w:val="center"/>
          </w:tcPr>
          <w:p w14:paraId="50928175">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容量：3L、材质：工程塑料</w:t>
            </w:r>
          </w:p>
        </w:tc>
        <w:tc>
          <w:tcPr>
            <w:tcW w:w="867" w:type="dxa"/>
            <w:gridSpan w:val="4"/>
            <w:tcBorders>
              <w:top w:val="single" w:color="000000" w:sz="4" w:space="0"/>
              <w:left w:val="single" w:color="000000" w:sz="4" w:space="0"/>
              <w:bottom w:val="single" w:color="000000" w:sz="4" w:space="0"/>
              <w:right w:val="single" w:color="000000" w:sz="4" w:space="0"/>
            </w:tcBorders>
            <w:vAlign w:val="center"/>
          </w:tcPr>
          <w:p w14:paraId="1F7D4A96">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套</w:t>
            </w:r>
          </w:p>
        </w:tc>
        <w:tc>
          <w:tcPr>
            <w:tcW w:w="935" w:type="dxa"/>
            <w:gridSpan w:val="3"/>
            <w:tcBorders>
              <w:top w:val="single" w:color="000000" w:sz="4" w:space="0"/>
              <w:left w:val="single" w:color="000000" w:sz="4" w:space="0"/>
              <w:bottom w:val="single" w:color="000000" w:sz="4" w:space="0"/>
              <w:right w:val="single" w:color="000000" w:sz="4" w:space="0"/>
            </w:tcBorders>
            <w:vAlign w:val="center"/>
          </w:tcPr>
          <w:p w14:paraId="24A3113E">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8</w:t>
            </w:r>
          </w:p>
        </w:tc>
      </w:tr>
      <w:tr w14:paraId="5D4880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jc w:val="center"/>
        </w:trPr>
        <w:tc>
          <w:tcPr>
            <w:tcW w:w="749" w:type="dxa"/>
            <w:tcBorders>
              <w:top w:val="single" w:color="000000" w:sz="4" w:space="0"/>
              <w:left w:val="single" w:color="000000" w:sz="4" w:space="0"/>
              <w:bottom w:val="single" w:color="000000" w:sz="4" w:space="0"/>
              <w:right w:val="single" w:color="000000" w:sz="4" w:space="0"/>
            </w:tcBorders>
            <w:vAlign w:val="center"/>
          </w:tcPr>
          <w:p w14:paraId="115B36BD">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4</w:t>
            </w:r>
          </w:p>
        </w:tc>
        <w:tc>
          <w:tcPr>
            <w:tcW w:w="1227" w:type="dxa"/>
            <w:tcBorders>
              <w:top w:val="single" w:color="000000" w:sz="4" w:space="0"/>
              <w:left w:val="single" w:color="000000" w:sz="4" w:space="0"/>
              <w:bottom w:val="single" w:color="000000" w:sz="4" w:space="0"/>
              <w:right w:val="single" w:color="000000" w:sz="4" w:space="0"/>
            </w:tcBorders>
            <w:vAlign w:val="center"/>
          </w:tcPr>
          <w:p w14:paraId="734F9EE3">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无土栽培盆</w:t>
            </w:r>
          </w:p>
        </w:tc>
        <w:tc>
          <w:tcPr>
            <w:tcW w:w="6200" w:type="dxa"/>
            <w:gridSpan w:val="3"/>
            <w:tcBorders>
              <w:top w:val="single" w:color="000000" w:sz="4" w:space="0"/>
              <w:left w:val="single" w:color="000000" w:sz="4" w:space="0"/>
              <w:bottom w:val="single" w:color="000000" w:sz="4" w:space="0"/>
              <w:right w:val="single" w:color="000000" w:sz="4" w:space="0"/>
            </w:tcBorders>
            <w:vAlign w:val="center"/>
          </w:tcPr>
          <w:p w14:paraId="508F6D70">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一、适用范围：适用于小学、初中劳技教学使用。二、技术要求：1、无土栽培盆尺寸：≥38.5*27*14cm，内涵产品：（1）、定植孔12个（2）、定植篮12个（3）、定植棉12个，（4）、吸水布1张（4）、营养液2瓶，（5）、蔬菜种子2包，（7）、气泵及控制器1套，低压直流电源水泵12V，2、无土栽培盆材质：塑质，经济型箱式、偏于携带储存。</w:t>
            </w:r>
          </w:p>
        </w:tc>
        <w:tc>
          <w:tcPr>
            <w:tcW w:w="867" w:type="dxa"/>
            <w:gridSpan w:val="4"/>
            <w:tcBorders>
              <w:top w:val="single" w:color="000000" w:sz="4" w:space="0"/>
              <w:left w:val="single" w:color="000000" w:sz="4" w:space="0"/>
              <w:bottom w:val="single" w:color="000000" w:sz="4" w:space="0"/>
              <w:right w:val="single" w:color="000000" w:sz="4" w:space="0"/>
            </w:tcBorders>
            <w:vAlign w:val="center"/>
          </w:tcPr>
          <w:p w14:paraId="29664F02">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35" w:type="dxa"/>
            <w:gridSpan w:val="3"/>
            <w:tcBorders>
              <w:top w:val="single" w:color="000000" w:sz="4" w:space="0"/>
              <w:left w:val="single" w:color="000000" w:sz="4" w:space="0"/>
              <w:bottom w:val="single" w:color="000000" w:sz="4" w:space="0"/>
              <w:right w:val="single" w:color="000000" w:sz="4" w:space="0"/>
            </w:tcBorders>
            <w:vAlign w:val="center"/>
          </w:tcPr>
          <w:p w14:paraId="54F1DA17">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8</w:t>
            </w:r>
          </w:p>
        </w:tc>
      </w:tr>
      <w:tr w14:paraId="02D87F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jc w:val="center"/>
        </w:trPr>
        <w:tc>
          <w:tcPr>
            <w:tcW w:w="749" w:type="dxa"/>
            <w:tcBorders>
              <w:top w:val="single" w:color="000000" w:sz="4" w:space="0"/>
              <w:left w:val="single" w:color="000000" w:sz="4" w:space="0"/>
              <w:bottom w:val="single" w:color="000000" w:sz="4" w:space="0"/>
              <w:right w:val="single" w:color="000000" w:sz="4" w:space="0"/>
            </w:tcBorders>
            <w:vAlign w:val="center"/>
          </w:tcPr>
          <w:p w14:paraId="417451F5">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5</w:t>
            </w:r>
          </w:p>
        </w:tc>
        <w:tc>
          <w:tcPr>
            <w:tcW w:w="1227" w:type="dxa"/>
            <w:tcBorders>
              <w:top w:val="single" w:color="000000" w:sz="4" w:space="0"/>
              <w:left w:val="single" w:color="000000" w:sz="4" w:space="0"/>
              <w:bottom w:val="single" w:color="000000" w:sz="4" w:space="0"/>
              <w:right w:val="single" w:color="000000" w:sz="4" w:space="0"/>
            </w:tcBorders>
            <w:vAlign w:val="center"/>
          </w:tcPr>
          <w:p w14:paraId="2678F4DA">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育种育苗箱</w:t>
            </w:r>
          </w:p>
        </w:tc>
        <w:tc>
          <w:tcPr>
            <w:tcW w:w="6200" w:type="dxa"/>
            <w:gridSpan w:val="3"/>
            <w:tcBorders>
              <w:top w:val="single" w:color="000000" w:sz="4" w:space="0"/>
              <w:left w:val="single" w:color="000000" w:sz="4" w:space="0"/>
              <w:bottom w:val="single" w:color="000000" w:sz="4" w:space="0"/>
              <w:right w:val="single" w:color="000000" w:sz="4" w:space="0"/>
            </w:tcBorders>
            <w:vAlign w:val="center"/>
          </w:tcPr>
          <w:p w14:paraId="095628AA">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材质：采用无毒无味塑料制作。规结构：28穴，</w:t>
            </w:r>
          </w:p>
        </w:tc>
        <w:tc>
          <w:tcPr>
            <w:tcW w:w="867" w:type="dxa"/>
            <w:gridSpan w:val="4"/>
            <w:tcBorders>
              <w:top w:val="single" w:color="000000" w:sz="4" w:space="0"/>
              <w:left w:val="single" w:color="000000" w:sz="4" w:space="0"/>
              <w:bottom w:val="single" w:color="000000" w:sz="4" w:space="0"/>
              <w:right w:val="single" w:color="000000" w:sz="4" w:space="0"/>
            </w:tcBorders>
            <w:vAlign w:val="center"/>
          </w:tcPr>
          <w:p w14:paraId="4962B096">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35" w:type="dxa"/>
            <w:gridSpan w:val="3"/>
            <w:tcBorders>
              <w:top w:val="single" w:color="000000" w:sz="4" w:space="0"/>
              <w:left w:val="single" w:color="000000" w:sz="4" w:space="0"/>
              <w:bottom w:val="single" w:color="000000" w:sz="4" w:space="0"/>
              <w:right w:val="single" w:color="000000" w:sz="4" w:space="0"/>
            </w:tcBorders>
            <w:vAlign w:val="center"/>
          </w:tcPr>
          <w:p w14:paraId="6A1D587C">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8</w:t>
            </w:r>
          </w:p>
        </w:tc>
      </w:tr>
      <w:tr w14:paraId="31E9E5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jc w:val="center"/>
        </w:trPr>
        <w:tc>
          <w:tcPr>
            <w:tcW w:w="749" w:type="dxa"/>
            <w:tcBorders>
              <w:top w:val="single" w:color="000000" w:sz="4" w:space="0"/>
              <w:left w:val="single" w:color="000000" w:sz="4" w:space="0"/>
              <w:bottom w:val="single" w:color="000000" w:sz="4" w:space="0"/>
              <w:right w:val="single" w:color="000000" w:sz="4" w:space="0"/>
            </w:tcBorders>
            <w:vAlign w:val="center"/>
          </w:tcPr>
          <w:p w14:paraId="46AA3933">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6</w:t>
            </w:r>
          </w:p>
        </w:tc>
        <w:tc>
          <w:tcPr>
            <w:tcW w:w="1227" w:type="dxa"/>
            <w:tcBorders>
              <w:top w:val="single" w:color="000000" w:sz="4" w:space="0"/>
              <w:left w:val="single" w:color="000000" w:sz="4" w:space="0"/>
              <w:bottom w:val="single" w:color="000000" w:sz="4" w:space="0"/>
              <w:right w:val="single" w:color="000000" w:sz="4" w:space="0"/>
            </w:tcBorders>
            <w:vAlign w:val="center"/>
          </w:tcPr>
          <w:p w14:paraId="0B613FCF">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育种盆</w:t>
            </w:r>
          </w:p>
        </w:tc>
        <w:tc>
          <w:tcPr>
            <w:tcW w:w="6200" w:type="dxa"/>
            <w:gridSpan w:val="3"/>
            <w:tcBorders>
              <w:top w:val="single" w:color="000000" w:sz="4" w:space="0"/>
              <w:left w:val="single" w:color="000000" w:sz="4" w:space="0"/>
              <w:bottom w:val="single" w:color="000000" w:sz="4" w:space="0"/>
              <w:right w:val="single" w:color="000000" w:sz="4" w:space="0"/>
            </w:tcBorders>
          </w:tcPr>
          <w:p w14:paraId="2CD9B05B">
            <w:pPr>
              <w:widowControl/>
              <w:jc w:val="left"/>
              <w:textAlignment w:val="top"/>
              <w:rPr>
                <w:rFonts w:hint="eastAsia" w:ascii="宋体" w:hAnsi="宋体"/>
                <w:color w:val="auto"/>
                <w:szCs w:val="21"/>
                <w:highlight w:val="none"/>
              </w:rPr>
            </w:pPr>
            <w:r>
              <w:rPr>
                <w:rFonts w:hint="eastAsia" w:ascii="宋体" w:hAnsi="宋体"/>
                <w:color w:val="auto"/>
                <w:kern w:val="0"/>
                <w:szCs w:val="21"/>
                <w:highlight w:val="none"/>
                <w:lang w:bidi="ar"/>
              </w:rPr>
              <w:t>塑料材质，尺寸≥55*24.5*3.5cm，带有渗水功能</w:t>
            </w:r>
          </w:p>
        </w:tc>
        <w:tc>
          <w:tcPr>
            <w:tcW w:w="867" w:type="dxa"/>
            <w:gridSpan w:val="4"/>
            <w:tcBorders>
              <w:top w:val="single" w:color="000000" w:sz="4" w:space="0"/>
              <w:left w:val="single" w:color="000000" w:sz="4" w:space="0"/>
              <w:bottom w:val="single" w:color="000000" w:sz="4" w:space="0"/>
              <w:right w:val="single" w:color="000000" w:sz="4" w:space="0"/>
            </w:tcBorders>
            <w:vAlign w:val="center"/>
          </w:tcPr>
          <w:p w14:paraId="364F69D4">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35" w:type="dxa"/>
            <w:gridSpan w:val="3"/>
            <w:tcBorders>
              <w:top w:val="single" w:color="000000" w:sz="4" w:space="0"/>
              <w:left w:val="single" w:color="000000" w:sz="4" w:space="0"/>
              <w:bottom w:val="single" w:color="000000" w:sz="4" w:space="0"/>
              <w:right w:val="single" w:color="000000" w:sz="4" w:space="0"/>
            </w:tcBorders>
            <w:vAlign w:val="center"/>
          </w:tcPr>
          <w:p w14:paraId="1F9BAA88">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8</w:t>
            </w:r>
          </w:p>
        </w:tc>
      </w:tr>
      <w:tr w14:paraId="5DD48D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jc w:val="center"/>
        </w:trPr>
        <w:tc>
          <w:tcPr>
            <w:tcW w:w="749" w:type="dxa"/>
            <w:tcBorders>
              <w:top w:val="single" w:color="000000" w:sz="4" w:space="0"/>
              <w:left w:val="single" w:color="000000" w:sz="4" w:space="0"/>
              <w:bottom w:val="single" w:color="000000" w:sz="4" w:space="0"/>
              <w:right w:val="single" w:color="000000" w:sz="4" w:space="0"/>
            </w:tcBorders>
            <w:vAlign w:val="center"/>
          </w:tcPr>
          <w:p w14:paraId="752733C7">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7</w:t>
            </w:r>
          </w:p>
        </w:tc>
        <w:tc>
          <w:tcPr>
            <w:tcW w:w="1227" w:type="dxa"/>
            <w:tcBorders>
              <w:top w:val="single" w:color="000000" w:sz="4" w:space="0"/>
              <w:left w:val="single" w:color="000000" w:sz="4" w:space="0"/>
              <w:bottom w:val="single" w:color="000000" w:sz="4" w:space="0"/>
              <w:right w:val="single" w:color="000000" w:sz="4" w:space="0"/>
            </w:tcBorders>
            <w:vAlign w:val="center"/>
          </w:tcPr>
          <w:p w14:paraId="7BFA4257">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饲养用具</w:t>
            </w:r>
          </w:p>
        </w:tc>
        <w:tc>
          <w:tcPr>
            <w:tcW w:w="6200" w:type="dxa"/>
            <w:gridSpan w:val="3"/>
            <w:tcBorders>
              <w:top w:val="single" w:color="000000" w:sz="4" w:space="0"/>
              <w:left w:val="single" w:color="000000" w:sz="4" w:space="0"/>
              <w:bottom w:val="single" w:color="000000" w:sz="4" w:space="0"/>
              <w:right w:val="single" w:color="000000" w:sz="4" w:space="0"/>
            </w:tcBorders>
            <w:vAlign w:val="center"/>
          </w:tcPr>
          <w:p w14:paraId="4ACFF6EB">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开食盘1个、饮水箱1件、食料箱1件、家畜（禽）饮水嘴5个、圈养网1张、折叠笼1个、全自动饮水器1件、取料勺1把、水管1根、食槽1个、PVC水管1根</w:t>
            </w:r>
          </w:p>
        </w:tc>
        <w:tc>
          <w:tcPr>
            <w:tcW w:w="867" w:type="dxa"/>
            <w:gridSpan w:val="4"/>
            <w:tcBorders>
              <w:top w:val="single" w:color="000000" w:sz="4" w:space="0"/>
              <w:left w:val="single" w:color="000000" w:sz="4" w:space="0"/>
              <w:bottom w:val="single" w:color="000000" w:sz="4" w:space="0"/>
              <w:right w:val="single" w:color="000000" w:sz="4" w:space="0"/>
            </w:tcBorders>
            <w:vAlign w:val="center"/>
          </w:tcPr>
          <w:p w14:paraId="27408431">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套</w:t>
            </w:r>
          </w:p>
        </w:tc>
        <w:tc>
          <w:tcPr>
            <w:tcW w:w="935" w:type="dxa"/>
            <w:gridSpan w:val="3"/>
            <w:tcBorders>
              <w:top w:val="single" w:color="000000" w:sz="4" w:space="0"/>
              <w:left w:val="single" w:color="000000" w:sz="4" w:space="0"/>
              <w:bottom w:val="single" w:color="000000" w:sz="4" w:space="0"/>
              <w:right w:val="single" w:color="000000" w:sz="4" w:space="0"/>
            </w:tcBorders>
            <w:vAlign w:val="center"/>
          </w:tcPr>
          <w:p w14:paraId="711C1813">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8</w:t>
            </w:r>
          </w:p>
        </w:tc>
      </w:tr>
      <w:tr w14:paraId="1D339F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jc w:val="center"/>
        </w:trPr>
        <w:tc>
          <w:tcPr>
            <w:tcW w:w="749" w:type="dxa"/>
            <w:tcBorders>
              <w:top w:val="single" w:color="000000" w:sz="4" w:space="0"/>
              <w:left w:val="single" w:color="000000" w:sz="4" w:space="0"/>
              <w:bottom w:val="single" w:color="000000" w:sz="4" w:space="0"/>
              <w:right w:val="single" w:color="000000" w:sz="4" w:space="0"/>
            </w:tcBorders>
            <w:vAlign w:val="center"/>
          </w:tcPr>
          <w:p w14:paraId="3E4B5081">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8</w:t>
            </w:r>
          </w:p>
        </w:tc>
        <w:tc>
          <w:tcPr>
            <w:tcW w:w="1227" w:type="dxa"/>
            <w:tcBorders>
              <w:top w:val="single" w:color="000000" w:sz="4" w:space="0"/>
              <w:left w:val="single" w:color="000000" w:sz="4" w:space="0"/>
              <w:bottom w:val="single" w:color="000000" w:sz="4" w:space="0"/>
              <w:right w:val="single" w:color="000000" w:sz="4" w:space="0"/>
            </w:tcBorders>
            <w:vAlign w:val="center"/>
          </w:tcPr>
          <w:p w14:paraId="6A5C42F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鱼类养殖箱</w:t>
            </w:r>
          </w:p>
        </w:tc>
        <w:tc>
          <w:tcPr>
            <w:tcW w:w="6200" w:type="dxa"/>
            <w:gridSpan w:val="3"/>
            <w:tcBorders>
              <w:top w:val="single" w:color="000000" w:sz="4" w:space="0"/>
              <w:left w:val="single" w:color="000000" w:sz="4" w:space="0"/>
              <w:bottom w:val="single" w:color="000000" w:sz="4" w:space="0"/>
              <w:right w:val="single" w:color="000000" w:sz="4" w:space="0"/>
            </w:tcBorders>
            <w:vAlign w:val="center"/>
          </w:tcPr>
          <w:p w14:paraId="708229B0">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材质：玻璃封闭式，尺寸：≥360x220x370mm，容量：≥22L，配备水泵、水过滤棉、LED照明系统，开关为触摸式.</w:t>
            </w:r>
          </w:p>
        </w:tc>
        <w:tc>
          <w:tcPr>
            <w:tcW w:w="867" w:type="dxa"/>
            <w:gridSpan w:val="4"/>
            <w:tcBorders>
              <w:top w:val="single" w:color="000000" w:sz="4" w:space="0"/>
              <w:left w:val="single" w:color="000000" w:sz="4" w:space="0"/>
              <w:bottom w:val="single" w:color="000000" w:sz="4" w:space="0"/>
              <w:right w:val="single" w:color="000000" w:sz="4" w:space="0"/>
            </w:tcBorders>
            <w:vAlign w:val="center"/>
          </w:tcPr>
          <w:p w14:paraId="4C863FF8">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35" w:type="dxa"/>
            <w:gridSpan w:val="3"/>
            <w:tcBorders>
              <w:top w:val="single" w:color="000000" w:sz="4" w:space="0"/>
              <w:left w:val="single" w:color="000000" w:sz="4" w:space="0"/>
              <w:bottom w:val="single" w:color="000000" w:sz="4" w:space="0"/>
              <w:right w:val="single" w:color="000000" w:sz="4" w:space="0"/>
            </w:tcBorders>
            <w:vAlign w:val="center"/>
          </w:tcPr>
          <w:p w14:paraId="5550F0D3">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8</w:t>
            </w:r>
          </w:p>
        </w:tc>
      </w:tr>
      <w:tr w14:paraId="31B553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jc w:val="center"/>
        </w:trPr>
        <w:tc>
          <w:tcPr>
            <w:tcW w:w="749" w:type="dxa"/>
            <w:tcBorders>
              <w:top w:val="single" w:color="000000" w:sz="4" w:space="0"/>
              <w:left w:val="single" w:color="000000" w:sz="4" w:space="0"/>
              <w:bottom w:val="single" w:color="000000" w:sz="4" w:space="0"/>
              <w:right w:val="single" w:color="000000" w:sz="4" w:space="0"/>
            </w:tcBorders>
            <w:vAlign w:val="center"/>
          </w:tcPr>
          <w:p w14:paraId="6077EB18">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9</w:t>
            </w:r>
          </w:p>
        </w:tc>
        <w:tc>
          <w:tcPr>
            <w:tcW w:w="1227" w:type="dxa"/>
            <w:tcBorders>
              <w:top w:val="single" w:color="000000" w:sz="4" w:space="0"/>
              <w:left w:val="single" w:color="000000" w:sz="4" w:space="0"/>
              <w:bottom w:val="single" w:color="000000" w:sz="4" w:space="0"/>
              <w:right w:val="single" w:color="000000" w:sz="4" w:space="0"/>
            </w:tcBorders>
            <w:vAlign w:val="center"/>
          </w:tcPr>
          <w:p w14:paraId="7382D108">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鱼类养殖用具</w:t>
            </w:r>
          </w:p>
        </w:tc>
        <w:tc>
          <w:tcPr>
            <w:tcW w:w="6200" w:type="dxa"/>
            <w:gridSpan w:val="3"/>
            <w:tcBorders>
              <w:top w:val="single" w:color="000000" w:sz="4" w:space="0"/>
              <w:left w:val="single" w:color="000000" w:sz="4" w:space="0"/>
              <w:bottom w:val="single" w:color="000000" w:sz="4" w:space="0"/>
              <w:right w:val="single" w:color="000000" w:sz="4" w:space="0"/>
            </w:tcBorders>
            <w:vAlign w:val="center"/>
          </w:tcPr>
          <w:p w14:paraId="7C9A0D86">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工具箱1个，水族温度计1支，悬浮式磁力刷1套，增氧泵1套，Φ5mm配有氧气管，气泡石，捞鱼网1把，手动换水器1套，海绵刷1把，板刷1把，工具箱</w:t>
            </w:r>
          </w:p>
        </w:tc>
        <w:tc>
          <w:tcPr>
            <w:tcW w:w="867" w:type="dxa"/>
            <w:gridSpan w:val="4"/>
            <w:tcBorders>
              <w:top w:val="single" w:color="000000" w:sz="4" w:space="0"/>
              <w:left w:val="single" w:color="000000" w:sz="4" w:space="0"/>
              <w:bottom w:val="single" w:color="000000" w:sz="4" w:space="0"/>
              <w:right w:val="single" w:color="000000" w:sz="4" w:space="0"/>
            </w:tcBorders>
            <w:vAlign w:val="center"/>
          </w:tcPr>
          <w:p w14:paraId="3D05C3FE">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套</w:t>
            </w:r>
          </w:p>
        </w:tc>
        <w:tc>
          <w:tcPr>
            <w:tcW w:w="935" w:type="dxa"/>
            <w:gridSpan w:val="3"/>
            <w:tcBorders>
              <w:top w:val="single" w:color="000000" w:sz="4" w:space="0"/>
              <w:left w:val="single" w:color="000000" w:sz="4" w:space="0"/>
              <w:bottom w:val="single" w:color="000000" w:sz="4" w:space="0"/>
              <w:right w:val="single" w:color="000000" w:sz="4" w:space="0"/>
            </w:tcBorders>
            <w:vAlign w:val="center"/>
          </w:tcPr>
          <w:p w14:paraId="213CB9EC">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8</w:t>
            </w:r>
          </w:p>
        </w:tc>
      </w:tr>
      <w:tr w14:paraId="61231F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jc w:val="center"/>
        </w:trPr>
        <w:tc>
          <w:tcPr>
            <w:tcW w:w="749" w:type="dxa"/>
            <w:tcBorders>
              <w:top w:val="single" w:color="000000" w:sz="4" w:space="0"/>
              <w:left w:val="single" w:color="000000" w:sz="4" w:space="0"/>
              <w:bottom w:val="single" w:color="000000" w:sz="4" w:space="0"/>
              <w:right w:val="single" w:color="000000" w:sz="4" w:space="0"/>
            </w:tcBorders>
            <w:vAlign w:val="center"/>
          </w:tcPr>
          <w:p w14:paraId="1455E025">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10</w:t>
            </w:r>
          </w:p>
        </w:tc>
        <w:tc>
          <w:tcPr>
            <w:tcW w:w="1227" w:type="dxa"/>
            <w:tcBorders>
              <w:top w:val="single" w:color="000000" w:sz="4" w:space="0"/>
              <w:left w:val="single" w:color="000000" w:sz="4" w:space="0"/>
              <w:bottom w:val="single" w:color="000000" w:sz="4" w:space="0"/>
              <w:right w:val="single" w:color="000000" w:sz="4" w:space="0"/>
            </w:tcBorders>
            <w:vAlign w:val="center"/>
          </w:tcPr>
          <w:p w14:paraId="3D8495B4">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加氧机</w:t>
            </w:r>
          </w:p>
        </w:tc>
        <w:tc>
          <w:tcPr>
            <w:tcW w:w="6200" w:type="dxa"/>
            <w:gridSpan w:val="3"/>
            <w:tcBorders>
              <w:top w:val="single" w:color="000000" w:sz="4" w:space="0"/>
              <w:left w:val="single" w:color="000000" w:sz="4" w:space="0"/>
              <w:bottom w:val="single" w:color="000000" w:sz="4" w:space="0"/>
              <w:right w:val="single" w:color="000000" w:sz="4" w:space="0"/>
            </w:tcBorders>
            <w:vAlign w:val="center"/>
          </w:tcPr>
          <w:p w14:paraId="226FDEF4">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电压：≥220V 50HZ  功率≥：5W  尺寸：≥120X80*45mm 配有氧气管、气泡石</w:t>
            </w:r>
          </w:p>
        </w:tc>
        <w:tc>
          <w:tcPr>
            <w:tcW w:w="867" w:type="dxa"/>
            <w:gridSpan w:val="4"/>
            <w:tcBorders>
              <w:top w:val="single" w:color="000000" w:sz="4" w:space="0"/>
              <w:left w:val="single" w:color="000000" w:sz="4" w:space="0"/>
              <w:bottom w:val="single" w:color="000000" w:sz="4" w:space="0"/>
              <w:right w:val="single" w:color="000000" w:sz="4" w:space="0"/>
            </w:tcBorders>
            <w:vAlign w:val="center"/>
          </w:tcPr>
          <w:p w14:paraId="38C8F1D6">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35" w:type="dxa"/>
            <w:gridSpan w:val="3"/>
            <w:tcBorders>
              <w:top w:val="single" w:color="000000" w:sz="4" w:space="0"/>
              <w:left w:val="single" w:color="000000" w:sz="4" w:space="0"/>
              <w:bottom w:val="single" w:color="000000" w:sz="4" w:space="0"/>
              <w:right w:val="single" w:color="000000" w:sz="4" w:space="0"/>
            </w:tcBorders>
            <w:vAlign w:val="center"/>
          </w:tcPr>
          <w:p w14:paraId="0FF26541">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8</w:t>
            </w:r>
          </w:p>
        </w:tc>
      </w:tr>
      <w:tr w14:paraId="7DBDC6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jc w:val="center"/>
        </w:trPr>
        <w:tc>
          <w:tcPr>
            <w:tcW w:w="749" w:type="dxa"/>
            <w:tcBorders>
              <w:top w:val="single" w:color="000000" w:sz="4" w:space="0"/>
              <w:left w:val="single" w:color="000000" w:sz="4" w:space="0"/>
              <w:bottom w:val="single" w:color="000000" w:sz="4" w:space="0"/>
              <w:right w:val="single" w:color="000000" w:sz="4" w:space="0"/>
            </w:tcBorders>
            <w:vAlign w:val="center"/>
          </w:tcPr>
          <w:p w14:paraId="1B6F8313">
            <w:pPr>
              <w:widowControl/>
              <w:textAlignment w:val="center"/>
              <w:rPr>
                <w:rFonts w:hint="eastAsia" w:ascii="宋体" w:hAnsi="宋体"/>
                <w:b/>
                <w:bCs/>
                <w:color w:val="auto"/>
                <w:szCs w:val="21"/>
                <w:highlight w:val="none"/>
              </w:rPr>
            </w:pPr>
            <w:r>
              <w:rPr>
                <w:rFonts w:hint="eastAsia" w:ascii="宋体" w:hAnsi="宋体"/>
                <w:b/>
                <w:bCs/>
                <w:color w:val="auto"/>
                <w:kern w:val="0"/>
                <w:szCs w:val="21"/>
                <w:highlight w:val="none"/>
                <w:lang w:bidi="ar"/>
              </w:rPr>
              <w:t>（六）</w:t>
            </w:r>
          </w:p>
        </w:tc>
        <w:tc>
          <w:tcPr>
            <w:tcW w:w="1227" w:type="dxa"/>
            <w:tcBorders>
              <w:top w:val="single" w:color="000000" w:sz="4" w:space="0"/>
              <w:left w:val="single" w:color="000000" w:sz="4" w:space="0"/>
              <w:bottom w:val="single" w:color="000000" w:sz="4" w:space="0"/>
              <w:right w:val="single" w:color="000000" w:sz="4" w:space="0"/>
            </w:tcBorders>
            <w:vAlign w:val="center"/>
          </w:tcPr>
          <w:p w14:paraId="20042A33">
            <w:pPr>
              <w:widowControl/>
              <w:jc w:val="center"/>
              <w:textAlignment w:val="center"/>
              <w:rPr>
                <w:rFonts w:hint="eastAsia" w:ascii="宋体" w:hAnsi="宋体"/>
                <w:b/>
                <w:bCs/>
                <w:color w:val="auto"/>
                <w:szCs w:val="21"/>
                <w:highlight w:val="none"/>
              </w:rPr>
            </w:pPr>
            <w:r>
              <w:rPr>
                <w:rFonts w:hint="eastAsia" w:ascii="宋体" w:hAnsi="宋体"/>
                <w:b/>
                <w:bCs/>
                <w:color w:val="auto"/>
                <w:kern w:val="0"/>
                <w:szCs w:val="21"/>
                <w:highlight w:val="none"/>
                <w:lang w:bidi="ar"/>
              </w:rPr>
              <w:t>手工及工艺制作</w:t>
            </w:r>
          </w:p>
        </w:tc>
        <w:tc>
          <w:tcPr>
            <w:tcW w:w="6200" w:type="dxa"/>
            <w:gridSpan w:val="3"/>
            <w:tcBorders>
              <w:top w:val="single" w:color="000000" w:sz="4" w:space="0"/>
              <w:left w:val="single" w:color="000000" w:sz="4" w:space="0"/>
              <w:bottom w:val="single" w:color="000000" w:sz="4" w:space="0"/>
              <w:right w:val="single" w:color="000000" w:sz="4" w:space="0"/>
            </w:tcBorders>
            <w:vAlign w:val="center"/>
          </w:tcPr>
          <w:p w14:paraId="5AD3A624">
            <w:pPr>
              <w:jc w:val="left"/>
              <w:rPr>
                <w:rFonts w:hint="eastAsia" w:ascii="宋体" w:hAnsi="宋体"/>
                <w:b/>
                <w:bCs/>
                <w:color w:val="auto"/>
                <w:szCs w:val="21"/>
                <w:highlight w:val="none"/>
              </w:rPr>
            </w:pPr>
          </w:p>
        </w:tc>
        <w:tc>
          <w:tcPr>
            <w:tcW w:w="867" w:type="dxa"/>
            <w:gridSpan w:val="4"/>
            <w:tcBorders>
              <w:top w:val="single" w:color="000000" w:sz="4" w:space="0"/>
              <w:left w:val="single" w:color="000000" w:sz="4" w:space="0"/>
              <w:bottom w:val="single" w:color="000000" w:sz="4" w:space="0"/>
              <w:right w:val="single" w:color="000000" w:sz="4" w:space="0"/>
            </w:tcBorders>
            <w:vAlign w:val="bottom"/>
          </w:tcPr>
          <w:p w14:paraId="04999517">
            <w:pPr>
              <w:jc w:val="center"/>
              <w:rPr>
                <w:rFonts w:hint="eastAsia" w:ascii="宋体" w:hAnsi="宋体"/>
                <w:b/>
                <w:bCs/>
                <w:color w:val="auto"/>
                <w:szCs w:val="21"/>
                <w:highlight w:val="none"/>
              </w:rPr>
            </w:pPr>
          </w:p>
        </w:tc>
        <w:tc>
          <w:tcPr>
            <w:tcW w:w="935" w:type="dxa"/>
            <w:gridSpan w:val="3"/>
            <w:tcBorders>
              <w:top w:val="single" w:color="000000" w:sz="4" w:space="0"/>
              <w:left w:val="single" w:color="000000" w:sz="4" w:space="0"/>
              <w:bottom w:val="single" w:color="000000" w:sz="4" w:space="0"/>
              <w:right w:val="single" w:color="000000" w:sz="4" w:space="0"/>
            </w:tcBorders>
            <w:vAlign w:val="bottom"/>
          </w:tcPr>
          <w:p w14:paraId="12F936F3">
            <w:pPr>
              <w:jc w:val="center"/>
              <w:rPr>
                <w:rFonts w:hint="eastAsia" w:ascii="宋体" w:hAnsi="宋体"/>
                <w:b/>
                <w:bCs/>
                <w:color w:val="auto"/>
                <w:szCs w:val="21"/>
                <w:highlight w:val="none"/>
              </w:rPr>
            </w:pPr>
          </w:p>
        </w:tc>
      </w:tr>
      <w:tr w14:paraId="3DB0AB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jc w:val="center"/>
        </w:trPr>
        <w:tc>
          <w:tcPr>
            <w:tcW w:w="749" w:type="dxa"/>
            <w:tcBorders>
              <w:top w:val="single" w:color="000000" w:sz="4" w:space="0"/>
              <w:left w:val="single" w:color="000000" w:sz="4" w:space="0"/>
              <w:bottom w:val="single" w:color="000000" w:sz="4" w:space="0"/>
              <w:right w:val="single" w:color="000000" w:sz="4" w:space="0"/>
            </w:tcBorders>
            <w:vAlign w:val="center"/>
          </w:tcPr>
          <w:p w14:paraId="7473BA4A">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c>
          <w:tcPr>
            <w:tcW w:w="1227" w:type="dxa"/>
            <w:tcBorders>
              <w:top w:val="single" w:color="000000" w:sz="4" w:space="0"/>
              <w:left w:val="single" w:color="000000" w:sz="4" w:space="0"/>
              <w:bottom w:val="single" w:color="000000" w:sz="4" w:space="0"/>
              <w:right w:val="single" w:color="000000" w:sz="4" w:space="0"/>
            </w:tcBorders>
            <w:vAlign w:val="center"/>
          </w:tcPr>
          <w:p w14:paraId="16BE9ADA">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纸工工具</w:t>
            </w:r>
          </w:p>
        </w:tc>
        <w:tc>
          <w:tcPr>
            <w:tcW w:w="6200" w:type="dxa"/>
            <w:gridSpan w:val="3"/>
            <w:tcBorders>
              <w:top w:val="single" w:color="000000" w:sz="4" w:space="0"/>
              <w:left w:val="single" w:color="000000" w:sz="4" w:space="0"/>
              <w:bottom w:val="single" w:color="000000" w:sz="4" w:space="0"/>
              <w:right w:val="single" w:color="000000" w:sz="4" w:space="0"/>
            </w:tcBorders>
            <w:vAlign w:val="center"/>
          </w:tcPr>
          <w:p w14:paraId="29475B50">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1、垫板1张：聚丙稀（pp）材质，长宽高≥295mm×200mm×3mm（±50mm）；2、剪刀1件：无刃、圆头，总长度≥160mm；3、花边剪1件：铁口花边剪，刀头总长度≥60mm；4、打孔器1件：手握式单孔打孔器，有纸屑收集装置，手握处防滑细纹，最大打孔能力可打8张纸，打孔直径≥6mm；5、美工刀一件，ABS塑料材质手柄，小号刀片；6、订书机一件，7、雕刻刀，全金属刀杆，强度高，刀片加持牢固，刀片带防护帽，防止伤人8、刻刀刀片，3片，高碳钢，塑料盒装8、直尺：要求刻度清晰、准确。长≥30cm。9、蛇形尺：采用优质PE材料制成，符合环保要求、无毒、无味。长≥30cm。10、工具盒1件：箱体规格：≥375mm×290mm×60mm。（±50mm）PVC吹塑工具盒，定位包装。</w:t>
            </w:r>
          </w:p>
        </w:tc>
        <w:tc>
          <w:tcPr>
            <w:tcW w:w="867" w:type="dxa"/>
            <w:gridSpan w:val="4"/>
            <w:tcBorders>
              <w:top w:val="single" w:color="000000" w:sz="4" w:space="0"/>
              <w:left w:val="single" w:color="000000" w:sz="4" w:space="0"/>
              <w:bottom w:val="single" w:color="000000" w:sz="4" w:space="0"/>
              <w:right w:val="single" w:color="000000" w:sz="4" w:space="0"/>
            </w:tcBorders>
            <w:vAlign w:val="center"/>
          </w:tcPr>
          <w:p w14:paraId="3186D5CB">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套</w:t>
            </w:r>
          </w:p>
        </w:tc>
        <w:tc>
          <w:tcPr>
            <w:tcW w:w="935" w:type="dxa"/>
            <w:gridSpan w:val="3"/>
            <w:tcBorders>
              <w:top w:val="single" w:color="000000" w:sz="4" w:space="0"/>
              <w:left w:val="single" w:color="000000" w:sz="4" w:space="0"/>
              <w:bottom w:val="single" w:color="000000" w:sz="4" w:space="0"/>
              <w:right w:val="single" w:color="000000" w:sz="4" w:space="0"/>
            </w:tcBorders>
            <w:vAlign w:val="center"/>
          </w:tcPr>
          <w:p w14:paraId="1CC49C66">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8</w:t>
            </w:r>
          </w:p>
        </w:tc>
      </w:tr>
      <w:tr w14:paraId="562644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jc w:val="center"/>
        </w:trPr>
        <w:tc>
          <w:tcPr>
            <w:tcW w:w="749" w:type="dxa"/>
            <w:tcBorders>
              <w:top w:val="single" w:color="000000" w:sz="4" w:space="0"/>
              <w:left w:val="single" w:color="000000" w:sz="4" w:space="0"/>
              <w:bottom w:val="single" w:color="000000" w:sz="4" w:space="0"/>
              <w:right w:val="single" w:color="000000" w:sz="4" w:space="0"/>
            </w:tcBorders>
            <w:vAlign w:val="center"/>
          </w:tcPr>
          <w:p w14:paraId="3DB9D584">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w:t>
            </w:r>
          </w:p>
        </w:tc>
        <w:tc>
          <w:tcPr>
            <w:tcW w:w="1227" w:type="dxa"/>
            <w:tcBorders>
              <w:top w:val="single" w:color="000000" w:sz="4" w:space="0"/>
              <w:left w:val="single" w:color="000000" w:sz="4" w:space="0"/>
              <w:bottom w:val="single" w:color="000000" w:sz="4" w:space="0"/>
              <w:right w:val="single" w:color="000000" w:sz="4" w:space="0"/>
            </w:tcBorders>
            <w:vAlign w:val="center"/>
          </w:tcPr>
          <w:p w14:paraId="1D4110F5">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雕刻工具</w:t>
            </w:r>
          </w:p>
        </w:tc>
        <w:tc>
          <w:tcPr>
            <w:tcW w:w="6200" w:type="dxa"/>
            <w:gridSpan w:val="3"/>
            <w:tcBorders>
              <w:top w:val="single" w:color="000000" w:sz="4" w:space="0"/>
              <w:left w:val="single" w:color="000000" w:sz="4" w:space="0"/>
              <w:bottom w:val="single" w:color="000000" w:sz="4" w:space="0"/>
              <w:right w:val="single" w:color="000000" w:sz="4" w:space="0"/>
            </w:tcBorders>
            <w:vAlign w:val="center"/>
          </w:tcPr>
          <w:p w14:paraId="64343EF9">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印床1件、石刻刀3支、多用锤1把、铅笔1支、勾线笔1支、油石1块、印泥盒1件、石质印章2枚、砂纸2张、板刷1把、印模转印贴8个，产品塑箱内定位存放。</w:t>
            </w:r>
          </w:p>
        </w:tc>
        <w:tc>
          <w:tcPr>
            <w:tcW w:w="867" w:type="dxa"/>
            <w:gridSpan w:val="4"/>
            <w:tcBorders>
              <w:top w:val="single" w:color="000000" w:sz="4" w:space="0"/>
              <w:left w:val="single" w:color="000000" w:sz="4" w:space="0"/>
              <w:bottom w:val="single" w:color="000000" w:sz="4" w:space="0"/>
              <w:right w:val="single" w:color="000000" w:sz="4" w:space="0"/>
            </w:tcBorders>
            <w:vAlign w:val="center"/>
          </w:tcPr>
          <w:p w14:paraId="4360CA9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套</w:t>
            </w:r>
          </w:p>
        </w:tc>
        <w:tc>
          <w:tcPr>
            <w:tcW w:w="935" w:type="dxa"/>
            <w:gridSpan w:val="3"/>
            <w:tcBorders>
              <w:top w:val="single" w:color="000000" w:sz="4" w:space="0"/>
              <w:left w:val="single" w:color="000000" w:sz="4" w:space="0"/>
              <w:bottom w:val="single" w:color="000000" w:sz="4" w:space="0"/>
              <w:right w:val="single" w:color="000000" w:sz="4" w:space="0"/>
            </w:tcBorders>
            <w:vAlign w:val="center"/>
          </w:tcPr>
          <w:p w14:paraId="734917E3">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8</w:t>
            </w:r>
          </w:p>
        </w:tc>
      </w:tr>
      <w:tr w14:paraId="36AB41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jc w:val="center"/>
        </w:trPr>
        <w:tc>
          <w:tcPr>
            <w:tcW w:w="749" w:type="dxa"/>
            <w:tcBorders>
              <w:top w:val="single" w:color="000000" w:sz="4" w:space="0"/>
              <w:left w:val="single" w:color="000000" w:sz="4" w:space="0"/>
              <w:bottom w:val="single" w:color="000000" w:sz="4" w:space="0"/>
              <w:right w:val="single" w:color="000000" w:sz="4" w:space="0"/>
            </w:tcBorders>
            <w:vAlign w:val="center"/>
          </w:tcPr>
          <w:p w14:paraId="15120442">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3</w:t>
            </w:r>
          </w:p>
        </w:tc>
        <w:tc>
          <w:tcPr>
            <w:tcW w:w="1227" w:type="dxa"/>
            <w:tcBorders>
              <w:top w:val="single" w:color="000000" w:sz="4" w:space="0"/>
              <w:left w:val="single" w:color="000000" w:sz="4" w:space="0"/>
              <w:bottom w:val="single" w:color="000000" w:sz="4" w:space="0"/>
              <w:right w:val="single" w:color="000000" w:sz="4" w:space="0"/>
            </w:tcBorders>
            <w:vAlign w:val="center"/>
          </w:tcPr>
          <w:p w14:paraId="6F3A1B42">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雕刻章料</w:t>
            </w:r>
          </w:p>
        </w:tc>
        <w:tc>
          <w:tcPr>
            <w:tcW w:w="6200" w:type="dxa"/>
            <w:gridSpan w:val="3"/>
            <w:tcBorders>
              <w:top w:val="single" w:color="000000" w:sz="4" w:space="0"/>
              <w:left w:val="single" w:color="000000" w:sz="4" w:space="0"/>
              <w:bottom w:val="single" w:color="000000" w:sz="4" w:space="0"/>
              <w:right w:val="single" w:color="000000" w:sz="4" w:space="0"/>
            </w:tcBorders>
            <w:vAlign w:val="center"/>
          </w:tcPr>
          <w:p w14:paraId="2334B787">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寿山石2.5*5cm2枚，寿山石2*5cm1枚，寿山石随形素章1枚，青海石6枚，点墨石3*5cm1枚，点墨石2.5*-5cm2枚，点墨石2*5cm1枚，点墨石3.5*1.5*5cm1枚，点墨石随形章1枚，橡皮章2枚，工具盒。</w:t>
            </w:r>
          </w:p>
        </w:tc>
        <w:tc>
          <w:tcPr>
            <w:tcW w:w="867" w:type="dxa"/>
            <w:gridSpan w:val="4"/>
            <w:tcBorders>
              <w:top w:val="single" w:color="000000" w:sz="4" w:space="0"/>
              <w:left w:val="single" w:color="000000" w:sz="4" w:space="0"/>
              <w:bottom w:val="single" w:color="000000" w:sz="4" w:space="0"/>
              <w:right w:val="single" w:color="000000" w:sz="4" w:space="0"/>
            </w:tcBorders>
            <w:vAlign w:val="center"/>
          </w:tcPr>
          <w:p w14:paraId="387175F5">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套</w:t>
            </w:r>
          </w:p>
        </w:tc>
        <w:tc>
          <w:tcPr>
            <w:tcW w:w="935" w:type="dxa"/>
            <w:gridSpan w:val="3"/>
            <w:tcBorders>
              <w:top w:val="single" w:color="000000" w:sz="4" w:space="0"/>
              <w:left w:val="single" w:color="000000" w:sz="4" w:space="0"/>
              <w:bottom w:val="single" w:color="000000" w:sz="4" w:space="0"/>
              <w:right w:val="single" w:color="000000" w:sz="4" w:space="0"/>
            </w:tcBorders>
            <w:vAlign w:val="center"/>
          </w:tcPr>
          <w:p w14:paraId="73C70F84">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8</w:t>
            </w:r>
          </w:p>
        </w:tc>
      </w:tr>
      <w:tr w14:paraId="7D469E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jc w:val="center"/>
        </w:trPr>
        <w:tc>
          <w:tcPr>
            <w:tcW w:w="749" w:type="dxa"/>
            <w:tcBorders>
              <w:top w:val="single" w:color="000000" w:sz="4" w:space="0"/>
              <w:left w:val="single" w:color="000000" w:sz="4" w:space="0"/>
              <w:bottom w:val="single" w:color="000000" w:sz="4" w:space="0"/>
              <w:right w:val="single" w:color="000000" w:sz="4" w:space="0"/>
            </w:tcBorders>
            <w:vAlign w:val="center"/>
          </w:tcPr>
          <w:p w14:paraId="62EF34EE">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4</w:t>
            </w:r>
          </w:p>
        </w:tc>
        <w:tc>
          <w:tcPr>
            <w:tcW w:w="1227" w:type="dxa"/>
            <w:tcBorders>
              <w:top w:val="single" w:color="000000" w:sz="4" w:space="0"/>
              <w:left w:val="single" w:color="000000" w:sz="4" w:space="0"/>
              <w:bottom w:val="single" w:color="000000" w:sz="4" w:space="0"/>
              <w:right w:val="single" w:color="000000" w:sz="4" w:space="0"/>
            </w:tcBorders>
            <w:vAlign w:val="center"/>
          </w:tcPr>
          <w:p w14:paraId="0DCE7E68">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剪纸工具</w:t>
            </w:r>
          </w:p>
        </w:tc>
        <w:tc>
          <w:tcPr>
            <w:tcW w:w="6200" w:type="dxa"/>
            <w:gridSpan w:val="3"/>
            <w:tcBorders>
              <w:top w:val="single" w:color="000000" w:sz="4" w:space="0"/>
              <w:left w:val="single" w:color="000000" w:sz="4" w:space="0"/>
              <w:bottom w:val="single" w:color="000000" w:sz="4" w:space="0"/>
              <w:right w:val="single" w:color="000000" w:sz="4" w:space="0"/>
            </w:tcBorders>
            <w:vAlign w:val="center"/>
          </w:tcPr>
          <w:p w14:paraId="45D41D7E">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1、A4橡胶切割垫板1张  22度雕刻刀一把，带5片刀片。5色剪花纸各100张。电子图样内含3000多张图片的剪纸图样1套。、磨刀石一块。剪刀一把、钢勺一把。</w:t>
            </w:r>
          </w:p>
        </w:tc>
        <w:tc>
          <w:tcPr>
            <w:tcW w:w="867" w:type="dxa"/>
            <w:gridSpan w:val="4"/>
            <w:tcBorders>
              <w:top w:val="single" w:color="000000" w:sz="4" w:space="0"/>
              <w:left w:val="single" w:color="000000" w:sz="4" w:space="0"/>
              <w:bottom w:val="single" w:color="000000" w:sz="4" w:space="0"/>
              <w:right w:val="single" w:color="000000" w:sz="4" w:space="0"/>
            </w:tcBorders>
            <w:vAlign w:val="center"/>
          </w:tcPr>
          <w:p w14:paraId="757C5013">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套</w:t>
            </w:r>
          </w:p>
        </w:tc>
        <w:tc>
          <w:tcPr>
            <w:tcW w:w="935" w:type="dxa"/>
            <w:gridSpan w:val="3"/>
            <w:tcBorders>
              <w:top w:val="single" w:color="000000" w:sz="4" w:space="0"/>
              <w:left w:val="single" w:color="000000" w:sz="4" w:space="0"/>
              <w:bottom w:val="single" w:color="000000" w:sz="4" w:space="0"/>
              <w:right w:val="single" w:color="000000" w:sz="4" w:space="0"/>
            </w:tcBorders>
            <w:vAlign w:val="center"/>
          </w:tcPr>
          <w:p w14:paraId="3D18D8EC">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8</w:t>
            </w:r>
          </w:p>
        </w:tc>
      </w:tr>
      <w:tr w14:paraId="208729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jc w:val="center"/>
        </w:trPr>
        <w:tc>
          <w:tcPr>
            <w:tcW w:w="749" w:type="dxa"/>
            <w:tcBorders>
              <w:top w:val="single" w:color="000000" w:sz="4" w:space="0"/>
              <w:left w:val="single" w:color="000000" w:sz="4" w:space="0"/>
              <w:bottom w:val="single" w:color="000000" w:sz="4" w:space="0"/>
              <w:right w:val="single" w:color="000000" w:sz="4" w:space="0"/>
            </w:tcBorders>
            <w:vAlign w:val="center"/>
          </w:tcPr>
          <w:p w14:paraId="193B0990">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5</w:t>
            </w:r>
          </w:p>
        </w:tc>
        <w:tc>
          <w:tcPr>
            <w:tcW w:w="1227" w:type="dxa"/>
            <w:tcBorders>
              <w:top w:val="single" w:color="000000" w:sz="4" w:space="0"/>
              <w:left w:val="single" w:color="000000" w:sz="4" w:space="0"/>
              <w:bottom w:val="single" w:color="000000" w:sz="4" w:space="0"/>
              <w:right w:val="single" w:color="000000" w:sz="4" w:space="0"/>
            </w:tcBorders>
            <w:vAlign w:val="center"/>
          </w:tcPr>
          <w:p w14:paraId="08EA9F60">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刺绣工具</w:t>
            </w:r>
          </w:p>
        </w:tc>
        <w:tc>
          <w:tcPr>
            <w:tcW w:w="6200" w:type="dxa"/>
            <w:gridSpan w:val="3"/>
            <w:tcBorders>
              <w:top w:val="single" w:color="000000" w:sz="4" w:space="0"/>
              <w:left w:val="single" w:color="000000" w:sz="4" w:space="0"/>
              <w:bottom w:val="single" w:color="000000" w:sz="4" w:space="0"/>
              <w:right w:val="single" w:color="000000" w:sz="4" w:space="0"/>
            </w:tcBorders>
            <w:vAlign w:val="center"/>
          </w:tcPr>
          <w:p w14:paraId="2BF0D2FC">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金尾刺绣针 1 盒，引针器 1 个，1.5 米软卷尺 1 把，螺丝可调节绣花绷1 个，拆线刀1 把，竹夹 2 个，塑柄尖头锥子 1 把，塑柄勾头锥子 1 把，水性笔 1 支，小纱剪 1 把，不锈钢手工剪刀 1 把，加厚不锈钢镊子直头、弯头各 1 把，顶针 1 把，5 色 2 厘水晶绣珠 200 粒，5色 5 厘绣片 200 粒，绣花线 45 支（各色），拷贝纸 4 张，刺绣专用绣布（白色，精致锁边工艺，33x33cm）4 块，产品塑箱内定位存放。</w:t>
            </w:r>
          </w:p>
        </w:tc>
        <w:tc>
          <w:tcPr>
            <w:tcW w:w="867" w:type="dxa"/>
            <w:gridSpan w:val="4"/>
            <w:tcBorders>
              <w:top w:val="single" w:color="000000" w:sz="4" w:space="0"/>
              <w:left w:val="single" w:color="000000" w:sz="4" w:space="0"/>
              <w:bottom w:val="single" w:color="000000" w:sz="4" w:space="0"/>
              <w:right w:val="single" w:color="000000" w:sz="4" w:space="0"/>
            </w:tcBorders>
            <w:vAlign w:val="center"/>
          </w:tcPr>
          <w:p w14:paraId="50DACE5C">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套</w:t>
            </w:r>
          </w:p>
        </w:tc>
        <w:tc>
          <w:tcPr>
            <w:tcW w:w="935" w:type="dxa"/>
            <w:gridSpan w:val="3"/>
            <w:tcBorders>
              <w:top w:val="single" w:color="000000" w:sz="4" w:space="0"/>
              <w:left w:val="single" w:color="000000" w:sz="4" w:space="0"/>
              <w:bottom w:val="single" w:color="000000" w:sz="4" w:space="0"/>
              <w:right w:val="single" w:color="000000" w:sz="4" w:space="0"/>
            </w:tcBorders>
            <w:vAlign w:val="center"/>
          </w:tcPr>
          <w:p w14:paraId="752B7DD4">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8</w:t>
            </w:r>
          </w:p>
        </w:tc>
      </w:tr>
      <w:tr w14:paraId="5D6E4E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jc w:val="center"/>
        </w:trPr>
        <w:tc>
          <w:tcPr>
            <w:tcW w:w="749" w:type="dxa"/>
            <w:tcBorders>
              <w:top w:val="single" w:color="000000" w:sz="4" w:space="0"/>
              <w:left w:val="single" w:color="000000" w:sz="4" w:space="0"/>
              <w:bottom w:val="single" w:color="000000" w:sz="4" w:space="0"/>
              <w:right w:val="single" w:color="000000" w:sz="4" w:space="0"/>
            </w:tcBorders>
            <w:vAlign w:val="center"/>
          </w:tcPr>
          <w:p w14:paraId="7C4174E2">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6</w:t>
            </w:r>
          </w:p>
        </w:tc>
        <w:tc>
          <w:tcPr>
            <w:tcW w:w="1227" w:type="dxa"/>
            <w:tcBorders>
              <w:top w:val="single" w:color="000000" w:sz="4" w:space="0"/>
              <w:left w:val="single" w:color="000000" w:sz="4" w:space="0"/>
              <w:bottom w:val="single" w:color="000000" w:sz="4" w:space="0"/>
              <w:right w:val="single" w:color="000000" w:sz="4" w:space="0"/>
            </w:tcBorders>
            <w:vAlign w:val="center"/>
          </w:tcPr>
          <w:p w14:paraId="762DEE25">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编织工具</w:t>
            </w:r>
          </w:p>
        </w:tc>
        <w:tc>
          <w:tcPr>
            <w:tcW w:w="6200" w:type="dxa"/>
            <w:gridSpan w:val="3"/>
            <w:tcBorders>
              <w:top w:val="single" w:color="000000" w:sz="4" w:space="0"/>
              <w:left w:val="single" w:color="000000" w:sz="4" w:space="0"/>
              <w:bottom w:val="single" w:color="000000" w:sz="4" w:space="0"/>
              <w:right w:val="single" w:color="000000" w:sz="4" w:space="0"/>
            </w:tcBorders>
            <w:vAlign w:val="center"/>
          </w:tcPr>
          <w:p w14:paraId="5B15FEF2">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毛衣针不同规格共3付、环形针1付、毛线6种颜色各1、针盒1、直头镊子1、弯头镊子1、竹尺1、钩针1、胸围尺1、剪刀1、线头剪1、拆线器1、穿针器1、产品塑箱内定位存放。</w:t>
            </w:r>
          </w:p>
        </w:tc>
        <w:tc>
          <w:tcPr>
            <w:tcW w:w="867" w:type="dxa"/>
            <w:gridSpan w:val="4"/>
            <w:tcBorders>
              <w:top w:val="single" w:color="000000" w:sz="4" w:space="0"/>
              <w:left w:val="single" w:color="000000" w:sz="4" w:space="0"/>
              <w:bottom w:val="single" w:color="000000" w:sz="4" w:space="0"/>
              <w:right w:val="single" w:color="000000" w:sz="4" w:space="0"/>
            </w:tcBorders>
            <w:vAlign w:val="center"/>
          </w:tcPr>
          <w:p w14:paraId="75E26D57">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套</w:t>
            </w:r>
          </w:p>
        </w:tc>
        <w:tc>
          <w:tcPr>
            <w:tcW w:w="935" w:type="dxa"/>
            <w:gridSpan w:val="3"/>
            <w:tcBorders>
              <w:top w:val="single" w:color="000000" w:sz="4" w:space="0"/>
              <w:left w:val="single" w:color="000000" w:sz="4" w:space="0"/>
              <w:bottom w:val="single" w:color="000000" w:sz="4" w:space="0"/>
              <w:right w:val="single" w:color="000000" w:sz="4" w:space="0"/>
            </w:tcBorders>
            <w:vAlign w:val="center"/>
          </w:tcPr>
          <w:p w14:paraId="0A89A43C">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8</w:t>
            </w:r>
          </w:p>
        </w:tc>
      </w:tr>
      <w:tr w14:paraId="4A980F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jc w:val="center"/>
        </w:trPr>
        <w:tc>
          <w:tcPr>
            <w:tcW w:w="749" w:type="dxa"/>
            <w:tcBorders>
              <w:top w:val="single" w:color="000000" w:sz="4" w:space="0"/>
              <w:left w:val="single" w:color="000000" w:sz="4" w:space="0"/>
              <w:bottom w:val="single" w:color="000000" w:sz="4" w:space="0"/>
              <w:right w:val="single" w:color="000000" w:sz="4" w:space="0"/>
            </w:tcBorders>
            <w:vAlign w:val="center"/>
          </w:tcPr>
          <w:p w14:paraId="6BC8D010">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7</w:t>
            </w:r>
          </w:p>
        </w:tc>
        <w:tc>
          <w:tcPr>
            <w:tcW w:w="1227" w:type="dxa"/>
            <w:tcBorders>
              <w:top w:val="single" w:color="000000" w:sz="4" w:space="0"/>
              <w:left w:val="single" w:color="000000" w:sz="4" w:space="0"/>
              <w:bottom w:val="single" w:color="000000" w:sz="4" w:space="0"/>
              <w:right w:val="single" w:color="000000" w:sz="4" w:space="0"/>
            </w:tcBorders>
            <w:vAlign w:val="center"/>
          </w:tcPr>
          <w:p w14:paraId="11E2E948">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缝纫工具</w:t>
            </w:r>
          </w:p>
        </w:tc>
        <w:tc>
          <w:tcPr>
            <w:tcW w:w="6200" w:type="dxa"/>
            <w:gridSpan w:val="3"/>
            <w:tcBorders>
              <w:top w:val="single" w:color="000000" w:sz="4" w:space="0"/>
              <w:left w:val="single" w:color="000000" w:sz="4" w:space="0"/>
              <w:bottom w:val="single" w:color="000000" w:sz="4" w:space="0"/>
              <w:right w:val="single" w:color="000000" w:sz="4" w:space="0"/>
            </w:tcBorders>
            <w:vAlign w:val="center"/>
          </w:tcPr>
          <w:p w14:paraId="491C1F2F">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服装剪1把、家用剪刀1把、锥子1把、自动收缩皮尺1件、30cm尺子1把、小收纳筐1件、大头针1盒、珠光针1盒、纱剪1把、顶针1个、缝衣针1盒、穿线器1个、各色线圈8个、划粉、产品塑箱内定位存放。</w:t>
            </w:r>
          </w:p>
        </w:tc>
        <w:tc>
          <w:tcPr>
            <w:tcW w:w="867" w:type="dxa"/>
            <w:gridSpan w:val="4"/>
            <w:tcBorders>
              <w:top w:val="single" w:color="000000" w:sz="4" w:space="0"/>
              <w:left w:val="single" w:color="000000" w:sz="4" w:space="0"/>
              <w:bottom w:val="single" w:color="000000" w:sz="4" w:space="0"/>
              <w:right w:val="single" w:color="000000" w:sz="4" w:space="0"/>
            </w:tcBorders>
            <w:vAlign w:val="center"/>
          </w:tcPr>
          <w:p w14:paraId="56E5387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套</w:t>
            </w:r>
          </w:p>
        </w:tc>
        <w:tc>
          <w:tcPr>
            <w:tcW w:w="935" w:type="dxa"/>
            <w:gridSpan w:val="3"/>
            <w:tcBorders>
              <w:top w:val="single" w:color="000000" w:sz="4" w:space="0"/>
              <w:left w:val="single" w:color="000000" w:sz="4" w:space="0"/>
              <w:bottom w:val="single" w:color="000000" w:sz="4" w:space="0"/>
              <w:right w:val="single" w:color="000000" w:sz="4" w:space="0"/>
            </w:tcBorders>
            <w:vAlign w:val="center"/>
          </w:tcPr>
          <w:p w14:paraId="32B4511A">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8</w:t>
            </w:r>
          </w:p>
        </w:tc>
      </w:tr>
      <w:tr w14:paraId="2C62AF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jc w:val="center"/>
        </w:trPr>
        <w:tc>
          <w:tcPr>
            <w:tcW w:w="749" w:type="dxa"/>
            <w:tcBorders>
              <w:top w:val="single" w:color="000000" w:sz="4" w:space="0"/>
              <w:left w:val="single" w:color="000000" w:sz="4" w:space="0"/>
              <w:bottom w:val="single" w:color="000000" w:sz="4" w:space="0"/>
              <w:right w:val="single" w:color="000000" w:sz="4" w:space="0"/>
            </w:tcBorders>
            <w:vAlign w:val="center"/>
          </w:tcPr>
          <w:p w14:paraId="46950FFB">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8</w:t>
            </w:r>
          </w:p>
        </w:tc>
        <w:tc>
          <w:tcPr>
            <w:tcW w:w="1227" w:type="dxa"/>
            <w:tcBorders>
              <w:top w:val="single" w:color="000000" w:sz="4" w:space="0"/>
              <w:left w:val="single" w:color="000000" w:sz="4" w:space="0"/>
              <w:bottom w:val="single" w:color="000000" w:sz="4" w:space="0"/>
              <w:right w:val="single" w:color="000000" w:sz="4" w:space="0"/>
            </w:tcBorders>
            <w:vAlign w:val="center"/>
          </w:tcPr>
          <w:p w14:paraId="5F92F74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泥塑制作工具</w:t>
            </w:r>
          </w:p>
        </w:tc>
        <w:tc>
          <w:tcPr>
            <w:tcW w:w="6200" w:type="dxa"/>
            <w:gridSpan w:val="3"/>
            <w:tcBorders>
              <w:top w:val="single" w:color="000000" w:sz="4" w:space="0"/>
              <w:left w:val="single" w:color="000000" w:sz="4" w:space="0"/>
              <w:bottom w:val="single" w:color="000000" w:sz="4" w:space="0"/>
              <w:right w:val="single" w:color="000000" w:sz="4" w:space="0"/>
            </w:tcBorders>
            <w:vAlign w:val="center"/>
          </w:tcPr>
          <w:p w14:paraId="242582F6">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一、适用范围：适用于小学、初中劳技教学使用。二、技术要求：1.包括的工具：三角刀、圆口刀、斜刀、排刀、月亮弯口刀，泥塑刀5支，压光抹1把，钢丝, 两端装有握紧物，手工剪刀1把，刀尖合并后为圆形, 不得有缺口，木制蜡盘 1个；2.排刀:钢制刀刃长28mm，刀刃宽5mm,,整刀长12cm,木制手柄；3.泥塑刀用竹质、木质制成，表面光滑，有韧性，不易断裂；4.蜡盘275mmx150mmx20mm，表面平整，硬度适宜，能满足刻纸的要求,又易消除刻痕；5.包装为硬塑盒。</w:t>
            </w:r>
          </w:p>
        </w:tc>
        <w:tc>
          <w:tcPr>
            <w:tcW w:w="867" w:type="dxa"/>
            <w:gridSpan w:val="4"/>
            <w:tcBorders>
              <w:top w:val="single" w:color="000000" w:sz="4" w:space="0"/>
              <w:left w:val="single" w:color="000000" w:sz="4" w:space="0"/>
              <w:bottom w:val="single" w:color="000000" w:sz="4" w:space="0"/>
              <w:right w:val="single" w:color="000000" w:sz="4" w:space="0"/>
            </w:tcBorders>
            <w:vAlign w:val="center"/>
          </w:tcPr>
          <w:p w14:paraId="4E1DF03B">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套</w:t>
            </w:r>
          </w:p>
        </w:tc>
        <w:tc>
          <w:tcPr>
            <w:tcW w:w="935" w:type="dxa"/>
            <w:gridSpan w:val="3"/>
            <w:tcBorders>
              <w:top w:val="single" w:color="000000" w:sz="4" w:space="0"/>
              <w:left w:val="single" w:color="000000" w:sz="4" w:space="0"/>
              <w:bottom w:val="single" w:color="000000" w:sz="4" w:space="0"/>
              <w:right w:val="single" w:color="000000" w:sz="4" w:space="0"/>
            </w:tcBorders>
            <w:vAlign w:val="center"/>
          </w:tcPr>
          <w:p w14:paraId="6D95F19B">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8</w:t>
            </w:r>
          </w:p>
        </w:tc>
      </w:tr>
      <w:tr w14:paraId="5C1983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jc w:val="center"/>
        </w:trPr>
        <w:tc>
          <w:tcPr>
            <w:tcW w:w="749" w:type="dxa"/>
            <w:tcBorders>
              <w:top w:val="single" w:color="000000" w:sz="4" w:space="0"/>
              <w:left w:val="single" w:color="000000" w:sz="4" w:space="0"/>
              <w:bottom w:val="single" w:color="000000" w:sz="4" w:space="0"/>
              <w:right w:val="single" w:color="000000" w:sz="4" w:space="0"/>
            </w:tcBorders>
            <w:vAlign w:val="center"/>
          </w:tcPr>
          <w:p w14:paraId="610346FF">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9</w:t>
            </w:r>
          </w:p>
        </w:tc>
        <w:tc>
          <w:tcPr>
            <w:tcW w:w="1227" w:type="dxa"/>
            <w:tcBorders>
              <w:top w:val="single" w:color="000000" w:sz="4" w:space="0"/>
              <w:left w:val="single" w:color="000000" w:sz="4" w:space="0"/>
              <w:bottom w:val="single" w:color="000000" w:sz="4" w:space="0"/>
              <w:right w:val="single" w:color="000000" w:sz="4" w:space="0"/>
            </w:tcBorders>
            <w:vAlign w:val="center"/>
          </w:tcPr>
          <w:p w14:paraId="55C79E2B">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陶工工具</w:t>
            </w:r>
          </w:p>
        </w:tc>
        <w:tc>
          <w:tcPr>
            <w:tcW w:w="6200" w:type="dxa"/>
            <w:gridSpan w:val="3"/>
            <w:tcBorders>
              <w:top w:val="single" w:color="000000" w:sz="4" w:space="0"/>
              <w:left w:val="single" w:color="000000" w:sz="4" w:space="0"/>
              <w:bottom w:val="single" w:color="000000" w:sz="4" w:space="0"/>
              <w:right w:val="single" w:color="000000" w:sz="4" w:space="0"/>
            </w:tcBorders>
            <w:vAlign w:val="center"/>
          </w:tcPr>
          <w:p w14:paraId="660BC949">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一、适用范围：适用于小学、初中劳技教学使用。二、技术要求：碾棍（规格：≥Φ50mm×L600mm、≥Φ45mm×L500mm、≥Φ35mm×L400mm、）各1根、拍板（规格：≥160mm×120mm×10mm、≥120mm×120mm×10mm、≥100mm×120mm×10mm）各1个、陶艺组合工具（刮刀1把、刮板1个、环形刀2把、泥塑刀1把、吸水棉1块、型板1块、陶针1个）1套、木条3套；</w:t>
            </w:r>
          </w:p>
        </w:tc>
        <w:tc>
          <w:tcPr>
            <w:tcW w:w="867" w:type="dxa"/>
            <w:gridSpan w:val="4"/>
            <w:tcBorders>
              <w:top w:val="single" w:color="000000" w:sz="4" w:space="0"/>
              <w:left w:val="single" w:color="000000" w:sz="4" w:space="0"/>
              <w:bottom w:val="single" w:color="000000" w:sz="4" w:space="0"/>
              <w:right w:val="single" w:color="000000" w:sz="4" w:space="0"/>
            </w:tcBorders>
            <w:vAlign w:val="center"/>
          </w:tcPr>
          <w:p w14:paraId="6D35E46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套</w:t>
            </w:r>
          </w:p>
        </w:tc>
        <w:tc>
          <w:tcPr>
            <w:tcW w:w="935" w:type="dxa"/>
            <w:gridSpan w:val="3"/>
            <w:tcBorders>
              <w:top w:val="single" w:color="000000" w:sz="4" w:space="0"/>
              <w:left w:val="single" w:color="000000" w:sz="4" w:space="0"/>
              <w:bottom w:val="single" w:color="000000" w:sz="4" w:space="0"/>
              <w:right w:val="single" w:color="000000" w:sz="4" w:space="0"/>
            </w:tcBorders>
            <w:vAlign w:val="center"/>
          </w:tcPr>
          <w:p w14:paraId="478889C1">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8</w:t>
            </w:r>
          </w:p>
        </w:tc>
      </w:tr>
      <w:tr w14:paraId="77E0CA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jc w:val="center"/>
        </w:trPr>
        <w:tc>
          <w:tcPr>
            <w:tcW w:w="749" w:type="dxa"/>
            <w:tcBorders>
              <w:top w:val="single" w:color="000000" w:sz="4" w:space="0"/>
              <w:left w:val="single" w:color="000000" w:sz="4" w:space="0"/>
              <w:bottom w:val="single" w:color="000000" w:sz="4" w:space="0"/>
              <w:right w:val="single" w:color="000000" w:sz="4" w:space="0"/>
            </w:tcBorders>
            <w:vAlign w:val="center"/>
          </w:tcPr>
          <w:p w14:paraId="59D5113E">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10</w:t>
            </w:r>
          </w:p>
        </w:tc>
        <w:tc>
          <w:tcPr>
            <w:tcW w:w="1227" w:type="dxa"/>
            <w:tcBorders>
              <w:top w:val="single" w:color="000000" w:sz="4" w:space="0"/>
              <w:left w:val="single" w:color="000000" w:sz="4" w:space="0"/>
              <w:bottom w:val="single" w:color="000000" w:sz="4" w:space="0"/>
              <w:right w:val="single" w:color="000000" w:sz="4" w:space="0"/>
            </w:tcBorders>
            <w:vAlign w:val="center"/>
          </w:tcPr>
          <w:p w14:paraId="5E036D62">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转台</w:t>
            </w:r>
          </w:p>
        </w:tc>
        <w:tc>
          <w:tcPr>
            <w:tcW w:w="6200" w:type="dxa"/>
            <w:gridSpan w:val="3"/>
            <w:tcBorders>
              <w:top w:val="single" w:color="000000" w:sz="4" w:space="0"/>
              <w:left w:val="single" w:color="000000" w:sz="4" w:space="0"/>
              <w:bottom w:val="single" w:color="000000" w:sz="4" w:space="0"/>
              <w:right w:val="single" w:color="000000" w:sz="4" w:space="0"/>
            </w:tcBorders>
            <w:vAlign w:val="center"/>
          </w:tcPr>
          <w:p w14:paraId="44883E17">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单面， D=295mm，下盘面：d=170mm，塑钢材质，表面光滑平稳</w:t>
            </w:r>
          </w:p>
        </w:tc>
        <w:tc>
          <w:tcPr>
            <w:tcW w:w="867" w:type="dxa"/>
            <w:gridSpan w:val="4"/>
            <w:tcBorders>
              <w:top w:val="single" w:color="000000" w:sz="4" w:space="0"/>
              <w:left w:val="single" w:color="000000" w:sz="4" w:space="0"/>
              <w:bottom w:val="single" w:color="000000" w:sz="4" w:space="0"/>
              <w:right w:val="single" w:color="000000" w:sz="4" w:space="0"/>
            </w:tcBorders>
            <w:vAlign w:val="center"/>
          </w:tcPr>
          <w:p w14:paraId="39C2CB01">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台</w:t>
            </w:r>
          </w:p>
        </w:tc>
        <w:tc>
          <w:tcPr>
            <w:tcW w:w="935" w:type="dxa"/>
            <w:gridSpan w:val="3"/>
            <w:tcBorders>
              <w:top w:val="single" w:color="000000" w:sz="4" w:space="0"/>
              <w:left w:val="single" w:color="000000" w:sz="4" w:space="0"/>
              <w:bottom w:val="single" w:color="000000" w:sz="4" w:space="0"/>
              <w:right w:val="single" w:color="000000" w:sz="4" w:space="0"/>
            </w:tcBorders>
            <w:vAlign w:val="center"/>
          </w:tcPr>
          <w:p w14:paraId="00F2A641">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8</w:t>
            </w:r>
          </w:p>
        </w:tc>
      </w:tr>
      <w:tr w14:paraId="1E3888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jc w:val="center"/>
        </w:trPr>
        <w:tc>
          <w:tcPr>
            <w:tcW w:w="749" w:type="dxa"/>
            <w:tcBorders>
              <w:top w:val="single" w:color="000000" w:sz="4" w:space="0"/>
              <w:left w:val="single" w:color="000000" w:sz="4" w:space="0"/>
              <w:bottom w:val="single" w:color="000000" w:sz="4" w:space="0"/>
              <w:right w:val="single" w:color="000000" w:sz="4" w:space="0"/>
            </w:tcBorders>
            <w:vAlign w:val="center"/>
          </w:tcPr>
          <w:p w14:paraId="05CA531E">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11</w:t>
            </w:r>
          </w:p>
        </w:tc>
        <w:tc>
          <w:tcPr>
            <w:tcW w:w="1227" w:type="dxa"/>
            <w:tcBorders>
              <w:top w:val="single" w:color="000000" w:sz="4" w:space="0"/>
              <w:left w:val="single" w:color="000000" w:sz="4" w:space="0"/>
              <w:bottom w:val="single" w:color="000000" w:sz="4" w:space="0"/>
              <w:right w:val="single" w:color="000000" w:sz="4" w:space="0"/>
            </w:tcBorders>
            <w:vAlign w:val="center"/>
          </w:tcPr>
          <w:p w14:paraId="3DE34FA2">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陶泥</w:t>
            </w:r>
          </w:p>
        </w:tc>
        <w:tc>
          <w:tcPr>
            <w:tcW w:w="6200" w:type="dxa"/>
            <w:gridSpan w:val="3"/>
            <w:tcBorders>
              <w:top w:val="single" w:color="000000" w:sz="4" w:space="0"/>
              <w:left w:val="single" w:color="000000" w:sz="4" w:space="0"/>
              <w:bottom w:val="single" w:color="000000" w:sz="4" w:space="0"/>
              <w:right w:val="single" w:color="000000" w:sz="4" w:space="0"/>
            </w:tcBorders>
            <w:vAlign w:val="center"/>
          </w:tcPr>
          <w:p w14:paraId="5472DA5C">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黄陶泥、每袋500克</w:t>
            </w:r>
          </w:p>
        </w:tc>
        <w:tc>
          <w:tcPr>
            <w:tcW w:w="867" w:type="dxa"/>
            <w:gridSpan w:val="4"/>
            <w:tcBorders>
              <w:top w:val="single" w:color="000000" w:sz="4" w:space="0"/>
              <w:left w:val="single" w:color="000000" w:sz="4" w:space="0"/>
              <w:bottom w:val="single" w:color="000000" w:sz="4" w:space="0"/>
              <w:right w:val="single" w:color="000000" w:sz="4" w:space="0"/>
            </w:tcBorders>
            <w:vAlign w:val="center"/>
          </w:tcPr>
          <w:p w14:paraId="552FD376">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套</w:t>
            </w:r>
          </w:p>
        </w:tc>
        <w:tc>
          <w:tcPr>
            <w:tcW w:w="935" w:type="dxa"/>
            <w:gridSpan w:val="3"/>
            <w:tcBorders>
              <w:top w:val="single" w:color="000000" w:sz="4" w:space="0"/>
              <w:left w:val="single" w:color="000000" w:sz="4" w:space="0"/>
              <w:bottom w:val="single" w:color="000000" w:sz="4" w:space="0"/>
              <w:right w:val="single" w:color="000000" w:sz="4" w:space="0"/>
            </w:tcBorders>
            <w:vAlign w:val="center"/>
          </w:tcPr>
          <w:p w14:paraId="26D0401E">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8</w:t>
            </w:r>
          </w:p>
        </w:tc>
      </w:tr>
      <w:tr w14:paraId="58F230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jc w:val="center"/>
        </w:trPr>
        <w:tc>
          <w:tcPr>
            <w:tcW w:w="749" w:type="dxa"/>
            <w:tcBorders>
              <w:top w:val="single" w:color="000000" w:sz="4" w:space="0"/>
              <w:left w:val="single" w:color="000000" w:sz="4" w:space="0"/>
              <w:bottom w:val="single" w:color="000000" w:sz="4" w:space="0"/>
              <w:right w:val="single" w:color="000000" w:sz="4" w:space="0"/>
            </w:tcBorders>
            <w:vAlign w:val="center"/>
          </w:tcPr>
          <w:p w14:paraId="79CA390A">
            <w:pPr>
              <w:widowControl/>
              <w:textAlignment w:val="center"/>
              <w:rPr>
                <w:rFonts w:hint="eastAsia" w:ascii="宋体" w:hAnsi="宋体"/>
                <w:b/>
                <w:bCs/>
                <w:color w:val="auto"/>
                <w:szCs w:val="21"/>
                <w:highlight w:val="none"/>
              </w:rPr>
            </w:pPr>
            <w:r>
              <w:rPr>
                <w:rFonts w:hint="eastAsia" w:ascii="宋体" w:hAnsi="宋体"/>
                <w:b/>
                <w:bCs/>
                <w:color w:val="auto"/>
                <w:kern w:val="0"/>
                <w:szCs w:val="21"/>
                <w:highlight w:val="none"/>
                <w:lang w:bidi="ar"/>
              </w:rPr>
              <w:t>（七）</w:t>
            </w:r>
          </w:p>
        </w:tc>
        <w:tc>
          <w:tcPr>
            <w:tcW w:w="1227" w:type="dxa"/>
            <w:tcBorders>
              <w:top w:val="single" w:color="000000" w:sz="4" w:space="0"/>
              <w:left w:val="single" w:color="000000" w:sz="4" w:space="0"/>
              <w:bottom w:val="single" w:color="000000" w:sz="4" w:space="0"/>
              <w:right w:val="single" w:color="000000" w:sz="4" w:space="0"/>
            </w:tcBorders>
            <w:vAlign w:val="center"/>
          </w:tcPr>
          <w:p w14:paraId="5DFB2E8A">
            <w:pPr>
              <w:widowControl/>
              <w:jc w:val="center"/>
              <w:textAlignment w:val="center"/>
              <w:rPr>
                <w:rFonts w:hint="eastAsia" w:ascii="宋体" w:hAnsi="宋体"/>
                <w:b/>
                <w:bCs/>
                <w:color w:val="auto"/>
                <w:szCs w:val="21"/>
                <w:highlight w:val="none"/>
              </w:rPr>
            </w:pPr>
            <w:r>
              <w:rPr>
                <w:rFonts w:hint="eastAsia" w:ascii="宋体" w:hAnsi="宋体"/>
                <w:b/>
                <w:bCs/>
                <w:color w:val="auto"/>
                <w:kern w:val="0"/>
                <w:szCs w:val="21"/>
                <w:highlight w:val="none"/>
                <w:lang w:bidi="ar"/>
              </w:rPr>
              <w:t>配套用品</w:t>
            </w:r>
          </w:p>
        </w:tc>
        <w:tc>
          <w:tcPr>
            <w:tcW w:w="6200" w:type="dxa"/>
            <w:gridSpan w:val="3"/>
            <w:tcBorders>
              <w:top w:val="single" w:color="000000" w:sz="4" w:space="0"/>
              <w:left w:val="single" w:color="000000" w:sz="4" w:space="0"/>
              <w:bottom w:val="single" w:color="000000" w:sz="4" w:space="0"/>
              <w:right w:val="single" w:color="000000" w:sz="4" w:space="0"/>
            </w:tcBorders>
            <w:vAlign w:val="center"/>
          </w:tcPr>
          <w:p w14:paraId="0835525B">
            <w:pPr>
              <w:jc w:val="left"/>
              <w:rPr>
                <w:rFonts w:hint="eastAsia" w:ascii="宋体" w:hAnsi="宋体"/>
                <w:b/>
                <w:bCs/>
                <w:color w:val="auto"/>
                <w:szCs w:val="21"/>
                <w:highlight w:val="none"/>
              </w:rPr>
            </w:pPr>
          </w:p>
        </w:tc>
        <w:tc>
          <w:tcPr>
            <w:tcW w:w="867" w:type="dxa"/>
            <w:gridSpan w:val="4"/>
            <w:tcBorders>
              <w:top w:val="single" w:color="000000" w:sz="4" w:space="0"/>
              <w:left w:val="single" w:color="000000" w:sz="4" w:space="0"/>
              <w:bottom w:val="single" w:color="000000" w:sz="4" w:space="0"/>
              <w:right w:val="single" w:color="000000" w:sz="4" w:space="0"/>
            </w:tcBorders>
            <w:vAlign w:val="bottom"/>
          </w:tcPr>
          <w:p w14:paraId="00A527F5">
            <w:pPr>
              <w:jc w:val="center"/>
              <w:rPr>
                <w:rFonts w:hint="eastAsia" w:ascii="宋体" w:hAnsi="宋体"/>
                <w:b/>
                <w:bCs/>
                <w:color w:val="auto"/>
                <w:szCs w:val="21"/>
                <w:highlight w:val="none"/>
              </w:rPr>
            </w:pPr>
          </w:p>
        </w:tc>
        <w:tc>
          <w:tcPr>
            <w:tcW w:w="935" w:type="dxa"/>
            <w:gridSpan w:val="3"/>
            <w:tcBorders>
              <w:top w:val="single" w:color="000000" w:sz="4" w:space="0"/>
              <w:left w:val="single" w:color="000000" w:sz="4" w:space="0"/>
              <w:bottom w:val="single" w:color="000000" w:sz="4" w:space="0"/>
              <w:right w:val="single" w:color="000000" w:sz="4" w:space="0"/>
            </w:tcBorders>
            <w:vAlign w:val="bottom"/>
          </w:tcPr>
          <w:p w14:paraId="5AFA8CA3">
            <w:pPr>
              <w:jc w:val="center"/>
              <w:rPr>
                <w:rFonts w:hint="eastAsia" w:ascii="宋体" w:hAnsi="宋体"/>
                <w:b/>
                <w:bCs/>
                <w:color w:val="auto"/>
                <w:szCs w:val="21"/>
                <w:highlight w:val="none"/>
              </w:rPr>
            </w:pPr>
          </w:p>
        </w:tc>
      </w:tr>
      <w:tr w14:paraId="4103AD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jc w:val="center"/>
        </w:trPr>
        <w:tc>
          <w:tcPr>
            <w:tcW w:w="749" w:type="dxa"/>
            <w:tcBorders>
              <w:top w:val="single" w:color="000000" w:sz="4" w:space="0"/>
              <w:left w:val="single" w:color="000000" w:sz="4" w:space="0"/>
              <w:bottom w:val="single" w:color="000000" w:sz="4" w:space="0"/>
              <w:right w:val="single" w:color="000000" w:sz="4" w:space="0"/>
            </w:tcBorders>
            <w:vAlign w:val="center"/>
          </w:tcPr>
          <w:p w14:paraId="5E3FF5D0">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c>
          <w:tcPr>
            <w:tcW w:w="1227" w:type="dxa"/>
            <w:tcBorders>
              <w:top w:val="single" w:color="000000" w:sz="4" w:space="0"/>
              <w:left w:val="single" w:color="000000" w:sz="4" w:space="0"/>
              <w:bottom w:val="single" w:color="000000" w:sz="4" w:space="0"/>
              <w:right w:val="single" w:color="000000" w:sz="4" w:space="0"/>
            </w:tcBorders>
            <w:vAlign w:val="center"/>
          </w:tcPr>
          <w:p w14:paraId="56C6134A">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劳保用品</w:t>
            </w:r>
          </w:p>
        </w:tc>
        <w:tc>
          <w:tcPr>
            <w:tcW w:w="6200" w:type="dxa"/>
            <w:gridSpan w:val="3"/>
            <w:tcBorders>
              <w:top w:val="single" w:color="000000" w:sz="4" w:space="0"/>
              <w:left w:val="single" w:color="000000" w:sz="4" w:space="0"/>
              <w:bottom w:val="single" w:color="000000" w:sz="4" w:space="0"/>
              <w:right w:val="single" w:color="000000" w:sz="4" w:space="0"/>
            </w:tcBorders>
            <w:vAlign w:val="center"/>
          </w:tcPr>
          <w:p w14:paraId="07DED8D9">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手套、防护镜</w:t>
            </w:r>
          </w:p>
        </w:tc>
        <w:tc>
          <w:tcPr>
            <w:tcW w:w="867" w:type="dxa"/>
            <w:gridSpan w:val="4"/>
            <w:tcBorders>
              <w:top w:val="single" w:color="000000" w:sz="4" w:space="0"/>
              <w:left w:val="single" w:color="000000" w:sz="4" w:space="0"/>
              <w:bottom w:val="single" w:color="000000" w:sz="4" w:space="0"/>
              <w:right w:val="single" w:color="000000" w:sz="4" w:space="0"/>
            </w:tcBorders>
            <w:vAlign w:val="center"/>
          </w:tcPr>
          <w:p w14:paraId="0B31C3F1">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套</w:t>
            </w:r>
          </w:p>
        </w:tc>
        <w:tc>
          <w:tcPr>
            <w:tcW w:w="935" w:type="dxa"/>
            <w:gridSpan w:val="3"/>
            <w:tcBorders>
              <w:top w:val="single" w:color="000000" w:sz="4" w:space="0"/>
              <w:left w:val="single" w:color="000000" w:sz="4" w:space="0"/>
              <w:bottom w:val="single" w:color="000000" w:sz="4" w:space="0"/>
              <w:right w:val="single" w:color="000000" w:sz="4" w:space="0"/>
            </w:tcBorders>
            <w:vAlign w:val="center"/>
          </w:tcPr>
          <w:p w14:paraId="0F36B67E">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56</w:t>
            </w:r>
          </w:p>
        </w:tc>
      </w:tr>
      <w:tr w14:paraId="30977D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jc w:val="center"/>
        </w:trPr>
        <w:tc>
          <w:tcPr>
            <w:tcW w:w="749" w:type="dxa"/>
            <w:tcBorders>
              <w:top w:val="single" w:color="000000" w:sz="4" w:space="0"/>
              <w:left w:val="single" w:color="000000" w:sz="4" w:space="0"/>
              <w:bottom w:val="single" w:color="000000" w:sz="4" w:space="0"/>
              <w:right w:val="single" w:color="000000" w:sz="4" w:space="0"/>
            </w:tcBorders>
            <w:vAlign w:val="center"/>
          </w:tcPr>
          <w:p w14:paraId="451A7A45">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w:t>
            </w:r>
          </w:p>
        </w:tc>
        <w:tc>
          <w:tcPr>
            <w:tcW w:w="1227" w:type="dxa"/>
            <w:tcBorders>
              <w:top w:val="single" w:color="000000" w:sz="4" w:space="0"/>
              <w:left w:val="single" w:color="000000" w:sz="4" w:space="0"/>
              <w:bottom w:val="single" w:color="000000" w:sz="4" w:space="0"/>
              <w:right w:val="single" w:color="000000" w:sz="4" w:space="0"/>
            </w:tcBorders>
            <w:vAlign w:val="center"/>
          </w:tcPr>
          <w:p w14:paraId="23D172DF">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简易急救箱</w:t>
            </w:r>
          </w:p>
        </w:tc>
        <w:tc>
          <w:tcPr>
            <w:tcW w:w="6200" w:type="dxa"/>
            <w:gridSpan w:val="3"/>
            <w:tcBorders>
              <w:top w:val="single" w:color="000000" w:sz="4" w:space="0"/>
              <w:left w:val="single" w:color="000000" w:sz="4" w:space="0"/>
              <w:bottom w:val="single" w:color="000000" w:sz="4" w:space="0"/>
              <w:right w:val="single" w:color="000000" w:sz="4" w:space="0"/>
            </w:tcBorders>
            <w:vAlign w:val="center"/>
          </w:tcPr>
          <w:p w14:paraId="3530ABA1">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药品：碘酒（25mL）1瓶、红药水（25mL）1瓶、双氧水（100mL）1瓶、医用酒精（100mL）1瓶，医用棉签1包、医用棉球1包、无菌纱布（50mm×50mm）1包、胶布（布）1卷、创可贴50张、烫伤药膏1支。</w:t>
            </w:r>
          </w:p>
        </w:tc>
        <w:tc>
          <w:tcPr>
            <w:tcW w:w="867" w:type="dxa"/>
            <w:gridSpan w:val="4"/>
            <w:tcBorders>
              <w:top w:val="single" w:color="000000" w:sz="4" w:space="0"/>
              <w:left w:val="single" w:color="000000" w:sz="4" w:space="0"/>
              <w:bottom w:val="single" w:color="000000" w:sz="4" w:space="0"/>
              <w:right w:val="single" w:color="000000" w:sz="4" w:space="0"/>
            </w:tcBorders>
            <w:vAlign w:val="center"/>
          </w:tcPr>
          <w:p w14:paraId="2735186E">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套</w:t>
            </w:r>
          </w:p>
        </w:tc>
        <w:tc>
          <w:tcPr>
            <w:tcW w:w="935" w:type="dxa"/>
            <w:gridSpan w:val="3"/>
            <w:tcBorders>
              <w:top w:val="single" w:color="000000" w:sz="4" w:space="0"/>
              <w:left w:val="single" w:color="000000" w:sz="4" w:space="0"/>
              <w:bottom w:val="single" w:color="000000" w:sz="4" w:space="0"/>
              <w:right w:val="single" w:color="000000" w:sz="4" w:space="0"/>
            </w:tcBorders>
            <w:vAlign w:val="center"/>
          </w:tcPr>
          <w:p w14:paraId="3AF6FEBD">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8</w:t>
            </w:r>
          </w:p>
        </w:tc>
      </w:tr>
      <w:tr w14:paraId="64D4AF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jc w:val="center"/>
        </w:trPr>
        <w:tc>
          <w:tcPr>
            <w:tcW w:w="9978" w:type="dxa"/>
            <w:gridSpan w:val="12"/>
            <w:tcBorders>
              <w:top w:val="single" w:color="000000" w:sz="4" w:space="0"/>
              <w:left w:val="single" w:color="000000" w:sz="4" w:space="0"/>
              <w:bottom w:val="single" w:color="000000" w:sz="4" w:space="0"/>
              <w:right w:val="single" w:color="000000" w:sz="4" w:space="0"/>
            </w:tcBorders>
            <w:noWrap/>
            <w:vAlign w:val="center"/>
          </w:tcPr>
          <w:p w14:paraId="3EA897CF">
            <w:pPr>
              <w:widowControl/>
              <w:jc w:val="center"/>
              <w:textAlignment w:val="center"/>
              <w:rPr>
                <w:rFonts w:hint="eastAsia" w:ascii="宋体" w:hAnsi="宋体"/>
                <w:b/>
                <w:bCs/>
                <w:color w:val="auto"/>
                <w:szCs w:val="21"/>
                <w:highlight w:val="none"/>
              </w:rPr>
            </w:pPr>
            <w:r>
              <w:rPr>
                <w:rFonts w:hint="eastAsia" w:ascii="宋体" w:hAnsi="宋体"/>
                <w:b/>
                <w:bCs/>
                <w:color w:val="auto"/>
                <w:kern w:val="0"/>
                <w:szCs w:val="21"/>
                <w:highlight w:val="none"/>
                <w:lang w:bidi="ar"/>
              </w:rPr>
              <w:t>十三、体育用品</w:t>
            </w:r>
          </w:p>
        </w:tc>
      </w:tr>
      <w:tr w14:paraId="17ED3E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jc w:val="center"/>
        </w:trPr>
        <w:tc>
          <w:tcPr>
            <w:tcW w:w="749" w:type="dxa"/>
            <w:tcBorders>
              <w:top w:val="single" w:color="000000" w:sz="4" w:space="0"/>
              <w:left w:val="single" w:color="000000" w:sz="4" w:space="0"/>
              <w:bottom w:val="single" w:color="000000" w:sz="4" w:space="0"/>
              <w:right w:val="single" w:color="000000" w:sz="4" w:space="0"/>
            </w:tcBorders>
            <w:noWrap/>
            <w:vAlign w:val="center"/>
          </w:tcPr>
          <w:p w14:paraId="4E6AF4E4">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c>
          <w:tcPr>
            <w:tcW w:w="1227" w:type="dxa"/>
            <w:tcBorders>
              <w:top w:val="single" w:color="000000" w:sz="4" w:space="0"/>
              <w:left w:val="single" w:color="000000" w:sz="4" w:space="0"/>
              <w:bottom w:val="single" w:color="000000" w:sz="4" w:space="0"/>
              <w:right w:val="single" w:color="000000" w:sz="4" w:space="0"/>
            </w:tcBorders>
            <w:noWrap/>
            <w:vAlign w:val="center"/>
          </w:tcPr>
          <w:p w14:paraId="7841BF98">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接力棒</w:t>
            </w:r>
          </w:p>
        </w:tc>
        <w:tc>
          <w:tcPr>
            <w:tcW w:w="6200" w:type="dxa"/>
            <w:gridSpan w:val="3"/>
            <w:tcBorders>
              <w:top w:val="single" w:color="000000" w:sz="4" w:space="0"/>
              <w:left w:val="single" w:color="000000" w:sz="4" w:space="0"/>
              <w:bottom w:val="single" w:color="000000" w:sz="4" w:space="0"/>
              <w:right w:val="single" w:color="000000" w:sz="4" w:space="0"/>
            </w:tcBorders>
            <w:noWrap/>
            <w:vAlign w:val="center"/>
          </w:tcPr>
          <w:p w14:paraId="0D601239">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1、≥300mm×30mm，中小学体育教学用；</w:t>
            </w:r>
            <w:r>
              <w:rPr>
                <w:rFonts w:hint="eastAsia" w:ascii="宋体" w:hAnsi="宋体"/>
                <w:color w:val="auto"/>
                <w:kern w:val="0"/>
                <w:szCs w:val="21"/>
                <w:highlight w:val="none"/>
                <w:lang w:bidi="ar"/>
              </w:rPr>
              <w:br w:type="textWrapping"/>
            </w:r>
            <w:r>
              <w:rPr>
                <w:rFonts w:hint="eastAsia" w:ascii="宋体" w:hAnsi="宋体"/>
                <w:color w:val="auto"/>
                <w:kern w:val="0"/>
                <w:szCs w:val="21"/>
                <w:highlight w:val="none"/>
                <w:lang w:bidi="ar"/>
              </w:rPr>
              <w:t>2、接力棒为光滑的铝合金材料的空心圆管，两端堵口与棒身一体连接，未使用塑料堵口，R型卷边安全设计</w:t>
            </w:r>
            <w:r>
              <w:rPr>
                <w:rFonts w:hint="eastAsia" w:ascii="宋体" w:hAnsi="宋体"/>
                <w:color w:val="auto"/>
                <w:kern w:val="0"/>
                <w:szCs w:val="21"/>
                <w:highlight w:val="none"/>
                <w:lang w:bidi="ar"/>
              </w:rPr>
              <w:br w:type="textWrapping"/>
            </w:r>
            <w:r>
              <w:rPr>
                <w:rFonts w:hint="eastAsia" w:ascii="宋体" w:hAnsi="宋体"/>
                <w:color w:val="auto"/>
                <w:kern w:val="0"/>
                <w:szCs w:val="21"/>
                <w:highlight w:val="none"/>
                <w:lang w:bidi="ar"/>
              </w:rPr>
              <w:t>3、接力棒喷塑，色彩鲜艳，以便在比赛中明显可见</w:t>
            </w:r>
          </w:p>
        </w:tc>
        <w:tc>
          <w:tcPr>
            <w:tcW w:w="867" w:type="dxa"/>
            <w:gridSpan w:val="4"/>
            <w:tcBorders>
              <w:top w:val="single" w:color="000000" w:sz="4" w:space="0"/>
              <w:left w:val="single" w:color="000000" w:sz="4" w:space="0"/>
              <w:bottom w:val="single" w:color="000000" w:sz="4" w:space="0"/>
              <w:right w:val="single" w:color="000000" w:sz="4" w:space="0"/>
            </w:tcBorders>
            <w:vAlign w:val="center"/>
          </w:tcPr>
          <w:p w14:paraId="39A7CCAE">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35" w:type="dxa"/>
            <w:gridSpan w:val="3"/>
            <w:tcBorders>
              <w:top w:val="single" w:color="000000" w:sz="4" w:space="0"/>
              <w:left w:val="single" w:color="000000" w:sz="4" w:space="0"/>
              <w:bottom w:val="single" w:color="000000" w:sz="4" w:space="0"/>
              <w:right w:val="single" w:color="000000" w:sz="4" w:space="0"/>
            </w:tcBorders>
            <w:vAlign w:val="center"/>
          </w:tcPr>
          <w:p w14:paraId="7563FCFC">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30</w:t>
            </w:r>
          </w:p>
        </w:tc>
      </w:tr>
      <w:tr w14:paraId="08FA70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jc w:val="center"/>
        </w:trPr>
        <w:tc>
          <w:tcPr>
            <w:tcW w:w="749" w:type="dxa"/>
            <w:tcBorders>
              <w:top w:val="single" w:color="000000" w:sz="4" w:space="0"/>
              <w:left w:val="single" w:color="000000" w:sz="4" w:space="0"/>
              <w:bottom w:val="single" w:color="000000" w:sz="4" w:space="0"/>
              <w:right w:val="single" w:color="000000" w:sz="4" w:space="0"/>
            </w:tcBorders>
            <w:vAlign w:val="center"/>
          </w:tcPr>
          <w:p w14:paraId="0378A8C3">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w:t>
            </w:r>
          </w:p>
        </w:tc>
        <w:tc>
          <w:tcPr>
            <w:tcW w:w="1227" w:type="dxa"/>
            <w:tcBorders>
              <w:top w:val="single" w:color="000000" w:sz="4" w:space="0"/>
              <w:left w:val="single" w:color="000000" w:sz="4" w:space="0"/>
              <w:bottom w:val="single" w:color="000000" w:sz="4" w:space="0"/>
              <w:right w:val="single" w:color="000000" w:sz="4" w:space="0"/>
            </w:tcBorders>
            <w:vAlign w:val="center"/>
          </w:tcPr>
          <w:p w14:paraId="46EF0014">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跳高架</w:t>
            </w:r>
          </w:p>
        </w:tc>
        <w:tc>
          <w:tcPr>
            <w:tcW w:w="6200" w:type="dxa"/>
            <w:gridSpan w:val="3"/>
            <w:tcBorders>
              <w:top w:val="single" w:color="000000" w:sz="4" w:space="0"/>
              <w:left w:val="single" w:color="000000" w:sz="4" w:space="0"/>
              <w:bottom w:val="single" w:color="000000" w:sz="4" w:space="0"/>
              <w:right w:val="single" w:color="000000" w:sz="4" w:space="0"/>
            </w:tcBorders>
            <w:vAlign w:val="center"/>
          </w:tcPr>
          <w:p w14:paraId="59E2E4CB">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双列式、可升降；立柱采用≥32*32*1.2mm的铝合金型材制成,升降高度500—2500mm,移动式。配置高度刻度尺条，刻度均匀、准确、清晰。底部带轮可移动。横杆托长60±5mm，宽40±3mm。</w:t>
            </w:r>
          </w:p>
        </w:tc>
        <w:tc>
          <w:tcPr>
            <w:tcW w:w="867" w:type="dxa"/>
            <w:gridSpan w:val="4"/>
            <w:tcBorders>
              <w:top w:val="single" w:color="000000" w:sz="4" w:space="0"/>
              <w:left w:val="single" w:color="000000" w:sz="4" w:space="0"/>
              <w:bottom w:val="single" w:color="000000" w:sz="4" w:space="0"/>
              <w:right w:val="single" w:color="000000" w:sz="4" w:space="0"/>
            </w:tcBorders>
            <w:vAlign w:val="center"/>
          </w:tcPr>
          <w:p w14:paraId="70701E4E">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副</w:t>
            </w:r>
          </w:p>
        </w:tc>
        <w:tc>
          <w:tcPr>
            <w:tcW w:w="935" w:type="dxa"/>
            <w:gridSpan w:val="3"/>
            <w:tcBorders>
              <w:top w:val="single" w:color="000000" w:sz="4" w:space="0"/>
              <w:left w:val="single" w:color="000000" w:sz="4" w:space="0"/>
              <w:bottom w:val="single" w:color="000000" w:sz="4" w:space="0"/>
              <w:right w:val="single" w:color="000000" w:sz="4" w:space="0"/>
            </w:tcBorders>
            <w:vAlign w:val="center"/>
          </w:tcPr>
          <w:p w14:paraId="18477905">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6</w:t>
            </w:r>
          </w:p>
        </w:tc>
      </w:tr>
      <w:tr w14:paraId="7224E1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jc w:val="center"/>
        </w:trPr>
        <w:tc>
          <w:tcPr>
            <w:tcW w:w="749" w:type="dxa"/>
            <w:tcBorders>
              <w:top w:val="single" w:color="000000" w:sz="4" w:space="0"/>
              <w:left w:val="single" w:color="000000" w:sz="4" w:space="0"/>
              <w:bottom w:val="single" w:color="000000" w:sz="4" w:space="0"/>
              <w:right w:val="single" w:color="000000" w:sz="4" w:space="0"/>
            </w:tcBorders>
            <w:vAlign w:val="center"/>
          </w:tcPr>
          <w:p w14:paraId="0AC7882E">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3</w:t>
            </w:r>
          </w:p>
        </w:tc>
        <w:tc>
          <w:tcPr>
            <w:tcW w:w="1227" w:type="dxa"/>
            <w:tcBorders>
              <w:top w:val="single" w:color="000000" w:sz="4" w:space="0"/>
              <w:left w:val="single" w:color="000000" w:sz="4" w:space="0"/>
              <w:bottom w:val="single" w:color="000000" w:sz="4" w:space="0"/>
              <w:right w:val="single" w:color="000000" w:sz="4" w:space="0"/>
            </w:tcBorders>
            <w:vAlign w:val="center"/>
          </w:tcPr>
          <w:p w14:paraId="23BFF64C">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跳高横杆</w:t>
            </w:r>
          </w:p>
        </w:tc>
        <w:tc>
          <w:tcPr>
            <w:tcW w:w="6200" w:type="dxa"/>
            <w:gridSpan w:val="3"/>
            <w:tcBorders>
              <w:top w:val="single" w:color="000000" w:sz="4" w:space="0"/>
              <w:left w:val="single" w:color="000000" w:sz="4" w:space="0"/>
              <w:bottom w:val="single" w:color="000000" w:sz="4" w:space="0"/>
              <w:right w:val="single" w:color="000000" w:sz="4" w:space="0"/>
            </w:tcBorders>
            <w:vAlign w:val="center"/>
          </w:tcPr>
          <w:p w14:paraId="1658942F">
            <w:pPr>
              <w:widowControl/>
              <w:numPr>
                <w:ilvl w:val="0"/>
                <w:numId w:val="338"/>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跳高横杆由横杆和横杆接头组成。</w:t>
            </w:r>
          </w:p>
          <w:p w14:paraId="5F3988FE">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2．横杆采用φ30 的玻璃钢材料制作，总长为≥4000mm，质量小于 2000g。横杆接头采用特殊的外形结构。</w:t>
            </w:r>
            <w:r>
              <w:rPr>
                <w:rFonts w:hint="eastAsia" w:ascii="宋体" w:hAnsi="宋体"/>
                <w:color w:val="auto"/>
                <w:kern w:val="0"/>
                <w:szCs w:val="21"/>
                <w:highlight w:val="none"/>
                <w:lang w:bidi="ar"/>
              </w:rPr>
              <w:br w:type="textWrapping"/>
            </w:r>
            <w:r>
              <w:rPr>
                <w:rFonts w:hint="eastAsia" w:ascii="宋体" w:hAnsi="宋体"/>
                <w:color w:val="auto"/>
                <w:kern w:val="0"/>
                <w:szCs w:val="21"/>
                <w:highlight w:val="none"/>
                <w:lang w:bidi="ar"/>
              </w:rPr>
              <w:t>3．横杆固定在立柱上时，中心自然下垂应小于 20mm。</w:t>
            </w:r>
          </w:p>
        </w:tc>
        <w:tc>
          <w:tcPr>
            <w:tcW w:w="867" w:type="dxa"/>
            <w:gridSpan w:val="4"/>
            <w:tcBorders>
              <w:top w:val="single" w:color="000000" w:sz="4" w:space="0"/>
              <w:left w:val="single" w:color="000000" w:sz="4" w:space="0"/>
              <w:bottom w:val="single" w:color="000000" w:sz="4" w:space="0"/>
              <w:right w:val="single" w:color="000000" w:sz="4" w:space="0"/>
            </w:tcBorders>
            <w:vAlign w:val="center"/>
          </w:tcPr>
          <w:p w14:paraId="3D4961C6">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根</w:t>
            </w:r>
          </w:p>
        </w:tc>
        <w:tc>
          <w:tcPr>
            <w:tcW w:w="935" w:type="dxa"/>
            <w:gridSpan w:val="3"/>
            <w:tcBorders>
              <w:top w:val="single" w:color="000000" w:sz="4" w:space="0"/>
              <w:left w:val="single" w:color="000000" w:sz="4" w:space="0"/>
              <w:bottom w:val="single" w:color="000000" w:sz="4" w:space="0"/>
              <w:right w:val="single" w:color="000000" w:sz="4" w:space="0"/>
            </w:tcBorders>
            <w:vAlign w:val="center"/>
          </w:tcPr>
          <w:p w14:paraId="4338B92E">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6</w:t>
            </w:r>
          </w:p>
        </w:tc>
      </w:tr>
      <w:tr w14:paraId="4FFD53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jc w:val="center"/>
        </w:trPr>
        <w:tc>
          <w:tcPr>
            <w:tcW w:w="749" w:type="dxa"/>
            <w:tcBorders>
              <w:top w:val="single" w:color="000000" w:sz="4" w:space="0"/>
              <w:left w:val="single" w:color="000000" w:sz="4" w:space="0"/>
              <w:bottom w:val="single" w:color="000000" w:sz="4" w:space="0"/>
              <w:right w:val="single" w:color="000000" w:sz="4" w:space="0"/>
            </w:tcBorders>
            <w:vAlign w:val="center"/>
          </w:tcPr>
          <w:p w14:paraId="0BF6F88C">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4</w:t>
            </w:r>
          </w:p>
        </w:tc>
        <w:tc>
          <w:tcPr>
            <w:tcW w:w="1227" w:type="dxa"/>
            <w:tcBorders>
              <w:top w:val="single" w:color="000000" w:sz="4" w:space="0"/>
              <w:left w:val="single" w:color="000000" w:sz="4" w:space="0"/>
              <w:bottom w:val="single" w:color="000000" w:sz="4" w:space="0"/>
              <w:right w:val="single" w:color="000000" w:sz="4" w:space="0"/>
            </w:tcBorders>
            <w:vAlign w:val="center"/>
          </w:tcPr>
          <w:p w14:paraId="1CA9D792">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跳高垫</w:t>
            </w:r>
          </w:p>
        </w:tc>
        <w:tc>
          <w:tcPr>
            <w:tcW w:w="6200" w:type="dxa"/>
            <w:gridSpan w:val="3"/>
            <w:tcBorders>
              <w:top w:val="single" w:color="000000" w:sz="4" w:space="0"/>
              <w:left w:val="single" w:color="000000" w:sz="4" w:space="0"/>
              <w:bottom w:val="single" w:color="000000" w:sz="4" w:space="0"/>
              <w:right w:val="single" w:color="000000" w:sz="4" w:space="0"/>
            </w:tcBorders>
            <w:vAlign w:val="center"/>
          </w:tcPr>
          <w:p w14:paraId="3ABFC52B">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1、规格：≥3m×2m×0.3m；</w:t>
            </w:r>
            <w:r>
              <w:rPr>
                <w:rFonts w:hint="eastAsia" w:ascii="宋体" w:hAnsi="宋体"/>
                <w:color w:val="auto"/>
                <w:kern w:val="0"/>
                <w:szCs w:val="21"/>
                <w:highlight w:val="none"/>
                <w:lang w:bidi="ar"/>
              </w:rPr>
              <w:br w:type="textWrapping"/>
            </w:r>
            <w:r>
              <w:rPr>
                <w:rFonts w:hint="eastAsia" w:ascii="宋体" w:hAnsi="宋体"/>
                <w:color w:val="auto"/>
                <w:kern w:val="0"/>
                <w:szCs w:val="21"/>
                <w:highlight w:val="none"/>
                <w:lang w:bidi="ar"/>
              </w:rPr>
              <w:t>2、外包双层高级牛津帆布防水防潮；</w:t>
            </w:r>
            <w:r>
              <w:rPr>
                <w:rFonts w:hint="eastAsia" w:ascii="宋体" w:hAnsi="宋体"/>
                <w:color w:val="auto"/>
                <w:kern w:val="0"/>
                <w:szCs w:val="21"/>
                <w:highlight w:val="none"/>
                <w:lang w:bidi="ar"/>
              </w:rPr>
              <w:br w:type="textWrapping"/>
            </w:r>
            <w:r>
              <w:rPr>
                <w:rFonts w:hint="eastAsia" w:ascii="宋体" w:hAnsi="宋体"/>
                <w:color w:val="auto"/>
                <w:kern w:val="0"/>
                <w:szCs w:val="21"/>
                <w:highlight w:val="none"/>
                <w:lang w:bidi="ar"/>
              </w:rPr>
              <w:t>3、内芯35#高密度海绵。</w:t>
            </w:r>
          </w:p>
        </w:tc>
        <w:tc>
          <w:tcPr>
            <w:tcW w:w="867" w:type="dxa"/>
            <w:gridSpan w:val="4"/>
            <w:tcBorders>
              <w:top w:val="single" w:color="000000" w:sz="4" w:space="0"/>
              <w:left w:val="single" w:color="000000" w:sz="4" w:space="0"/>
              <w:bottom w:val="single" w:color="000000" w:sz="4" w:space="0"/>
              <w:right w:val="single" w:color="000000" w:sz="4" w:space="0"/>
            </w:tcBorders>
            <w:vAlign w:val="center"/>
          </w:tcPr>
          <w:p w14:paraId="69FBE73F">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35" w:type="dxa"/>
            <w:gridSpan w:val="3"/>
            <w:tcBorders>
              <w:top w:val="single" w:color="000000" w:sz="4" w:space="0"/>
              <w:left w:val="single" w:color="000000" w:sz="4" w:space="0"/>
              <w:bottom w:val="single" w:color="000000" w:sz="4" w:space="0"/>
              <w:right w:val="single" w:color="000000" w:sz="4" w:space="0"/>
            </w:tcBorders>
            <w:vAlign w:val="center"/>
          </w:tcPr>
          <w:p w14:paraId="7FE359EA">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4</w:t>
            </w:r>
          </w:p>
        </w:tc>
      </w:tr>
      <w:tr w14:paraId="032180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jc w:val="center"/>
        </w:trPr>
        <w:tc>
          <w:tcPr>
            <w:tcW w:w="749" w:type="dxa"/>
            <w:tcBorders>
              <w:top w:val="single" w:color="000000" w:sz="4" w:space="0"/>
              <w:left w:val="single" w:color="000000" w:sz="4" w:space="0"/>
              <w:bottom w:val="single" w:color="000000" w:sz="4" w:space="0"/>
              <w:right w:val="single" w:color="000000" w:sz="4" w:space="0"/>
            </w:tcBorders>
            <w:vAlign w:val="center"/>
          </w:tcPr>
          <w:p w14:paraId="4483D72E">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5</w:t>
            </w:r>
          </w:p>
        </w:tc>
        <w:tc>
          <w:tcPr>
            <w:tcW w:w="1227" w:type="dxa"/>
            <w:tcBorders>
              <w:top w:val="single" w:color="000000" w:sz="4" w:space="0"/>
              <w:left w:val="single" w:color="000000" w:sz="4" w:space="0"/>
              <w:bottom w:val="single" w:color="000000" w:sz="4" w:space="0"/>
              <w:right w:val="single" w:color="000000" w:sz="4" w:space="0"/>
            </w:tcBorders>
            <w:vAlign w:val="center"/>
          </w:tcPr>
          <w:p w14:paraId="10E2CA0B">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跨栏架</w:t>
            </w:r>
          </w:p>
        </w:tc>
        <w:tc>
          <w:tcPr>
            <w:tcW w:w="6200" w:type="dxa"/>
            <w:gridSpan w:val="3"/>
            <w:tcBorders>
              <w:top w:val="single" w:color="000000" w:sz="4" w:space="0"/>
              <w:left w:val="single" w:color="000000" w:sz="4" w:space="0"/>
              <w:bottom w:val="single" w:color="000000" w:sz="4" w:space="0"/>
              <w:right w:val="single" w:color="000000" w:sz="4" w:space="0"/>
            </w:tcBorders>
            <w:vAlign w:val="center"/>
          </w:tcPr>
          <w:p w14:paraId="676DC2AA">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钢木，升降，栏板长度≥1200mm，宽度≥70mm；栏架底座长≤700mm。1.栏架由 金属材料或其它强度可靠、经久耐用的材质制成。表面做防锈处理，保护层无脱落、裂纹及起皱等缺 陷。2.  栏板用PVC材料制成，成型规整。3.   栏架高度可调，分 5 档，分别为高 1.067m、0.914m、0.838m、 0.762m 和 0.7m。4. 各项技术指标符合 GB/T 19851.16《中小学体育器材场地 第 16 部分：跨栏架》 标准规定要求</w:t>
            </w:r>
          </w:p>
        </w:tc>
        <w:tc>
          <w:tcPr>
            <w:tcW w:w="867" w:type="dxa"/>
            <w:gridSpan w:val="4"/>
            <w:tcBorders>
              <w:top w:val="single" w:color="000000" w:sz="4" w:space="0"/>
              <w:left w:val="single" w:color="000000" w:sz="4" w:space="0"/>
              <w:bottom w:val="single" w:color="000000" w:sz="4" w:space="0"/>
              <w:right w:val="single" w:color="000000" w:sz="4" w:space="0"/>
            </w:tcBorders>
            <w:vAlign w:val="center"/>
          </w:tcPr>
          <w:p w14:paraId="78D1D636">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35" w:type="dxa"/>
            <w:gridSpan w:val="3"/>
            <w:tcBorders>
              <w:top w:val="single" w:color="000000" w:sz="4" w:space="0"/>
              <w:left w:val="single" w:color="000000" w:sz="4" w:space="0"/>
              <w:bottom w:val="single" w:color="000000" w:sz="4" w:space="0"/>
              <w:right w:val="single" w:color="000000" w:sz="4" w:space="0"/>
            </w:tcBorders>
            <w:vAlign w:val="center"/>
          </w:tcPr>
          <w:p w14:paraId="2513C962">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w:t>
            </w:r>
          </w:p>
        </w:tc>
      </w:tr>
      <w:tr w14:paraId="40449C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jc w:val="center"/>
        </w:trPr>
        <w:tc>
          <w:tcPr>
            <w:tcW w:w="749" w:type="dxa"/>
            <w:tcBorders>
              <w:top w:val="single" w:color="000000" w:sz="4" w:space="0"/>
              <w:left w:val="single" w:color="000000" w:sz="4" w:space="0"/>
              <w:bottom w:val="single" w:color="000000" w:sz="4" w:space="0"/>
              <w:right w:val="single" w:color="000000" w:sz="4" w:space="0"/>
            </w:tcBorders>
            <w:vAlign w:val="center"/>
          </w:tcPr>
          <w:p w14:paraId="374BAEC7">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6</w:t>
            </w:r>
          </w:p>
        </w:tc>
        <w:tc>
          <w:tcPr>
            <w:tcW w:w="1227" w:type="dxa"/>
            <w:tcBorders>
              <w:top w:val="single" w:color="000000" w:sz="4" w:space="0"/>
              <w:left w:val="single" w:color="000000" w:sz="4" w:space="0"/>
              <w:bottom w:val="single" w:color="000000" w:sz="4" w:space="0"/>
              <w:right w:val="single" w:color="000000" w:sz="4" w:space="0"/>
            </w:tcBorders>
            <w:vAlign w:val="center"/>
          </w:tcPr>
          <w:p w14:paraId="6D7CE0EF">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秒表</w:t>
            </w:r>
          </w:p>
        </w:tc>
        <w:tc>
          <w:tcPr>
            <w:tcW w:w="6200" w:type="dxa"/>
            <w:gridSpan w:val="3"/>
            <w:tcBorders>
              <w:top w:val="single" w:color="000000" w:sz="4" w:space="0"/>
              <w:left w:val="single" w:color="000000" w:sz="4" w:space="0"/>
              <w:bottom w:val="single" w:color="000000" w:sz="4" w:space="0"/>
              <w:right w:val="single" w:color="000000" w:sz="4" w:space="0"/>
            </w:tcBorders>
            <w:vAlign w:val="center"/>
          </w:tcPr>
          <w:p w14:paraId="6ACE1D18">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1.能够计量 60 个时段，可以读出小时、分钟、秒、1/100 秒，分段点时间、分段区时间和全部经过时间的三排显示，分段点时间(SPLIT)、分段区时间(LAP)、检索(RECALL)、停止(STOP)和秒表等显示的标志；2.显示可以读出小时、分钟、秒钟、年历、月历、日历和时间/日历等。3..晶体震荡器的频率:32,768HZ/每秒；工作温度：-5℃至 50℃)；月率(走快或走慢):正常温范围内(5℃至 35℃)月小于 15 秒。4.为 60 跑道电子秒表，最小记时值 0.01 秒最大计时不少于 10 小时；误差不大于 1/100。5.应符合 JY0001-2003《教学仪器产品一般质量要求》有关规定</w:t>
            </w:r>
          </w:p>
        </w:tc>
        <w:tc>
          <w:tcPr>
            <w:tcW w:w="867" w:type="dxa"/>
            <w:gridSpan w:val="4"/>
            <w:tcBorders>
              <w:top w:val="single" w:color="000000" w:sz="4" w:space="0"/>
              <w:left w:val="single" w:color="000000" w:sz="4" w:space="0"/>
              <w:bottom w:val="single" w:color="000000" w:sz="4" w:space="0"/>
              <w:right w:val="single" w:color="000000" w:sz="4" w:space="0"/>
            </w:tcBorders>
            <w:vAlign w:val="center"/>
          </w:tcPr>
          <w:p w14:paraId="003F0DB2">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35" w:type="dxa"/>
            <w:gridSpan w:val="3"/>
            <w:tcBorders>
              <w:top w:val="single" w:color="000000" w:sz="4" w:space="0"/>
              <w:left w:val="single" w:color="000000" w:sz="4" w:space="0"/>
              <w:bottom w:val="single" w:color="000000" w:sz="4" w:space="0"/>
              <w:right w:val="single" w:color="000000" w:sz="4" w:space="0"/>
            </w:tcBorders>
            <w:vAlign w:val="center"/>
          </w:tcPr>
          <w:p w14:paraId="0DFD0F67">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8</w:t>
            </w:r>
          </w:p>
        </w:tc>
      </w:tr>
      <w:tr w14:paraId="0EC05C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jc w:val="center"/>
        </w:trPr>
        <w:tc>
          <w:tcPr>
            <w:tcW w:w="749" w:type="dxa"/>
            <w:tcBorders>
              <w:top w:val="single" w:color="000000" w:sz="4" w:space="0"/>
              <w:left w:val="single" w:color="000000" w:sz="4" w:space="0"/>
              <w:bottom w:val="single" w:color="000000" w:sz="4" w:space="0"/>
              <w:right w:val="single" w:color="000000" w:sz="4" w:space="0"/>
            </w:tcBorders>
            <w:vAlign w:val="center"/>
          </w:tcPr>
          <w:p w14:paraId="233726B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7</w:t>
            </w:r>
          </w:p>
        </w:tc>
        <w:tc>
          <w:tcPr>
            <w:tcW w:w="1227" w:type="dxa"/>
            <w:tcBorders>
              <w:top w:val="single" w:color="000000" w:sz="4" w:space="0"/>
              <w:left w:val="single" w:color="000000" w:sz="4" w:space="0"/>
              <w:bottom w:val="single" w:color="000000" w:sz="4" w:space="0"/>
              <w:right w:val="single" w:color="000000" w:sz="4" w:space="0"/>
            </w:tcBorders>
            <w:vAlign w:val="center"/>
          </w:tcPr>
          <w:p w14:paraId="15D54E2B">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皮尺</w:t>
            </w:r>
          </w:p>
        </w:tc>
        <w:tc>
          <w:tcPr>
            <w:tcW w:w="6200" w:type="dxa"/>
            <w:gridSpan w:val="3"/>
            <w:tcBorders>
              <w:top w:val="single" w:color="000000" w:sz="4" w:space="0"/>
              <w:left w:val="single" w:color="000000" w:sz="4" w:space="0"/>
              <w:bottom w:val="single" w:color="000000" w:sz="4" w:space="0"/>
              <w:right w:val="single" w:color="000000" w:sz="4" w:space="0"/>
            </w:tcBorders>
            <w:vAlign w:val="center"/>
          </w:tcPr>
          <w:p w14:paraId="33247B9F">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50M。尺壳为ABS材质，尺扣和拉环等为金属材质（不生锈），尺宽≥14mm，树脂材料。</w:t>
            </w:r>
          </w:p>
        </w:tc>
        <w:tc>
          <w:tcPr>
            <w:tcW w:w="867" w:type="dxa"/>
            <w:gridSpan w:val="4"/>
            <w:tcBorders>
              <w:top w:val="single" w:color="000000" w:sz="4" w:space="0"/>
              <w:left w:val="single" w:color="000000" w:sz="4" w:space="0"/>
              <w:bottom w:val="single" w:color="000000" w:sz="4" w:space="0"/>
              <w:right w:val="single" w:color="000000" w:sz="4" w:space="0"/>
            </w:tcBorders>
            <w:vAlign w:val="center"/>
          </w:tcPr>
          <w:p w14:paraId="19A75EDA">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35" w:type="dxa"/>
            <w:gridSpan w:val="3"/>
            <w:tcBorders>
              <w:top w:val="single" w:color="000000" w:sz="4" w:space="0"/>
              <w:left w:val="single" w:color="000000" w:sz="4" w:space="0"/>
              <w:bottom w:val="single" w:color="000000" w:sz="4" w:space="0"/>
              <w:right w:val="single" w:color="000000" w:sz="4" w:space="0"/>
            </w:tcBorders>
            <w:vAlign w:val="center"/>
          </w:tcPr>
          <w:p w14:paraId="44EE8DBD">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6</w:t>
            </w:r>
          </w:p>
        </w:tc>
      </w:tr>
      <w:tr w14:paraId="78DADF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jc w:val="center"/>
        </w:trPr>
        <w:tc>
          <w:tcPr>
            <w:tcW w:w="749" w:type="dxa"/>
            <w:tcBorders>
              <w:top w:val="single" w:color="000000" w:sz="4" w:space="0"/>
              <w:left w:val="single" w:color="000000" w:sz="4" w:space="0"/>
              <w:bottom w:val="single" w:color="000000" w:sz="4" w:space="0"/>
              <w:right w:val="single" w:color="000000" w:sz="4" w:space="0"/>
            </w:tcBorders>
            <w:vAlign w:val="center"/>
          </w:tcPr>
          <w:p w14:paraId="04A9C0B2">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8</w:t>
            </w:r>
          </w:p>
        </w:tc>
        <w:tc>
          <w:tcPr>
            <w:tcW w:w="1227" w:type="dxa"/>
            <w:tcBorders>
              <w:top w:val="single" w:color="000000" w:sz="4" w:space="0"/>
              <w:left w:val="single" w:color="000000" w:sz="4" w:space="0"/>
              <w:bottom w:val="single" w:color="000000" w:sz="4" w:space="0"/>
              <w:right w:val="single" w:color="000000" w:sz="4" w:space="0"/>
            </w:tcBorders>
            <w:vAlign w:val="center"/>
          </w:tcPr>
          <w:p w14:paraId="7F521B7E">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联合训练器</w:t>
            </w:r>
          </w:p>
        </w:tc>
        <w:tc>
          <w:tcPr>
            <w:tcW w:w="6200" w:type="dxa"/>
            <w:gridSpan w:val="3"/>
            <w:tcBorders>
              <w:top w:val="single" w:color="000000" w:sz="4" w:space="0"/>
              <w:left w:val="single" w:color="000000" w:sz="4" w:space="0"/>
              <w:bottom w:val="single" w:color="000000" w:sz="4" w:space="0"/>
              <w:right w:val="single" w:color="000000" w:sz="4" w:space="0"/>
            </w:tcBorders>
            <w:vAlign w:val="center"/>
          </w:tcPr>
          <w:p w14:paraId="0BF59EC6">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含爬杆、吊环、软梯、爬绳。Ⅰ绳、杆：握持直径30～38mm，器材的有效使用宽度不小于600mm；器材的有效使用高度≥2500mm；Ⅱ软梯：握持直径25mm～30mm，梯阶的间隔距离≥300mm,器材的有效使用高度≥2500mm。</w:t>
            </w:r>
          </w:p>
        </w:tc>
        <w:tc>
          <w:tcPr>
            <w:tcW w:w="867" w:type="dxa"/>
            <w:gridSpan w:val="4"/>
            <w:tcBorders>
              <w:top w:val="single" w:color="000000" w:sz="4" w:space="0"/>
              <w:left w:val="single" w:color="000000" w:sz="4" w:space="0"/>
              <w:bottom w:val="single" w:color="000000" w:sz="4" w:space="0"/>
              <w:right w:val="single" w:color="000000" w:sz="4" w:space="0"/>
            </w:tcBorders>
            <w:vAlign w:val="center"/>
          </w:tcPr>
          <w:p w14:paraId="68D8B7EB">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副</w:t>
            </w:r>
          </w:p>
        </w:tc>
        <w:tc>
          <w:tcPr>
            <w:tcW w:w="935" w:type="dxa"/>
            <w:gridSpan w:val="3"/>
            <w:tcBorders>
              <w:top w:val="single" w:color="000000" w:sz="4" w:space="0"/>
              <w:left w:val="single" w:color="000000" w:sz="4" w:space="0"/>
              <w:bottom w:val="single" w:color="000000" w:sz="4" w:space="0"/>
              <w:right w:val="single" w:color="000000" w:sz="4" w:space="0"/>
            </w:tcBorders>
            <w:vAlign w:val="center"/>
          </w:tcPr>
          <w:p w14:paraId="5D148FBB">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601167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jc w:val="center"/>
        </w:trPr>
        <w:tc>
          <w:tcPr>
            <w:tcW w:w="749" w:type="dxa"/>
            <w:tcBorders>
              <w:top w:val="single" w:color="000000" w:sz="4" w:space="0"/>
              <w:left w:val="single" w:color="000000" w:sz="4" w:space="0"/>
              <w:bottom w:val="single" w:color="000000" w:sz="4" w:space="0"/>
              <w:right w:val="single" w:color="000000" w:sz="4" w:space="0"/>
            </w:tcBorders>
            <w:vAlign w:val="center"/>
          </w:tcPr>
          <w:p w14:paraId="7FB1F221">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9</w:t>
            </w:r>
          </w:p>
        </w:tc>
        <w:tc>
          <w:tcPr>
            <w:tcW w:w="1227" w:type="dxa"/>
            <w:tcBorders>
              <w:top w:val="single" w:color="000000" w:sz="4" w:space="0"/>
              <w:left w:val="single" w:color="000000" w:sz="4" w:space="0"/>
              <w:bottom w:val="single" w:color="000000" w:sz="4" w:space="0"/>
              <w:right w:val="single" w:color="000000" w:sz="4" w:space="0"/>
            </w:tcBorders>
            <w:vAlign w:val="center"/>
          </w:tcPr>
          <w:p w14:paraId="68A2E22F">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实心球</w:t>
            </w:r>
          </w:p>
        </w:tc>
        <w:tc>
          <w:tcPr>
            <w:tcW w:w="6200" w:type="dxa"/>
            <w:gridSpan w:val="3"/>
            <w:tcBorders>
              <w:top w:val="single" w:color="000000" w:sz="4" w:space="0"/>
              <w:left w:val="single" w:color="000000" w:sz="4" w:space="0"/>
              <w:bottom w:val="single" w:color="000000" w:sz="4" w:space="0"/>
              <w:right w:val="single" w:color="000000" w:sz="4" w:space="0"/>
            </w:tcBorders>
            <w:vAlign w:val="center"/>
          </w:tcPr>
          <w:p w14:paraId="4BCC0B33">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01充气式，实心球，圆球形，圆周长420～780㎜，偏差正负5mm，重量≥2kg，偏差正负20克，可充气使用，手感柔软，无伤害。球用天然橡胶整体成型，不得使用再生胶，产品不得有异味，球表面应防滑为杏黄色，球表面有明显不易脱落的商标、标准。半球结合处不允许有凹楞，自15米，高度落下无破痕、变形。本产品应符合《GB/T19851.18-2007》</w:t>
            </w:r>
          </w:p>
        </w:tc>
        <w:tc>
          <w:tcPr>
            <w:tcW w:w="867" w:type="dxa"/>
            <w:gridSpan w:val="4"/>
            <w:tcBorders>
              <w:top w:val="single" w:color="000000" w:sz="4" w:space="0"/>
              <w:left w:val="single" w:color="000000" w:sz="4" w:space="0"/>
              <w:bottom w:val="single" w:color="000000" w:sz="4" w:space="0"/>
              <w:right w:val="single" w:color="000000" w:sz="4" w:space="0"/>
            </w:tcBorders>
            <w:vAlign w:val="center"/>
          </w:tcPr>
          <w:p w14:paraId="6DD69378">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35" w:type="dxa"/>
            <w:gridSpan w:val="3"/>
            <w:tcBorders>
              <w:top w:val="single" w:color="000000" w:sz="4" w:space="0"/>
              <w:left w:val="single" w:color="000000" w:sz="4" w:space="0"/>
              <w:bottom w:val="single" w:color="000000" w:sz="4" w:space="0"/>
              <w:right w:val="single" w:color="000000" w:sz="4" w:space="0"/>
            </w:tcBorders>
            <w:vAlign w:val="center"/>
          </w:tcPr>
          <w:p w14:paraId="5BE44AAB">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100</w:t>
            </w:r>
          </w:p>
        </w:tc>
      </w:tr>
      <w:tr w14:paraId="01867B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jc w:val="center"/>
        </w:trPr>
        <w:tc>
          <w:tcPr>
            <w:tcW w:w="749" w:type="dxa"/>
            <w:tcBorders>
              <w:top w:val="single" w:color="000000" w:sz="4" w:space="0"/>
              <w:left w:val="single" w:color="000000" w:sz="4" w:space="0"/>
              <w:bottom w:val="single" w:color="000000" w:sz="4" w:space="0"/>
              <w:right w:val="single" w:color="000000" w:sz="4" w:space="0"/>
            </w:tcBorders>
            <w:vAlign w:val="center"/>
          </w:tcPr>
          <w:p w14:paraId="16BC6A20">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10</w:t>
            </w:r>
          </w:p>
        </w:tc>
        <w:tc>
          <w:tcPr>
            <w:tcW w:w="1227" w:type="dxa"/>
            <w:tcBorders>
              <w:top w:val="single" w:color="000000" w:sz="4" w:space="0"/>
              <w:left w:val="single" w:color="000000" w:sz="4" w:space="0"/>
              <w:bottom w:val="single" w:color="000000" w:sz="4" w:space="0"/>
              <w:right w:val="single" w:color="000000" w:sz="4" w:space="0"/>
            </w:tcBorders>
            <w:vAlign w:val="center"/>
          </w:tcPr>
          <w:p w14:paraId="5540122F">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短绳</w:t>
            </w:r>
          </w:p>
        </w:tc>
        <w:tc>
          <w:tcPr>
            <w:tcW w:w="6200" w:type="dxa"/>
            <w:gridSpan w:val="3"/>
            <w:tcBorders>
              <w:top w:val="single" w:color="000000" w:sz="4" w:space="0"/>
              <w:left w:val="single" w:color="000000" w:sz="4" w:space="0"/>
              <w:bottom w:val="single" w:color="000000" w:sz="4" w:space="0"/>
              <w:right w:val="single" w:color="000000" w:sz="4" w:space="0"/>
            </w:tcBorders>
            <w:vAlign w:val="center"/>
          </w:tcPr>
          <w:p w14:paraId="160676A2">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符合 GB/T 19851.20要求。绳长：2600～2800mm，重量80～120g； 绳材质为橡胶；木质手柄，柄的规格: 长度110～150mm，直径大于2CM；绳柔软,韧性好；滚动流畅、方便调节绳的长度，有可靠的锁紧绳装置；色彩鲜艳,符合学生心理特点；执行GB6675-2003国家玩具安全技术规范。</w:t>
            </w:r>
          </w:p>
        </w:tc>
        <w:tc>
          <w:tcPr>
            <w:tcW w:w="867" w:type="dxa"/>
            <w:gridSpan w:val="4"/>
            <w:tcBorders>
              <w:top w:val="single" w:color="000000" w:sz="4" w:space="0"/>
              <w:left w:val="single" w:color="000000" w:sz="4" w:space="0"/>
              <w:bottom w:val="single" w:color="000000" w:sz="4" w:space="0"/>
              <w:right w:val="single" w:color="000000" w:sz="4" w:space="0"/>
            </w:tcBorders>
            <w:vAlign w:val="center"/>
          </w:tcPr>
          <w:p w14:paraId="1101EB5D">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35" w:type="dxa"/>
            <w:gridSpan w:val="3"/>
            <w:tcBorders>
              <w:top w:val="single" w:color="000000" w:sz="4" w:space="0"/>
              <w:left w:val="single" w:color="000000" w:sz="4" w:space="0"/>
              <w:bottom w:val="single" w:color="000000" w:sz="4" w:space="0"/>
              <w:right w:val="single" w:color="000000" w:sz="4" w:space="0"/>
            </w:tcBorders>
            <w:vAlign w:val="center"/>
          </w:tcPr>
          <w:p w14:paraId="11AEFF58">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140</w:t>
            </w:r>
          </w:p>
        </w:tc>
      </w:tr>
      <w:tr w14:paraId="3F3994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jc w:val="center"/>
        </w:trPr>
        <w:tc>
          <w:tcPr>
            <w:tcW w:w="749" w:type="dxa"/>
            <w:tcBorders>
              <w:top w:val="single" w:color="000000" w:sz="4" w:space="0"/>
              <w:left w:val="single" w:color="000000" w:sz="4" w:space="0"/>
              <w:bottom w:val="single" w:color="000000" w:sz="4" w:space="0"/>
              <w:right w:val="single" w:color="000000" w:sz="4" w:space="0"/>
            </w:tcBorders>
            <w:vAlign w:val="center"/>
          </w:tcPr>
          <w:p w14:paraId="1F2BA8BF">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11</w:t>
            </w:r>
          </w:p>
        </w:tc>
        <w:tc>
          <w:tcPr>
            <w:tcW w:w="1227" w:type="dxa"/>
            <w:tcBorders>
              <w:top w:val="single" w:color="000000" w:sz="4" w:space="0"/>
              <w:left w:val="single" w:color="000000" w:sz="4" w:space="0"/>
              <w:bottom w:val="single" w:color="000000" w:sz="4" w:space="0"/>
              <w:right w:val="single" w:color="000000" w:sz="4" w:space="0"/>
            </w:tcBorders>
            <w:vAlign w:val="center"/>
          </w:tcPr>
          <w:p w14:paraId="68F56700">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长绳</w:t>
            </w:r>
          </w:p>
        </w:tc>
        <w:tc>
          <w:tcPr>
            <w:tcW w:w="6200" w:type="dxa"/>
            <w:gridSpan w:val="3"/>
            <w:tcBorders>
              <w:top w:val="single" w:color="000000" w:sz="4" w:space="0"/>
              <w:left w:val="single" w:color="000000" w:sz="4" w:space="0"/>
              <w:bottom w:val="single" w:color="000000" w:sz="4" w:space="0"/>
              <w:right w:val="single" w:color="000000" w:sz="4" w:space="0"/>
            </w:tcBorders>
            <w:vAlign w:val="center"/>
          </w:tcPr>
          <w:p w14:paraId="297D5882">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符合 GB/T 19851.20要求。绳长：≥5000mm，直径6-7mm； 绳材质为橡胶；木质手柄，柄的规格: 长度110～150mm，直径大于2CM；绳柔软,韧性好；滚动流畅、方便调节绳的长度，有可靠的锁紧绳装置；色彩鲜艳,符合学生心理特点；执行GB6675-2003国家玩具安全技术规范。</w:t>
            </w:r>
          </w:p>
        </w:tc>
        <w:tc>
          <w:tcPr>
            <w:tcW w:w="867" w:type="dxa"/>
            <w:gridSpan w:val="4"/>
            <w:tcBorders>
              <w:top w:val="single" w:color="000000" w:sz="4" w:space="0"/>
              <w:left w:val="single" w:color="000000" w:sz="4" w:space="0"/>
              <w:bottom w:val="single" w:color="000000" w:sz="4" w:space="0"/>
              <w:right w:val="single" w:color="000000" w:sz="4" w:space="0"/>
            </w:tcBorders>
            <w:vAlign w:val="center"/>
          </w:tcPr>
          <w:p w14:paraId="48B94BCB">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35" w:type="dxa"/>
            <w:gridSpan w:val="3"/>
            <w:tcBorders>
              <w:top w:val="single" w:color="000000" w:sz="4" w:space="0"/>
              <w:left w:val="single" w:color="000000" w:sz="4" w:space="0"/>
              <w:bottom w:val="single" w:color="000000" w:sz="4" w:space="0"/>
              <w:right w:val="single" w:color="000000" w:sz="4" w:space="0"/>
            </w:tcBorders>
            <w:vAlign w:val="center"/>
          </w:tcPr>
          <w:p w14:paraId="079D790D">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18</w:t>
            </w:r>
          </w:p>
        </w:tc>
      </w:tr>
      <w:tr w14:paraId="3F5851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jc w:val="center"/>
        </w:trPr>
        <w:tc>
          <w:tcPr>
            <w:tcW w:w="749" w:type="dxa"/>
            <w:tcBorders>
              <w:top w:val="single" w:color="000000" w:sz="4" w:space="0"/>
              <w:left w:val="single" w:color="000000" w:sz="4" w:space="0"/>
              <w:bottom w:val="single" w:color="000000" w:sz="4" w:space="0"/>
              <w:right w:val="single" w:color="000000" w:sz="4" w:space="0"/>
            </w:tcBorders>
            <w:vAlign w:val="center"/>
          </w:tcPr>
          <w:p w14:paraId="1EF2B17D">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12</w:t>
            </w:r>
          </w:p>
        </w:tc>
        <w:tc>
          <w:tcPr>
            <w:tcW w:w="1227" w:type="dxa"/>
            <w:tcBorders>
              <w:top w:val="single" w:color="000000" w:sz="4" w:space="0"/>
              <w:left w:val="single" w:color="000000" w:sz="4" w:space="0"/>
              <w:bottom w:val="single" w:color="000000" w:sz="4" w:space="0"/>
              <w:right w:val="single" w:color="000000" w:sz="4" w:space="0"/>
            </w:tcBorders>
            <w:vAlign w:val="center"/>
          </w:tcPr>
          <w:p w14:paraId="5F8FC34D">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拔河绳</w:t>
            </w:r>
          </w:p>
        </w:tc>
        <w:tc>
          <w:tcPr>
            <w:tcW w:w="6200" w:type="dxa"/>
            <w:gridSpan w:val="3"/>
            <w:tcBorders>
              <w:top w:val="single" w:color="000000" w:sz="4" w:space="0"/>
              <w:left w:val="single" w:color="000000" w:sz="4" w:space="0"/>
              <w:bottom w:val="single" w:color="000000" w:sz="4" w:space="0"/>
              <w:right w:val="single" w:color="000000" w:sz="4" w:space="0"/>
            </w:tcBorders>
            <w:vAlign w:val="center"/>
          </w:tcPr>
          <w:p w14:paraId="29445856">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直径≥40mm 马尼拉麻≥30米</w:t>
            </w:r>
            <w:r>
              <w:rPr>
                <w:rFonts w:hint="eastAsia" w:ascii="宋体" w:hAnsi="宋体"/>
                <w:color w:val="auto"/>
                <w:kern w:val="0"/>
                <w:szCs w:val="21"/>
                <w:highlight w:val="none"/>
                <w:lang w:bidi="ar"/>
              </w:rPr>
              <w:br w:type="textWrapping"/>
            </w:r>
            <w:r>
              <w:rPr>
                <w:rFonts w:hint="eastAsia" w:ascii="宋体" w:hAnsi="宋体"/>
                <w:color w:val="auto"/>
                <w:kern w:val="0"/>
                <w:szCs w:val="21"/>
                <w:highlight w:val="none"/>
                <w:lang w:bidi="ar"/>
              </w:rPr>
              <w:t>1、拔河绳应用麻绳多股绞合而成；</w:t>
            </w:r>
            <w:r>
              <w:rPr>
                <w:rFonts w:hint="eastAsia" w:ascii="宋体" w:hAnsi="宋体"/>
                <w:color w:val="auto"/>
                <w:kern w:val="0"/>
                <w:szCs w:val="21"/>
                <w:highlight w:val="none"/>
                <w:lang w:bidi="ar"/>
              </w:rPr>
              <w:br w:type="textWrapping"/>
            </w:r>
            <w:r>
              <w:rPr>
                <w:rFonts w:hint="eastAsia" w:ascii="宋体" w:hAnsi="宋体"/>
                <w:color w:val="auto"/>
                <w:kern w:val="0"/>
                <w:szCs w:val="21"/>
                <w:highlight w:val="none"/>
                <w:lang w:bidi="ar"/>
              </w:rPr>
              <w:t>2、绳长≥30m，直径≥30mm，绳的抗拉力≥490KN；</w:t>
            </w:r>
            <w:r>
              <w:rPr>
                <w:rFonts w:hint="eastAsia" w:ascii="宋体" w:hAnsi="宋体"/>
                <w:color w:val="auto"/>
                <w:kern w:val="0"/>
                <w:szCs w:val="21"/>
                <w:highlight w:val="none"/>
                <w:lang w:bidi="ar"/>
              </w:rPr>
              <w:br w:type="textWrapping"/>
            </w:r>
            <w:r>
              <w:rPr>
                <w:rFonts w:hint="eastAsia" w:ascii="宋体" w:hAnsi="宋体"/>
                <w:color w:val="auto"/>
                <w:kern w:val="0"/>
                <w:szCs w:val="21"/>
                <w:highlight w:val="none"/>
                <w:lang w:bidi="ar"/>
              </w:rPr>
              <w:t>3、绳的两端结孔，中间套以红色标记，绳的质地无霉变、腐朽、虫咬等缺陷</w:t>
            </w:r>
          </w:p>
        </w:tc>
        <w:tc>
          <w:tcPr>
            <w:tcW w:w="867" w:type="dxa"/>
            <w:gridSpan w:val="4"/>
            <w:tcBorders>
              <w:top w:val="single" w:color="000000" w:sz="4" w:space="0"/>
              <w:left w:val="single" w:color="000000" w:sz="4" w:space="0"/>
              <w:bottom w:val="single" w:color="000000" w:sz="4" w:space="0"/>
              <w:right w:val="single" w:color="000000" w:sz="4" w:space="0"/>
            </w:tcBorders>
            <w:vAlign w:val="center"/>
          </w:tcPr>
          <w:p w14:paraId="3DFD9C48">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根</w:t>
            </w:r>
          </w:p>
        </w:tc>
        <w:tc>
          <w:tcPr>
            <w:tcW w:w="935" w:type="dxa"/>
            <w:gridSpan w:val="3"/>
            <w:tcBorders>
              <w:top w:val="single" w:color="000000" w:sz="4" w:space="0"/>
              <w:left w:val="single" w:color="000000" w:sz="4" w:space="0"/>
              <w:bottom w:val="single" w:color="000000" w:sz="4" w:space="0"/>
              <w:right w:val="single" w:color="000000" w:sz="4" w:space="0"/>
            </w:tcBorders>
            <w:vAlign w:val="center"/>
          </w:tcPr>
          <w:p w14:paraId="4561431C">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6</w:t>
            </w:r>
          </w:p>
        </w:tc>
      </w:tr>
      <w:tr w14:paraId="7A933F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jc w:val="center"/>
        </w:trPr>
        <w:tc>
          <w:tcPr>
            <w:tcW w:w="749" w:type="dxa"/>
            <w:tcBorders>
              <w:top w:val="single" w:color="000000" w:sz="4" w:space="0"/>
              <w:left w:val="single" w:color="000000" w:sz="4" w:space="0"/>
              <w:bottom w:val="single" w:color="000000" w:sz="4" w:space="0"/>
              <w:right w:val="single" w:color="000000" w:sz="4" w:space="0"/>
            </w:tcBorders>
            <w:vAlign w:val="center"/>
          </w:tcPr>
          <w:p w14:paraId="3A3D79E5">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13</w:t>
            </w:r>
          </w:p>
        </w:tc>
        <w:tc>
          <w:tcPr>
            <w:tcW w:w="1227" w:type="dxa"/>
            <w:tcBorders>
              <w:top w:val="single" w:color="000000" w:sz="4" w:space="0"/>
              <w:left w:val="single" w:color="000000" w:sz="4" w:space="0"/>
              <w:bottom w:val="single" w:color="000000" w:sz="4" w:space="0"/>
              <w:right w:val="single" w:color="000000" w:sz="4" w:space="0"/>
            </w:tcBorders>
            <w:vAlign w:val="center"/>
          </w:tcPr>
          <w:p w14:paraId="637A20B4">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肋木</w:t>
            </w:r>
          </w:p>
        </w:tc>
        <w:tc>
          <w:tcPr>
            <w:tcW w:w="6200" w:type="dxa"/>
            <w:gridSpan w:val="3"/>
            <w:tcBorders>
              <w:top w:val="single" w:color="000000" w:sz="4" w:space="0"/>
              <w:left w:val="single" w:color="000000" w:sz="4" w:space="0"/>
              <w:bottom w:val="single" w:color="000000" w:sz="4" w:space="0"/>
              <w:right w:val="single" w:color="000000" w:sz="4" w:space="0"/>
            </w:tcBorders>
            <w:vAlign w:val="center"/>
          </w:tcPr>
          <w:p w14:paraId="5F45836A">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主立柱为直径≥89mm厚≥3.0mm的优质钢管，钢管地埋深度≥500毫米，肋木埋入地下后尺寸：高≥2500mm，肋间距≥300mm，横杆直径≥32mm，使用宽度≥1000mm，金属外表面采用抛丸喷砂，表面静电喷涂全部使用优质纯聚酯室外粉末厚度不低于80um，有效预防阳光、雨水、风沙等自然因素造成的侵蚀，色泽均匀、亮丽，符合国家对户外色彩的损失比例要求。</w:t>
            </w:r>
          </w:p>
        </w:tc>
        <w:tc>
          <w:tcPr>
            <w:tcW w:w="867" w:type="dxa"/>
            <w:gridSpan w:val="4"/>
            <w:tcBorders>
              <w:top w:val="single" w:color="000000" w:sz="4" w:space="0"/>
              <w:left w:val="single" w:color="000000" w:sz="4" w:space="0"/>
              <w:bottom w:val="single" w:color="000000" w:sz="4" w:space="0"/>
              <w:right w:val="single" w:color="000000" w:sz="4" w:space="0"/>
            </w:tcBorders>
            <w:vAlign w:val="center"/>
          </w:tcPr>
          <w:p w14:paraId="08CF542D">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套</w:t>
            </w:r>
          </w:p>
        </w:tc>
        <w:tc>
          <w:tcPr>
            <w:tcW w:w="935" w:type="dxa"/>
            <w:gridSpan w:val="3"/>
            <w:tcBorders>
              <w:top w:val="single" w:color="000000" w:sz="4" w:space="0"/>
              <w:left w:val="single" w:color="000000" w:sz="4" w:space="0"/>
              <w:bottom w:val="single" w:color="000000" w:sz="4" w:space="0"/>
              <w:right w:val="single" w:color="000000" w:sz="4" w:space="0"/>
            </w:tcBorders>
            <w:vAlign w:val="center"/>
          </w:tcPr>
          <w:p w14:paraId="14DCED96">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w:t>
            </w:r>
          </w:p>
        </w:tc>
      </w:tr>
      <w:tr w14:paraId="2BE3B8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jc w:val="center"/>
        </w:trPr>
        <w:tc>
          <w:tcPr>
            <w:tcW w:w="749" w:type="dxa"/>
            <w:tcBorders>
              <w:top w:val="single" w:color="000000" w:sz="4" w:space="0"/>
              <w:left w:val="single" w:color="000000" w:sz="4" w:space="0"/>
              <w:bottom w:val="single" w:color="000000" w:sz="4" w:space="0"/>
              <w:right w:val="single" w:color="000000" w:sz="4" w:space="0"/>
            </w:tcBorders>
            <w:vAlign w:val="center"/>
          </w:tcPr>
          <w:p w14:paraId="7DF9D691">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14</w:t>
            </w:r>
          </w:p>
        </w:tc>
        <w:tc>
          <w:tcPr>
            <w:tcW w:w="1227" w:type="dxa"/>
            <w:tcBorders>
              <w:top w:val="single" w:color="000000" w:sz="4" w:space="0"/>
              <w:left w:val="single" w:color="000000" w:sz="4" w:space="0"/>
              <w:bottom w:val="single" w:color="000000" w:sz="4" w:space="0"/>
              <w:right w:val="single" w:color="000000" w:sz="4" w:space="0"/>
            </w:tcBorders>
            <w:vAlign w:val="center"/>
          </w:tcPr>
          <w:p w14:paraId="74A96A7D">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平梯</w:t>
            </w:r>
          </w:p>
        </w:tc>
        <w:tc>
          <w:tcPr>
            <w:tcW w:w="6200" w:type="dxa"/>
            <w:gridSpan w:val="3"/>
            <w:tcBorders>
              <w:top w:val="single" w:color="000000" w:sz="4" w:space="0"/>
              <w:left w:val="single" w:color="000000" w:sz="4" w:space="0"/>
              <w:bottom w:val="single" w:color="000000" w:sz="4" w:space="0"/>
              <w:right w:val="single" w:color="000000" w:sz="4" w:space="0"/>
            </w:tcBorders>
            <w:vAlign w:val="center"/>
          </w:tcPr>
          <w:p w14:paraId="22673A51">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长*宽*高≥4000mm*1120mm*2300mm；立柱直径≥76mm，总高≥2800mm，梯面净高≥2300mm，横梁直径≥32mm，使用宽度≥600mm，地埋深≥500mm，金属外表面采用抛丸喷砂，表面静电喷图全部使用优质纯聚酯室外粉末厚度不低于80um，有效预防阳光、雨水、风沙等自然因素造成的侵蚀，色泽均匀、亮丽，符合管家对户外色彩的损失比例要求</w:t>
            </w:r>
          </w:p>
        </w:tc>
        <w:tc>
          <w:tcPr>
            <w:tcW w:w="867" w:type="dxa"/>
            <w:gridSpan w:val="4"/>
            <w:tcBorders>
              <w:top w:val="single" w:color="000000" w:sz="4" w:space="0"/>
              <w:left w:val="single" w:color="000000" w:sz="4" w:space="0"/>
              <w:bottom w:val="single" w:color="000000" w:sz="4" w:space="0"/>
              <w:right w:val="single" w:color="000000" w:sz="4" w:space="0"/>
            </w:tcBorders>
            <w:vAlign w:val="center"/>
          </w:tcPr>
          <w:p w14:paraId="6D350778">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套</w:t>
            </w:r>
          </w:p>
        </w:tc>
        <w:tc>
          <w:tcPr>
            <w:tcW w:w="935" w:type="dxa"/>
            <w:gridSpan w:val="3"/>
            <w:tcBorders>
              <w:top w:val="single" w:color="000000" w:sz="4" w:space="0"/>
              <w:left w:val="single" w:color="000000" w:sz="4" w:space="0"/>
              <w:bottom w:val="single" w:color="000000" w:sz="4" w:space="0"/>
              <w:right w:val="single" w:color="000000" w:sz="4" w:space="0"/>
            </w:tcBorders>
            <w:vAlign w:val="center"/>
          </w:tcPr>
          <w:p w14:paraId="266C82D4">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w:t>
            </w:r>
          </w:p>
        </w:tc>
      </w:tr>
      <w:tr w14:paraId="7C5AE3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jc w:val="center"/>
        </w:trPr>
        <w:tc>
          <w:tcPr>
            <w:tcW w:w="749" w:type="dxa"/>
            <w:tcBorders>
              <w:top w:val="single" w:color="000000" w:sz="4" w:space="0"/>
              <w:left w:val="single" w:color="000000" w:sz="4" w:space="0"/>
              <w:bottom w:val="single" w:color="000000" w:sz="4" w:space="0"/>
              <w:right w:val="single" w:color="000000" w:sz="4" w:space="0"/>
            </w:tcBorders>
            <w:vAlign w:val="center"/>
          </w:tcPr>
          <w:p w14:paraId="5A34D295">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15</w:t>
            </w:r>
          </w:p>
        </w:tc>
        <w:tc>
          <w:tcPr>
            <w:tcW w:w="1227" w:type="dxa"/>
            <w:tcBorders>
              <w:top w:val="single" w:color="000000" w:sz="4" w:space="0"/>
              <w:left w:val="single" w:color="000000" w:sz="4" w:space="0"/>
              <w:bottom w:val="single" w:color="000000" w:sz="4" w:space="0"/>
              <w:right w:val="single" w:color="000000" w:sz="4" w:space="0"/>
            </w:tcBorders>
            <w:vAlign w:val="center"/>
          </w:tcPr>
          <w:p w14:paraId="377F769F">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低单杠</w:t>
            </w:r>
          </w:p>
        </w:tc>
        <w:tc>
          <w:tcPr>
            <w:tcW w:w="6200" w:type="dxa"/>
            <w:gridSpan w:val="3"/>
            <w:tcBorders>
              <w:top w:val="single" w:color="000000" w:sz="4" w:space="0"/>
              <w:left w:val="single" w:color="000000" w:sz="4" w:space="0"/>
              <w:bottom w:val="single" w:color="000000" w:sz="4" w:space="0"/>
              <w:right w:val="single" w:color="000000" w:sz="4" w:space="0"/>
            </w:tcBorders>
            <w:vAlign w:val="center"/>
          </w:tcPr>
          <w:p w14:paraId="2FF67918">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器材符合GB/T19851.2-2005中的对“单杠”的要求为室外地埋式，主立柱采用直径≥89mm，壁厚≥3.0mm的圆管制成；地面以上高≥1500mm，地下预埋≥500mm，横杠长≥2000mm。</w:t>
            </w:r>
          </w:p>
        </w:tc>
        <w:tc>
          <w:tcPr>
            <w:tcW w:w="867" w:type="dxa"/>
            <w:gridSpan w:val="4"/>
            <w:tcBorders>
              <w:top w:val="single" w:color="000000" w:sz="4" w:space="0"/>
              <w:left w:val="single" w:color="000000" w:sz="4" w:space="0"/>
              <w:bottom w:val="single" w:color="000000" w:sz="4" w:space="0"/>
              <w:right w:val="single" w:color="000000" w:sz="4" w:space="0"/>
            </w:tcBorders>
            <w:vAlign w:val="center"/>
          </w:tcPr>
          <w:p w14:paraId="1D906490">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套</w:t>
            </w:r>
          </w:p>
        </w:tc>
        <w:tc>
          <w:tcPr>
            <w:tcW w:w="935" w:type="dxa"/>
            <w:gridSpan w:val="3"/>
            <w:tcBorders>
              <w:top w:val="single" w:color="000000" w:sz="4" w:space="0"/>
              <w:left w:val="single" w:color="000000" w:sz="4" w:space="0"/>
              <w:bottom w:val="single" w:color="000000" w:sz="4" w:space="0"/>
              <w:right w:val="single" w:color="000000" w:sz="4" w:space="0"/>
            </w:tcBorders>
            <w:vAlign w:val="center"/>
          </w:tcPr>
          <w:p w14:paraId="476EAFCB">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w:t>
            </w:r>
          </w:p>
        </w:tc>
      </w:tr>
      <w:tr w14:paraId="3CFC79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jc w:val="center"/>
        </w:trPr>
        <w:tc>
          <w:tcPr>
            <w:tcW w:w="749" w:type="dxa"/>
            <w:tcBorders>
              <w:top w:val="single" w:color="000000" w:sz="4" w:space="0"/>
              <w:left w:val="single" w:color="000000" w:sz="4" w:space="0"/>
              <w:bottom w:val="single" w:color="000000" w:sz="4" w:space="0"/>
              <w:right w:val="single" w:color="000000" w:sz="4" w:space="0"/>
            </w:tcBorders>
            <w:vAlign w:val="center"/>
          </w:tcPr>
          <w:p w14:paraId="45D77148">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16</w:t>
            </w:r>
          </w:p>
        </w:tc>
        <w:tc>
          <w:tcPr>
            <w:tcW w:w="1227" w:type="dxa"/>
            <w:tcBorders>
              <w:top w:val="single" w:color="000000" w:sz="4" w:space="0"/>
              <w:left w:val="single" w:color="000000" w:sz="4" w:space="0"/>
              <w:bottom w:val="single" w:color="000000" w:sz="4" w:space="0"/>
              <w:right w:val="single" w:color="000000" w:sz="4" w:space="0"/>
            </w:tcBorders>
            <w:vAlign w:val="center"/>
          </w:tcPr>
          <w:p w14:paraId="7521BCAE">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高单杠</w:t>
            </w:r>
          </w:p>
        </w:tc>
        <w:tc>
          <w:tcPr>
            <w:tcW w:w="6200" w:type="dxa"/>
            <w:gridSpan w:val="3"/>
            <w:tcBorders>
              <w:top w:val="single" w:color="000000" w:sz="4" w:space="0"/>
              <w:left w:val="single" w:color="000000" w:sz="4" w:space="0"/>
              <w:bottom w:val="single" w:color="000000" w:sz="4" w:space="0"/>
              <w:right w:val="single" w:color="000000" w:sz="4" w:space="0"/>
            </w:tcBorders>
            <w:vAlign w:val="center"/>
          </w:tcPr>
          <w:p w14:paraId="2A506423">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器材符合GB/T19851.2-2005中的对“单杠”的要求为室外地埋式，主立柱采用直径≥89mm，壁厚≥3.0mm的圆管制成；地面以上高≥2000mm，，地下预埋≥500mm，横杠长≥2000mm。</w:t>
            </w:r>
          </w:p>
        </w:tc>
        <w:tc>
          <w:tcPr>
            <w:tcW w:w="867" w:type="dxa"/>
            <w:gridSpan w:val="4"/>
            <w:tcBorders>
              <w:top w:val="single" w:color="000000" w:sz="4" w:space="0"/>
              <w:left w:val="single" w:color="000000" w:sz="4" w:space="0"/>
              <w:bottom w:val="single" w:color="000000" w:sz="4" w:space="0"/>
              <w:right w:val="single" w:color="000000" w:sz="4" w:space="0"/>
            </w:tcBorders>
            <w:vAlign w:val="center"/>
          </w:tcPr>
          <w:p w14:paraId="691E4F2E">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套</w:t>
            </w:r>
          </w:p>
        </w:tc>
        <w:tc>
          <w:tcPr>
            <w:tcW w:w="935" w:type="dxa"/>
            <w:gridSpan w:val="3"/>
            <w:tcBorders>
              <w:top w:val="single" w:color="000000" w:sz="4" w:space="0"/>
              <w:left w:val="single" w:color="000000" w:sz="4" w:space="0"/>
              <w:bottom w:val="single" w:color="000000" w:sz="4" w:space="0"/>
              <w:right w:val="single" w:color="000000" w:sz="4" w:space="0"/>
            </w:tcBorders>
            <w:vAlign w:val="center"/>
          </w:tcPr>
          <w:p w14:paraId="4AD087F4">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w:t>
            </w:r>
          </w:p>
        </w:tc>
      </w:tr>
      <w:tr w14:paraId="56E307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jc w:val="center"/>
        </w:trPr>
        <w:tc>
          <w:tcPr>
            <w:tcW w:w="749" w:type="dxa"/>
            <w:tcBorders>
              <w:top w:val="single" w:color="000000" w:sz="4" w:space="0"/>
              <w:left w:val="single" w:color="000000" w:sz="4" w:space="0"/>
              <w:bottom w:val="single" w:color="000000" w:sz="4" w:space="0"/>
              <w:right w:val="single" w:color="000000" w:sz="4" w:space="0"/>
            </w:tcBorders>
            <w:vAlign w:val="center"/>
          </w:tcPr>
          <w:p w14:paraId="3CC37AE4">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17</w:t>
            </w:r>
          </w:p>
        </w:tc>
        <w:tc>
          <w:tcPr>
            <w:tcW w:w="1227" w:type="dxa"/>
            <w:tcBorders>
              <w:top w:val="single" w:color="000000" w:sz="4" w:space="0"/>
              <w:left w:val="single" w:color="000000" w:sz="4" w:space="0"/>
              <w:bottom w:val="single" w:color="000000" w:sz="4" w:space="0"/>
              <w:right w:val="single" w:color="000000" w:sz="4" w:space="0"/>
            </w:tcBorders>
            <w:vAlign w:val="center"/>
          </w:tcPr>
          <w:p w14:paraId="324E47FB">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低双杠</w:t>
            </w:r>
          </w:p>
        </w:tc>
        <w:tc>
          <w:tcPr>
            <w:tcW w:w="6200" w:type="dxa"/>
            <w:gridSpan w:val="3"/>
            <w:tcBorders>
              <w:top w:val="single" w:color="000000" w:sz="4" w:space="0"/>
              <w:left w:val="single" w:color="000000" w:sz="4" w:space="0"/>
              <w:bottom w:val="single" w:color="000000" w:sz="4" w:space="0"/>
              <w:right w:val="single" w:color="000000" w:sz="4" w:space="0"/>
            </w:tcBorders>
            <w:vAlign w:val="center"/>
          </w:tcPr>
          <w:p w14:paraId="002C4925">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1.地埋固定式双杠高≥1300mm，杠面长≥3000mm，地埋深度为≥500mm；</w:t>
            </w:r>
            <w:r>
              <w:rPr>
                <w:rFonts w:hint="eastAsia" w:ascii="宋体" w:hAnsi="宋体"/>
                <w:color w:val="auto"/>
                <w:kern w:val="0"/>
                <w:szCs w:val="21"/>
                <w:highlight w:val="none"/>
                <w:lang w:bidi="ar"/>
              </w:rPr>
              <w:br w:type="textWrapping"/>
            </w:r>
            <w:r>
              <w:rPr>
                <w:rFonts w:hint="eastAsia" w:ascii="宋体" w:hAnsi="宋体"/>
                <w:color w:val="auto"/>
                <w:kern w:val="0"/>
                <w:szCs w:val="21"/>
                <w:highlight w:val="none"/>
                <w:lang w:bidi="ar"/>
              </w:rPr>
              <w:t>2.立柱采用直径≥76mm，壁厚≥3.0mm 钢管，金属表面抛丸喷砂，静电喷涂。</w:t>
            </w:r>
          </w:p>
        </w:tc>
        <w:tc>
          <w:tcPr>
            <w:tcW w:w="867" w:type="dxa"/>
            <w:gridSpan w:val="4"/>
            <w:tcBorders>
              <w:top w:val="single" w:color="000000" w:sz="4" w:space="0"/>
              <w:left w:val="single" w:color="000000" w:sz="4" w:space="0"/>
              <w:bottom w:val="single" w:color="000000" w:sz="4" w:space="0"/>
              <w:right w:val="single" w:color="000000" w:sz="4" w:space="0"/>
            </w:tcBorders>
            <w:vAlign w:val="center"/>
          </w:tcPr>
          <w:p w14:paraId="3DFEC591">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套</w:t>
            </w:r>
          </w:p>
        </w:tc>
        <w:tc>
          <w:tcPr>
            <w:tcW w:w="935" w:type="dxa"/>
            <w:gridSpan w:val="3"/>
            <w:tcBorders>
              <w:top w:val="single" w:color="000000" w:sz="4" w:space="0"/>
              <w:left w:val="single" w:color="000000" w:sz="4" w:space="0"/>
              <w:bottom w:val="single" w:color="000000" w:sz="4" w:space="0"/>
              <w:right w:val="single" w:color="000000" w:sz="4" w:space="0"/>
            </w:tcBorders>
            <w:vAlign w:val="center"/>
          </w:tcPr>
          <w:p w14:paraId="71EE1D32">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w:t>
            </w:r>
          </w:p>
        </w:tc>
      </w:tr>
      <w:tr w14:paraId="107DCD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jc w:val="center"/>
        </w:trPr>
        <w:tc>
          <w:tcPr>
            <w:tcW w:w="749" w:type="dxa"/>
            <w:tcBorders>
              <w:top w:val="single" w:color="000000" w:sz="4" w:space="0"/>
              <w:left w:val="single" w:color="000000" w:sz="4" w:space="0"/>
              <w:bottom w:val="single" w:color="000000" w:sz="4" w:space="0"/>
              <w:right w:val="single" w:color="000000" w:sz="4" w:space="0"/>
            </w:tcBorders>
            <w:vAlign w:val="center"/>
          </w:tcPr>
          <w:p w14:paraId="5E9E72E5">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18</w:t>
            </w:r>
          </w:p>
        </w:tc>
        <w:tc>
          <w:tcPr>
            <w:tcW w:w="1227" w:type="dxa"/>
            <w:tcBorders>
              <w:top w:val="single" w:color="000000" w:sz="4" w:space="0"/>
              <w:left w:val="single" w:color="000000" w:sz="4" w:space="0"/>
              <w:bottom w:val="single" w:color="000000" w:sz="4" w:space="0"/>
              <w:right w:val="single" w:color="000000" w:sz="4" w:space="0"/>
            </w:tcBorders>
            <w:vAlign w:val="center"/>
          </w:tcPr>
          <w:p w14:paraId="7FAA9B8C">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高双杠</w:t>
            </w:r>
          </w:p>
        </w:tc>
        <w:tc>
          <w:tcPr>
            <w:tcW w:w="6200" w:type="dxa"/>
            <w:gridSpan w:val="3"/>
            <w:tcBorders>
              <w:top w:val="single" w:color="000000" w:sz="4" w:space="0"/>
              <w:left w:val="single" w:color="000000" w:sz="4" w:space="0"/>
              <w:bottom w:val="single" w:color="000000" w:sz="4" w:space="0"/>
              <w:right w:val="single" w:color="000000" w:sz="4" w:space="0"/>
            </w:tcBorders>
            <w:vAlign w:val="center"/>
          </w:tcPr>
          <w:p w14:paraId="4F1E3A53">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1.地埋固定式双杠高≥1500mm，杠面长≥3000mm，地埋深度为≥500mm；</w:t>
            </w:r>
            <w:r>
              <w:rPr>
                <w:rFonts w:hint="eastAsia" w:ascii="宋体" w:hAnsi="宋体"/>
                <w:color w:val="auto"/>
                <w:kern w:val="0"/>
                <w:szCs w:val="21"/>
                <w:highlight w:val="none"/>
                <w:lang w:bidi="ar"/>
              </w:rPr>
              <w:br w:type="textWrapping"/>
            </w:r>
            <w:r>
              <w:rPr>
                <w:rFonts w:hint="eastAsia" w:ascii="宋体" w:hAnsi="宋体"/>
                <w:color w:val="auto"/>
                <w:kern w:val="0"/>
                <w:szCs w:val="21"/>
                <w:highlight w:val="none"/>
                <w:lang w:bidi="ar"/>
              </w:rPr>
              <w:t>2.立柱采用直径≥76mm，壁厚≥3.0mm 钢管，金属表面抛丸喷砂，静电喷涂。</w:t>
            </w:r>
          </w:p>
        </w:tc>
        <w:tc>
          <w:tcPr>
            <w:tcW w:w="867" w:type="dxa"/>
            <w:gridSpan w:val="4"/>
            <w:tcBorders>
              <w:top w:val="single" w:color="000000" w:sz="4" w:space="0"/>
              <w:left w:val="single" w:color="000000" w:sz="4" w:space="0"/>
              <w:bottom w:val="single" w:color="000000" w:sz="4" w:space="0"/>
              <w:right w:val="single" w:color="000000" w:sz="4" w:space="0"/>
            </w:tcBorders>
            <w:vAlign w:val="center"/>
          </w:tcPr>
          <w:p w14:paraId="55B074B7">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套</w:t>
            </w:r>
          </w:p>
        </w:tc>
        <w:tc>
          <w:tcPr>
            <w:tcW w:w="935" w:type="dxa"/>
            <w:gridSpan w:val="3"/>
            <w:tcBorders>
              <w:top w:val="single" w:color="000000" w:sz="4" w:space="0"/>
              <w:left w:val="single" w:color="000000" w:sz="4" w:space="0"/>
              <w:bottom w:val="single" w:color="000000" w:sz="4" w:space="0"/>
              <w:right w:val="single" w:color="000000" w:sz="4" w:space="0"/>
            </w:tcBorders>
            <w:vAlign w:val="center"/>
          </w:tcPr>
          <w:p w14:paraId="6D7A8644">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w:t>
            </w:r>
          </w:p>
        </w:tc>
      </w:tr>
      <w:tr w14:paraId="0D076B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jc w:val="center"/>
        </w:trPr>
        <w:tc>
          <w:tcPr>
            <w:tcW w:w="749" w:type="dxa"/>
            <w:tcBorders>
              <w:top w:val="single" w:color="000000" w:sz="4" w:space="0"/>
              <w:left w:val="single" w:color="000000" w:sz="4" w:space="0"/>
              <w:bottom w:val="single" w:color="000000" w:sz="4" w:space="0"/>
              <w:right w:val="single" w:color="000000" w:sz="4" w:space="0"/>
            </w:tcBorders>
            <w:vAlign w:val="center"/>
          </w:tcPr>
          <w:p w14:paraId="4536DA8D">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19</w:t>
            </w:r>
          </w:p>
        </w:tc>
        <w:tc>
          <w:tcPr>
            <w:tcW w:w="1227" w:type="dxa"/>
            <w:tcBorders>
              <w:top w:val="single" w:color="000000" w:sz="4" w:space="0"/>
              <w:left w:val="single" w:color="000000" w:sz="4" w:space="0"/>
              <w:bottom w:val="single" w:color="000000" w:sz="4" w:space="0"/>
              <w:right w:val="single" w:color="000000" w:sz="4" w:space="0"/>
            </w:tcBorders>
            <w:vAlign w:val="center"/>
          </w:tcPr>
          <w:p w14:paraId="646B1AB4">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体操垫（小）</w:t>
            </w:r>
          </w:p>
        </w:tc>
        <w:tc>
          <w:tcPr>
            <w:tcW w:w="6200" w:type="dxa"/>
            <w:gridSpan w:val="3"/>
            <w:tcBorders>
              <w:top w:val="single" w:color="000000" w:sz="4" w:space="0"/>
              <w:left w:val="single" w:color="000000" w:sz="4" w:space="0"/>
              <w:bottom w:val="single" w:color="000000" w:sz="4" w:space="0"/>
              <w:right w:val="single" w:color="000000" w:sz="4" w:space="0"/>
            </w:tcBorders>
            <w:vAlign w:val="center"/>
          </w:tcPr>
          <w:p w14:paraId="7BEC502A">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该产品符合标准GB/T19851.2-2005的国家相关规定；尺寸规定：≥1200mm*600mm*50mm，表面材质为牛津布，色泽一致，可折叠，内部材质为环保珍珠海绵，软硬一致，手感舒适，密度均匀、平整，缝合均匀牢固。</w:t>
            </w:r>
          </w:p>
        </w:tc>
        <w:tc>
          <w:tcPr>
            <w:tcW w:w="867" w:type="dxa"/>
            <w:gridSpan w:val="4"/>
            <w:tcBorders>
              <w:top w:val="single" w:color="000000" w:sz="4" w:space="0"/>
              <w:left w:val="single" w:color="000000" w:sz="4" w:space="0"/>
              <w:bottom w:val="single" w:color="000000" w:sz="4" w:space="0"/>
              <w:right w:val="single" w:color="000000" w:sz="4" w:space="0"/>
            </w:tcBorders>
            <w:vAlign w:val="center"/>
          </w:tcPr>
          <w:p w14:paraId="33CC673A">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35" w:type="dxa"/>
            <w:gridSpan w:val="3"/>
            <w:tcBorders>
              <w:top w:val="single" w:color="000000" w:sz="4" w:space="0"/>
              <w:left w:val="single" w:color="000000" w:sz="4" w:space="0"/>
              <w:bottom w:val="single" w:color="000000" w:sz="4" w:space="0"/>
              <w:right w:val="single" w:color="000000" w:sz="4" w:space="0"/>
            </w:tcBorders>
            <w:vAlign w:val="center"/>
          </w:tcPr>
          <w:p w14:paraId="43A0DB3C">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80</w:t>
            </w:r>
          </w:p>
        </w:tc>
      </w:tr>
      <w:tr w14:paraId="640411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jc w:val="center"/>
        </w:trPr>
        <w:tc>
          <w:tcPr>
            <w:tcW w:w="749" w:type="dxa"/>
            <w:tcBorders>
              <w:top w:val="single" w:color="000000" w:sz="4" w:space="0"/>
              <w:left w:val="single" w:color="000000" w:sz="4" w:space="0"/>
              <w:bottom w:val="single" w:color="000000" w:sz="4" w:space="0"/>
              <w:right w:val="single" w:color="000000" w:sz="4" w:space="0"/>
            </w:tcBorders>
            <w:vAlign w:val="center"/>
          </w:tcPr>
          <w:p w14:paraId="70AE64BD">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20</w:t>
            </w:r>
          </w:p>
        </w:tc>
        <w:tc>
          <w:tcPr>
            <w:tcW w:w="1227" w:type="dxa"/>
            <w:tcBorders>
              <w:top w:val="single" w:color="000000" w:sz="4" w:space="0"/>
              <w:left w:val="single" w:color="000000" w:sz="4" w:space="0"/>
              <w:bottom w:val="single" w:color="000000" w:sz="4" w:space="0"/>
              <w:right w:val="single" w:color="000000" w:sz="4" w:space="0"/>
            </w:tcBorders>
            <w:vAlign w:val="center"/>
          </w:tcPr>
          <w:p w14:paraId="6D5B88F7">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体操垫（大）</w:t>
            </w:r>
          </w:p>
        </w:tc>
        <w:tc>
          <w:tcPr>
            <w:tcW w:w="6200" w:type="dxa"/>
            <w:gridSpan w:val="3"/>
            <w:tcBorders>
              <w:top w:val="single" w:color="000000" w:sz="4" w:space="0"/>
              <w:left w:val="single" w:color="000000" w:sz="4" w:space="0"/>
              <w:bottom w:val="single" w:color="000000" w:sz="4" w:space="0"/>
              <w:right w:val="single" w:color="000000" w:sz="4" w:space="0"/>
            </w:tcBorders>
            <w:vAlign w:val="center"/>
          </w:tcPr>
          <w:p w14:paraId="6BA2518E">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该产品符合标准GB/T19851.2-2005的国家相关规定；尺寸规定：≥2000mm*100mm*50mm，表面材质为牛津布，色泽一致，内部材质为环保珍珠海绵，软硬一致，手感舒适，密度均匀、平整，缝合均匀牢固。</w:t>
            </w:r>
          </w:p>
        </w:tc>
        <w:tc>
          <w:tcPr>
            <w:tcW w:w="867" w:type="dxa"/>
            <w:gridSpan w:val="4"/>
            <w:tcBorders>
              <w:top w:val="single" w:color="000000" w:sz="4" w:space="0"/>
              <w:left w:val="single" w:color="000000" w:sz="4" w:space="0"/>
              <w:bottom w:val="single" w:color="000000" w:sz="4" w:space="0"/>
              <w:right w:val="single" w:color="000000" w:sz="4" w:space="0"/>
            </w:tcBorders>
            <w:vAlign w:val="center"/>
          </w:tcPr>
          <w:p w14:paraId="4D1FAF18">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35" w:type="dxa"/>
            <w:gridSpan w:val="3"/>
            <w:tcBorders>
              <w:top w:val="single" w:color="000000" w:sz="4" w:space="0"/>
              <w:left w:val="single" w:color="000000" w:sz="4" w:space="0"/>
              <w:bottom w:val="single" w:color="000000" w:sz="4" w:space="0"/>
              <w:right w:val="single" w:color="000000" w:sz="4" w:space="0"/>
            </w:tcBorders>
            <w:vAlign w:val="center"/>
          </w:tcPr>
          <w:p w14:paraId="538D04F5">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18</w:t>
            </w:r>
          </w:p>
        </w:tc>
      </w:tr>
      <w:tr w14:paraId="0F3B5B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jc w:val="center"/>
        </w:trPr>
        <w:tc>
          <w:tcPr>
            <w:tcW w:w="749" w:type="dxa"/>
            <w:tcBorders>
              <w:top w:val="single" w:color="000000" w:sz="4" w:space="0"/>
              <w:left w:val="single" w:color="000000" w:sz="4" w:space="0"/>
              <w:bottom w:val="single" w:color="000000" w:sz="4" w:space="0"/>
              <w:right w:val="single" w:color="000000" w:sz="4" w:space="0"/>
            </w:tcBorders>
            <w:vAlign w:val="center"/>
          </w:tcPr>
          <w:p w14:paraId="0B262E08">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21</w:t>
            </w:r>
          </w:p>
        </w:tc>
        <w:tc>
          <w:tcPr>
            <w:tcW w:w="1227" w:type="dxa"/>
            <w:tcBorders>
              <w:top w:val="single" w:color="000000" w:sz="4" w:space="0"/>
              <w:left w:val="single" w:color="000000" w:sz="4" w:space="0"/>
              <w:bottom w:val="single" w:color="000000" w:sz="4" w:space="0"/>
              <w:right w:val="single" w:color="000000" w:sz="4" w:space="0"/>
            </w:tcBorders>
            <w:vAlign w:val="center"/>
          </w:tcPr>
          <w:p w14:paraId="52C08DC5">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气筒</w:t>
            </w:r>
          </w:p>
        </w:tc>
        <w:tc>
          <w:tcPr>
            <w:tcW w:w="6200" w:type="dxa"/>
            <w:gridSpan w:val="3"/>
            <w:tcBorders>
              <w:top w:val="single" w:color="000000" w:sz="4" w:space="0"/>
              <w:left w:val="single" w:color="000000" w:sz="4" w:space="0"/>
              <w:bottom w:val="single" w:color="000000" w:sz="4" w:space="0"/>
              <w:right w:val="single" w:color="000000" w:sz="4" w:space="0"/>
            </w:tcBorders>
            <w:vAlign w:val="center"/>
          </w:tcPr>
          <w:p w14:paraId="400BA67E">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人工充气,适合给各种球类充气</w:t>
            </w:r>
          </w:p>
        </w:tc>
        <w:tc>
          <w:tcPr>
            <w:tcW w:w="867" w:type="dxa"/>
            <w:gridSpan w:val="4"/>
            <w:tcBorders>
              <w:top w:val="single" w:color="000000" w:sz="4" w:space="0"/>
              <w:left w:val="single" w:color="000000" w:sz="4" w:space="0"/>
              <w:bottom w:val="single" w:color="000000" w:sz="4" w:space="0"/>
              <w:right w:val="single" w:color="000000" w:sz="4" w:space="0"/>
            </w:tcBorders>
            <w:vAlign w:val="center"/>
          </w:tcPr>
          <w:p w14:paraId="19FF0724">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35" w:type="dxa"/>
            <w:gridSpan w:val="3"/>
            <w:tcBorders>
              <w:top w:val="single" w:color="000000" w:sz="4" w:space="0"/>
              <w:left w:val="single" w:color="000000" w:sz="4" w:space="0"/>
              <w:bottom w:val="single" w:color="000000" w:sz="4" w:space="0"/>
              <w:right w:val="single" w:color="000000" w:sz="4" w:space="0"/>
            </w:tcBorders>
            <w:vAlign w:val="center"/>
          </w:tcPr>
          <w:p w14:paraId="67C1C1F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6</w:t>
            </w:r>
          </w:p>
        </w:tc>
      </w:tr>
      <w:tr w14:paraId="34C049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jc w:val="center"/>
        </w:trPr>
        <w:tc>
          <w:tcPr>
            <w:tcW w:w="749" w:type="dxa"/>
            <w:tcBorders>
              <w:top w:val="single" w:color="000000" w:sz="4" w:space="0"/>
              <w:left w:val="single" w:color="000000" w:sz="4" w:space="0"/>
              <w:bottom w:val="single" w:color="000000" w:sz="4" w:space="0"/>
              <w:right w:val="single" w:color="000000" w:sz="4" w:space="0"/>
            </w:tcBorders>
            <w:vAlign w:val="center"/>
          </w:tcPr>
          <w:p w14:paraId="733BBCF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22</w:t>
            </w:r>
          </w:p>
        </w:tc>
        <w:tc>
          <w:tcPr>
            <w:tcW w:w="1227" w:type="dxa"/>
            <w:tcBorders>
              <w:top w:val="single" w:color="000000" w:sz="4" w:space="0"/>
              <w:left w:val="single" w:color="000000" w:sz="4" w:space="0"/>
              <w:bottom w:val="single" w:color="000000" w:sz="4" w:space="0"/>
              <w:right w:val="single" w:color="000000" w:sz="4" w:space="0"/>
            </w:tcBorders>
            <w:vAlign w:val="center"/>
          </w:tcPr>
          <w:p w14:paraId="55CD8FB2">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广播体操挂图</w:t>
            </w:r>
          </w:p>
        </w:tc>
        <w:tc>
          <w:tcPr>
            <w:tcW w:w="6200" w:type="dxa"/>
            <w:gridSpan w:val="3"/>
            <w:tcBorders>
              <w:top w:val="single" w:color="000000" w:sz="4" w:space="0"/>
              <w:left w:val="single" w:color="000000" w:sz="4" w:space="0"/>
              <w:bottom w:val="single" w:color="000000" w:sz="4" w:space="0"/>
              <w:right w:val="single" w:color="000000" w:sz="4" w:space="0"/>
            </w:tcBorders>
            <w:vAlign w:val="center"/>
          </w:tcPr>
          <w:p w14:paraId="4A0E8797">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第九套，防水塑封。</w:t>
            </w:r>
          </w:p>
        </w:tc>
        <w:tc>
          <w:tcPr>
            <w:tcW w:w="867" w:type="dxa"/>
            <w:gridSpan w:val="4"/>
            <w:tcBorders>
              <w:top w:val="single" w:color="000000" w:sz="4" w:space="0"/>
              <w:left w:val="single" w:color="000000" w:sz="4" w:space="0"/>
              <w:bottom w:val="single" w:color="000000" w:sz="4" w:space="0"/>
              <w:right w:val="single" w:color="000000" w:sz="4" w:space="0"/>
            </w:tcBorders>
            <w:vAlign w:val="center"/>
          </w:tcPr>
          <w:p w14:paraId="2A748339">
            <w:pPr>
              <w:widowControl/>
              <w:jc w:val="center"/>
              <w:textAlignment w:val="center"/>
              <w:rPr>
                <w:rFonts w:hint="eastAsia" w:ascii="宋体" w:hAnsi="宋体"/>
                <w:color w:val="auto"/>
                <w:szCs w:val="21"/>
                <w:highlight w:val="none"/>
              </w:rPr>
            </w:pPr>
            <w:r>
              <w:rPr>
                <w:rFonts w:hint="eastAsia" w:ascii="宋体" w:hAnsi="宋体"/>
                <w:color w:val="auto"/>
                <w:szCs w:val="21"/>
                <w:highlight w:val="none"/>
              </w:rPr>
              <w:t>幅</w:t>
            </w:r>
          </w:p>
        </w:tc>
        <w:tc>
          <w:tcPr>
            <w:tcW w:w="935" w:type="dxa"/>
            <w:gridSpan w:val="3"/>
            <w:tcBorders>
              <w:top w:val="single" w:color="000000" w:sz="4" w:space="0"/>
              <w:left w:val="single" w:color="000000" w:sz="4" w:space="0"/>
              <w:bottom w:val="single" w:color="000000" w:sz="4" w:space="0"/>
              <w:right w:val="single" w:color="000000" w:sz="4" w:space="0"/>
            </w:tcBorders>
            <w:vAlign w:val="center"/>
          </w:tcPr>
          <w:p w14:paraId="52DAF39A">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6</w:t>
            </w:r>
          </w:p>
        </w:tc>
      </w:tr>
      <w:tr w14:paraId="57096A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jc w:val="center"/>
        </w:trPr>
        <w:tc>
          <w:tcPr>
            <w:tcW w:w="749" w:type="dxa"/>
            <w:tcBorders>
              <w:top w:val="single" w:color="000000" w:sz="4" w:space="0"/>
              <w:left w:val="single" w:color="000000" w:sz="4" w:space="0"/>
              <w:bottom w:val="single" w:color="000000" w:sz="4" w:space="0"/>
              <w:right w:val="single" w:color="000000" w:sz="4" w:space="0"/>
            </w:tcBorders>
            <w:vAlign w:val="center"/>
          </w:tcPr>
          <w:p w14:paraId="4FC69163">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23</w:t>
            </w:r>
          </w:p>
        </w:tc>
        <w:tc>
          <w:tcPr>
            <w:tcW w:w="1227" w:type="dxa"/>
            <w:tcBorders>
              <w:top w:val="single" w:color="000000" w:sz="4" w:space="0"/>
              <w:left w:val="single" w:color="000000" w:sz="4" w:space="0"/>
              <w:bottom w:val="single" w:color="000000" w:sz="4" w:space="0"/>
              <w:right w:val="single" w:color="000000" w:sz="4" w:space="0"/>
            </w:tcBorders>
            <w:vAlign w:val="center"/>
          </w:tcPr>
          <w:p w14:paraId="0FC44FD8">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计算器</w:t>
            </w:r>
          </w:p>
        </w:tc>
        <w:tc>
          <w:tcPr>
            <w:tcW w:w="6200" w:type="dxa"/>
            <w:gridSpan w:val="3"/>
            <w:tcBorders>
              <w:top w:val="single" w:color="000000" w:sz="4" w:space="0"/>
              <w:left w:val="single" w:color="000000" w:sz="4" w:space="0"/>
              <w:bottom w:val="single" w:color="000000" w:sz="4" w:space="0"/>
              <w:right w:val="single" w:color="000000" w:sz="4" w:space="0"/>
            </w:tcBorders>
            <w:vAlign w:val="center"/>
          </w:tcPr>
          <w:p w14:paraId="7937D2E1">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液晶显示，人工发音，12位。</w:t>
            </w:r>
          </w:p>
        </w:tc>
        <w:tc>
          <w:tcPr>
            <w:tcW w:w="867" w:type="dxa"/>
            <w:gridSpan w:val="4"/>
            <w:tcBorders>
              <w:top w:val="single" w:color="000000" w:sz="4" w:space="0"/>
              <w:left w:val="single" w:color="000000" w:sz="4" w:space="0"/>
              <w:bottom w:val="single" w:color="000000" w:sz="4" w:space="0"/>
              <w:right w:val="single" w:color="000000" w:sz="4" w:space="0"/>
            </w:tcBorders>
            <w:vAlign w:val="center"/>
          </w:tcPr>
          <w:p w14:paraId="6DA1F187">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35" w:type="dxa"/>
            <w:gridSpan w:val="3"/>
            <w:tcBorders>
              <w:top w:val="single" w:color="000000" w:sz="4" w:space="0"/>
              <w:left w:val="single" w:color="000000" w:sz="4" w:space="0"/>
              <w:bottom w:val="single" w:color="000000" w:sz="4" w:space="0"/>
              <w:right w:val="single" w:color="000000" w:sz="4" w:space="0"/>
            </w:tcBorders>
            <w:vAlign w:val="center"/>
          </w:tcPr>
          <w:p w14:paraId="78BBC88B">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6</w:t>
            </w:r>
          </w:p>
        </w:tc>
      </w:tr>
      <w:tr w14:paraId="5A5CC2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jc w:val="center"/>
        </w:trPr>
        <w:tc>
          <w:tcPr>
            <w:tcW w:w="749" w:type="dxa"/>
            <w:tcBorders>
              <w:top w:val="single" w:color="000000" w:sz="4" w:space="0"/>
              <w:left w:val="single" w:color="000000" w:sz="4" w:space="0"/>
              <w:bottom w:val="single" w:color="000000" w:sz="4" w:space="0"/>
              <w:right w:val="single" w:color="000000" w:sz="4" w:space="0"/>
            </w:tcBorders>
            <w:vAlign w:val="center"/>
          </w:tcPr>
          <w:p w14:paraId="1F38D0D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24</w:t>
            </w:r>
          </w:p>
        </w:tc>
        <w:tc>
          <w:tcPr>
            <w:tcW w:w="1227" w:type="dxa"/>
            <w:tcBorders>
              <w:top w:val="single" w:color="000000" w:sz="4" w:space="0"/>
              <w:left w:val="single" w:color="000000" w:sz="4" w:space="0"/>
              <w:bottom w:val="single" w:color="000000" w:sz="4" w:space="0"/>
              <w:right w:val="single" w:color="000000" w:sz="4" w:space="0"/>
            </w:tcBorders>
            <w:vAlign w:val="center"/>
          </w:tcPr>
          <w:p w14:paraId="61B0E767">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扩音器</w:t>
            </w:r>
          </w:p>
        </w:tc>
        <w:tc>
          <w:tcPr>
            <w:tcW w:w="6200" w:type="dxa"/>
            <w:gridSpan w:val="3"/>
            <w:tcBorders>
              <w:top w:val="single" w:color="000000" w:sz="4" w:space="0"/>
              <w:left w:val="single" w:color="000000" w:sz="4" w:space="0"/>
              <w:bottom w:val="single" w:color="000000" w:sz="4" w:space="0"/>
              <w:right w:val="single" w:color="000000" w:sz="4" w:space="0"/>
            </w:tcBorders>
            <w:vAlign w:val="center"/>
          </w:tcPr>
          <w:p w14:paraId="5AAA3AB3">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手提扩音器，交流直流两用。</w:t>
            </w:r>
          </w:p>
        </w:tc>
        <w:tc>
          <w:tcPr>
            <w:tcW w:w="867" w:type="dxa"/>
            <w:gridSpan w:val="4"/>
            <w:tcBorders>
              <w:top w:val="single" w:color="000000" w:sz="4" w:space="0"/>
              <w:left w:val="single" w:color="000000" w:sz="4" w:space="0"/>
              <w:bottom w:val="single" w:color="000000" w:sz="4" w:space="0"/>
              <w:right w:val="single" w:color="000000" w:sz="4" w:space="0"/>
            </w:tcBorders>
            <w:vAlign w:val="center"/>
          </w:tcPr>
          <w:p w14:paraId="4F9ACE87">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35" w:type="dxa"/>
            <w:gridSpan w:val="3"/>
            <w:tcBorders>
              <w:top w:val="single" w:color="000000" w:sz="4" w:space="0"/>
              <w:left w:val="single" w:color="000000" w:sz="4" w:space="0"/>
              <w:bottom w:val="single" w:color="000000" w:sz="4" w:space="0"/>
              <w:right w:val="single" w:color="000000" w:sz="4" w:space="0"/>
            </w:tcBorders>
            <w:vAlign w:val="center"/>
          </w:tcPr>
          <w:p w14:paraId="00F1E14C">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6</w:t>
            </w:r>
          </w:p>
        </w:tc>
      </w:tr>
      <w:tr w14:paraId="268E71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jc w:val="center"/>
        </w:trPr>
        <w:tc>
          <w:tcPr>
            <w:tcW w:w="749" w:type="dxa"/>
            <w:tcBorders>
              <w:top w:val="single" w:color="000000" w:sz="4" w:space="0"/>
              <w:left w:val="single" w:color="000000" w:sz="4" w:space="0"/>
              <w:bottom w:val="single" w:color="000000" w:sz="4" w:space="0"/>
              <w:right w:val="single" w:color="000000" w:sz="4" w:space="0"/>
            </w:tcBorders>
            <w:vAlign w:val="center"/>
          </w:tcPr>
          <w:p w14:paraId="3397E051">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25</w:t>
            </w:r>
          </w:p>
        </w:tc>
        <w:tc>
          <w:tcPr>
            <w:tcW w:w="1227" w:type="dxa"/>
            <w:tcBorders>
              <w:top w:val="single" w:color="000000" w:sz="4" w:space="0"/>
              <w:left w:val="single" w:color="000000" w:sz="4" w:space="0"/>
              <w:bottom w:val="single" w:color="000000" w:sz="4" w:space="0"/>
              <w:right w:val="single" w:color="000000" w:sz="4" w:space="0"/>
            </w:tcBorders>
            <w:vAlign w:val="center"/>
          </w:tcPr>
          <w:p w14:paraId="64855386">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篮球</w:t>
            </w:r>
          </w:p>
        </w:tc>
        <w:tc>
          <w:tcPr>
            <w:tcW w:w="6200" w:type="dxa"/>
            <w:gridSpan w:val="3"/>
            <w:tcBorders>
              <w:top w:val="single" w:color="000000" w:sz="4" w:space="0"/>
              <w:left w:val="single" w:color="000000" w:sz="4" w:space="0"/>
              <w:bottom w:val="single" w:color="000000" w:sz="4" w:space="0"/>
              <w:right w:val="single" w:color="000000" w:sz="4" w:space="0"/>
            </w:tcBorders>
            <w:vAlign w:val="center"/>
          </w:tcPr>
          <w:p w14:paraId="69E21C2F">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1、7#PU篮球;球充气静置 24h 后，气压下降允差≤15%。2.球的返弹高度为≥1100mm 防水篮球淋水后，其增加质量不得超过原质量的15%。3.要求做工胶梗平直，不允许缺梗，缝线整齐，露线≤1.5mm；4.球表面材质为真皮。 产品符合GB/T19851.4-2005《篮球》的优等品有关标准</w:t>
            </w:r>
          </w:p>
        </w:tc>
        <w:tc>
          <w:tcPr>
            <w:tcW w:w="867" w:type="dxa"/>
            <w:gridSpan w:val="4"/>
            <w:tcBorders>
              <w:top w:val="single" w:color="000000" w:sz="4" w:space="0"/>
              <w:left w:val="single" w:color="000000" w:sz="4" w:space="0"/>
              <w:bottom w:val="single" w:color="000000" w:sz="4" w:space="0"/>
              <w:right w:val="single" w:color="000000" w:sz="4" w:space="0"/>
            </w:tcBorders>
            <w:vAlign w:val="center"/>
          </w:tcPr>
          <w:p w14:paraId="2260357B">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35" w:type="dxa"/>
            <w:gridSpan w:val="3"/>
            <w:tcBorders>
              <w:top w:val="single" w:color="000000" w:sz="4" w:space="0"/>
              <w:left w:val="single" w:color="000000" w:sz="4" w:space="0"/>
              <w:bottom w:val="single" w:color="000000" w:sz="4" w:space="0"/>
              <w:right w:val="single" w:color="000000" w:sz="4" w:space="0"/>
            </w:tcBorders>
            <w:vAlign w:val="center"/>
          </w:tcPr>
          <w:p w14:paraId="5FF07391">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100</w:t>
            </w:r>
          </w:p>
        </w:tc>
      </w:tr>
      <w:tr w14:paraId="1FB7B8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jc w:val="center"/>
        </w:trPr>
        <w:tc>
          <w:tcPr>
            <w:tcW w:w="749" w:type="dxa"/>
            <w:tcBorders>
              <w:top w:val="single" w:color="000000" w:sz="4" w:space="0"/>
              <w:left w:val="single" w:color="000000" w:sz="4" w:space="0"/>
              <w:bottom w:val="single" w:color="000000" w:sz="4" w:space="0"/>
              <w:right w:val="single" w:color="000000" w:sz="4" w:space="0"/>
            </w:tcBorders>
            <w:vAlign w:val="center"/>
          </w:tcPr>
          <w:p w14:paraId="419B431F">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26</w:t>
            </w:r>
          </w:p>
        </w:tc>
        <w:tc>
          <w:tcPr>
            <w:tcW w:w="1227" w:type="dxa"/>
            <w:tcBorders>
              <w:top w:val="single" w:color="000000" w:sz="4" w:space="0"/>
              <w:left w:val="single" w:color="000000" w:sz="4" w:space="0"/>
              <w:bottom w:val="single" w:color="000000" w:sz="4" w:space="0"/>
              <w:right w:val="single" w:color="000000" w:sz="4" w:space="0"/>
            </w:tcBorders>
            <w:vAlign w:val="center"/>
          </w:tcPr>
          <w:p w14:paraId="7C6ACFCE">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篮球架</w:t>
            </w:r>
          </w:p>
        </w:tc>
        <w:tc>
          <w:tcPr>
            <w:tcW w:w="6200" w:type="dxa"/>
            <w:gridSpan w:val="3"/>
            <w:tcBorders>
              <w:top w:val="single" w:color="000000" w:sz="4" w:space="0"/>
              <w:left w:val="single" w:color="000000" w:sz="4" w:space="0"/>
              <w:bottom w:val="single" w:color="000000" w:sz="4" w:space="0"/>
              <w:right w:val="single" w:color="000000" w:sz="4" w:space="0"/>
            </w:tcBorders>
            <w:vAlign w:val="center"/>
          </w:tcPr>
          <w:p w14:paraId="28B2FFFB">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1、室外用可拆装箱式配重。</w:t>
            </w:r>
            <w:r>
              <w:rPr>
                <w:rFonts w:hint="eastAsia" w:ascii="宋体" w:hAnsi="宋体"/>
                <w:color w:val="auto"/>
                <w:kern w:val="0"/>
                <w:szCs w:val="21"/>
                <w:highlight w:val="none"/>
                <w:lang w:bidi="ar"/>
              </w:rPr>
              <w:br w:type="textWrapping"/>
            </w:r>
            <w:r>
              <w:rPr>
                <w:rFonts w:hint="eastAsia" w:ascii="宋体" w:hAnsi="宋体"/>
                <w:color w:val="auto"/>
                <w:kern w:val="0"/>
                <w:szCs w:val="21"/>
                <w:highlight w:val="none"/>
                <w:lang w:bidi="ar"/>
              </w:rPr>
              <w:t>2、国标篮圈及篮网，篮圈距地高度≥3050mm。3、篮板为钢化玻璃篮板，篮板尺寸：≥1800mm×1050mm，钢化玻璃厚度≥10mm。侧表面上，从底部起有高度为≥350mm的保护条。4、支柱钢管采用≥150*150mm的钢管，方钢管臂厚≥3.0mm；紧固件有可靠的防松措施。5、横梁采用≥150*100mm的钢管制成臂厚≥2.5mm。伸臂长≥1800mm。6、箱长≥1000*2000mm箱体钢板厚≥2.0mm，箱体后拉杆和篮板拉杆采用方管焊接而成.</w:t>
            </w:r>
            <w:r>
              <w:rPr>
                <w:rFonts w:hint="eastAsia" w:ascii="宋体" w:hAnsi="宋体"/>
                <w:color w:val="auto"/>
                <w:kern w:val="0"/>
                <w:szCs w:val="21"/>
                <w:highlight w:val="none"/>
                <w:lang w:bidi="ar"/>
              </w:rPr>
              <w:br w:type="textWrapping"/>
            </w:r>
            <w:r>
              <w:rPr>
                <w:rFonts w:hint="eastAsia" w:ascii="宋体" w:hAnsi="宋体"/>
                <w:color w:val="auto"/>
                <w:kern w:val="0"/>
                <w:szCs w:val="21"/>
                <w:highlight w:val="none"/>
                <w:lang w:bidi="ar"/>
              </w:rPr>
              <w:t>篮圈采用高弹性材料，内部有钢簧，圈条为直径20mm的实心钢。篮网用锦纶绳体编织而成。篮圈金属外表，采用喷砂抛丸，酸洗磷化除锈，表面静电喷图全部使用体质纯聚脂室外粉末，厚度不低于70um，色彩鲜艳。</w:t>
            </w:r>
          </w:p>
        </w:tc>
        <w:tc>
          <w:tcPr>
            <w:tcW w:w="867" w:type="dxa"/>
            <w:gridSpan w:val="4"/>
            <w:tcBorders>
              <w:top w:val="single" w:color="000000" w:sz="4" w:space="0"/>
              <w:left w:val="single" w:color="000000" w:sz="4" w:space="0"/>
              <w:bottom w:val="single" w:color="000000" w:sz="4" w:space="0"/>
              <w:right w:val="single" w:color="000000" w:sz="4" w:space="0"/>
            </w:tcBorders>
            <w:vAlign w:val="center"/>
          </w:tcPr>
          <w:p w14:paraId="76131A9E">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套</w:t>
            </w:r>
          </w:p>
        </w:tc>
        <w:tc>
          <w:tcPr>
            <w:tcW w:w="935" w:type="dxa"/>
            <w:gridSpan w:val="3"/>
            <w:tcBorders>
              <w:top w:val="single" w:color="000000" w:sz="4" w:space="0"/>
              <w:left w:val="single" w:color="000000" w:sz="4" w:space="0"/>
              <w:bottom w:val="single" w:color="000000" w:sz="4" w:space="0"/>
              <w:right w:val="single" w:color="000000" w:sz="4" w:space="0"/>
            </w:tcBorders>
            <w:vAlign w:val="center"/>
          </w:tcPr>
          <w:p w14:paraId="55F128D1">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4</w:t>
            </w:r>
          </w:p>
        </w:tc>
      </w:tr>
      <w:tr w14:paraId="4D29E1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jc w:val="center"/>
        </w:trPr>
        <w:tc>
          <w:tcPr>
            <w:tcW w:w="749" w:type="dxa"/>
            <w:tcBorders>
              <w:top w:val="single" w:color="000000" w:sz="4" w:space="0"/>
              <w:left w:val="single" w:color="000000" w:sz="4" w:space="0"/>
              <w:bottom w:val="single" w:color="000000" w:sz="4" w:space="0"/>
              <w:right w:val="single" w:color="000000" w:sz="4" w:space="0"/>
            </w:tcBorders>
            <w:vAlign w:val="center"/>
          </w:tcPr>
          <w:p w14:paraId="663BAF14">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27</w:t>
            </w:r>
          </w:p>
        </w:tc>
        <w:tc>
          <w:tcPr>
            <w:tcW w:w="1227" w:type="dxa"/>
            <w:tcBorders>
              <w:top w:val="single" w:color="000000" w:sz="4" w:space="0"/>
              <w:left w:val="single" w:color="000000" w:sz="4" w:space="0"/>
              <w:bottom w:val="single" w:color="000000" w:sz="4" w:space="0"/>
              <w:right w:val="single" w:color="000000" w:sz="4" w:space="0"/>
            </w:tcBorders>
            <w:vAlign w:val="center"/>
          </w:tcPr>
          <w:p w14:paraId="1AB88655">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排球</w:t>
            </w:r>
          </w:p>
        </w:tc>
        <w:tc>
          <w:tcPr>
            <w:tcW w:w="6200" w:type="dxa"/>
            <w:gridSpan w:val="3"/>
            <w:tcBorders>
              <w:top w:val="single" w:color="000000" w:sz="4" w:space="0"/>
              <w:left w:val="single" w:color="000000" w:sz="4" w:space="0"/>
              <w:bottom w:val="single" w:color="000000" w:sz="4" w:space="0"/>
              <w:right w:val="single" w:color="000000" w:sz="4" w:space="0"/>
            </w:tcBorders>
            <w:vAlign w:val="center"/>
          </w:tcPr>
          <w:p w14:paraId="34062C38">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PU材质，圆周长650～670mm，圆周差≤5.0mm，质量230-270g，回弹高度≥1050mm，外表面以目测为主，商标、图案、色泽等字迹清晰、图案端正、色彩鲜艳，球片粘接无缝隙，表面无破损、脱落等现象，在1m目测距球表面污渍、颜色不均匀不明显。产品质量符合GB/T22882-2008相关要规定。</w:t>
            </w:r>
          </w:p>
        </w:tc>
        <w:tc>
          <w:tcPr>
            <w:tcW w:w="867" w:type="dxa"/>
            <w:gridSpan w:val="4"/>
            <w:tcBorders>
              <w:top w:val="single" w:color="000000" w:sz="4" w:space="0"/>
              <w:left w:val="single" w:color="000000" w:sz="4" w:space="0"/>
              <w:bottom w:val="single" w:color="000000" w:sz="4" w:space="0"/>
              <w:right w:val="single" w:color="000000" w:sz="4" w:space="0"/>
            </w:tcBorders>
            <w:vAlign w:val="center"/>
          </w:tcPr>
          <w:p w14:paraId="6BDB22CE">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35" w:type="dxa"/>
            <w:gridSpan w:val="3"/>
            <w:tcBorders>
              <w:top w:val="single" w:color="000000" w:sz="4" w:space="0"/>
              <w:left w:val="single" w:color="000000" w:sz="4" w:space="0"/>
              <w:bottom w:val="single" w:color="000000" w:sz="4" w:space="0"/>
              <w:right w:val="single" w:color="000000" w:sz="4" w:space="0"/>
            </w:tcBorders>
            <w:vAlign w:val="center"/>
          </w:tcPr>
          <w:p w14:paraId="50D31718">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100</w:t>
            </w:r>
          </w:p>
        </w:tc>
      </w:tr>
      <w:tr w14:paraId="6C4D53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jc w:val="center"/>
        </w:trPr>
        <w:tc>
          <w:tcPr>
            <w:tcW w:w="749" w:type="dxa"/>
            <w:tcBorders>
              <w:top w:val="single" w:color="000000" w:sz="4" w:space="0"/>
              <w:left w:val="single" w:color="000000" w:sz="4" w:space="0"/>
              <w:bottom w:val="single" w:color="000000" w:sz="4" w:space="0"/>
              <w:right w:val="single" w:color="000000" w:sz="4" w:space="0"/>
            </w:tcBorders>
            <w:vAlign w:val="center"/>
          </w:tcPr>
          <w:p w14:paraId="5AAB16FF">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28</w:t>
            </w:r>
          </w:p>
        </w:tc>
        <w:tc>
          <w:tcPr>
            <w:tcW w:w="1227" w:type="dxa"/>
            <w:tcBorders>
              <w:top w:val="single" w:color="000000" w:sz="4" w:space="0"/>
              <w:left w:val="single" w:color="000000" w:sz="4" w:space="0"/>
              <w:bottom w:val="single" w:color="000000" w:sz="4" w:space="0"/>
              <w:right w:val="single" w:color="000000" w:sz="4" w:space="0"/>
            </w:tcBorders>
            <w:vAlign w:val="center"/>
          </w:tcPr>
          <w:p w14:paraId="709E10B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足球</w:t>
            </w:r>
          </w:p>
        </w:tc>
        <w:tc>
          <w:tcPr>
            <w:tcW w:w="6200" w:type="dxa"/>
            <w:gridSpan w:val="3"/>
            <w:tcBorders>
              <w:top w:val="single" w:color="000000" w:sz="4" w:space="0"/>
              <w:left w:val="single" w:color="000000" w:sz="4" w:space="0"/>
              <w:bottom w:val="single" w:color="000000" w:sz="4" w:space="0"/>
              <w:right w:val="single" w:color="000000" w:sz="4" w:space="0"/>
            </w:tcBorders>
            <w:vAlign w:val="center"/>
          </w:tcPr>
          <w:p w14:paraId="7AF46C1C">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5号，PU高档革面，革厚1.5m—1.6mm，一等品，球内为3层棉布做护层。缝线整齐，露线≤1mm，球内气压为0.060Mpa时，球圆周为703mm，圆周差≤4mm，质量382g～468g。球冲气后，从1.8m高度自由落下时，其反弹高度应为1.1m—1.4m，静置24小时后，气压下降≤12%产品符合GB/T 22892-2008《足球》的日常活动用足球有关标准</w:t>
            </w:r>
          </w:p>
        </w:tc>
        <w:tc>
          <w:tcPr>
            <w:tcW w:w="867" w:type="dxa"/>
            <w:gridSpan w:val="4"/>
            <w:tcBorders>
              <w:top w:val="single" w:color="000000" w:sz="4" w:space="0"/>
              <w:left w:val="single" w:color="000000" w:sz="4" w:space="0"/>
              <w:bottom w:val="single" w:color="000000" w:sz="4" w:space="0"/>
              <w:right w:val="single" w:color="000000" w:sz="4" w:space="0"/>
            </w:tcBorders>
            <w:vAlign w:val="center"/>
          </w:tcPr>
          <w:p w14:paraId="0DE46563">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35" w:type="dxa"/>
            <w:gridSpan w:val="3"/>
            <w:tcBorders>
              <w:top w:val="single" w:color="000000" w:sz="4" w:space="0"/>
              <w:left w:val="single" w:color="000000" w:sz="4" w:space="0"/>
              <w:bottom w:val="single" w:color="000000" w:sz="4" w:space="0"/>
              <w:right w:val="single" w:color="000000" w:sz="4" w:space="0"/>
            </w:tcBorders>
            <w:vAlign w:val="center"/>
          </w:tcPr>
          <w:p w14:paraId="0E123A25">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100</w:t>
            </w:r>
          </w:p>
        </w:tc>
      </w:tr>
      <w:tr w14:paraId="50A64B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jc w:val="center"/>
        </w:trPr>
        <w:tc>
          <w:tcPr>
            <w:tcW w:w="749" w:type="dxa"/>
            <w:tcBorders>
              <w:top w:val="single" w:color="000000" w:sz="4" w:space="0"/>
              <w:left w:val="single" w:color="000000" w:sz="4" w:space="0"/>
              <w:bottom w:val="single" w:color="000000" w:sz="4" w:space="0"/>
              <w:right w:val="single" w:color="000000" w:sz="4" w:space="0"/>
            </w:tcBorders>
            <w:vAlign w:val="center"/>
          </w:tcPr>
          <w:p w14:paraId="6D7F3508">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29</w:t>
            </w:r>
          </w:p>
        </w:tc>
        <w:tc>
          <w:tcPr>
            <w:tcW w:w="1227" w:type="dxa"/>
            <w:tcBorders>
              <w:top w:val="single" w:color="000000" w:sz="4" w:space="0"/>
              <w:left w:val="single" w:color="000000" w:sz="4" w:space="0"/>
              <w:bottom w:val="single" w:color="000000" w:sz="4" w:space="0"/>
              <w:right w:val="single" w:color="000000" w:sz="4" w:space="0"/>
            </w:tcBorders>
            <w:vAlign w:val="center"/>
          </w:tcPr>
          <w:p w14:paraId="44226712">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足球门</w:t>
            </w:r>
          </w:p>
        </w:tc>
        <w:tc>
          <w:tcPr>
            <w:tcW w:w="6200" w:type="dxa"/>
            <w:gridSpan w:val="3"/>
            <w:tcBorders>
              <w:top w:val="single" w:color="000000" w:sz="4" w:space="0"/>
              <w:left w:val="single" w:color="000000" w:sz="4" w:space="0"/>
              <w:bottom w:val="single" w:color="000000" w:sz="4" w:space="0"/>
              <w:right w:val="single" w:color="000000" w:sz="4" w:space="0"/>
            </w:tcBorders>
            <w:vAlign w:val="center"/>
          </w:tcPr>
          <w:p w14:paraId="76D8FE6B">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七人制。球门内净基本尺寸：长*高≥5500mm*2000mm；足球门由立杆、横梁、两侧撑杆、两侧横杆和后侧横杆组成；框架整体可移动，球门立杆和横梁均采用直径≥89*3.0优质钢管制成，上设网钩，挂网方便，后支架采用直径≥48*3mm的钢管制成，含网一付。</w:t>
            </w:r>
          </w:p>
        </w:tc>
        <w:tc>
          <w:tcPr>
            <w:tcW w:w="867" w:type="dxa"/>
            <w:gridSpan w:val="4"/>
            <w:tcBorders>
              <w:top w:val="single" w:color="000000" w:sz="4" w:space="0"/>
              <w:left w:val="single" w:color="000000" w:sz="4" w:space="0"/>
              <w:bottom w:val="single" w:color="000000" w:sz="4" w:space="0"/>
              <w:right w:val="single" w:color="000000" w:sz="4" w:space="0"/>
            </w:tcBorders>
            <w:vAlign w:val="center"/>
          </w:tcPr>
          <w:p w14:paraId="7DA549C0">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套</w:t>
            </w:r>
          </w:p>
        </w:tc>
        <w:tc>
          <w:tcPr>
            <w:tcW w:w="935" w:type="dxa"/>
            <w:gridSpan w:val="3"/>
            <w:tcBorders>
              <w:top w:val="single" w:color="000000" w:sz="4" w:space="0"/>
              <w:left w:val="single" w:color="000000" w:sz="4" w:space="0"/>
              <w:bottom w:val="single" w:color="000000" w:sz="4" w:space="0"/>
              <w:right w:val="single" w:color="000000" w:sz="4" w:space="0"/>
            </w:tcBorders>
            <w:vAlign w:val="center"/>
          </w:tcPr>
          <w:p w14:paraId="490B46C2">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4</w:t>
            </w:r>
          </w:p>
        </w:tc>
      </w:tr>
      <w:tr w14:paraId="751804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jc w:val="center"/>
        </w:trPr>
        <w:tc>
          <w:tcPr>
            <w:tcW w:w="749" w:type="dxa"/>
            <w:tcBorders>
              <w:top w:val="single" w:color="000000" w:sz="4" w:space="0"/>
              <w:left w:val="single" w:color="000000" w:sz="4" w:space="0"/>
              <w:bottom w:val="single" w:color="000000" w:sz="4" w:space="0"/>
              <w:right w:val="single" w:color="000000" w:sz="4" w:space="0"/>
            </w:tcBorders>
            <w:vAlign w:val="center"/>
          </w:tcPr>
          <w:p w14:paraId="16B04073">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30</w:t>
            </w:r>
          </w:p>
        </w:tc>
        <w:tc>
          <w:tcPr>
            <w:tcW w:w="1227" w:type="dxa"/>
            <w:tcBorders>
              <w:top w:val="single" w:color="000000" w:sz="4" w:space="0"/>
              <w:left w:val="single" w:color="000000" w:sz="4" w:space="0"/>
              <w:bottom w:val="single" w:color="000000" w:sz="4" w:space="0"/>
              <w:right w:val="single" w:color="000000" w:sz="4" w:space="0"/>
            </w:tcBorders>
            <w:vAlign w:val="center"/>
          </w:tcPr>
          <w:p w14:paraId="02A530E8">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发令枪</w:t>
            </w:r>
          </w:p>
        </w:tc>
        <w:tc>
          <w:tcPr>
            <w:tcW w:w="6200" w:type="dxa"/>
            <w:gridSpan w:val="3"/>
            <w:tcBorders>
              <w:top w:val="single" w:color="000000" w:sz="4" w:space="0"/>
              <w:left w:val="single" w:color="000000" w:sz="4" w:space="0"/>
              <w:bottom w:val="single" w:color="000000" w:sz="4" w:space="0"/>
              <w:right w:val="single" w:color="000000" w:sz="4" w:space="0"/>
            </w:tcBorders>
            <w:vAlign w:val="center"/>
          </w:tcPr>
          <w:p w14:paraId="1651DF71">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弹种定装式发令弹;容弹量 2 发;发射方式:单发;总质量:260 克;声响:膛口水平面正前方 100m 处,声 强值不小于 60 分贝;烟雾:在规定背景下,膛正前方 150m 清晰可见。</w:t>
            </w:r>
          </w:p>
        </w:tc>
        <w:tc>
          <w:tcPr>
            <w:tcW w:w="867" w:type="dxa"/>
            <w:gridSpan w:val="4"/>
            <w:tcBorders>
              <w:top w:val="single" w:color="000000" w:sz="4" w:space="0"/>
              <w:left w:val="single" w:color="000000" w:sz="4" w:space="0"/>
              <w:bottom w:val="single" w:color="000000" w:sz="4" w:space="0"/>
              <w:right w:val="single" w:color="000000" w:sz="4" w:space="0"/>
            </w:tcBorders>
            <w:vAlign w:val="center"/>
          </w:tcPr>
          <w:p w14:paraId="5DF5BD81">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把</w:t>
            </w:r>
          </w:p>
        </w:tc>
        <w:tc>
          <w:tcPr>
            <w:tcW w:w="935" w:type="dxa"/>
            <w:gridSpan w:val="3"/>
            <w:tcBorders>
              <w:top w:val="single" w:color="000000" w:sz="4" w:space="0"/>
              <w:left w:val="single" w:color="000000" w:sz="4" w:space="0"/>
              <w:bottom w:val="single" w:color="000000" w:sz="4" w:space="0"/>
              <w:right w:val="single" w:color="000000" w:sz="4" w:space="0"/>
            </w:tcBorders>
            <w:vAlign w:val="center"/>
          </w:tcPr>
          <w:p w14:paraId="3773EB56">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6</w:t>
            </w:r>
          </w:p>
        </w:tc>
      </w:tr>
      <w:tr w14:paraId="2CB01C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jc w:val="center"/>
        </w:trPr>
        <w:tc>
          <w:tcPr>
            <w:tcW w:w="749" w:type="dxa"/>
            <w:tcBorders>
              <w:top w:val="single" w:color="000000" w:sz="4" w:space="0"/>
              <w:left w:val="single" w:color="000000" w:sz="4" w:space="0"/>
              <w:bottom w:val="single" w:color="000000" w:sz="4" w:space="0"/>
              <w:right w:val="single" w:color="000000" w:sz="4" w:space="0"/>
            </w:tcBorders>
            <w:vAlign w:val="center"/>
          </w:tcPr>
          <w:p w14:paraId="35652C8F">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31</w:t>
            </w:r>
          </w:p>
        </w:tc>
        <w:tc>
          <w:tcPr>
            <w:tcW w:w="1227" w:type="dxa"/>
            <w:tcBorders>
              <w:top w:val="single" w:color="000000" w:sz="4" w:space="0"/>
              <w:left w:val="single" w:color="000000" w:sz="4" w:space="0"/>
              <w:bottom w:val="single" w:color="000000" w:sz="4" w:space="0"/>
              <w:right w:val="single" w:color="000000" w:sz="4" w:space="0"/>
            </w:tcBorders>
            <w:vAlign w:val="center"/>
          </w:tcPr>
          <w:p w14:paraId="056B2752">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铅球</w:t>
            </w:r>
          </w:p>
        </w:tc>
        <w:tc>
          <w:tcPr>
            <w:tcW w:w="6200" w:type="dxa"/>
            <w:gridSpan w:val="3"/>
            <w:tcBorders>
              <w:top w:val="single" w:color="000000" w:sz="4" w:space="0"/>
              <w:left w:val="single" w:color="000000" w:sz="4" w:space="0"/>
              <w:bottom w:val="single" w:color="000000" w:sz="4" w:space="0"/>
              <w:right w:val="single" w:color="000000" w:sz="4" w:space="0"/>
            </w:tcBorders>
            <w:vAlign w:val="center"/>
          </w:tcPr>
          <w:p w14:paraId="7AD01F32">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3KG,4KG,5kg,平均分配</w:t>
            </w:r>
          </w:p>
        </w:tc>
        <w:tc>
          <w:tcPr>
            <w:tcW w:w="867" w:type="dxa"/>
            <w:gridSpan w:val="4"/>
            <w:tcBorders>
              <w:top w:val="single" w:color="000000" w:sz="4" w:space="0"/>
              <w:left w:val="single" w:color="000000" w:sz="4" w:space="0"/>
              <w:bottom w:val="single" w:color="000000" w:sz="4" w:space="0"/>
              <w:right w:val="single" w:color="000000" w:sz="4" w:space="0"/>
            </w:tcBorders>
            <w:vAlign w:val="center"/>
          </w:tcPr>
          <w:p w14:paraId="1D49BA07">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35" w:type="dxa"/>
            <w:gridSpan w:val="3"/>
            <w:tcBorders>
              <w:top w:val="single" w:color="000000" w:sz="4" w:space="0"/>
              <w:left w:val="single" w:color="000000" w:sz="4" w:space="0"/>
              <w:bottom w:val="single" w:color="000000" w:sz="4" w:space="0"/>
              <w:right w:val="single" w:color="000000" w:sz="4" w:space="0"/>
            </w:tcBorders>
            <w:vAlign w:val="center"/>
          </w:tcPr>
          <w:p w14:paraId="30725192">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30</w:t>
            </w:r>
          </w:p>
        </w:tc>
      </w:tr>
      <w:tr w14:paraId="2E5B05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jc w:val="center"/>
        </w:trPr>
        <w:tc>
          <w:tcPr>
            <w:tcW w:w="749" w:type="dxa"/>
            <w:tcBorders>
              <w:top w:val="single" w:color="000000" w:sz="4" w:space="0"/>
              <w:left w:val="single" w:color="000000" w:sz="4" w:space="0"/>
              <w:bottom w:val="single" w:color="000000" w:sz="4" w:space="0"/>
              <w:right w:val="single" w:color="000000" w:sz="4" w:space="0"/>
            </w:tcBorders>
            <w:vAlign w:val="center"/>
          </w:tcPr>
          <w:p w14:paraId="7B392874">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32</w:t>
            </w:r>
          </w:p>
        </w:tc>
        <w:tc>
          <w:tcPr>
            <w:tcW w:w="1227" w:type="dxa"/>
            <w:tcBorders>
              <w:top w:val="single" w:color="000000" w:sz="4" w:space="0"/>
              <w:left w:val="single" w:color="000000" w:sz="4" w:space="0"/>
              <w:bottom w:val="single" w:color="000000" w:sz="4" w:space="0"/>
              <w:right w:val="single" w:color="000000" w:sz="4" w:space="0"/>
            </w:tcBorders>
            <w:vAlign w:val="center"/>
          </w:tcPr>
          <w:p w14:paraId="5AD1DC7B">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标志杆（筒）</w:t>
            </w:r>
          </w:p>
        </w:tc>
        <w:tc>
          <w:tcPr>
            <w:tcW w:w="6200" w:type="dxa"/>
            <w:gridSpan w:val="3"/>
            <w:tcBorders>
              <w:top w:val="single" w:color="000000" w:sz="4" w:space="0"/>
              <w:left w:val="single" w:color="000000" w:sz="4" w:space="0"/>
              <w:bottom w:val="single" w:color="000000" w:sz="4" w:space="0"/>
              <w:right w:val="single" w:color="000000" w:sz="4" w:space="0"/>
            </w:tcBorders>
            <w:vAlign w:val="center"/>
          </w:tcPr>
          <w:p w14:paraId="40043BB7">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1. 标志杆高≥1500mm，红白相间，三角形旗面（单色），带橡胶底盘。2. 底盘坚固，放置平稳。</w:t>
            </w:r>
          </w:p>
        </w:tc>
        <w:tc>
          <w:tcPr>
            <w:tcW w:w="867" w:type="dxa"/>
            <w:gridSpan w:val="4"/>
            <w:tcBorders>
              <w:top w:val="single" w:color="000000" w:sz="4" w:space="0"/>
              <w:left w:val="single" w:color="000000" w:sz="4" w:space="0"/>
              <w:bottom w:val="single" w:color="000000" w:sz="4" w:space="0"/>
              <w:right w:val="single" w:color="000000" w:sz="4" w:space="0"/>
            </w:tcBorders>
            <w:vAlign w:val="center"/>
          </w:tcPr>
          <w:p w14:paraId="7D73BDEF">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35" w:type="dxa"/>
            <w:gridSpan w:val="3"/>
            <w:tcBorders>
              <w:top w:val="single" w:color="000000" w:sz="4" w:space="0"/>
              <w:left w:val="single" w:color="000000" w:sz="4" w:space="0"/>
              <w:bottom w:val="single" w:color="000000" w:sz="4" w:space="0"/>
              <w:right w:val="single" w:color="000000" w:sz="4" w:space="0"/>
            </w:tcBorders>
            <w:vAlign w:val="center"/>
          </w:tcPr>
          <w:p w14:paraId="5C4A6D96">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80</w:t>
            </w:r>
          </w:p>
        </w:tc>
      </w:tr>
      <w:tr w14:paraId="5C6B48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jc w:val="center"/>
        </w:trPr>
        <w:tc>
          <w:tcPr>
            <w:tcW w:w="749" w:type="dxa"/>
            <w:tcBorders>
              <w:top w:val="single" w:color="000000" w:sz="4" w:space="0"/>
              <w:left w:val="single" w:color="000000" w:sz="4" w:space="0"/>
              <w:bottom w:val="single" w:color="000000" w:sz="4" w:space="0"/>
              <w:right w:val="single" w:color="000000" w:sz="4" w:space="0"/>
            </w:tcBorders>
            <w:vAlign w:val="center"/>
          </w:tcPr>
          <w:p w14:paraId="74F8BD63">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33</w:t>
            </w:r>
          </w:p>
        </w:tc>
        <w:tc>
          <w:tcPr>
            <w:tcW w:w="1227" w:type="dxa"/>
            <w:tcBorders>
              <w:top w:val="single" w:color="000000" w:sz="4" w:space="0"/>
              <w:left w:val="single" w:color="000000" w:sz="4" w:space="0"/>
              <w:bottom w:val="single" w:color="000000" w:sz="4" w:space="0"/>
              <w:right w:val="single" w:color="000000" w:sz="4" w:space="0"/>
            </w:tcBorders>
            <w:vAlign w:val="center"/>
          </w:tcPr>
          <w:p w14:paraId="05867DF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呼啦圈</w:t>
            </w:r>
          </w:p>
        </w:tc>
        <w:tc>
          <w:tcPr>
            <w:tcW w:w="6200" w:type="dxa"/>
            <w:gridSpan w:val="3"/>
            <w:tcBorders>
              <w:top w:val="single" w:color="000000" w:sz="4" w:space="0"/>
              <w:left w:val="single" w:color="000000" w:sz="4" w:space="0"/>
              <w:bottom w:val="single" w:color="000000" w:sz="4" w:space="0"/>
              <w:right w:val="single" w:color="000000" w:sz="4" w:space="0"/>
            </w:tcBorders>
            <w:vAlign w:val="center"/>
          </w:tcPr>
          <w:p w14:paraId="139B6871">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直径≥80CM</w:t>
            </w:r>
          </w:p>
        </w:tc>
        <w:tc>
          <w:tcPr>
            <w:tcW w:w="867" w:type="dxa"/>
            <w:gridSpan w:val="4"/>
            <w:tcBorders>
              <w:top w:val="single" w:color="000000" w:sz="4" w:space="0"/>
              <w:left w:val="single" w:color="000000" w:sz="4" w:space="0"/>
              <w:bottom w:val="single" w:color="000000" w:sz="4" w:space="0"/>
              <w:right w:val="single" w:color="000000" w:sz="4" w:space="0"/>
            </w:tcBorders>
            <w:vAlign w:val="center"/>
          </w:tcPr>
          <w:p w14:paraId="4C026641">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35" w:type="dxa"/>
            <w:gridSpan w:val="3"/>
            <w:tcBorders>
              <w:top w:val="single" w:color="000000" w:sz="4" w:space="0"/>
              <w:left w:val="single" w:color="000000" w:sz="4" w:space="0"/>
              <w:bottom w:val="single" w:color="000000" w:sz="4" w:space="0"/>
              <w:right w:val="single" w:color="000000" w:sz="4" w:space="0"/>
            </w:tcBorders>
            <w:vAlign w:val="center"/>
          </w:tcPr>
          <w:p w14:paraId="1319B617">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80</w:t>
            </w:r>
          </w:p>
        </w:tc>
      </w:tr>
      <w:tr w14:paraId="3AB180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jc w:val="center"/>
        </w:trPr>
        <w:tc>
          <w:tcPr>
            <w:tcW w:w="749" w:type="dxa"/>
            <w:tcBorders>
              <w:top w:val="single" w:color="000000" w:sz="4" w:space="0"/>
              <w:left w:val="single" w:color="000000" w:sz="4" w:space="0"/>
              <w:bottom w:val="single" w:color="000000" w:sz="4" w:space="0"/>
              <w:right w:val="single" w:color="000000" w:sz="4" w:space="0"/>
            </w:tcBorders>
            <w:vAlign w:val="center"/>
          </w:tcPr>
          <w:p w14:paraId="1AB9ECAF">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34</w:t>
            </w:r>
          </w:p>
        </w:tc>
        <w:tc>
          <w:tcPr>
            <w:tcW w:w="1227" w:type="dxa"/>
            <w:tcBorders>
              <w:top w:val="single" w:color="000000" w:sz="4" w:space="0"/>
              <w:left w:val="single" w:color="000000" w:sz="4" w:space="0"/>
              <w:bottom w:val="single" w:color="000000" w:sz="4" w:space="0"/>
              <w:right w:val="single" w:color="000000" w:sz="4" w:space="0"/>
            </w:tcBorders>
            <w:vAlign w:val="center"/>
          </w:tcPr>
          <w:p w14:paraId="69B9A3E1">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乒乓球拍</w:t>
            </w:r>
          </w:p>
        </w:tc>
        <w:tc>
          <w:tcPr>
            <w:tcW w:w="6200" w:type="dxa"/>
            <w:gridSpan w:val="3"/>
            <w:tcBorders>
              <w:top w:val="single" w:color="000000" w:sz="4" w:space="0"/>
              <w:left w:val="single" w:color="000000" w:sz="4" w:space="0"/>
              <w:bottom w:val="single" w:color="000000" w:sz="4" w:space="0"/>
              <w:right w:val="single" w:color="000000" w:sz="4" w:space="0"/>
            </w:tcBorders>
            <w:vAlign w:val="center"/>
          </w:tcPr>
          <w:p w14:paraId="11D0D252">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2块为1副，直握拍，单面反胶皮，鲜红色或黑色，拍面平整；拍柄、拍面、拍身边缘均应光滑无光泽，拍身边缘不得呈白色；胶粒分布均匀，高度应不低于0.5mm；胶合部位牢固，不开裂。执行GB6675-2003国家玩具安全技术规范</w:t>
            </w:r>
          </w:p>
        </w:tc>
        <w:tc>
          <w:tcPr>
            <w:tcW w:w="867" w:type="dxa"/>
            <w:gridSpan w:val="4"/>
            <w:tcBorders>
              <w:top w:val="single" w:color="000000" w:sz="4" w:space="0"/>
              <w:left w:val="single" w:color="000000" w:sz="4" w:space="0"/>
              <w:bottom w:val="single" w:color="000000" w:sz="4" w:space="0"/>
              <w:right w:val="single" w:color="000000" w:sz="4" w:space="0"/>
            </w:tcBorders>
            <w:vAlign w:val="center"/>
          </w:tcPr>
          <w:p w14:paraId="132156A1">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副</w:t>
            </w:r>
          </w:p>
        </w:tc>
        <w:tc>
          <w:tcPr>
            <w:tcW w:w="935" w:type="dxa"/>
            <w:gridSpan w:val="3"/>
            <w:tcBorders>
              <w:top w:val="single" w:color="000000" w:sz="4" w:space="0"/>
              <w:left w:val="single" w:color="000000" w:sz="4" w:space="0"/>
              <w:bottom w:val="single" w:color="000000" w:sz="4" w:space="0"/>
              <w:right w:val="single" w:color="000000" w:sz="4" w:space="0"/>
            </w:tcBorders>
            <w:vAlign w:val="center"/>
          </w:tcPr>
          <w:p w14:paraId="010512DE">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50</w:t>
            </w:r>
          </w:p>
        </w:tc>
      </w:tr>
      <w:tr w14:paraId="0542B2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jc w:val="center"/>
        </w:trPr>
        <w:tc>
          <w:tcPr>
            <w:tcW w:w="749" w:type="dxa"/>
            <w:tcBorders>
              <w:top w:val="single" w:color="000000" w:sz="4" w:space="0"/>
              <w:left w:val="single" w:color="000000" w:sz="4" w:space="0"/>
              <w:bottom w:val="single" w:color="000000" w:sz="4" w:space="0"/>
              <w:right w:val="single" w:color="000000" w:sz="4" w:space="0"/>
            </w:tcBorders>
            <w:vAlign w:val="center"/>
          </w:tcPr>
          <w:p w14:paraId="46A8F97F">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35</w:t>
            </w:r>
          </w:p>
        </w:tc>
        <w:tc>
          <w:tcPr>
            <w:tcW w:w="1227" w:type="dxa"/>
            <w:tcBorders>
              <w:top w:val="single" w:color="000000" w:sz="4" w:space="0"/>
              <w:left w:val="single" w:color="000000" w:sz="4" w:space="0"/>
              <w:bottom w:val="single" w:color="000000" w:sz="4" w:space="0"/>
              <w:right w:val="single" w:color="000000" w:sz="4" w:space="0"/>
            </w:tcBorders>
            <w:vAlign w:val="center"/>
          </w:tcPr>
          <w:p w14:paraId="5B785B52">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乒乓球台</w:t>
            </w:r>
          </w:p>
        </w:tc>
        <w:tc>
          <w:tcPr>
            <w:tcW w:w="6200" w:type="dxa"/>
            <w:gridSpan w:val="3"/>
            <w:tcBorders>
              <w:top w:val="single" w:color="000000" w:sz="4" w:space="0"/>
              <w:left w:val="single" w:color="000000" w:sz="4" w:space="0"/>
              <w:bottom w:val="single" w:color="000000" w:sz="4" w:space="0"/>
              <w:right w:val="single" w:color="000000" w:sz="4" w:space="0"/>
            </w:tcBorders>
            <w:vAlign w:val="center"/>
          </w:tcPr>
          <w:p w14:paraId="33543EFE">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1.户外乒乓球台。规格：≥2740*1525*680mm；能满足学校体育教学、训练需要,应符合GB/T19851.7的要求。2.台面采用整张台面组成或由两个半张台面组成两种类型。3台面采用SMC片状膜塑料，由不饱和树脂材料、引发剂、增强剂、低收缩添加剂、脱模剂、着色剂、交联剂组成，整体高温模压一次成型；。4.底部需采用“米”字型/“井”字型网格加强筋结构，且加强筋网格不得大于（300×300）mm；台面面板厚度不低于5 mm，翻边厚度不低于50mm；台板具有耐候性强、防腐、防晒、防雨、阻燃、不易变形等特点；应能长期保持不翘曲、不变形、不开裂、不起皮等性能；台面颜色为“蓝/绿”色；4.底架采用彩虹设计结构，保证整体的稳定性。桌脚采用优质钢管制成，钢管直径60mm，壁厚2.5mm，表面经酸洗、脱脂、磷化等初级处理后再打沙处理，并采用室外健身器材专用高性能喷塑粉，应有较强的抗氧化、抗紫外线能力，不褪色、附着力强、光泽度高、不含毒素。5.球台的四个外角用软性材料保护。6.带金属网架及金属球网，并且防盗。网架高度152.5mm。6.连接件：镀锌钢材质螺拴，抗老化、耐腐蚀。其它技术参数符合国家标准GB/T 19851.7-2005。</w:t>
            </w:r>
          </w:p>
        </w:tc>
        <w:tc>
          <w:tcPr>
            <w:tcW w:w="867" w:type="dxa"/>
            <w:gridSpan w:val="4"/>
            <w:tcBorders>
              <w:top w:val="single" w:color="000000" w:sz="4" w:space="0"/>
              <w:left w:val="single" w:color="000000" w:sz="4" w:space="0"/>
              <w:bottom w:val="single" w:color="000000" w:sz="4" w:space="0"/>
              <w:right w:val="single" w:color="000000" w:sz="4" w:space="0"/>
            </w:tcBorders>
            <w:vAlign w:val="center"/>
          </w:tcPr>
          <w:p w14:paraId="420166D2">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套</w:t>
            </w:r>
          </w:p>
        </w:tc>
        <w:tc>
          <w:tcPr>
            <w:tcW w:w="935" w:type="dxa"/>
            <w:gridSpan w:val="3"/>
            <w:tcBorders>
              <w:top w:val="single" w:color="000000" w:sz="4" w:space="0"/>
              <w:left w:val="single" w:color="000000" w:sz="4" w:space="0"/>
              <w:bottom w:val="single" w:color="000000" w:sz="4" w:space="0"/>
              <w:right w:val="single" w:color="000000" w:sz="4" w:space="0"/>
            </w:tcBorders>
            <w:vAlign w:val="center"/>
          </w:tcPr>
          <w:p w14:paraId="4AD26A3E">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20</w:t>
            </w:r>
          </w:p>
        </w:tc>
      </w:tr>
      <w:tr w14:paraId="57A06F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jc w:val="center"/>
        </w:trPr>
        <w:tc>
          <w:tcPr>
            <w:tcW w:w="749" w:type="dxa"/>
            <w:tcBorders>
              <w:top w:val="single" w:color="000000" w:sz="4" w:space="0"/>
              <w:left w:val="single" w:color="000000" w:sz="4" w:space="0"/>
              <w:bottom w:val="single" w:color="000000" w:sz="4" w:space="0"/>
              <w:right w:val="single" w:color="000000" w:sz="4" w:space="0"/>
            </w:tcBorders>
            <w:vAlign w:val="center"/>
          </w:tcPr>
          <w:p w14:paraId="6ABB3B05">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36</w:t>
            </w:r>
          </w:p>
        </w:tc>
        <w:tc>
          <w:tcPr>
            <w:tcW w:w="1227" w:type="dxa"/>
            <w:tcBorders>
              <w:top w:val="single" w:color="000000" w:sz="4" w:space="0"/>
              <w:left w:val="single" w:color="000000" w:sz="4" w:space="0"/>
              <w:bottom w:val="single" w:color="000000" w:sz="4" w:space="0"/>
              <w:right w:val="single" w:color="000000" w:sz="4" w:space="0"/>
            </w:tcBorders>
            <w:vAlign w:val="center"/>
          </w:tcPr>
          <w:p w14:paraId="2BD42F9F">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乒乓球</w:t>
            </w:r>
          </w:p>
        </w:tc>
        <w:tc>
          <w:tcPr>
            <w:tcW w:w="6200" w:type="dxa"/>
            <w:gridSpan w:val="3"/>
            <w:tcBorders>
              <w:top w:val="single" w:color="000000" w:sz="4" w:space="0"/>
              <w:left w:val="single" w:color="000000" w:sz="4" w:space="0"/>
              <w:bottom w:val="single" w:color="000000" w:sz="4" w:space="0"/>
              <w:right w:val="single" w:color="000000" w:sz="4" w:space="0"/>
            </w:tcBorders>
            <w:vAlign w:val="center"/>
          </w:tcPr>
          <w:p w14:paraId="0633A375">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1.  球重：2.35g～2.63g2. 弹跳：210mm 以上3.   圆度：0.4mm，直径:43.4mm～44.4mm4. 硬度：两顶受压下陷差距不大于 0.35mm5. 牢度：受冲击 700 次以上不破6. 产品应符合 GB/T20045-2005 标准的有关规定。</w:t>
            </w:r>
          </w:p>
        </w:tc>
        <w:tc>
          <w:tcPr>
            <w:tcW w:w="867" w:type="dxa"/>
            <w:gridSpan w:val="4"/>
            <w:tcBorders>
              <w:top w:val="single" w:color="000000" w:sz="4" w:space="0"/>
              <w:left w:val="single" w:color="000000" w:sz="4" w:space="0"/>
              <w:bottom w:val="single" w:color="000000" w:sz="4" w:space="0"/>
              <w:right w:val="single" w:color="000000" w:sz="4" w:space="0"/>
            </w:tcBorders>
            <w:vAlign w:val="center"/>
          </w:tcPr>
          <w:p w14:paraId="061277EE">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35" w:type="dxa"/>
            <w:gridSpan w:val="3"/>
            <w:tcBorders>
              <w:top w:val="single" w:color="000000" w:sz="4" w:space="0"/>
              <w:left w:val="single" w:color="000000" w:sz="4" w:space="0"/>
              <w:bottom w:val="single" w:color="000000" w:sz="4" w:space="0"/>
              <w:right w:val="single" w:color="000000" w:sz="4" w:space="0"/>
            </w:tcBorders>
            <w:vAlign w:val="center"/>
          </w:tcPr>
          <w:p w14:paraId="0D8F9053">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50</w:t>
            </w:r>
          </w:p>
        </w:tc>
      </w:tr>
      <w:tr w14:paraId="76DF1A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jc w:val="center"/>
        </w:trPr>
        <w:tc>
          <w:tcPr>
            <w:tcW w:w="749" w:type="dxa"/>
            <w:tcBorders>
              <w:top w:val="single" w:color="000000" w:sz="4" w:space="0"/>
              <w:left w:val="single" w:color="000000" w:sz="4" w:space="0"/>
              <w:bottom w:val="single" w:color="000000" w:sz="4" w:space="0"/>
              <w:right w:val="single" w:color="000000" w:sz="4" w:space="0"/>
            </w:tcBorders>
            <w:vAlign w:val="center"/>
          </w:tcPr>
          <w:p w14:paraId="40EB3FE3">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37</w:t>
            </w:r>
          </w:p>
        </w:tc>
        <w:tc>
          <w:tcPr>
            <w:tcW w:w="1227" w:type="dxa"/>
            <w:tcBorders>
              <w:top w:val="single" w:color="000000" w:sz="4" w:space="0"/>
              <w:left w:val="single" w:color="000000" w:sz="4" w:space="0"/>
              <w:bottom w:val="single" w:color="000000" w:sz="4" w:space="0"/>
              <w:right w:val="single" w:color="000000" w:sz="4" w:space="0"/>
            </w:tcBorders>
            <w:vAlign w:val="center"/>
          </w:tcPr>
          <w:p w14:paraId="1BFEB0F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羽毛球拍</w:t>
            </w:r>
          </w:p>
        </w:tc>
        <w:tc>
          <w:tcPr>
            <w:tcW w:w="6200" w:type="dxa"/>
            <w:gridSpan w:val="3"/>
            <w:tcBorders>
              <w:top w:val="single" w:color="000000" w:sz="4" w:space="0"/>
              <w:left w:val="single" w:color="000000" w:sz="4" w:space="0"/>
              <w:bottom w:val="single" w:color="000000" w:sz="4" w:space="0"/>
              <w:right w:val="single" w:color="000000" w:sz="4" w:space="0"/>
            </w:tcBorders>
            <w:vAlign w:val="center"/>
          </w:tcPr>
          <w:p w14:paraId="14D7FB34">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1.产品整体铝合金制，（弦线除外）；2.长度≤630mm，球拍宽度≤230mm，球拍弦面长度≤280mm；3.整体重量：95g～120g；4.拍弦直径：0.9mm；5.握柄直径：23mm～25mm；6.拍身表面光滑，拍上贴标签，印刷图案应文字清楚，粘贴平整。7.产品应符合  GB/T19851.9-2005。适用于中小学生教学训练用。</w:t>
            </w:r>
          </w:p>
        </w:tc>
        <w:tc>
          <w:tcPr>
            <w:tcW w:w="867" w:type="dxa"/>
            <w:gridSpan w:val="4"/>
            <w:tcBorders>
              <w:top w:val="single" w:color="000000" w:sz="4" w:space="0"/>
              <w:left w:val="single" w:color="000000" w:sz="4" w:space="0"/>
              <w:bottom w:val="single" w:color="000000" w:sz="4" w:space="0"/>
              <w:right w:val="single" w:color="000000" w:sz="4" w:space="0"/>
            </w:tcBorders>
            <w:vAlign w:val="center"/>
          </w:tcPr>
          <w:p w14:paraId="3CCCBCF4">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套</w:t>
            </w:r>
          </w:p>
        </w:tc>
        <w:tc>
          <w:tcPr>
            <w:tcW w:w="935" w:type="dxa"/>
            <w:gridSpan w:val="3"/>
            <w:tcBorders>
              <w:top w:val="single" w:color="000000" w:sz="4" w:space="0"/>
              <w:left w:val="single" w:color="000000" w:sz="4" w:space="0"/>
              <w:bottom w:val="single" w:color="000000" w:sz="4" w:space="0"/>
              <w:right w:val="single" w:color="000000" w:sz="4" w:space="0"/>
            </w:tcBorders>
            <w:vAlign w:val="center"/>
          </w:tcPr>
          <w:p w14:paraId="1579A5EC">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60</w:t>
            </w:r>
          </w:p>
        </w:tc>
      </w:tr>
      <w:tr w14:paraId="5036B2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jc w:val="center"/>
        </w:trPr>
        <w:tc>
          <w:tcPr>
            <w:tcW w:w="749" w:type="dxa"/>
            <w:tcBorders>
              <w:top w:val="single" w:color="000000" w:sz="4" w:space="0"/>
              <w:left w:val="single" w:color="000000" w:sz="4" w:space="0"/>
              <w:bottom w:val="single" w:color="000000" w:sz="4" w:space="0"/>
              <w:right w:val="single" w:color="000000" w:sz="4" w:space="0"/>
            </w:tcBorders>
            <w:vAlign w:val="center"/>
          </w:tcPr>
          <w:p w14:paraId="6819389C">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38</w:t>
            </w:r>
          </w:p>
        </w:tc>
        <w:tc>
          <w:tcPr>
            <w:tcW w:w="1227" w:type="dxa"/>
            <w:tcBorders>
              <w:top w:val="single" w:color="000000" w:sz="4" w:space="0"/>
              <w:left w:val="single" w:color="000000" w:sz="4" w:space="0"/>
              <w:bottom w:val="single" w:color="000000" w:sz="4" w:space="0"/>
              <w:right w:val="single" w:color="000000" w:sz="4" w:space="0"/>
            </w:tcBorders>
            <w:vAlign w:val="center"/>
          </w:tcPr>
          <w:p w14:paraId="2A9DA731">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羽毛球网架</w:t>
            </w:r>
          </w:p>
        </w:tc>
        <w:tc>
          <w:tcPr>
            <w:tcW w:w="6200" w:type="dxa"/>
            <w:gridSpan w:val="3"/>
            <w:tcBorders>
              <w:top w:val="single" w:color="000000" w:sz="4" w:space="0"/>
              <w:left w:val="single" w:color="000000" w:sz="4" w:space="0"/>
              <w:bottom w:val="single" w:color="000000" w:sz="4" w:space="0"/>
              <w:right w:val="single" w:color="000000" w:sz="4" w:space="0"/>
            </w:tcBorders>
            <w:vAlign w:val="center"/>
          </w:tcPr>
          <w:p w14:paraId="7D23D990">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移动式羽毛球架。立柱为￠42mm优质钢管，表面经酸洗磷化，采用静电喷塑。一立柱上置有紧线锁紧机构，通过手柄调节钢丝栓紧，另一立柱置有4个网钩，二立柱顶部置有尼龙滑轮。拉网中央高度1524mm±5,网柱高度1550mm±8，球网两端高度不应高于拉网中央高度26mm，且两端应相等。配球网，套胶钢丝绳。符合国家标准GB/T19851.13-2007。</w:t>
            </w:r>
          </w:p>
        </w:tc>
        <w:tc>
          <w:tcPr>
            <w:tcW w:w="867" w:type="dxa"/>
            <w:gridSpan w:val="4"/>
            <w:tcBorders>
              <w:top w:val="single" w:color="000000" w:sz="4" w:space="0"/>
              <w:left w:val="single" w:color="000000" w:sz="4" w:space="0"/>
              <w:bottom w:val="single" w:color="000000" w:sz="4" w:space="0"/>
              <w:right w:val="single" w:color="000000" w:sz="4" w:space="0"/>
            </w:tcBorders>
            <w:vAlign w:val="center"/>
          </w:tcPr>
          <w:p w14:paraId="635E768D">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套</w:t>
            </w:r>
          </w:p>
        </w:tc>
        <w:tc>
          <w:tcPr>
            <w:tcW w:w="935" w:type="dxa"/>
            <w:gridSpan w:val="3"/>
            <w:tcBorders>
              <w:top w:val="single" w:color="000000" w:sz="4" w:space="0"/>
              <w:left w:val="single" w:color="000000" w:sz="4" w:space="0"/>
              <w:bottom w:val="single" w:color="000000" w:sz="4" w:space="0"/>
              <w:right w:val="single" w:color="000000" w:sz="4" w:space="0"/>
            </w:tcBorders>
            <w:vAlign w:val="center"/>
          </w:tcPr>
          <w:p w14:paraId="39F6E833">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4</w:t>
            </w:r>
          </w:p>
        </w:tc>
      </w:tr>
      <w:tr w14:paraId="1A8A5E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jc w:val="center"/>
        </w:trPr>
        <w:tc>
          <w:tcPr>
            <w:tcW w:w="749" w:type="dxa"/>
            <w:tcBorders>
              <w:top w:val="single" w:color="000000" w:sz="4" w:space="0"/>
              <w:left w:val="single" w:color="000000" w:sz="4" w:space="0"/>
              <w:bottom w:val="single" w:color="000000" w:sz="4" w:space="0"/>
              <w:right w:val="single" w:color="000000" w:sz="4" w:space="0"/>
            </w:tcBorders>
            <w:vAlign w:val="center"/>
          </w:tcPr>
          <w:p w14:paraId="5D65585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39</w:t>
            </w:r>
          </w:p>
        </w:tc>
        <w:tc>
          <w:tcPr>
            <w:tcW w:w="1227" w:type="dxa"/>
            <w:tcBorders>
              <w:top w:val="single" w:color="000000" w:sz="4" w:space="0"/>
              <w:left w:val="single" w:color="000000" w:sz="4" w:space="0"/>
              <w:bottom w:val="single" w:color="000000" w:sz="4" w:space="0"/>
              <w:right w:val="single" w:color="000000" w:sz="4" w:space="0"/>
            </w:tcBorders>
            <w:vAlign w:val="center"/>
          </w:tcPr>
          <w:p w14:paraId="13FB41E0">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羽毛球</w:t>
            </w:r>
          </w:p>
        </w:tc>
        <w:tc>
          <w:tcPr>
            <w:tcW w:w="6200" w:type="dxa"/>
            <w:gridSpan w:val="3"/>
            <w:tcBorders>
              <w:top w:val="single" w:color="000000" w:sz="4" w:space="0"/>
              <w:left w:val="single" w:color="000000" w:sz="4" w:space="0"/>
              <w:bottom w:val="single" w:color="000000" w:sz="4" w:space="0"/>
              <w:right w:val="single" w:color="000000" w:sz="4" w:space="0"/>
            </w:tcBorders>
            <w:vAlign w:val="center"/>
          </w:tcPr>
          <w:p w14:paraId="291AE54D">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球重 2.35g～2.63g，弹跳高度在 210 ㎜以上，重心距中心线偏差≯433 ㎜，牢度应在受冲击 700 次以上不破，外观接缝整齐不返光。 外观要求：羽毛球头形圆正，皮面较白，线圈整齐，胶水均匀不泛白，毛形完整，毛梗光洁，毛片较 白，插毛整齐，商标完整；12只每桶</w:t>
            </w:r>
          </w:p>
        </w:tc>
        <w:tc>
          <w:tcPr>
            <w:tcW w:w="867" w:type="dxa"/>
            <w:gridSpan w:val="4"/>
            <w:tcBorders>
              <w:top w:val="single" w:color="000000" w:sz="4" w:space="0"/>
              <w:left w:val="single" w:color="000000" w:sz="4" w:space="0"/>
              <w:bottom w:val="single" w:color="000000" w:sz="4" w:space="0"/>
              <w:right w:val="single" w:color="000000" w:sz="4" w:space="0"/>
            </w:tcBorders>
            <w:vAlign w:val="center"/>
          </w:tcPr>
          <w:p w14:paraId="07DB73EC">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35" w:type="dxa"/>
            <w:gridSpan w:val="3"/>
            <w:tcBorders>
              <w:top w:val="single" w:color="000000" w:sz="4" w:space="0"/>
              <w:left w:val="single" w:color="000000" w:sz="4" w:space="0"/>
              <w:bottom w:val="single" w:color="000000" w:sz="4" w:space="0"/>
              <w:right w:val="single" w:color="000000" w:sz="4" w:space="0"/>
            </w:tcBorders>
            <w:vAlign w:val="center"/>
          </w:tcPr>
          <w:p w14:paraId="08FADA03">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50</w:t>
            </w:r>
          </w:p>
        </w:tc>
      </w:tr>
      <w:tr w14:paraId="49B4C9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jc w:val="center"/>
        </w:trPr>
        <w:tc>
          <w:tcPr>
            <w:tcW w:w="749" w:type="dxa"/>
            <w:tcBorders>
              <w:top w:val="single" w:color="000000" w:sz="4" w:space="0"/>
              <w:left w:val="single" w:color="000000" w:sz="4" w:space="0"/>
              <w:bottom w:val="single" w:color="000000" w:sz="4" w:space="0"/>
              <w:right w:val="single" w:color="000000" w:sz="4" w:space="0"/>
            </w:tcBorders>
            <w:vAlign w:val="center"/>
          </w:tcPr>
          <w:p w14:paraId="494C1AA6">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40</w:t>
            </w:r>
          </w:p>
        </w:tc>
        <w:tc>
          <w:tcPr>
            <w:tcW w:w="1227" w:type="dxa"/>
            <w:tcBorders>
              <w:top w:val="single" w:color="000000" w:sz="4" w:space="0"/>
              <w:left w:val="single" w:color="000000" w:sz="4" w:space="0"/>
              <w:bottom w:val="single" w:color="000000" w:sz="4" w:space="0"/>
              <w:right w:val="single" w:color="000000" w:sz="4" w:space="0"/>
            </w:tcBorders>
            <w:vAlign w:val="center"/>
          </w:tcPr>
          <w:p w14:paraId="07A72986">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球类收纳筐</w:t>
            </w:r>
          </w:p>
        </w:tc>
        <w:tc>
          <w:tcPr>
            <w:tcW w:w="6200" w:type="dxa"/>
            <w:gridSpan w:val="3"/>
            <w:tcBorders>
              <w:top w:val="single" w:color="000000" w:sz="4" w:space="0"/>
              <w:left w:val="single" w:color="000000" w:sz="4" w:space="0"/>
              <w:bottom w:val="single" w:color="000000" w:sz="4" w:space="0"/>
              <w:right w:val="single" w:color="000000" w:sz="4" w:space="0"/>
            </w:tcBorders>
            <w:vAlign w:val="center"/>
          </w:tcPr>
          <w:p w14:paraId="32F0BDA4">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国标</w:t>
            </w:r>
          </w:p>
        </w:tc>
        <w:tc>
          <w:tcPr>
            <w:tcW w:w="867" w:type="dxa"/>
            <w:gridSpan w:val="4"/>
            <w:tcBorders>
              <w:top w:val="single" w:color="000000" w:sz="4" w:space="0"/>
              <w:left w:val="single" w:color="000000" w:sz="4" w:space="0"/>
              <w:bottom w:val="single" w:color="000000" w:sz="4" w:space="0"/>
              <w:right w:val="single" w:color="000000" w:sz="4" w:space="0"/>
            </w:tcBorders>
            <w:vAlign w:val="center"/>
          </w:tcPr>
          <w:p w14:paraId="58A80CC0">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35" w:type="dxa"/>
            <w:gridSpan w:val="3"/>
            <w:tcBorders>
              <w:top w:val="single" w:color="000000" w:sz="4" w:space="0"/>
              <w:left w:val="single" w:color="000000" w:sz="4" w:space="0"/>
              <w:bottom w:val="single" w:color="000000" w:sz="4" w:space="0"/>
              <w:right w:val="single" w:color="000000" w:sz="4" w:space="0"/>
            </w:tcBorders>
            <w:vAlign w:val="center"/>
          </w:tcPr>
          <w:p w14:paraId="41FE093A">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10</w:t>
            </w:r>
          </w:p>
        </w:tc>
      </w:tr>
      <w:tr w14:paraId="7C0E59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jc w:val="center"/>
        </w:trPr>
        <w:tc>
          <w:tcPr>
            <w:tcW w:w="749" w:type="dxa"/>
            <w:tcBorders>
              <w:top w:val="single" w:color="000000" w:sz="4" w:space="0"/>
              <w:left w:val="single" w:color="000000" w:sz="4" w:space="0"/>
              <w:bottom w:val="single" w:color="000000" w:sz="4" w:space="0"/>
              <w:right w:val="single" w:color="000000" w:sz="4" w:space="0"/>
            </w:tcBorders>
            <w:vAlign w:val="center"/>
          </w:tcPr>
          <w:p w14:paraId="37B5D98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41</w:t>
            </w:r>
          </w:p>
        </w:tc>
        <w:tc>
          <w:tcPr>
            <w:tcW w:w="1227" w:type="dxa"/>
            <w:tcBorders>
              <w:top w:val="single" w:color="000000" w:sz="4" w:space="0"/>
              <w:left w:val="single" w:color="000000" w:sz="4" w:space="0"/>
              <w:bottom w:val="single" w:color="000000" w:sz="4" w:space="0"/>
              <w:right w:val="single" w:color="000000" w:sz="4" w:space="0"/>
            </w:tcBorders>
            <w:vAlign w:val="center"/>
          </w:tcPr>
          <w:p w14:paraId="56672274">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体育器材柜</w:t>
            </w:r>
          </w:p>
        </w:tc>
        <w:tc>
          <w:tcPr>
            <w:tcW w:w="6200" w:type="dxa"/>
            <w:gridSpan w:val="3"/>
            <w:tcBorders>
              <w:top w:val="single" w:color="000000" w:sz="4" w:space="0"/>
              <w:left w:val="single" w:color="000000" w:sz="4" w:space="0"/>
              <w:bottom w:val="single" w:color="000000" w:sz="4" w:space="0"/>
              <w:right w:val="single" w:color="000000" w:sz="4" w:space="0"/>
            </w:tcBorders>
            <w:vAlign w:val="center"/>
          </w:tcPr>
          <w:p w14:paraId="4DA19322">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柜体尺寸（宽深高）≥1000 mm×500 mm×2000mm。 铝木结构，详细参数如下：</w:t>
            </w:r>
            <w:r>
              <w:rPr>
                <w:rFonts w:hint="eastAsia" w:ascii="宋体" w:hAnsi="宋体"/>
                <w:color w:val="auto"/>
                <w:kern w:val="0"/>
                <w:szCs w:val="21"/>
                <w:highlight w:val="none"/>
                <w:lang w:bidi="ar"/>
              </w:rPr>
              <w:br w:type="textWrapping"/>
            </w:r>
            <w:r>
              <w:rPr>
                <w:rFonts w:hint="eastAsia" w:ascii="宋体" w:hAnsi="宋体"/>
                <w:color w:val="auto"/>
                <w:kern w:val="0"/>
                <w:szCs w:val="21"/>
                <w:highlight w:val="none"/>
                <w:lang w:bidi="ar"/>
              </w:rPr>
              <w:t>1、柜体框架：采用模具成型的专用铝合金方管制作，通过ABS专用连接件组装而成，保证连接牢固。*前立柱、前横梁外径为≥30mm×44mm（误差±1mm），后立柱、后横梁外径为≥44mm×44mm（误差±1mm），铝合金管材的壁厚≥1.5 mm（误差±0.15 mm）。铝合金型材带凹槽，凹槽的宽度与柜体衬板相匹配，凹槽的深度不小于14mm（误差±0.15 mm），保证柜体衬板与铝型材之间接缝严密，无晃动现象，不发生脱落。铝合金型材表面经静电粉沫喷涂处理，整体耐腐蚀、防火、防潮、稳固耐用。</w:t>
            </w:r>
            <w:r>
              <w:rPr>
                <w:rFonts w:hint="eastAsia" w:ascii="宋体" w:hAnsi="宋体"/>
                <w:color w:val="auto"/>
                <w:kern w:val="0"/>
                <w:szCs w:val="21"/>
                <w:highlight w:val="none"/>
                <w:lang w:bidi="ar"/>
              </w:rPr>
              <w:br w:type="textWrapping"/>
            </w:r>
            <w:r>
              <w:rPr>
                <w:rFonts w:hint="eastAsia" w:ascii="宋体" w:hAnsi="宋体"/>
                <w:color w:val="auto"/>
                <w:kern w:val="0"/>
                <w:szCs w:val="21"/>
                <w:highlight w:val="none"/>
                <w:lang w:bidi="ar"/>
              </w:rPr>
              <w:t>2、柜体衬板：用厚度为≥16mm±0.3 mm、彩色和灰白色双面三聚氰胺板（即双饰面板）作为台体衬板，外漏截面采用≥1.5mm厚塑制优质封边条机械封边。</w:t>
            </w:r>
            <w:r>
              <w:rPr>
                <w:rFonts w:hint="eastAsia" w:ascii="宋体" w:hAnsi="宋体"/>
                <w:color w:val="auto"/>
                <w:kern w:val="0"/>
                <w:szCs w:val="21"/>
                <w:highlight w:val="none"/>
                <w:lang w:bidi="ar"/>
              </w:rPr>
              <w:br w:type="textWrapping"/>
            </w:r>
            <w:r>
              <w:rPr>
                <w:rFonts w:hint="eastAsia" w:ascii="宋体" w:hAnsi="宋体"/>
                <w:color w:val="auto"/>
                <w:kern w:val="0"/>
                <w:szCs w:val="21"/>
                <w:highlight w:val="none"/>
                <w:lang w:bidi="ar"/>
              </w:rPr>
              <w:t>3、柜门：上部为专用铝型材对开玻璃门，玻璃门边框规格为≥52*18*1.2mm，预留4mm螺丝孔，上下框规格为≥18*18*5mm，下部为对开木门。柜门采用优质定位铰链，*铰链下垫≥56*49*13mmABS胶垫并预留螺丝孔，铰链的壁厚≥1.5mm，安全、牢固、防腐、耐用。铝合金通体一字型扣手。</w:t>
            </w:r>
            <w:r>
              <w:rPr>
                <w:rFonts w:hint="eastAsia" w:ascii="宋体" w:hAnsi="宋体"/>
                <w:color w:val="auto"/>
                <w:kern w:val="0"/>
                <w:szCs w:val="21"/>
                <w:highlight w:val="none"/>
                <w:lang w:bidi="ar"/>
              </w:rPr>
              <w:br w:type="textWrapping"/>
            </w:r>
            <w:r>
              <w:rPr>
                <w:rFonts w:hint="eastAsia" w:ascii="宋体" w:hAnsi="宋体"/>
                <w:color w:val="auto"/>
                <w:kern w:val="0"/>
                <w:szCs w:val="21"/>
                <w:highlight w:val="none"/>
                <w:lang w:bidi="ar"/>
              </w:rPr>
              <w:t>4、隔板：上柜设置2块活动隔板，下柜设置1块固定隔板。隔板所用的板材与柜体板材相同。隔板的长边采用铝合金山形槽包边，铝合金正面预留标签卡槽。表面进行喷塑处理。</w:t>
            </w:r>
            <w:r>
              <w:rPr>
                <w:rFonts w:hint="eastAsia" w:ascii="宋体" w:hAnsi="宋体"/>
                <w:color w:val="auto"/>
                <w:kern w:val="0"/>
                <w:szCs w:val="21"/>
                <w:highlight w:val="none"/>
                <w:lang w:bidi="ar"/>
              </w:rPr>
              <w:br w:type="textWrapping"/>
            </w:r>
            <w:r>
              <w:rPr>
                <w:rFonts w:hint="eastAsia" w:ascii="宋体" w:hAnsi="宋体"/>
                <w:color w:val="auto"/>
                <w:kern w:val="0"/>
                <w:szCs w:val="21"/>
                <w:highlight w:val="none"/>
                <w:lang w:bidi="ar"/>
              </w:rPr>
              <w:t>5、高度升降条：上部柜体内侧安装高度升降条（≥1.0 mm冷轧钢板制作），每侧2根，带12个活动支撑座（位置可调）。高度升降条和支撑座表面采用纯环氧树脂静电喷涂高温固化，具有较高耐蚀性能。</w:t>
            </w:r>
            <w:r>
              <w:rPr>
                <w:rFonts w:hint="eastAsia" w:ascii="宋体" w:hAnsi="宋体"/>
                <w:color w:val="auto"/>
                <w:kern w:val="0"/>
                <w:szCs w:val="21"/>
                <w:highlight w:val="none"/>
                <w:lang w:bidi="ar"/>
              </w:rPr>
              <w:br w:type="textWrapping"/>
            </w:r>
            <w:r>
              <w:rPr>
                <w:rFonts w:hint="eastAsia" w:ascii="宋体" w:hAnsi="宋体"/>
                <w:color w:val="auto"/>
                <w:kern w:val="0"/>
                <w:szCs w:val="21"/>
                <w:highlight w:val="none"/>
                <w:lang w:bidi="ar"/>
              </w:rPr>
              <w:t>支脚：采用直径≥12mm的镀锌螺杆与ABS工程塑料一次注塑成型的脚垫，高度可调节。</w:t>
            </w:r>
          </w:p>
        </w:tc>
        <w:tc>
          <w:tcPr>
            <w:tcW w:w="867" w:type="dxa"/>
            <w:gridSpan w:val="4"/>
            <w:tcBorders>
              <w:top w:val="single" w:color="000000" w:sz="4" w:space="0"/>
              <w:left w:val="single" w:color="000000" w:sz="4" w:space="0"/>
              <w:bottom w:val="single" w:color="000000" w:sz="4" w:space="0"/>
              <w:right w:val="single" w:color="000000" w:sz="4" w:space="0"/>
            </w:tcBorders>
            <w:vAlign w:val="center"/>
          </w:tcPr>
          <w:p w14:paraId="4A9654C5">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套</w:t>
            </w:r>
          </w:p>
        </w:tc>
        <w:tc>
          <w:tcPr>
            <w:tcW w:w="935" w:type="dxa"/>
            <w:gridSpan w:val="3"/>
            <w:tcBorders>
              <w:top w:val="single" w:color="000000" w:sz="4" w:space="0"/>
              <w:left w:val="single" w:color="000000" w:sz="4" w:space="0"/>
              <w:bottom w:val="single" w:color="000000" w:sz="4" w:space="0"/>
              <w:right w:val="single" w:color="000000" w:sz="4" w:space="0"/>
            </w:tcBorders>
            <w:vAlign w:val="center"/>
          </w:tcPr>
          <w:p w14:paraId="043EE61B">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12</w:t>
            </w:r>
          </w:p>
        </w:tc>
      </w:tr>
      <w:tr w14:paraId="528434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jc w:val="center"/>
        </w:trPr>
        <w:tc>
          <w:tcPr>
            <w:tcW w:w="9978" w:type="dxa"/>
            <w:gridSpan w:val="12"/>
            <w:tcBorders>
              <w:top w:val="single" w:color="000000" w:sz="4" w:space="0"/>
              <w:left w:val="single" w:color="000000" w:sz="4" w:space="0"/>
              <w:bottom w:val="single" w:color="000000" w:sz="4" w:space="0"/>
              <w:right w:val="single" w:color="000000" w:sz="4" w:space="0"/>
            </w:tcBorders>
            <w:noWrap/>
            <w:vAlign w:val="center"/>
          </w:tcPr>
          <w:p w14:paraId="4D97C598">
            <w:pPr>
              <w:widowControl/>
              <w:jc w:val="center"/>
              <w:textAlignment w:val="center"/>
              <w:rPr>
                <w:rFonts w:hint="eastAsia" w:ascii="宋体" w:hAnsi="宋体"/>
                <w:b/>
                <w:bCs/>
                <w:color w:val="auto"/>
                <w:szCs w:val="21"/>
                <w:highlight w:val="none"/>
              </w:rPr>
            </w:pPr>
            <w:r>
              <w:rPr>
                <w:rFonts w:hint="eastAsia" w:ascii="宋体" w:hAnsi="宋体"/>
                <w:b/>
                <w:bCs/>
                <w:color w:val="auto"/>
                <w:kern w:val="0"/>
                <w:szCs w:val="21"/>
                <w:highlight w:val="none"/>
                <w:lang w:bidi="ar"/>
              </w:rPr>
              <w:t>十四、室内体育器材</w:t>
            </w:r>
          </w:p>
        </w:tc>
      </w:tr>
      <w:tr w14:paraId="7C2490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jc w:val="center"/>
        </w:trPr>
        <w:tc>
          <w:tcPr>
            <w:tcW w:w="749" w:type="dxa"/>
            <w:tcBorders>
              <w:top w:val="single" w:color="000000" w:sz="4" w:space="0"/>
              <w:left w:val="single" w:color="000000" w:sz="4" w:space="0"/>
              <w:bottom w:val="single" w:color="000000" w:sz="4" w:space="0"/>
              <w:right w:val="single" w:color="000000" w:sz="4" w:space="0"/>
            </w:tcBorders>
            <w:noWrap/>
            <w:vAlign w:val="center"/>
          </w:tcPr>
          <w:p w14:paraId="34CBF7C2">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c>
          <w:tcPr>
            <w:tcW w:w="1227" w:type="dxa"/>
            <w:tcBorders>
              <w:top w:val="single" w:color="000000" w:sz="4" w:space="0"/>
              <w:left w:val="single" w:color="000000" w:sz="4" w:space="0"/>
              <w:bottom w:val="single" w:color="000000" w:sz="4" w:space="0"/>
              <w:right w:val="single" w:color="000000" w:sz="4" w:space="0"/>
            </w:tcBorders>
            <w:noWrap/>
            <w:vAlign w:val="center"/>
          </w:tcPr>
          <w:p w14:paraId="0FECAED0">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电动液压篮球架</w:t>
            </w:r>
          </w:p>
        </w:tc>
        <w:tc>
          <w:tcPr>
            <w:tcW w:w="6200" w:type="dxa"/>
            <w:gridSpan w:val="3"/>
            <w:tcBorders>
              <w:top w:val="single" w:color="000000" w:sz="4" w:space="0"/>
              <w:left w:val="single" w:color="000000" w:sz="4" w:space="0"/>
              <w:bottom w:val="single" w:color="000000" w:sz="4" w:space="0"/>
              <w:right w:val="single" w:color="000000" w:sz="4" w:space="0"/>
            </w:tcBorders>
            <w:noWrap/>
            <w:vAlign w:val="center"/>
          </w:tcPr>
          <w:p w14:paraId="05FB132B">
            <w:pPr>
              <w:widowControl/>
              <w:numPr>
                <w:ilvl w:val="0"/>
                <w:numId w:val="339"/>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篮架伸臂≥2550mm,篮圈上沿距地面≥3050mm。</w:t>
            </w:r>
          </w:p>
          <w:p w14:paraId="0C1B158B">
            <w:pPr>
              <w:widowControl/>
              <w:numPr>
                <w:ilvl w:val="0"/>
                <w:numId w:val="339"/>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篮架为箱式配重箱，宽度≥1100mm,长度≥2200mm，前高≥500mm，后高≥400mm，钢板厚度≥3mm，箱内放置配重≥500KG。</w:t>
            </w:r>
          </w:p>
          <w:p w14:paraId="06161C76">
            <w:pPr>
              <w:widowControl/>
              <w:numPr>
                <w:ilvl w:val="0"/>
                <w:numId w:val="339"/>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篮架立柱采用≥120*60*3矩形钢管拼焊，上宽≥360mm,下宽≥900mm，厚度≥120mm。</w:t>
            </w:r>
          </w:p>
          <w:p w14:paraId="194E9FBB">
            <w:pPr>
              <w:widowControl/>
              <w:numPr>
                <w:ilvl w:val="0"/>
                <w:numId w:val="339"/>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篮架伸臂采用≥250*70*3mm、150*70*3mm和≥150*150*3mm拼焊。</w:t>
            </w:r>
          </w:p>
          <w:p w14:paraId="785279A2">
            <w:pPr>
              <w:widowControl/>
              <w:numPr>
                <w:ilvl w:val="0"/>
                <w:numId w:val="339"/>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篮板上拉杆采用≥48×2mm优质钢管，篮板下拉杆采用≥50×70×2mm优质钢管，后拉杆采用≥70×70×2mm矩形管拼焊。</w:t>
            </w:r>
          </w:p>
          <w:p w14:paraId="0F113E9B">
            <w:pPr>
              <w:widowControl/>
              <w:numPr>
                <w:ilvl w:val="0"/>
                <w:numId w:val="339"/>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篮板规格：≥1800mm×1050mm，篮板配用国家通用的高强度安全玻璃篮板。</w:t>
            </w:r>
          </w:p>
          <w:p w14:paraId="239B7270">
            <w:pPr>
              <w:widowControl/>
              <w:numPr>
                <w:ilvl w:val="0"/>
                <w:numId w:val="339"/>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篮圈：优质圆钢制成达国际标准，圈条直径≥18mm。篮圈下沿设有12个均匀分布的系篮网的附加系统，这个系统没有尖锐的角或容得任何手指进入的空间或间隙。</w:t>
            </w:r>
          </w:p>
          <w:p w14:paraId="1D81FA06">
            <w:pPr>
              <w:widowControl/>
              <w:numPr>
                <w:ilvl w:val="0"/>
                <w:numId w:val="339"/>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配备电动动液压升降系统。立柱和底座配有保护套。</w:t>
            </w:r>
          </w:p>
        </w:tc>
        <w:tc>
          <w:tcPr>
            <w:tcW w:w="867" w:type="dxa"/>
            <w:gridSpan w:val="4"/>
            <w:tcBorders>
              <w:top w:val="single" w:color="000000" w:sz="4" w:space="0"/>
              <w:left w:val="single" w:color="000000" w:sz="4" w:space="0"/>
              <w:bottom w:val="single" w:color="000000" w:sz="4" w:space="0"/>
              <w:right w:val="single" w:color="000000" w:sz="4" w:space="0"/>
            </w:tcBorders>
            <w:vAlign w:val="center"/>
          </w:tcPr>
          <w:p w14:paraId="1E6168A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对</w:t>
            </w:r>
          </w:p>
        </w:tc>
        <w:tc>
          <w:tcPr>
            <w:tcW w:w="935" w:type="dxa"/>
            <w:gridSpan w:val="3"/>
            <w:tcBorders>
              <w:top w:val="single" w:color="000000" w:sz="4" w:space="0"/>
              <w:left w:val="single" w:color="000000" w:sz="4" w:space="0"/>
              <w:bottom w:val="single" w:color="000000" w:sz="4" w:space="0"/>
              <w:right w:val="single" w:color="000000" w:sz="4" w:space="0"/>
            </w:tcBorders>
            <w:vAlign w:val="center"/>
          </w:tcPr>
          <w:p w14:paraId="19F8E2E1">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324BB6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jc w:val="center"/>
        </w:trPr>
        <w:tc>
          <w:tcPr>
            <w:tcW w:w="749" w:type="dxa"/>
            <w:tcBorders>
              <w:top w:val="single" w:color="000000" w:sz="4" w:space="0"/>
              <w:left w:val="single" w:color="000000" w:sz="4" w:space="0"/>
              <w:bottom w:val="single" w:color="000000" w:sz="4" w:space="0"/>
              <w:right w:val="single" w:color="000000" w:sz="4" w:space="0"/>
            </w:tcBorders>
            <w:vAlign w:val="center"/>
          </w:tcPr>
          <w:p w14:paraId="21BB0DC6">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w:t>
            </w:r>
          </w:p>
        </w:tc>
        <w:tc>
          <w:tcPr>
            <w:tcW w:w="1227" w:type="dxa"/>
            <w:tcBorders>
              <w:top w:val="single" w:color="000000" w:sz="4" w:space="0"/>
              <w:left w:val="single" w:color="000000" w:sz="4" w:space="0"/>
              <w:bottom w:val="single" w:color="000000" w:sz="4" w:space="0"/>
              <w:right w:val="single" w:color="000000" w:sz="4" w:space="0"/>
            </w:tcBorders>
            <w:vAlign w:val="center"/>
          </w:tcPr>
          <w:p w14:paraId="200C241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比赛用乒乓球台</w:t>
            </w:r>
          </w:p>
        </w:tc>
        <w:tc>
          <w:tcPr>
            <w:tcW w:w="6200" w:type="dxa"/>
            <w:gridSpan w:val="3"/>
            <w:tcBorders>
              <w:top w:val="single" w:color="000000" w:sz="4" w:space="0"/>
              <w:left w:val="single" w:color="000000" w:sz="4" w:space="0"/>
              <w:bottom w:val="single" w:color="000000" w:sz="4" w:space="0"/>
              <w:right w:val="single" w:color="000000" w:sz="4" w:space="0"/>
            </w:tcBorders>
            <w:vAlign w:val="center"/>
          </w:tcPr>
          <w:p w14:paraId="0CD18B48">
            <w:pPr>
              <w:widowControl/>
              <w:numPr>
                <w:ilvl w:val="1"/>
                <w:numId w:val="340"/>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结构类型：大彩虹；</w:t>
            </w:r>
          </w:p>
          <w:p w14:paraId="5DD90579">
            <w:pPr>
              <w:widowControl/>
              <w:numPr>
                <w:ilvl w:val="1"/>
                <w:numId w:val="340"/>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质量等级：优等品；</w:t>
            </w:r>
          </w:p>
          <w:p w14:paraId="69B3D543">
            <w:pPr>
              <w:widowControl/>
              <w:numPr>
                <w:ilvl w:val="1"/>
                <w:numId w:val="340"/>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球台面尺寸：≥2740mm*1525mm；</w:t>
            </w:r>
          </w:p>
          <w:p w14:paraId="3309512B">
            <w:pPr>
              <w:widowControl/>
              <w:numPr>
                <w:ilvl w:val="1"/>
                <w:numId w:val="340"/>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球台高度：≥760mm；</w:t>
            </w:r>
          </w:p>
          <w:p w14:paraId="077BB2B2">
            <w:pPr>
              <w:widowControl/>
              <w:numPr>
                <w:ilvl w:val="1"/>
                <w:numId w:val="340"/>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面板材料：高密度中纤板 ；</w:t>
            </w:r>
          </w:p>
          <w:p w14:paraId="2F830280">
            <w:pPr>
              <w:widowControl/>
              <w:numPr>
                <w:ilvl w:val="1"/>
                <w:numId w:val="340"/>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重量：≥120KG；</w:t>
            </w:r>
          </w:p>
          <w:p w14:paraId="5003A5F1">
            <w:pPr>
              <w:widowControl/>
              <w:numPr>
                <w:ilvl w:val="1"/>
                <w:numId w:val="340"/>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主要承载立柱；折边焊接铁板。</w:t>
            </w:r>
          </w:p>
          <w:p w14:paraId="3701E64B">
            <w:pPr>
              <w:widowControl/>
              <w:numPr>
                <w:ilvl w:val="1"/>
                <w:numId w:val="340"/>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台板厚度：≥25mm；</w:t>
            </w:r>
          </w:p>
          <w:p w14:paraId="5EEC999F">
            <w:pPr>
              <w:widowControl/>
              <w:numPr>
                <w:ilvl w:val="1"/>
                <w:numId w:val="340"/>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 xml:space="preserve"> 表面处理工艺：台面：淋涂；管材：脱脂-酸洗磷化-静电喷涂</w:t>
            </w:r>
          </w:p>
        </w:tc>
        <w:tc>
          <w:tcPr>
            <w:tcW w:w="867" w:type="dxa"/>
            <w:gridSpan w:val="4"/>
            <w:tcBorders>
              <w:top w:val="single" w:color="000000" w:sz="4" w:space="0"/>
              <w:left w:val="single" w:color="000000" w:sz="4" w:space="0"/>
              <w:bottom w:val="single" w:color="000000" w:sz="4" w:space="0"/>
              <w:right w:val="single" w:color="000000" w:sz="4" w:space="0"/>
            </w:tcBorders>
            <w:vAlign w:val="center"/>
          </w:tcPr>
          <w:p w14:paraId="35CE4274">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套</w:t>
            </w:r>
          </w:p>
        </w:tc>
        <w:tc>
          <w:tcPr>
            <w:tcW w:w="935" w:type="dxa"/>
            <w:gridSpan w:val="3"/>
            <w:tcBorders>
              <w:top w:val="single" w:color="000000" w:sz="4" w:space="0"/>
              <w:left w:val="single" w:color="000000" w:sz="4" w:space="0"/>
              <w:bottom w:val="single" w:color="000000" w:sz="4" w:space="0"/>
              <w:right w:val="single" w:color="000000" w:sz="4" w:space="0"/>
            </w:tcBorders>
            <w:vAlign w:val="center"/>
          </w:tcPr>
          <w:p w14:paraId="44D81FE0">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w:t>
            </w:r>
          </w:p>
        </w:tc>
      </w:tr>
      <w:tr w14:paraId="027DCF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jc w:val="center"/>
        </w:trPr>
        <w:tc>
          <w:tcPr>
            <w:tcW w:w="749" w:type="dxa"/>
            <w:tcBorders>
              <w:top w:val="single" w:color="000000" w:sz="4" w:space="0"/>
              <w:left w:val="single" w:color="000000" w:sz="4" w:space="0"/>
              <w:bottom w:val="single" w:color="000000" w:sz="4" w:space="0"/>
              <w:right w:val="single" w:color="000000" w:sz="4" w:space="0"/>
            </w:tcBorders>
            <w:vAlign w:val="center"/>
          </w:tcPr>
          <w:p w14:paraId="1D923834">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3</w:t>
            </w:r>
          </w:p>
        </w:tc>
        <w:tc>
          <w:tcPr>
            <w:tcW w:w="1227" w:type="dxa"/>
            <w:tcBorders>
              <w:top w:val="single" w:color="000000" w:sz="4" w:space="0"/>
              <w:left w:val="single" w:color="000000" w:sz="4" w:space="0"/>
              <w:bottom w:val="single" w:color="000000" w:sz="4" w:space="0"/>
              <w:right w:val="single" w:color="000000" w:sz="4" w:space="0"/>
            </w:tcBorders>
            <w:vAlign w:val="center"/>
          </w:tcPr>
          <w:p w14:paraId="0D82F5B1">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身高体重测试仪</w:t>
            </w:r>
          </w:p>
        </w:tc>
        <w:tc>
          <w:tcPr>
            <w:tcW w:w="6200" w:type="dxa"/>
            <w:gridSpan w:val="3"/>
            <w:tcBorders>
              <w:top w:val="single" w:color="000000" w:sz="4" w:space="0"/>
              <w:left w:val="single" w:color="000000" w:sz="4" w:space="0"/>
              <w:bottom w:val="single" w:color="000000" w:sz="4" w:space="0"/>
              <w:right w:val="single" w:color="000000" w:sz="4" w:space="0"/>
            </w:tcBorders>
            <w:vAlign w:val="center"/>
          </w:tcPr>
          <w:p w14:paraId="74182FC2">
            <w:pPr>
              <w:widowControl/>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技术参数:</w:t>
            </w:r>
          </w:p>
          <w:p w14:paraId="5EED28F9">
            <w:pPr>
              <w:widowControl/>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测量范围: 90~210cm  5.0~200kg   分度值: 0.1cm 0.1kg  误差: ±0.2% ±0.3%</w:t>
            </w:r>
          </w:p>
          <w:p w14:paraId="4B49D044">
            <w:pPr>
              <w:widowControl/>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功能要求：</w:t>
            </w:r>
          </w:p>
          <w:p w14:paraId="69C7AB8C">
            <w:pPr>
              <w:widowControl/>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1.主机采用工控级别CONTEX-M3CPU，直接对底层硬件控制,完全知识产权独立开发。封闭32位私有加密操作系统，保证系统的稳定安全，避免遭受公网病毒干扰。</w:t>
            </w:r>
          </w:p>
          <w:p w14:paraId="2C0D1AD0">
            <w:pPr>
              <w:widowControl/>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2.采用单独MCU处理来自不同厂商的两块存储芯片，提高数据的安全性和抗干扰性。可实现主存储芯片完全烧毁情况下，及数据劫持下的数据完整恢复和保护。主机多种存储方式，同时支持外接IC卡存储、U盘存储，可以保存十年以上的测试数据。</w:t>
            </w:r>
          </w:p>
          <w:p w14:paraId="0DCA6832">
            <w:pPr>
              <w:widowControl/>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3.主机采用菜单式，所见即所得，全程语音（音量可调节并且可输出）提示傻瓜式操作，简单培训就可独立操作。</w:t>
            </w:r>
          </w:p>
          <w:p w14:paraId="290BF658">
            <w:pPr>
              <w:widowControl/>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4.主机具有键盘手工录入ID号的功能，可拓展读取ＩＣ卡、校园一卡通、身份证、扫描条形码身份识别方式。</w:t>
            </w:r>
          </w:p>
          <w:p w14:paraId="4AF65FF1">
            <w:pPr>
              <w:widowControl/>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5.操作人员误删除，数据可一键，可选任意条数恢复，非覆盖模式数据读写数据。</w:t>
            </w:r>
          </w:p>
          <w:p w14:paraId="68CB6F73">
            <w:pPr>
              <w:widowControl/>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6.传输方式：数据组网可以通过有线方式,无线方式，可以实时或者集中批量传输；采用433（远距离传输）和2.4G（大规模组网）双模无线通讯模块兼备传输距离远，绕射穿透能力强,组网容量大。在433M模式传输模式无线通信形成闭环局域网，避免了来自公网的病毒的干扰，主机有效传输距离在开阔地可达1.5公里。</w:t>
            </w:r>
          </w:p>
          <w:p w14:paraId="5F7F72E1">
            <w:pPr>
              <w:widowControl/>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7.主机键盘采用硅胶按键，使用寿命长,九宫格多功能按键设计，经十万次耐久度与疲劳性能测试，保障按键文字不会模糊与脱落，更具手指防滑功能，杜绝手指打滑按错键现象。</w:t>
            </w:r>
          </w:p>
          <w:p w14:paraId="3767155A">
            <w:pPr>
              <w:widowControl/>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8.可使用直流电/交流电双电源；内置高容量锂电池,连续工作10小时以上,全程低压测试。</w:t>
            </w:r>
          </w:p>
          <w:p w14:paraId="08AB01F4">
            <w:pPr>
              <w:widowControl/>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9.主机具备通用性,用户可通过菜单按键操作任意选择秒配任意一种外设，增加主机复用性、可靠性、机动性,主机不通过连接电脑操作，无需修改主机程序便可互换切换任意测试项目，外设与主机通信全部采用ANT2.4G通信协议。</w:t>
            </w:r>
          </w:p>
          <w:p w14:paraId="2376A278">
            <w:pPr>
              <w:widowControl/>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10.同时测试身高与体重，并同时显示身高和体重两项数据,可显示BMI指数值,可以交替查看身高和体重数值；</w:t>
            </w:r>
          </w:p>
          <w:p w14:paraId="19438B3F">
            <w:pPr>
              <w:widowControl/>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11.身高测试采用机电加光栅感应双测量校准,精度高不受外界干扰；</w:t>
            </w:r>
          </w:p>
          <w:p w14:paraId="4F41A576">
            <w:pPr>
              <w:widowControl/>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12.身高体重外设可外接12V直流移动电源,不间断连续工作可达12小时;</w:t>
            </w:r>
          </w:p>
          <w:p w14:paraId="247574D6">
            <w:pPr>
              <w:widowControl/>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13.全自动测量,测试结果数据自动上传到主机显示,测试结果系统自动锁定生成,人工无法干预;</w:t>
            </w:r>
          </w:p>
          <w:p w14:paraId="49100ED5">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14.测试仪底板带有水平仪校对功能,精度高，数据自动清零；</w:t>
            </w:r>
          </w:p>
        </w:tc>
        <w:tc>
          <w:tcPr>
            <w:tcW w:w="867" w:type="dxa"/>
            <w:gridSpan w:val="4"/>
            <w:tcBorders>
              <w:top w:val="single" w:color="000000" w:sz="4" w:space="0"/>
              <w:left w:val="single" w:color="000000" w:sz="4" w:space="0"/>
              <w:bottom w:val="single" w:color="000000" w:sz="4" w:space="0"/>
              <w:right w:val="single" w:color="000000" w:sz="4" w:space="0"/>
            </w:tcBorders>
            <w:vAlign w:val="center"/>
          </w:tcPr>
          <w:p w14:paraId="0815DA1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台</w:t>
            </w:r>
          </w:p>
        </w:tc>
        <w:tc>
          <w:tcPr>
            <w:tcW w:w="935" w:type="dxa"/>
            <w:gridSpan w:val="3"/>
            <w:tcBorders>
              <w:top w:val="single" w:color="000000" w:sz="4" w:space="0"/>
              <w:left w:val="single" w:color="000000" w:sz="4" w:space="0"/>
              <w:bottom w:val="single" w:color="000000" w:sz="4" w:space="0"/>
              <w:right w:val="single" w:color="000000" w:sz="4" w:space="0"/>
            </w:tcBorders>
            <w:vAlign w:val="center"/>
          </w:tcPr>
          <w:p w14:paraId="495CA6F5">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w:t>
            </w:r>
          </w:p>
        </w:tc>
      </w:tr>
      <w:tr w14:paraId="19EE11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jc w:val="center"/>
        </w:trPr>
        <w:tc>
          <w:tcPr>
            <w:tcW w:w="749" w:type="dxa"/>
            <w:tcBorders>
              <w:top w:val="single" w:color="000000" w:sz="4" w:space="0"/>
              <w:left w:val="single" w:color="000000" w:sz="4" w:space="0"/>
              <w:bottom w:val="single" w:color="000000" w:sz="4" w:space="0"/>
              <w:right w:val="single" w:color="000000" w:sz="4" w:space="0"/>
            </w:tcBorders>
            <w:vAlign w:val="center"/>
          </w:tcPr>
          <w:p w14:paraId="2F8D90A7">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4</w:t>
            </w:r>
          </w:p>
        </w:tc>
        <w:tc>
          <w:tcPr>
            <w:tcW w:w="1227" w:type="dxa"/>
            <w:tcBorders>
              <w:top w:val="single" w:color="000000" w:sz="4" w:space="0"/>
              <w:left w:val="single" w:color="000000" w:sz="4" w:space="0"/>
              <w:bottom w:val="single" w:color="000000" w:sz="4" w:space="0"/>
              <w:right w:val="single" w:color="000000" w:sz="4" w:space="0"/>
            </w:tcBorders>
            <w:vAlign w:val="center"/>
          </w:tcPr>
          <w:p w14:paraId="64F330E2">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肺活量测试仪</w:t>
            </w:r>
          </w:p>
        </w:tc>
        <w:tc>
          <w:tcPr>
            <w:tcW w:w="6200" w:type="dxa"/>
            <w:gridSpan w:val="3"/>
            <w:tcBorders>
              <w:top w:val="single" w:color="000000" w:sz="4" w:space="0"/>
              <w:left w:val="single" w:color="000000" w:sz="4" w:space="0"/>
              <w:bottom w:val="single" w:color="000000" w:sz="4" w:space="0"/>
              <w:right w:val="single" w:color="000000" w:sz="4" w:space="0"/>
            </w:tcBorders>
            <w:vAlign w:val="center"/>
          </w:tcPr>
          <w:p w14:paraId="60A73341">
            <w:pPr>
              <w:widowControl/>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技术参数：</w:t>
            </w:r>
          </w:p>
          <w:p w14:paraId="096626B3">
            <w:pPr>
              <w:widowControl/>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 xml:space="preserve">量程：100～9999mL  分度值：1mL  误差：±2.5% </w:t>
            </w:r>
          </w:p>
          <w:p w14:paraId="2EE74B97">
            <w:pPr>
              <w:widowControl/>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功能要求：</w:t>
            </w:r>
          </w:p>
          <w:p w14:paraId="7A4B99EC">
            <w:pPr>
              <w:widowControl/>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1.主机采用工控级别CONTEX-M3CPU，直接对底层硬件控制,完全知识产权独立开发。封闭32位私有加密操作系统，保证系统的稳定安全，避免遭受公网病毒干扰。</w:t>
            </w:r>
          </w:p>
          <w:p w14:paraId="415CEA2C">
            <w:pPr>
              <w:widowControl/>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2.采用单独MCU处理来自不同厂商的两块存储芯片，提高数据的安全性和抗干扰性。可实现主存储芯片完全烧毁情况下，及数据劫持下的数据完整恢复和保护。主机多种存储方式，同时支持外接IC卡存储、U盘存储，可以保存十年以上的测试数据。</w:t>
            </w:r>
          </w:p>
          <w:p w14:paraId="24906224">
            <w:pPr>
              <w:widowControl/>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3.主机采用菜单式，所见即所得，全程语音（音量可调节并且可输出）提示傻瓜式操作，简单培训就可独立操作。</w:t>
            </w:r>
          </w:p>
          <w:p w14:paraId="5211D5D8">
            <w:pPr>
              <w:widowControl/>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4.主机具有键盘手工录入ID号的功能，可拓展读取ＩＣ卡、校园一卡通、身份证、扫描条形码身份识别方式。</w:t>
            </w:r>
          </w:p>
          <w:p w14:paraId="1145A659">
            <w:pPr>
              <w:widowControl/>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5.操作人员误删除，数据可一键，可选任意条数恢复，非覆盖模式数据读写数据。</w:t>
            </w:r>
          </w:p>
          <w:p w14:paraId="380B66DF">
            <w:pPr>
              <w:widowControl/>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6.传输方式：数据组网可以通过有线方式,无线方式，可以实时或者集中批量传输；采用433（远距离传输）和2.4G（大规模组网）双模无线通讯模块兼备传输距离远，绕射穿透能力强,组网容量大。在433M模式传输模式无线通信形成闭环局域网，避免了来自公网的病毒的干扰，主机有效传输距离在开阔地可达1.5公里。</w:t>
            </w:r>
          </w:p>
          <w:p w14:paraId="287637E1">
            <w:pPr>
              <w:widowControl/>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7.主机键盘采用硅胶按键，使用寿命长,九宫格多功能按键设计，经十万次耐久度与疲劳性能测试，保障按键文字不会模糊与脱落，更具手指防滑功能，杜绝手指打滑按错键现象。</w:t>
            </w:r>
          </w:p>
          <w:p w14:paraId="5A4A756C">
            <w:pPr>
              <w:widowControl/>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8.可使用直流电/交流电双电源；内置高容量锂电池,连续工作10小时以上,全程低压测试。</w:t>
            </w:r>
          </w:p>
          <w:p w14:paraId="7587A365">
            <w:pPr>
              <w:widowControl/>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9.主机具备通用性,用户可通过菜单按键操作任意选择秒配任意一种外设，增加主机复用性、可靠性、机动性,主机不通过连接电脑操作，无需修改主机程序便可互换切换任意测试项目，外设与主机通信全部采用ANT2.4G通信协议。</w:t>
            </w:r>
          </w:p>
          <w:p w14:paraId="6F9460DC">
            <w:pPr>
              <w:widowControl/>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10.可任意设定测量次数,自动存储最佳测试数据。</w:t>
            </w:r>
          </w:p>
          <w:p w14:paraId="2A54CBD6">
            <w:pPr>
              <w:widowControl/>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11.可查询三次肺活量值和最佳值。</w:t>
            </w:r>
          </w:p>
          <w:p w14:paraId="121CAA96">
            <w:pPr>
              <w:widowControl/>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12.外设到主机数据传输是通过非流量管方式，避免口水汽进入主机；呼气装置采用压差传感技术，可防止多次吹气后口水在气筒内聚集、防止交叉传染，通气道可清洗；采用一次性吹嘴更换方便。</w:t>
            </w:r>
          </w:p>
          <w:p w14:paraId="70C8E7CC">
            <w:pPr>
              <w:widowControl/>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13.外设采用有线外设和无线外设两种,无线外设采用内置2.4G模块通信,一个主机可以同时连接多个外设,无线外设采用低功耗设计3分钟未使用自动关机，带电量显示功能使用7号电池供电方便更换。</w:t>
            </w:r>
          </w:p>
          <w:p w14:paraId="66717CDC">
            <w:pPr>
              <w:widowControl/>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14.无线外设可独立使用自带液晶显示屏,可以与主机同步显示测试数据。</w:t>
            </w:r>
          </w:p>
          <w:p w14:paraId="2ACFF896">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15.全自动测量,测试结果数据自动上传到主机显示,测试结果系统自动锁定生成,人工无法干预。</w:t>
            </w:r>
          </w:p>
        </w:tc>
        <w:tc>
          <w:tcPr>
            <w:tcW w:w="867" w:type="dxa"/>
            <w:gridSpan w:val="4"/>
            <w:tcBorders>
              <w:top w:val="single" w:color="000000" w:sz="4" w:space="0"/>
              <w:left w:val="single" w:color="000000" w:sz="4" w:space="0"/>
              <w:bottom w:val="single" w:color="000000" w:sz="4" w:space="0"/>
              <w:right w:val="single" w:color="000000" w:sz="4" w:space="0"/>
            </w:tcBorders>
            <w:vAlign w:val="center"/>
          </w:tcPr>
          <w:p w14:paraId="07806537">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台</w:t>
            </w:r>
          </w:p>
        </w:tc>
        <w:tc>
          <w:tcPr>
            <w:tcW w:w="935" w:type="dxa"/>
            <w:gridSpan w:val="3"/>
            <w:tcBorders>
              <w:top w:val="single" w:color="000000" w:sz="4" w:space="0"/>
              <w:left w:val="single" w:color="000000" w:sz="4" w:space="0"/>
              <w:bottom w:val="single" w:color="000000" w:sz="4" w:space="0"/>
              <w:right w:val="single" w:color="000000" w:sz="4" w:space="0"/>
            </w:tcBorders>
            <w:vAlign w:val="center"/>
          </w:tcPr>
          <w:p w14:paraId="63B7B6D6">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w:t>
            </w:r>
          </w:p>
        </w:tc>
      </w:tr>
      <w:tr w14:paraId="6F67F3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jc w:val="center"/>
        </w:trPr>
        <w:tc>
          <w:tcPr>
            <w:tcW w:w="749" w:type="dxa"/>
            <w:tcBorders>
              <w:top w:val="single" w:color="000000" w:sz="4" w:space="0"/>
              <w:left w:val="single" w:color="000000" w:sz="4" w:space="0"/>
              <w:bottom w:val="single" w:color="000000" w:sz="4" w:space="0"/>
              <w:right w:val="single" w:color="000000" w:sz="4" w:space="0"/>
            </w:tcBorders>
            <w:vAlign w:val="center"/>
          </w:tcPr>
          <w:p w14:paraId="5D0EFDFF">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5</w:t>
            </w:r>
          </w:p>
        </w:tc>
        <w:tc>
          <w:tcPr>
            <w:tcW w:w="1227" w:type="dxa"/>
            <w:tcBorders>
              <w:top w:val="single" w:color="000000" w:sz="4" w:space="0"/>
              <w:left w:val="single" w:color="000000" w:sz="4" w:space="0"/>
              <w:bottom w:val="single" w:color="000000" w:sz="4" w:space="0"/>
              <w:right w:val="single" w:color="000000" w:sz="4" w:space="0"/>
            </w:tcBorders>
            <w:vAlign w:val="center"/>
          </w:tcPr>
          <w:p w14:paraId="2333070A">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坐位体前屈测试仪</w:t>
            </w:r>
          </w:p>
        </w:tc>
        <w:tc>
          <w:tcPr>
            <w:tcW w:w="6200" w:type="dxa"/>
            <w:gridSpan w:val="3"/>
            <w:tcBorders>
              <w:top w:val="single" w:color="000000" w:sz="4" w:space="0"/>
              <w:left w:val="single" w:color="000000" w:sz="4" w:space="0"/>
              <w:bottom w:val="single" w:color="000000" w:sz="4" w:space="0"/>
              <w:right w:val="single" w:color="000000" w:sz="4" w:space="0"/>
            </w:tcBorders>
          </w:tcPr>
          <w:p w14:paraId="77A1D795">
            <w:pPr>
              <w:widowControl/>
              <w:jc w:val="left"/>
              <w:textAlignment w:val="top"/>
              <w:rPr>
                <w:rFonts w:hint="eastAsia" w:ascii="宋体" w:hAnsi="宋体"/>
                <w:color w:val="auto"/>
                <w:kern w:val="0"/>
                <w:szCs w:val="21"/>
                <w:highlight w:val="none"/>
                <w:lang w:bidi="ar"/>
              </w:rPr>
            </w:pPr>
            <w:r>
              <w:rPr>
                <w:rFonts w:hint="eastAsia" w:ascii="宋体" w:hAnsi="宋体"/>
                <w:color w:val="auto"/>
                <w:kern w:val="0"/>
                <w:szCs w:val="21"/>
                <w:highlight w:val="none"/>
                <w:lang w:bidi="ar"/>
              </w:rPr>
              <w:t>技术参数：</w:t>
            </w:r>
          </w:p>
          <w:p w14:paraId="16D85DE0">
            <w:pPr>
              <w:widowControl/>
              <w:jc w:val="left"/>
              <w:textAlignment w:val="top"/>
              <w:rPr>
                <w:rFonts w:hint="eastAsia" w:ascii="宋体" w:hAnsi="宋体"/>
                <w:color w:val="auto"/>
                <w:kern w:val="0"/>
                <w:szCs w:val="21"/>
                <w:highlight w:val="none"/>
                <w:lang w:bidi="ar"/>
              </w:rPr>
            </w:pPr>
            <w:r>
              <w:rPr>
                <w:rFonts w:hint="eastAsia" w:ascii="宋体" w:hAnsi="宋体"/>
                <w:color w:val="auto"/>
                <w:kern w:val="0"/>
                <w:szCs w:val="21"/>
                <w:highlight w:val="none"/>
                <w:lang w:bidi="ar"/>
              </w:rPr>
              <w:t xml:space="preserve">量程：-20 ～ 40cm   分度值：0.1cm   误差：±0.2cm </w:t>
            </w:r>
          </w:p>
          <w:p w14:paraId="05961FD6">
            <w:pPr>
              <w:widowControl/>
              <w:jc w:val="left"/>
              <w:textAlignment w:val="top"/>
              <w:rPr>
                <w:rFonts w:hint="eastAsia" w:ascii="宋体" w:hAnsi="宋体"/>
                <w:color w:val="auto"/>
                <w:kern w:val="0"/>
                <w:szCs w:val="21"/>
                <w:highlight w:val="none"/>
                <w:lang w:bidi="ar"/>
              </w:rPr>
            </w:pPr>
            <w:r>
              <w:rPr>
                <w:rFonts w:hint="eastAsia" w:ascii="宋体" w:hAnsi="宋体"/>
                <w:color w:val="auto"/>
                <w:kern w:val="0"/>
                <w:szCs w:val="21"/>
                <w:highlight w:val="none"/>
                <w:lang w:bidi="ar"/>
              </w:rPr>
              <w:t>功能要求：</w:t>
            </w:r>
          </w:p>
          <w:p w14:paraId="6B5016D4">
            <w:pPr>
              <w:widowControl/>
              <w:jc w:val="left"/>
              <w:textAlignment w:val="top"/>
              <w:rPr>
                <w:rFonts w:hint="eastAsia" w:ascii="宋体" w:hAnsi="宋体"/>
                <w:color w:val="auto"/>
                <w:kern w:val="0"/>
                <w:szCs w:val="21"/>
                <w:highlight w:val="none"/>
                <w:lang w:bidi="ar"/>
              </w:rPr>
            </w:pPr>
            <w:r>
              <w:rPr>
                <w:rFonts w:hint="eastAsia" w:ascii="宋体" w:hAnsi="宋体"/>
                <w:color w:val="auto"/>
                <w:kern w:val="0"/>
                <w:szCs w:val="21"/>
                <w:highlight w:val="none"/>
                <w:lang w:bidi="ar"/>
              </w:rPr>
              <w:t>1.主机采用工控级别CONTEX-M3CPU，直接对底层硬件控制,完全知识产权独立开发。封闭32位私有加密操作系统，保证系统的稳定安全，避免遭受公网病毒干扰。</w:t>
            </w:r>
          </w:p>
          <w:p w14:paraId="7A88A4CB">
            <w:pPr>
              <w:widowControl/>
              <w:jc w:val="left"/>
              <w:textAlignment w:val="top"/>
              <w:rPr>
                <w:rFonts w:hint="eastAsia" w:ascii="宋体" w:hAnsi="宋体"/>
                <w:color w:val="auto"/>
                <w:kern w:val="0"/>
                <w:szCs w:val="21"/>
                <w:highlight w:val="none"/>
                <w:lang w:bidi="ar"/>
              </w:rPr>
            </w:pPr>
            <w:r>
              <w:rPr>
                <w:rFonts w:hint="eastAsia" w:ascii="宋体" w:hAnsi="宋体"/>
                <w:color w:val="auto"/>
                <w:kern w:val="0"/>
                <w:szCs w:val="21"/>
                <w:highlight w:val="none"/>
                <w:lang w:bidi="ar"/>
              </w:rPr>
              <w:t>2.采用单独MCU处理来自不同厂商的两块存储芯片，提高数据的安全性和抗干扰性。可实现主存储芯片完全烧毁情况下，及数据劫持下的数据完整恢复和保护。主机多种存储方式，同时支持外接IC卡存储、U盘存储，可以保存十年以上的测试数据。</w:t>
            </w:r>
          </w:p>
          <w:p w14:paraId="67270198">
            <w:pPr>
              <w:widowControl/>
              <w:jc w:val="left"/>
              <w:textAlignment w:val="top"/>
              <w:rPr>
                <w:rFonts w:hint="eastAsia" w:ascii="宋体" w:hAnsi="宋体"/>
                <w:color w:val="auto"/>
                <w:kern w:val="0"/>
                <w:szCs w:val="21"/>
                <w:highlight w:val="none"/>
                <w:lang w:bidi="ar"/>
              </w:rPr>
            </w:pPr>
            <w:r>
              <w:rPr>
                <w:rFonts w:hint="eastAsia" w:ascii="宋体" w:hAnsi="宋体"/>
                <w:color w:val="auto"/>
                <w:kern w:val="0"/>
                <w:szCs w:val="21"/>
                <w:highlight w:val="none"/>
                <w:lang w:bidi="ar"/>
              </w:rPr>
              <w:t>3.主机采用菜单式，所见即所得，全程语音（音量可调节并且可输出）提示傻瓜式操作，简单培训就可独立操作。</w:t>
            </w:r>
          </w:p>
          <w:p w14:paraId="5E751C2D">
            <w:pPr>
              <w:widowControl/>
              <w:jc w:val="left"/>
              <w:textAlignment w:val="top"/>
              <w:rPr>
                <w:rFonts w:hint="eastAsia" w:ascii="宋体" w:hAnsi="宋体"/>
                <w:color w:val="auto"/>
                <w:kern w:val="0"/>
                <w:szCs w:val="21"/>
                <w:highlight w:val="none"/>
                <w:lang w:bidi="ar"/>
              </w:rPr>
            </w:pPr>
            <w:r>
              <w:rPr>
                <w:rFonts w:hint="eastAsia" w:ascii="宋体" w:hAnsi="宋体"/>
                <w:color w:val="auto"/>
                <w:kern w:val="0"/>
                <w:szCs w:val="21"/>
                <w:highlight w:val="none"/>
                <w:lang w:bidi="ar"/>
              </w:rPr>
              <w:t>4.主机具有键盘手工录入ID号的功能，可拓展读取ＩＣ卡、校园一卡通、身份证、扫描条形码身份识别方式。</w:t>
            </w:r>
          </w:p>
          <w:p w14:paraId="4DC6E322">
            <w:pPr>
              <w:widowControl/>
              <w:jc w:val="left"/>
              <w:textAlignment w:val="top"/>
              <w:rPr>
                <w:rFonts w:hint="eastAsia" w:ascii="宋体" w:hAnsi="宋体"/>
                <w:color w:val="auto"/>
                <w:kern w:val="0"/>
                <w:szCs w:val="21"/>
                <w:highlight w:val="none"/>
                <w:lang w:bidi="ar"/>
              </w:rPr>
            </w:pPr>
            <w:r>
              <w:rPr>
                <w:rFonts w:hint="eastAsia" w:ascii="宋体" w:hAnsi="宋体"/>
                <w:color w:val="auto"/>
                <w:kern w:val="0"/>
                <w:szCs w:val="21"/>
                <w:highlight w:val="none"/>
                <w:lang w:bidi="ar"/>
              </w:rPr>
              <w:t>5.操作人员误删除，数据可一键，可选任意条数恢复，非覆盖模式数据读写数据。</w:t>
            </w:r>
          </w:p>
          <w:p w14:paraId="620461B2">
            <w:pPr>
              <w:widowControl/>
              <w:jc w:val="left"/>
              <w:textAlignment w:val="top"/>
              <w:rPr>
                <w:rFonts w:hint="eastAsia" w:ascii="宋体" w:hAnsi="宋体"/>
                <w:color w:val="auto"/>
                <w:kern w:val="0"/>
                <w:szCs w:val="21"/>
                <w:highlight w:val="none"/>
                <w:lang w:bidi="ar"/>
              </w:rPr>
            </w:pPr>
            <w:r>
              <w:rPr>
                <w:rFonts w:hint="eastAsia" w:ascii="宋体" w:hAnsi="宋体"/>
                <w:color w:val="auto"/>
                <w:kern w:val="0"/>
                <w:szCs w:val="21"/>
                <w:highlight w:val="none"/>
                <w:lang w:bidi="ar"/>
              </w:rPr>
              <w:t>6.传输方式：数据组网可以通过有线方式,无线方式，可以实时或者集中批量传输；采用433（远距离传输）和2.4G（大规模组网）双模无线通讯模块兼备传输距离远，绕射穿透能力强,组网容量大。在433M模式传输模式无线通信形成闭环局域网，避免了来自公网的病毒的干扰，主机有效传输距离在开阔地可达1.5公里。</w:t>
            </w:r>
          </w:p>
          <w:p w14:paraId="5D24DB67">
            <w:pPr>
              <w:widowControl/>
              <w:jc w:val="left"/>
              <w:textAlignment w:val="top"/>
              <w:rPr>
                <w:rFonts w:hint="eastAsia" w:ascii="宋体" w:hAnsi="宋体"/>
                <w:color w:val="auto"/>
                <w:kern w:val="0"/>
                <w:szCs w:val="21"/>
                <w:highlight w:val="none"/>
                <w:lang w:bidi="ar"/>
              </w:rPr>
            </w:pPr>
            <w:r>
              <w:rPr>
                <w:rFonts w:hint="eastAsia" w:ascii="宋体" w:hAnsi="宋体"/>
                <w:color w:val="auto"/>
                <w:kern w:val="0"/>
                <w:szCs w:val="21"/>
                <w:highlight w:val="none"/>
                <w:lang w:bidi="ar"/>
              </w:rPr>
              <w:t>7.主机键盘采用硅胶按键，使用寿命长,九宫格多功能按键设计，经十万次耐久度与疲劳性能测试，保障按键文字不会模糊与脱落，更具手指防滑功能，杜绝手指打滑按错键现象。</w:t>
            </w:r>
          </w:p>
          <w:p w14:paraId="6A01F447">
            <w:pPr>
              <w:widowControl/>
              <w:jc w:val="left"/>
              <w:textAlignment w:val="top"/>
              <w:rPr>
                <w:rFonts w:hint="eastAsia" w:ascii="宋体" w:hAnsi="宋体"/>
                <w:color w:val="auto"/>
                <w:kern w:val="0"/>
                <w:szCs w:val="21"/>
                <w:highlight w:val="none"/>
                <w:lang w:bidi="ar"/>
              </w:rPr>
            </w:pPr>
            <w:r>
              <w:rPr>
                <w:rFonts w:hint="eastAsia" w:ascii="宋体" w:hAnsi="宋体"/>
                <w:color w:val="auto"/>
                <w:kern w:val="0"/>
                <w:szCs w:val="21"/>
                <w:highlight w:val="none"/>
                <w:lang w:bidi="ar"/>
              </w:rPr>
              <w:t>8.可使用直流电/交流电双电源；内置高容量锂电池,连续工作10小时以上,全程低压测试。</w:t>
            </w:r>
          </w:p>
          <w:p w14:paraId="68053D47">
            <w:pPr>
              <w:widowControl/>
              <w:jc w:val="left"/>
              <w:textAlignment w:val="top"/>
              <w:rPr>
                <w:rFonts w:hint="eastAsia" w:ascii="宋体" w:hAnsi="宋体"/>
                <w:color w:val="auto"/>
                <w:kern w:val="0"/>
                <w:szCs w:val="21"/>
                <w:highlight w:val="none"/>
                <w:lang w:bidi="ar"/>
              </w:rPr>
            </w:pPr>
            <w:r>
              <w:rPr>
                <w:rFonts w:hint="eastAsia" w:ascii="宋体" w:hAnsi="宋体"/>
                <w:color w:val="auto"/>
                <w:kern w:val="0"/>
                <w:szCs w:val="21"/>
                <w:highlight w:val="none"/>
                <w:lang w:bidi="ar"/>
              </w:rPr>
              <w:t>9.主机具备通用性,用户可通过菜单按键操作任意选择秒配任意一种外设，增加主机复用性、可靠性、机动性,主机不通过连接电脑操作，无需修改主机程序便可互换切换任意测试项目，外设与主机通信全部采用ANT2.4G通信协议。</w:t>
            </w:r>
          </w:p>
          <w:p w14:paraId="2C0CC5CE">
            <w:pPr>
              <w:widowControl/>
              <w:jc w:val="left"/>
              <w:textAlignment w:val="top"/>
              <w:rPr>
                <w:rFonts w:hint="eastAsia" w:ascii="宋体" w:hAnsi="宋体"/>
                <w:color w:val="auto"/>
                <w:kern w:val="0"/>
                <w:szCs w:val="21"/>
                <w:highlight w:val="none"/>
                <w:lang w:bidi="ar"/>
              </w:rPr>
            </w:pPr>
            <w:r>
              <w:rPr>
                <w:rFonts w:hint="eastAsia" w:ascii="宋体" w:hAnsi="宋体"/>
                <w:color w:val="auto"/>
                <w:kern w:val="0"/>
                <w:szCs w:val="21"/>
                <w:highlight w:val="none"/>
                <w:lang w:bidi="ar"/>
              </w:rPr>
              <w:t>10.推板具有防作弊功能，反推或者停顿超时自动锁定读数。传感器精度高，抗光性强，不易受外在环境影响。</w:t>
            </w:r>
          </w:p>
          <w:p w14:paraId="010D30BA">
            <w:pPr>
              <w:widowControl/>
              <w:jc w:val="left"/>
              <w:textAlignment w:val="top"/>
              <w:rPr>
                <w:rFonts w:hint="eastAsia" w:ascii="宋体" w:hAnsi="宋体"/>
                <w:color w:val="auto"/>
                <w:kern w:val="0"/>
                <w:szCs w:val="21"/>
                <w:highlight w:val="none"/>
                <w:lang w:bidi="ar"/>
              </w:rPr>
            </w:pPr>
            <w:r>
              <w:rPr>
                <w:rFonts w:hint="eastAsia" w:ascii="宋体" w:hAnsi="宋体"/>
                <w:color w:val="auto"/>
                <w:kern w:val="0"/>
                <w:szCs w:val="21"/>
                <w:highlight w:val="none"/>
                <w:lang w:bidi="ar"/>
              </w:rPr>
              <w:t>11.推板可自动回位，自动测试数据。</w:t>
            </w:r>
          </w:p>
          <w:p w14:paraId="72130E95">
            <w:pPr>
              <w:widowControl/>
              <w:jc w:val="left"/>
              <w:textAlignment w:val="top"/>
              <w:rPr>
                <w:rFonts w:hint="eastAsia" w:ascii="宋体" w:hAnsi="宋体"/>
                <w:color w:val="auto"/>
                <w:kern w:val="0"/>
                <w:szCs w:val="21"/>
                <w:highlight w:val="none"/>
                <w:lang w:bidi="ar"/>
              </w:rPr>
            </w:pPr>
            <w:r>
              <w:rPr>
                <w:rFonts w:hint="eastAsia" w:ascii="宋体" w:hAnsi="宋体"/>
                <w:color w:val="auto"/>
                <w:kern w:val="0"/>
                <w:szCs w:val="21"/>
                <w:highlight w:val="none"/>
                <w:lang w:bidi="ar"/>
              </w:rPr>
              <w:t>12.外设采用有线外设和无线外设两种,无线外设采用内置2.4G模块通信,具有一个主机同时连接多个外设,无线外设采用低功耗设计3分钟未使用自动关机，带电量显示功能使用7号电池供电方便更换。</w:t>
            </w:r>
          </w:p>
          <w:p w14:paraId="6023611D">
            <w:pPr>
              <w:widowControl/>
              <w:jc w:val="left"/>
              <w:textAlignment w:val="top"/>
              <w:rPr>
                <w:rFonts w:hint="eastAsia" w:ascii="宋体" w:hAnsi="宋体"/>
                <w:color w:val="auto"/>
                <w:kern w:val="0"/>
                <w:szCs w:val="21"/>
                <w:highlight w:val="none"/>
                <w:lang w:bidi="ar"/>
              </w:rPr>
            </w:pPr>
            <w:r>
              <w:rPr>
                <w:rFonts w:hint="eastAsia" w:ascii="宋体" w:hAnsi="宋体"/>
                <w:color w:val="auto"/>
                <w:kern w:val="0"/>
                <w:szCs w:val="21"/>
                <w:highlight w:val="none"/>
                <w:lang w:bidi="ar"/>
              </w:rPr>
              <w:t>13.无线外设自带液晶显示屏,可以于主机同步显示测试数据。</w:t>
            </w:r>
          </w:p>
          <w:p w14:paraId="48518BFF">
            <w:pPr>
              <w:widowControl/>
              <w:jc w:val="left"/>
              <w:textAlignment w:val="top"/>
              <w:rPr>
                <w:rFonts w:hint="eastAsia" w:ascii="宋体" w:hAnsi="宋体"/>
                <w:color w:val="auto"/>
                <w:kern w:val="0"/>
                <w:szCs w:val="21"/>
                <w:highlight w:val="none"/>
                <w:lang w:bidi="ar"/>
              </w:rPr>
            </w:pPr>
            <w:r>
              <w:rPr>
                <w:rFonts w:hint="eastAsia" w:ascii="宋体" w:hAnsi="宋体"/>
                <w:color w:val="auto"/>
                <w:kern w:val="0"/>
                <w:szCs w:val="21"/>
                <w:highlight w:val="none"/>
                <w:lang w:bidi="ar"/>
              </w:rPr>
              <w:t>14.2人同测，可扩展多人同时测试。</w:t>
            </w:r>
          </w:p>
          <w:p w14:paraId="7B749624">
            <w:pPr>
              <w:widowControl/>
              <w:jc w:val="left"/>
              <w:textAlignment w:val="top"/>
              <w:rPr>
                <w:rFonts w:hint="eastAsia" w:ascii="宋体" w:hAnsi="宋体"/>
                <w:color w:val="auto"/>
                <w:kern w:val="0"/>
                <w:szCs w:val="21"/>
                <w:highlight w:val="none"/>
                <w:lang w:bidi="ar"/>
              </w:rPr>
            </w:pPr>
            <w:r>
              <w:rPr>
                <w:rFonts w:hint="eastAsia" w:ascii="宋体" w:hAnsi="宋体"/>
                <w:color w:val="auto"/>
                <w:kern w:val="0"/>
                <w:szCs w:val="21"/>
                <w:highlight w:val="none"/>
                <w:lang w:bidi="ar"/>
              </w:rPr>
              <w:t>15.全自动测量,测试结果数据自动上传到主机显示,测试结果系统自动锁定生成,人工无法干预。</w:t>
            </w:r>
          </w:p>
          <w:p w14:paraId="42B0E17B">
            <w:pPr>
              <w:widowControl/>
              <w:jc w:val="left"/>
              <w:textAlignment w:val="top"/>
              <w:rPr>
                <w:rFonts w:hint="eastAsia" w:ascii="宋体" w:hAnsi="宋体"/>
                <w:color w:val="auto"/>
                <w:kern w:val="0"/>
                <w:szCs w:val="21"/>
                <w:highlight w:val="none"/>
                <w:lang w:bidi="ar"/>
              </w:rPr>
            </w:pPr>
            <w:r>
              <w:rPr>
                <w:rFonts w:hint="eastAsia" w:ascii="宋体" w:hAnsi="宋体"/>
                <w:color w:val="auto"/>
                <w:kern w:val="0"/>
                <w:szCs w:val="21"/>
                <w:highlight w:val="none"/>
                <w:lang w:bidi="ar"/>
              </w:rPr>
              <w:t>16.可设定测量次数,自动存储最佳测试数据。</w:t>
            </w:r>
          </w:p>
          <w:p w14:paraId="16C71602">
            <w:pPr>
              <w:widowControl/>
              <w:jc w:val="left"/>
              <w:textAlignment w:val="top"/>
              <w:rPr>
                <w:rFonts w:hint="eastAsia" w:ascii="宋体" w:hAnsi="宋体"/>
                <w:color w:val="auto"/>
                <w:szCs w:val="21"/>
                <w:highlight w:val="none"/>
              </w:rPr>
            </w:pPr>
            <w:r>
              <w:rPr>
                <w:rFonts w:hint="eastAsia" w:ascii="宋体" w:hAnsi="宋体"/>
                <w:color w:val="auto"/>
                <w:kern w:val="0"/>
                <w:szCs w:val="21"/>
                <w:highlight w:val="none"/>
                <w:lang w:bidi="ar"/>
              </w:rPr>
              <w:t>17.可查询三次测量值和最佳值。</w:t>
            </w:r>
          </w:p>
        </w:tc>
        <w:tc>
          <w:tcPr>
            <w:tcW w:w="867" w:type="dxa"/>
            <w:gridSpan w:val="4"/>
            <w:tcBorders>
              <w:top w:val="single" w:color="000000" w:sz="4" w:space="0"/>
              <w:left w:val="single" w:color="000000" w:sz="4" w:space="0"/>
              <w:bottom w:val="single" w:color="000000" w:sz="4" w:space="0"/>
              <w:right w:val="single" w:color="000000" w:sz="4" w:space="0"/>
            </w:tcBorders>
            <w:vAlign w:val="center"/>
          </w:tcPr>
          <w:p w14:paraId="6EA41AE6">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台</w:t>
            </w:r>
          </w:p>
        </w:tc>
        <w:tc>
          <w:tcPr>
            <w:tcW w:w="935" w:type="dxa"/>
            <w:gridSpan w:val="3"/>
            <w:tcBorders>
              <w:top w:val="single" w:color="000000" w:sz="4" w:space="0"/>
              <w:left w:val="single" w:color="000000" w:sz="4" w:space="0"/>
              <w:bottom w:val="single" w:color="000000" w:sz="4" w:space="0"/>
              <w:right w:val="single" w:color="000000" w:sz="4" w:space="0"/>
            </w:tcBorders>
            <w:vAlign w:val="center"/>
          </w:tcPr>
          <w:p w14:paraId="28A8D108">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w:t>
            </w:r>
          </w:p>
        </w:tc>
      </w:tr>
      <w:tr w14:paraId="3D6E6D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jc w:val="center"/>
        </w:trPr>
        <w:tc>
          <w:tcPr>
            <w:tcW w:w="749" w:type="dxa"/>
            <w:tcBorders>
              <w:top w:val="single" w:color="000000" w:sz="4" w:space="0"/>
              <w:left w:val="single" w:color="000000" w:sz="4" w:space="0"/>
              <w:bottom w:val="single" w:color="000000" w:sz="4" w:space="0"/>
              <w:right w:val="single" w:color="000000" w:sz="4" w:space="0"/>
            </w:tcBorders>
            <w:vAlign w:val="center"/>
          </w:tcPr>
          <w:p w14:paraId="0204B026">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6</w:t>
            </w:r>
          </w:p>
        </w:tc>
        <w:tc>
          <w:tcPr>
            <w:tcW w:w="1227" w:type="dxa"/>
            <w:tcBorders>
              <w:top w:val="single" w:color="000000" w:sz="4" w:space="0"/>
              <w:left w:val="single" w:color="000000" w:sz="4" w:space="0"/>
              <w:bottom w:val="single" w:color="000000" w:sz="4" w:space="0"/>
              <w:right w:val="single" w:color="000000" w:sz="4" w:space="0"/>
            </w:tcBorders>
            <w:vAlign w:val="center"/>
          </w:tcPr>
          <w:p w14:paraId="08E6635F">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立定跳远测试仪</w:t>
            </w:r>
          </w:p>
        </w:tc>
        <w:tc>
          <w:tcPr>
            <w:tcW w:w="6200" w:type="dxa"/>
            <w:gridSpan w:val="3"/>
            <w:tcBorders>
              <w:top w:val="single" w:color="000000" w:sz="4" w:space="0"/>
              <w:left w:val="single" w:color="000000" w:sz="4" w:space="0"/>
              <w:bottom w:val="single" w:color="000000" w:sz="4" w:space="0"/>
              <w:right w:val="single" w:color="000000" w:sz="4" w:space="0"/>
            </w:tcBorders>
            <w:vAlign w:val="center"/>
          </w:tcPr>
          <w:p w14:paraId="097EE485">
            <w:pPr>
              <w:widowControl/>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技术参数：</w:t>
            </w:r>
          </w:p>
          <w:p w14:paraId="641184D7">
            <w:pPr>
              <w:widowControl/>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量程：90～300cm   分度值：1cm   误差：±1cm</w:t>
            </w:r>
          </w:p>
          <w:p w14:paraId="0F222871">
            <w:pPr>
              <w:widowControl/>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功能要求：</w:t>
            </w:r>
          </w:p>
          <w:p w14:paraId="2C763F0F">
            <w:pPr>
              <w:widowControl/>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1.主机采用工控级别CONTEX-M3CPU，直接对底层硬件控制,完全知识产权独立开发。封闭32位私有加密操作系统，保证系统的稳定安全，避免遭受公网病毒干扰。</w:t>
            </w:r>
          </w:p>
          <w:p w14:paraId="4F5DEB47">
            <w:pPr>
              <w:widowControl/>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2.采用单独MCU处理来自不同厂商的两块存储芯片，提高数据的安全性和抗干扰性。可实现主存储芯片完全烧毁情况下，及数据劫持下的数据完整恢复和保护。主机多种存储方式，同时支持外接IC卡存储、U盘存储，可以保存十年以上的测试数据。</w:t>
            </w:r>
          </w:p>
          <w:p w14:paraId="6117F1E9">
            <w:pPr>
              <w:widowControl/>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3.主机采用菜单式，所见即所得，全程语音（音量可调节并且可输出）提示傻瓜式操作，简单培训就可独立操作。</w:t>
            </w:r>
          </w:p>
          <w:p w14:paraId="6EA85FCB">
            <w:pPr>
              <w:widowControl/>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4.主机具有键盘手工录入ID号的功能，可拓展读取ＩＣ卡、校园一卡通、身份证、扫描条形码身份识别方式。</w:t>
            </w:r>
          </w:p>
          <w:p w14:paraId="4C6FDB04">
            <w:pPr>
              <w:widowControl/>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5.操作人员误删除，数据可一键，可选任意条数恢复，非覆盖模式数据读写数据。</w:t>
            </w:r>
          </w:p>
          <w:p w14:paraId="7A32146C">
            <w:pPr>
              <w:widowControl/>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6.传输方式：数据组网可以通过有线方式,无线方式，可以实时或者集中批量传输；采用433（远距离传输）和2.4G（大规模组网）双模无线通讯模块兼备传输距离远，绕射穿透能力强,组网容量大。在433M模式传输模式无线通信形成闭环局域网，避免了来自公网的病毒的干扰，主机有效传输距离在开阔地可达1.5公里。</w:t>
            </w:r>
          </w:p>
          <w:p w14:paraId="6E46699E">
            <w:pPr>
              <w:widowControl/>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7.主机键盘采用硅胶按键，使用寿命长,九宫格多功能按键设计，经十万次耐久度与疲劳性能测试，保障按键文字不会模糊与脱落，更具手指防滑功能，杜绝手指打滑按错键现象。</w:t>
            </w:r>
          </w:p>
          <w:p w14:paraId="1E4ED24E">
            <w:pPr>
              <w:widowControl/>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8.可使用直流电/交流电双电源；内置高容量锂电池,连续工作10小时以上,全程低压测试。</w:t>
            </w:r>
          </w:p>
          <w:p w14:paraId="50E6B035">
            <w:pPr>
              <w:widowControl/>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9.主机具备通用性,用户可通过菜单按键操作任意选择秒配任意一种外设，增加主机复用性、可靠性、机动性,主机不通过连接电脑操作，无需修改主机程序便可互换切换任意测试项目，外设与主机通信全部采用ANT2.4G通信协议。</w:t>
            </w:r>
          </w:p>
          <w:p w14:paraId="3D02D219">
            <w:pPr>
              <w:widowControl/>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10.采用非接触式红外对射管技术，测试精确、稳定快速。</w:t>
            </w:r>
          </w:p>
          <w:p w14:paraId="3042D1B0">
            <w:pPr>
              <w:widowControl/>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11.自动监测起跳时是否踩线或犯规，并语音提醒。</w:t>
            </w:r>
          </w:p>
          <w:p w14:paraId="0E732728">
            <w:pPr>
              <w:widowControl/>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12.采用加厚防滑垫，防滑减震。</w:t>
            </w:r>
          </w:p>
          <w:p w14:paraId="72B1D151">
            <w:pPr>
              <w:widowControl/>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13.单一起跳线，全量程测试，无需选择起跳点。</w:t>
            </w:r>
          </w:p>
          <w:p w14:paraId="2AB7FB93">
            <w:pPr>
              <w:widowControl/>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14.无线外设有线外设集于一体。</w:t>
            </w:r>
          </w:p>
          <w:p w14:paraId="6F3B06A6">
            <w:pPr>
              <w:widowControl/>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15.无线模式采用2.4G无线模块和主机连接,支持一个主机带多个外设,内置2.4G模块，2人同测。</w:t>
            </w:r>
          </w:p>
          <w:p w14:paraId="467AFCC0">
            <w:pPr>
              <w:widowControl/>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16.可外接12V移动电源,不接市电的情况下可以完成一个工作日的测试。</w:t>
            </w:r>
          </w:p>
          <w:p w14:paraId="773F21B2">
            <w:pPr>
              <w:widowControl/>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17.全自动测量,测试结果数据自动上传到主机显示,测试结果系统自动锁定生成,人工无法干预。</w:t>
            </w:r>
          </w:p>
          <w:p w14:paraId="4BFCA299">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18.可设定测量次数,自动存储最佳测试数据；可查询三次测量值和最佳值。</w:t>
            </w:r>
          </w:p>
        </w:tc>
        <w:tc>
          <w:tcPr>
            <w:tcW w:w="867" w:type="dxa"/>
            <w:gridSpan w:val="4"/>
            <w:tcBorders>
              <w:top w:val="single" w:color="000000" w:sz="4" w:space="0"/>
              <w:left w:val="single" w:color="000000" w:sz="4" w:space="0"/>
              <w:bottom w:val="single" w:color="000000" w:sz="4" w:space="0"/>
              <w:right w:val="single" w:color="000000" w:sz="4" w:space="0"/>
            </w:tcBorders>
            <w:vAlign w:val="center"/>
          </w:tcPr>
          <w:p w14:paraId="35F6A804">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台</w:t>
            </w:r>
          </w:p>
        </w:tc>
        <w:tc>
          <w:tcPr>
            <w:tcW w:w="935" w:type="dxa"/>
            <w:gridSpan w:val="3"/>
            <w:tcBorders>
              <w:top w:val="single" w:color="000000" w:sz="4" w:space="0"/>
              <w:left w:val="single" w:color="000000" w:sz="4" w:space="0"/>
              <w:bottom w:val="single" w:color="000000" w:sz="4" w:space="0"/>
              <w:right w:val="single" w:color="000000" w:sz="4" w:space="0"/>
            </w:tcBorders>
            <w:vAlign w:val="center"/>
          </w:tcPr>
          <w:p w14:paraId="52987286">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w:t>
            </w:r>
          </w:p>
        </w:tc>
      </w:tr>
      <w:tr w14:paraId="0F7254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jc w:val="center"/>
        </w:trPr>
        <w:tc>
          <w:tcPr>
            <w:tcW w:w="749" w:type="dxa"/>
            <w:tcBorders>
              <w:top w:val="single" w:color="000000" w:sz="4" w:space="0"/>
              <w:left w:val="single" w:color="000000" w:sz="4" w:space="0"/>
              <w:bottom w:val="single" w:color="000000" w:sz="4" w:space="0"/>
              <w:right w:val="single" w:color="000000" w:sz="4" w:space="0"/>
            </w:tcBorders>
            <w:vAlign w:val="center"/>
          </w:tcPr>
          <w:p w14:paraId="505A548D">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7</w:t>
            </w:r>
          </w:p>
        </w:tc>
        <w:tc>
          <w:tcPr>
            <w:tcW w:w="1227" w:type="dxa"/>
            <w:tcBorders>
              <w:top w:val="single" w:color="000000" w:sz="4" w:space="0"/>
              <w:left w:val="single" w:color="000000" w:sz="4" w:space="0"/>
              <w:bottom w:val="single" w:color="000000" w:sz="4" w:space="0"/>
              <w:right w:val="single" w:color="000000" w:sz="4" w:space="0"/>
            </w:tcBorders>
            <w:vAlign w:val="center"/>
          </w:tcPr>
          <w:p w14:paraId="346A9458">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仰卧起坐测试仪</w:t>
            </w:r>
          </w:p>
        </w:tc>
        <w:tc>
          <w:tcPr>
            <w:tcW w:w="6200" w:type="dxa"/>
            <w:gridSpan w:val="3"/>
            <w:tcBorders>
              <w:top w:val="single" w:color="000000" w:sz="4" w:space="0"/>
              <w:left w:val="single" w:color="000000" w:sz="4" w:space="0"/>
              <w:bottom w:val="single" w:color="000000" w:sz="4" w:space="0"/>
              <w:right w:val="single" w:color="000000" w:sz="4" w:space="0"/>
            </w:tcBorders>
            <w:vAlign w:val="center"/>
          </w:tcPr>
          <w:p w14:paraId="77C9B5C1">
            <w:pPr>
              <w:widowControl/>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技术参数：</w:t>
            </w:r>
          </w:p>
          <w:p w14:paraId="104E9963">
            <w:pPr>
              <w:widowControl/>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 xml:space="preserve">计数量程：0～99次   分度值：1次  误差：±1次    </w:t>
            </w:r>
          </w:p>
          <w:p w14:paraId="325F3093">
            <w:pPr>
              <w:widowControl/>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计时量程：0～60s     分度值：1秒  误差：±0.3秒</w:t>
            </w:r>
          </w:p>
          <w:p w14:paraId="08D7476E">
            <w:pPr>
              <w:widowControl/>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功能要求：</w:t>
            </w:r>
          </w:p>
          <w:p w14:paraId="45DBFA23">
            <w:pPr>
              <w:widowControl/>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1.主机采用工控级别CONTEX-M3CPU，直接对底层硬件控制,完全知识产权独立开发。封闭32位私有加密操作系统，保证系统的稳定安全，避免遭受公网病毒干扰。</w:t>
            </w:r>
          </w:p>
          <w:p w14:paraId="2317ECE1">
            <w:pPr>
              <w:widowControl/>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2.采用单独MCU处理来自不同厂商的两块存储芯片，提高数据的安全性和抗干扰性。可实现主存储芯片完全烧毁情况下，及数据劫持下的数据完整恢复和保护。主机多种存储方式，同时支持外接IC卡存储、U盘存储，可以保存十年以上的测试数据。</w:t>
            </w:r>
          </w:p>
          <w:p w14:paraId="67E7373F">
            <w:pPr>
              <w:widowControl/>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3.主机采用菜单式，所见即所得，全程语音（音量可调节并且可输出）提示傻瓜式操作，简单培训就可独立操作。</w:t>
            </w:r>
          </w:p>
          <w:p w14:paraId="2C3F5EFA">
            <w:pPr>
              <w:widowControl/>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4.主机具有键盘手工录入ID号的功能，可拓展读取ＩＣ卡、校园一卡通、身份证、扫描条形码身份识别方式。</w:t>
            </w:r>
          </w:p>
          <w:p w14:paraId="162B76AA">
            <w:pPr>
              <w:widowControl/>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5.操作人员误删除，数据可一键，可选任意条数恢复，非覆盖模式数据读写数据。</w:t>
            </w:r>
          </w:p>
          <w:p w14:paraId="1C740312">
            <w:pPr>
              <w:widowControl/>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6.传输方式：数据组网可以通过有线方式,无线方式，可以实时或者集中批量传输；采用433（远距离传输）和2.4G（大规模组网）双模无线通讯模块兼备传输距离远，绕射穿透能力强,组网容量大。在433M模式传输模式无线通信形成闭环局域网，避免了来自公网的病毒的干扰，主机有效传输距离在开阔地可达1.5公里。</w:t>
            </w:r>
          </w:p>
          <w:p w14:paraId="29A67C91">
            <w:pPr>
              <w:widowControl/>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7.主机键盘采用硅胶按键，使用寿命长,九宫格多功能按键设计，经十万次耐久度与疲劳性能测试，保障按键文字不会模糊与脱落，更具手指防滑功能，杜绝手指打滑按错键现象。</w:t>
            </w:r>
          </w:p>
          <w:p w14:paraId="730594E6">
            <w:pPr>
              <w:widowControl/>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8.可使用直流电/交流电双电源；内置高容量锂电池,连续工作10小时以上,全程低压测试。</w:t>
            </w:r>
          </w:p>
          <w:p w14:paraId="382E2DAC">
            <w:pPr>
              <w:widowControl/>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9.主机具备通用性,用户可通过菜单按键操作任意选择秒配任意一种外设，增加主机复用性、可靠性、机动性,主机不通过连接电脑操作，无需修改主机程序便可互换切换任意测试项目，外设与主机通信全部采用ANT2.4G通信协议。</w:t>
            </w:r>
          </w:p>
          <w:p w14:paraId="5E9AEB89">
            <w:pPr>
              <w:widowControl/>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10.可自动计数，外设为床体设计，高低杆双红外感应装置，两点式检测,根据身高调节红外感应位置，人性化设计，精度高；可智能判断有效次数。</w:t>
            </w:r>
          </w:p>
          <w:p w14:paraId="784ACE9E">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11.全自动测量,测试结果数据自动上传到主机显示,测试结果系统自动锁定生成,人工无法干预。</w:t>
            </w:r>
          </w:p>
        </w:tc>
        <w:tc>
          <w:tcPr>
            <w:tcW w:w="867" w:type="dxa"/>
            <w:gridSpan w:val="4"/>
            <w:tcBorders>
              <w:top w:val="single" w:color="000000" w:sz="4" w:space="0"/>
              <w:left w:val="single" w:color="000000" w:sz="4" w:space="0"/>
              <w:bottom w:val="single" w:color="000000" w:sz="4" w:space="0"/>
              <w:right w:val="single" w:color="000000" w:sz="4" w:space="0"/>
            </w:tcBorders>
            <w:vAlign w:val="center"/>
          </w:tcPr>
          <w:p w14:paraId="68E57A28">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台</w:t>
            </w:r>
          </w:p>
        </w:tc>
        <w:tc>
          <w:tcPr>
            <w:tcW w:w="935" w:type="dxa"/>
            <w:gridSpan w:val="3"/>
            <w:tcBorders>
              <w:top w:val="single" w:color="000000" w:sz="4" w:space="0"/>
              <w:left w:val="single" w:color="000000" w:sz="4" w:space="0"/>
              <w:bottom w:val="single" w:color="000000" w:sz="4" w:space="0"/>
              <w:right w:val="single" w:color="000000" w:sz="4" w:space="0"/>
            </w:tcBorders>
            <w:vAlign w:val="center"/>
          </w:tcPr>
          <w:p w14:paraId="468C4CFD">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w:t>
            </w:r>
          </w:p>
        </w:tc>
      </w:tr>
      <w:tr w14:paraId="57E4AB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jc w:val="center"/>
        </w:trPr>
        <w:tc>
          <w:tcPr>
            <w:tcW w:w="749" w:type="dxa"/>
            <w:tcBorders>
              <w:top w:val="single" w:color="000000" w:sz="4" w:space="0"/>
              <w:left w:val="single" w:color="000000" w:sz="4" w:space="0"/>
              <w:bottom w:val="single" w:color="000000" w:sz="4" w:space="0"/>
              <w:right w:val="single" w:color="000000" w:sz="4" w:space="0"/>
            </w:tcBorders>
            <w:vAlign w:val="center"/>
          </w:tcPr>
          <w:p w14:paraId="301E0DF4">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8</w:t>
            </w:r>
          </w:p>
        </w:tc>
        <w:tc>
          <w:tcPr>
            <w:tcW w:w="1227" w:type="dxa"/>
            <w:tcBorders>
              <w:top w:val="single" w:color="000000" w:sz="4" w:space="0"/>
              <w:left w:val="single" w:color="000000" w:sz="4" w:space="0"/>
              <w:bottom w:val="single" w:color="000000" w:sz="4" w:space="0"/>
              <w:right w:val="single" w:color="000000" w:sz="4" w:space="0"/>
            </w:tcBorders>
            <w:vAlign w:val="center"/>
          </w:tcPr>
          <w:p w14:paraId="0C0A0523">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50米往返跑测试仪</w:t>
            </w:r>
          </w:p>
        </w:tc>
        <w:tc>
          <w:tcPr>
            <w:tcW w:w="6200" w:type="dxa"/>
            <w:gridSpan w:val="3"/>
            <w:tcBorders>
              <w:top w:val="single" w:color="000000" w:sz="4" w:space="0"/>
              <w:left w:val="single" w:color="000000" w:sz="4" w:space="0"/>
              <w:bottom w:val="single" w:color="000000" w:sz="4" w:space="0"/>
              <w:right w:val="single" w:color="000000" w:sz="4" w:space="0"/>
            </w:tcBorders>
            <w:vAlign w:val="center"/>
          </w:tcPr>
          <w:p w14:paraId="7773CBBB">
            <w:pPr>
              <w:widowControl/>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技术参数：</w:t>
            </w:r>
          </w:p>
          <w:p w14:paraId="305BB1BB">
            <w:pPr>
              <w:widowControl/>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量程：0～999.9s   分辨率：0.1s  误差：±1.5%</w:t>
            </w:r>
          </w:p>
          <w:p w14:paraId="48BE22E2">
            <w:pPr>
              <w:widowControl/>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功能要求：</w:t>
            </w:r>
          </w:p>
          <w:p w14:paraId="414D0AAC">
            <w:pPr>
              <w:widowControl/>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1.主机采用工控级别CONTEX-M3CPU，直接对底层硬件控制,完全知识产权独立开发。封闭32位私有加密操作系统，保证系统的稳定安全，避免遭受公网病毒干扰。</w:t>
            </w:r>
          </w:p>
          <w:p w14:paraId="439F48C4">
            <w:pPr>
              <w:widowControl/>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2.采用单独MCU处理来自不同厂商的两块存储芯片，提高数据的安全性和抗干扰性。可实现主存储芯片完全烧毁情况下，及数据劫持下的数据完整恢复和保护。主机多种存储方式，同时支持外接IC卡存储、U盘存储，可以保存十年以上的测试数据。</w:t>
            </w:r>
          </w:p>
          <w:p w14:paraId="50B770B4">
            <w:pPr>
              <w:widowControl/>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3.主机采用菜单式，所见即所得，全程语音（音量可调节并且可输出）提示傻瓜式操作，简单培训就可独立操作。</w:t>
            </w:r>
          </w:p>
          <w:p w14:paraId="286B79A4">
            <w:pPr>
              <w:widowControl/>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4.主机具有键盘手工录入ID号的功能，可拓展读取ＩＣ卡、校园一卡通、身份证、扫描条形码身份识别方式。</w:t>
            </w:r>
          </w:p>
          <w:p w14:paraId="3E2650A9">
            <w:pPr>
              <w:widowControl/>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5.操作人员误删除，数据可一键，可选任意条数恢复，非覆盖模式数据读写数据。</w:t>
            </w:r>
          </w:p>
          <w:p w14:paraId="5EF13331">
            <w:pPr>
              <w:widowControl/>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6.传输方式：数据组网可以通过有线方式,无线方式，可以实时或者集中批量传输；采用433（远距离传输）和2.4G（大规模组网）双模无线通讯模块兼备传输距离远，绕射穿透能力强,组网容量大。在433M模式传输模式无线通信形成闭环局域网，避免了来自公网的病毒的干扰，主机有效传输距离在开阔地可达1.5公里。</w:t>
            </w:r>
          </w:p>
          <w:p w14:paraId="6645C9CC">
            <w:pPr>
              <w:widowControl/>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7.主机键盘采用硅胶按键，使用寿命长,九宫格多功能按键设计，经十万次耐久度与疲劳性能测试，保障按键文字不会模糊与脱落，更具手指防滑功能，杜绝手指打滑按错键现象。</w:t>
            </w:r>
          </w:p>
          <w:p w14:paraId="1E5B7FA3">
            <w:pPr>
              <w:widowControl/>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8.可使用直流电/交流电双电源；内置高容量锂电池,连续工作10小时以上,全程低压测试。</w:t>
            </w:r>
          </w:p>
          <w:p w14:paraId="373C529A">
            <w:pPr>
              <w:widowControl/>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9.主机具备通用性,用户可通过菜单按键操作任意选择秒配任意一种外设，增加主机复用性、可靠性、机动性,主机不通过连接电脑操作，无需修改主机程序便可互换切换任意测试项目，外设与主机通信全部采用ANT2.4G通信协议。</w:t>
            </w:r>
          </w:p>
          <w:p w14:paraId="2039B53D">
            <w:pPr>
              <w:widowControl/>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10.可用于50米，100米, 200米非变道测试；</w:t>
            </w:r>
          </w:p>
          <w:p w14:paraId="60EAB016">
            <w:pPr>
              <w:widowControl/>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11.传输方式：主机与外设、软件无线连接，之间全部实现采用无线数据传输技术，有效传输距离等于或大于1000米。</w:t>
            </w:r>
          </w:p>
          <w:p w14:paraId="26722E69">
            <w:pPr>
              <w:widowControl/>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12.具备发令枪及主机跑语音提示及智能判断犯规功能。</w:t>
            </w:r>
          </w:p>
          <w:p w14:paraId="056B33A3">
            <w:pPr>
              <w:widowControl/>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13.50米跑测试标配为4人灵活配置。</w:t>
            </w:r>
          </w:p>
          <w:p w14:paraId="7CA89E3F">
            <w:pPr>
              <w:widowControl/>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14.支持双主机套跑功能,即两台主机配同一套外设,一台主机测试时,另一台主机用于录入学生信息,极大地提高测试速度。</w:t>
            </w:r>
          </w:p>
          <w:p w14:paraId="6BCBD344">
            <w:pPr>
              <w:widowControl/>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15.外设内置高容量可充电电池，连续工作12小时以上。</w:t>
            </w:r>
          </w:p>
          <w:p w14:paraId="0574C5A0">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16.全自动测量,测试结果数据自动上传到主机显示,测试结果系统自动锁定生成,人工无法干预。</w:t>
            </w:r>
          </w:p>
        </w:tc>
        <w:tc>
          <w:tcPr>
            <w:tcW w:w="867" w:type="dxa"/>
            <w:gridSpan w:val="4"/>
            <w:tcBorders>
              <w:top w:val="single" w:color="000000" w:sz="4" w:space="0"/>
              <w:left w:val="single" w:color="000000" w:sz="4" w:space="0"/>
              <w:bottom w:val="single" w:color="000000" w:sz="4" w:space="0"/>
              <w:right w:val="single" w:color="000000" w:sz="4" w:space="0"/>
            </w:tcBorders>
            <w:vAlign w:val="center"/>
          </w:tcPr>
          <w:p w14:paraId="6BCE5095">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台</w:t>
            </w:r>
          </w:p>
        </w:tc>
        <w:tc>
          <w:tcPr>
            <w:tcW w:w="935" w:type="dxa"/>
            <w:gridSpan w:val="3"/>
            <w:tcBorders>
              <w:top w:val="single" w:color="000000" w:sz="4" w:space="0"/>
              <w:left w:val="single" w:color="000000" w:sz="4" w:space="0"/>
              <w:bottom w:val="single" w:color="000000" w:sz="4" w:space="0"/>
              <w:right w:val="single" w:color="000000" w:sz="4" w:space="0"/>
            </w:tcBorders>
            <w:vAlign w:val="center"/>
          </w:tcPr>
          <w:p w14:paraId="64F64C94">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w:t>
            </w:r>
          </w:p>
        </w:tc>
      </w:tr>
      <w:tr w14:paraId="427C1C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jc w:val="center"/>
        </w:trPr>
        <w:tc>
          <w:tcPr>
            <w:tcW w:w="9978" w:type="dxa"/>
            <w:gridSpan w:val="12"/>
            <w:tcBorders>
              <w:top w:val="single" w:color="000000" w:sz="4" w:space="0"/>
              <w:left w:val="single" w:color="000000" w:sz="4" w:space="0"/>
              <w:bottom w:val="single" w:color="000000" w:sz="4" w:space="0"/>
              <w:right w:val="single" w:color="000000" w:sz="4" w:space="0"/>
            </w:tcBorders>
            <w:noWrap/>
            <w:vAlign w:val="center"/>
          </w:tcPr>
          <w:p w14:paraId="7A9BB503">
            <w:pPr>
              <w:widowControl/>
              <w:jc w:val="center"/>
              <w:textAlignment w:val="center"/>
              <w:rPr>
                <w:rFonts w:hint="eastAsia" w:ascii="宋体" w:hAnsi="宋体"/>
                <w:b/>
                <w:bCs/>
                <w:color w:val="auto"/>
                <w:szCs w:val="21"/>
                <w:highlight w:val="none"/>
              </w:rPr>
            </w:pPr>
            <w:r>
              <w:rPr>
                <w:rFonts w:hint="eastAsia" w:ascii="宋体" w:hAnsi="宋体"/>
                <w:b/>
                <w:bCs/>
                <w:color w:val="auto"/>
                <w:kern w:val="0"/>
                <w:szCs w:val="21"/>
                <w:highlight w:val="none"/>
                <w:lang w:bidi="ar"/>
              </w:rPr>
              <w:t>十五、校园一卡通</w:t>
            </w:r>
          </w:p>
        </w:tc>
      </w:tr>
      <w:tr w14:paraId="555A82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jc w:val="center"/>
        </w:trPr>
        <w:tc>
          <w:tcPr>
            <w:tcW w:w="749" w:type="dxa"/>
            <w:tcBorders>
              <w:top w:val="single" w:color="000000" w:sz="4" w:space="0"/>
              <w:left w:val="single" w:color="000000" w:sz="4" w:space="0"/>
              <w:bottom w:val="single" w:color="000000" w:sz="4" w:space="0"/>
              <w:right w:val="single" w:color="000000" w:sz="4" w:space="0"/>
            </w:tcBorders>
            <w:noWrap/>
            <w:vAlign w:val="center"/>
          </w:tcPr>
          <w:p w14:paraId="2E685B9A">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c>
          <w:tcPr>
            <w:tcW w:w="1227" w:type="dxa"/>
            <w:tcBorders>
              <w:top w:val="single" w:color="000000" w:sz="4" w:space="0"/>
              <w:left w:val="single" w:color="000000" w:sz="4" w:space="0"/>
              <w:bottom w:val="single" w:color="000000" w:sz="4" w:space="0"/>
              <w:right w:val="single" w:color="000000" w:sz="4" w:space="0"/>
            </w:tcBorders>
            <w:noWrap/>
            <w:vAlign w:val="center"/>
          </w:tcPr>
          <w:p w14:paraId="748EF8F6">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一卡通基础平台</w:t>
            </w:r>
          </w:p>
        </w:tc>
        <w:tc>
          <w:tcPr>
            <w:tcW w:w="6200" w:type="dxa"/>
            <w:gridSpan w:val="3"/>
            <w:tcBorders>
              <w:top w:val="single" w:color="000000" w:sz="4" w:space="0"/>
              <w:left w:val="single" w:color="000000" w:sz="4" w:space="0"/>
              <w:bottom w:val="single" w:color="000000" w:sz="4" w:space="0"/>
              <w:right w:val="single" w:color="000000" w:sz="4" w:space="0"/>
            </w:tcBorders>
            <w:noWrap/>
            <w:vAlign w:val="center"/>
          </w:tcPr>
          <w:p w14:paraId="2BF1E34A">
            <w:pPr>
              <w:widowControl/>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一、系</w:t>
            </w:r>
            <w:r>
              <w:rPr>
                <w:rFonts w:hint="eastAsia" w:ascii="宋体" w:hAnsi="宋体"/>
                <w:b/>
                <w:bCs/>
                <w:color w:val="auto"/>
                <w:kern w:val="0"/>
                <w:szCs w:val="21"/>
                <w:highlight w:val="none"/>
                <w:lang w:bidi="ar"/>
              </w:rPr>
              <w:t>统要求</w:t>
            </w:r>
          </w:p>
          <w:p w14:paraId="79A95357">
            <w:pPr>
              <w:widowControl/>
              <w:numPr>
                <w:ilvl w:val="0"/>
                <w:numId w:val="341"/>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采用以线上账户为核心的系统，以在线交易为核心。通过一个平台为客户提供卡码脸管理、设备管理、账户管理、身份识别管理等多个核心应用；可根据不同业务子系统需求，进行设备接入，满足多场景、多终端的接入。</w:t>
            </w:r>
          </w:p>
          <w:p w14:paraId="6FEF190E">
            <w:pPr>
              <w:widowControl/>
              <w:numPr>
                <w:ilvl w:val="0"/>
                <w:numId w:val="341"/>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支持操作系统：Linux操作系统；</w:t>
            </w:r>
          </w:p>
          <w:p w14:paraId="42A11004">
            <w:pPr>
              <w:widowControl/>
              <w:numPr>
                <w:ilvl w:val="0"/>
                <w:numId w:val="341"/>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数据库：MySQL。</w:t>
            </w:r>
          </w:p>
          <w:p w14:paraId="37F052E1">
            <w:pPr>
              <w:widowControl/>
              <w:jc w:val="left"/>
              <w:textAlignment w:val="center"/>
              <w:rPr>
                <w:rFonts w:hint="eastAsia" w:ascii="宋体" w:hAnsi="宋体"/>
                <w:b/>
                <w:bCs/>
                <w:color w:val="auto"/>
                <w:kern w:val="0"/>
                <w:szCs w:val="21"/>
                <w:highlight w:val="none"/>
                <w:lang w:bidi="ar"/>
              </w:rPr>
            </w:pPr>
            <w:r>
              <w:rPr>
                <w:rFonts w:hint="eastAsia" w:ascii="宋体" w:hAnsi="宋体"/>
                <w:b/>
                <w:bCs/>
                <w:color w:val="auto"/>
                <w:kern w:val="0"/>
                <w:szCs w:val="21"/>
                <w:highlight w:val="none"/>
                <w:lang w:bidi="ar"/>
              </w:rPr>
              <w:t>二、首页功能</w:t>
            </w:r>
          </w:p>
          <w:p w14:paraId="19A84B05">
            <w:pPr>
              <w:widowControl/>
              <w:numPr>
                <w:ilvl w:val="0"/>
                <w:numId w:val="342"/>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系统首页支持展示用户人数信息（启用、未启用人数）、设备数量信息（联机、脱机设备数量）、服务数量信息（正常、异常服务数量）</w:t>
            </w:r>
          </w:p>
          <w:p w14:paraId="6852CB04">
            <w:pPr>
              <w:widowControl/>
              <w:numPr>
                <w:ilvl w:val="0"/>
                <w:numId w:val="342"/>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可实时显示服务器资源使用情况，包含CPU、内存、磁盘使用情况。</w:t>
            </w:r>
          </w:p>
          <w:p w14:paraId="4B434E3D">
            <w:pPr>
              <w:widowControl/>
              <w:numPr>
                <w:ilvl w:val="0"/>
                <w:numId w:val="342"/>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设备管理：可实时查看接入系统设备情况，包括但不限于设备型号、可用固件、算法、用途、连接网络情况等，支持新增和修改设备信息。</w:t>
            </w:r>
          </w:p>
          <w:p w14:paraId="701D68AD">
            <w:pPr>
              <w:widowControl/>
              <w:numPr>
                <w:ilvl w:val="0"/>
                <w:numId w:val="342"/>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设备联脱机情况，支持快速查询脱机设备信息。</w:t>
            </w:r>
          </w:p>
          <w:p w14:paraId="3345B1FB">
            <w:pPr>
              <w:widowControl/>
              <w:numPr>
                <w:ilvl w:val="0"/>
                <w:numId w:val="342"/>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快捷菜单设置：首页支持自定义菜单功能，支持通过选中形式自定义快捷菜单。</w:t>
            </w:r>
          </w:p>
          <w:p w14:paraId="13C9AADA">
            <w:pPr>
              <w:widowControl/>
              <w:jc w:val="left"/>
              <w:textAlignment w:val="center"/>
              <w:rPr>
                <w:rFonts w:hint="eastAsia" w:ascii="宋体" w:hAnsi="宋体"/>
                <w:b/>
                <w:bCs/>
                <w:color w:val="auto"/>
                <w:kern w:val="0"/>
                <w:szCs w:val="21"/>
                <w:highlight w:val="none"/>
                <w:lang w:bidi="ar"/>
              </w:rPr>
            </w:pPr>
            <w:r>
              <w:rPr>
                <w:rFonts w:hint="eastAsia" w:ascii="宋体" w:hAnsi="宋体"/>
                <w:b/>
                <w:bCs/>
                <w:color w:val="auto"/>
                <w:kern w:val="0"/>
                <w:szCs w:val="21"/>
                <w:highlight w:val="none"/>
                <w:lang w:bidi="ar"/>
              </w:rPr>
              <w:t>三、用户管理</w:t>
            </w:r>
          </w:p>
          <w:p w14:paraId="3AAC174E">
            <w:pPr>
              <w:widowControl/>
              <w:numPr>
                <w:ilvl w:val="0"/>
                <w:numId w:val="343"/>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系统支持手工新增、修改、注销人员信息，支持通过Excel模板批量导入、导出人员信息。</w:t>
            </w:r>
          </w:p>
          <w:p w14:paraId="7706E852">
            <w:pPr>
              <w:widowControl/>
              <w:numPr>
                <w:ilvl w:val="0"/>
                <w:numId w:val="343"/>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人脸照片采集：支持单个用户人脸照片照片上传。也支持通过压缩包形式批量导入人员照片，系统支持显示批量导入进度，展示照片导入总数、成功数、失败数、创建时间、异常信息等。</w:t>
            </w:r>
          </w:p>
          <w:p w14:paraId="5F0B7B96">
            <w:pPr>
              <w:widowControl/>
              <w:numPr>
                <w:ilvl w:val="0"/>
                <w:numId w:val="343"/>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系统支持手工开户，也支持批量开户，可快速设置开户类型、开户有效期限等信息。</w:t>
            </w:r>
          </w:p>
          <w:p w14:paraId="5691159D">
            <w:pPr>
              <w:widowControl/>
              <w:numPr>
                <w:ilvl w:val="0"/>
                <w:numId w:val="343"/>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用户开户后支持查看用户详情，包含用户个人信息、人脸信息、账户信息、支付记录等。</w:t>
            </w:r>
          </w:p>
          <w:p w14:paraId="16F70600">
            <w:pPr>
              <w:widowControl/>
              <w:numPr>
                <w:ilvl w:val="0"/>
                <w:numId w:val="343"/>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用户脱敏设置：系统支持自定义设置用户相关信息字段是否允许分发，是否加密，以保障系统安全性。</w:t>
            </w:r>
          </w:p>
          <w:p w14:paraId="1DADD8F0">
            <w:pPr>
              <w:widowControl/>
              <w:numPr>
                <w:ilvl w:val="0"/>
                <w:numId w:val="343"/>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角色管理：系统支持自定义新增、修改、删除角色信息。新增角色信息时可同时设置角色菜单权限，角色状态（启用、停用），日常使用期间也可以进行角色菜单权限、角色状态调整。</w:t>
            </w:r>
          </w:p>
          <w:p w14:paraId="316825BD">
            <w:pPr>
              <w:widowControl/>
              <w:numPr>
                <w:ilvl w:val="0"/>
                <w:numId w:val="343"/>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系统使用期间支持管理员对已建角色进行数据权限调整，可设置查看数据权限包括全部数据权限、本部门数据权限、本部门及以下数据权限、本人数据权限，也可自定义设置允许查看的数据范围。</w:t>
            </w:r>
          </w:p>
          <w:p w14:paraId="037C8022">
            <w:pPr>
              <w:widowControl/>
              <w:numPr>
                <w:ilvl w:val="0"/>
                <w:numId w:val="343"/>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部门管理：支持新增、修改、删除部门信息，支持模糊查询实现部门快速查询。</w:t>
            </w:r>
          </w:p>
          <w:p w14:paraId="5A4C3BDE">
            <w:pPr>
              <w:widowControl/>
              <w:numPr>
                <w:ilvl w:val="0"/>
                <w:numId w:val="343"/>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岗位管理：系统支持按照人员岗位，如学生、教师、班主任、临时人员等自定义设置自动开户类型（主账户、补助账户）， 导入人员信息后，系统自动进行开户。</w:t>
            </w:r>
          </w:p>
          <w:p w14:paraId="39A1913C">
            <w:pPr>
              <w:widowControl/>
              <w:jc w:val="left"/>
              <w:textAlignment w:val="center"/>
              <w:rPr>
                <w:rFonts w:hint="eastAsia" w:ascii="宋体" w:hAnsi="宋体"/>
                <w:b/>
                <w:bCs/>
                <w:color w:val="auto"/>
                <w:kern w:val="0"/>
                <w:szCs w:val="21"/>
                <w:highlight w:val="none"/>
                <w:lang w:bidi="ar"/>
              </w:rPr>
            </w:pPr>
            <w:r>
              <w:rPr>
                <w:rFonts w:hint="eastAsia" w:ascii="宋体" w:hAnsi="宋体"/>
                <w:b/>
                <w:bCs/>
                <w:color w:val="auto"/>
                <w:kern w:val="0"/>
                <w:szCs w:val="21"/>
                <w:highlight w:val="none"/>
                <w:lang w:bidi="ar"/>
              </w:rPr>
              <w:t>四、授权授禁</w:t>
            </w:r>
          </w:p>
          <w:p w14:paraId="064D7F9F">
            <w:pPr>
              <w:widowControl/>
              <w:numPr>
                <w:ilvl w:val="0"/>
                <w:numId w:val="344"/>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自动授权：系统支持按照岗位、部门、人员进行自动授权。</w:t>
            </w:r>
          </w:p>
          <w:p w14:paraId="66259B8D">
            <w:pPr>
              <w:widowControl/>
              <w:jc w:val="left"/>
              <w:textAlignment w:val="center"/>
              <w:rPr>
                <w:rFonts w:hint="eastAsia" w:ascii="宋体" w:hAnsi="宋体"/>
                <w:b/>
                <w:bCs/>
                <w:color w:val="auto"/>
                <w:kern w:val="0"/>
                <w:szCs w:val="21"/>
                <w:highlight w:val="none"/>
                <w:lang w:bidi="ar"/>
              </w:rPr>
            </w:pPr>
            <w:r>
              <w:rPr>
                <w:rFonts w:hint="eastAsia" w:ascii="宋体" w:hAnsi="宋体"/>
                <w:b/>
                <w:bCs/>
                <w:color w:val="auto"/>
                <w:kern w:val="0"/>
                <w:szCs w:val="21"/>
                <w:highlight w:val="none"/>
                <w:lang w:bidi="ar"/>
              </w:rPr>
              <w:t>五、IC卡管理</w:t>
            </w:r>
          </w:p>
          <w:p w14:paraId="4BCD512E">
            <w:pPr>
              <w:widowControl/>
              <w:numPr>
                <w:ilvl w:val="0"/>
                <w:numId w:val="345"/>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系统支持sam卡激活，实现卡片使用过程中加密校验。</w:t>
            </w:r>
          </w:p>
          <w:p w14:paraId="1EB02D33">
            <w:pPr>
              <w:widowControl/>
              <w:numPr>
                <w:ilvl w:val="0"/>
                <w:numId w:val="345"/>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支持系统中设置不同卡的信用额度，IC卡余额不足的用户允许在信用额度内透支交易。</w:t>
            </w:r>
          </w:p>
          <w:p w14:paraId="67C2CF0C">
            <w:pPr>
              <w:widowControl/>
              <w:numPr>
                <w:ilvl w:val="0"/>
                <w:numId w:val="345"/>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支持卡日志管理。</w:t>
            </w:r>
          </w:p>
          <w:p w14:paraId="378DF12D">
            <w:pPr>
              <w:widowControl/>
              <w:jc w:val="left"/>
              <w:textAlignment w:val="center"/>
              <w:rPr>
                <w:rFonts w:hint="eastAsia" w:ascii="宋体" w:hAnsi="宋体"/>
                <w:b/>
                <w:bCs/>
                <w:color w:val="auto"/>
                <w:kern w:val="0"/>
                <w:szCs w:val="21"/>
                <w:highlight w:val="none"/>
                <w:lang w:bidi="ar"/>
              </w:rPr>
            </w:pPr>
            <w:r>
              <w:rPr>
                <w:rFonts w:hint="eastAsia" w:ascii="宋体" w:hAnsi="宋体"/>
                <w:b/>
                <w:bCs/>
                <w:color w:val="auto"/>
                <w:kern w:val="0"/>
                <w:szCs w:val="21"/>
                <w:highlight w:val="none"/>
                <w:lang w:bidi="ar"/>
              </w:rPr>
              <w:t>六、人脸认证服务</w:t>
            </w:r>
          </w:p>
          <w:p w14:paraId="5B6A21D0">
            <w:pPr>
              <w:widowControl/>
              <w:numPr>
                <w:ilvl w:val="0"/>
                <w:numId w:val="346"/>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 xml:space="preserve">支持同时接入多种人脸识别算法； </w:t>
            </w:r>
          </w:p>
          <w:p w14:paraId="11A019EF">
            <w:pPr>
              <w:widowControl/>
              <w:numPr>
                <w:ilvl w:val="0"/>
                <w:numId w:val="346"/>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支持单个、批量提取人员人脸特征值；</w:t>
            </w:r>
          </w:p>
          <w:p w14:paraId="460F927B">
            <w:pPr>
              <w:widowControl/>
              <w:numPr>
                <w:ilvl w:val="0"/>
                <w:numId w:val="346"/>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支持消费人员人脸库的管理，支持人脸录入、更换人脸和人脸名单定时下发；</w:t>
            </w:r>
          </w:p>
          <w:p w14:paraId="5E735C69">
            <w:pPr>
              <w:widowControl/>
              <w:numPr>
                <w:ilvl w:val="0"/>
                <w:numId w:val="346"/>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 xml:space="preserve">支持接入多种类型的人脸识别终端（消费终端、门禁终端、电子班牌等）； </w:t>
            </w:r>
          </w:p>
          <w:p w14:paraId="0AAD1F49">
            <w:pPr>
              <w:widowControl/>
              <w:numPr>
                <w:ilvl w:val="0"/>
                <w:numId w:val="346"/>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 xml:space="preserve">支持用户照片采集后根据不同算法提取人脸特征； </w:t>
            </w:r>
          </w:p>
          <w:p w14:paraId="2E95DFA7">
            <w:pPr>
              <w:widowControl/>
              <w:numPr>
                <w:ilvl w:val="0"/>
                <w:numId w:val="346"/>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支持活体检测，可有效防御纸质照片、电子照片、视频、面具等作弊方式；</w:t>
            </w:r>
          </w:p>
          <w:p w14:paraId="46B1E2FB">
            <w:pPr>
              <w:widowControl/>
              <w:jc w:val="left"/>
              <w:textAlignment w:val="center"/>
              <w:rPr>
                <w:rFonts w:hint="eastAsia" w:ascii="宋体" w:hAnsi="宋体"/>
                <w:b/>
                <w:bCs/>
                <w:color w:val="auto"/>
                <w:kern w:val="0"/>
                <w:szCs w:val="21"/>
                <w:highlight w:val="none"/>
                <w:lang w:bidi="ar"/>
              </w:rPr>
            </w:pPr>
            <w:r>
              <w:rPr>
                <w:rFonts w:hint="eastAsia" w:ascii="宋体" w:hAnsi="宋体"/>
                <w:b/>
                <w:bCs/>
                <w:color w:val="auto"/>
                <w:kern w:val="0"/>
                <w:szCs w:val="21"/>
                <w:highlight w:val="none"/>
                <w:lang w:bidi="ar"/>
              </w:rPr>
              <w:t>七.支付管理</w:t>
            </w:r>
          </w:p>
          <w:p w14:paraId="315DA4CE">
            <w:pPr>
              <w:widowControl/>
              <w:numPr>
                <w:ilvl w:val="0"/>
                <w:numId w:val="347"/>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支持管理用户、商户账目的类型，账目类型分为主类型和子类型，主类型包含借记账户、贷记账户、补助账户、临时账户、销售收入、预售账款等。子类型包含用户账户、商户账户。</w:t>
            </w:r>
          </w:p>
          <w:p w14:paraId="708842B5">
            <w:pPr>
              <w:widowControl/>
              <w:numPr>
                <w:ilvl w:val="0"/>
                <w:numId w:val="347"/>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支付参数设置：支持设置支付策略，可设置次消费限额、钱包使用权限、日限额、餐限制、信用额度，超限后输入密码是否能消费、支持0元消费。</w:t>
            </w:r>
          </w:p>
          <w:p w14:paraId="36740BB9">
            <w:pPr>
              <w:widowControl/>
              <w:numPr>
                <w:ilvl w:val="0"/>
                <w:numId w:val="347"/>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支付策略设置：可对于通用支付、临时人员、教职工等不同人员消费场景设置支付策略，支持设置百分比打折/加收，绝对值打折/加收。</w:t>
            </w:r>
          </w:p>
          <w:p w14:paraId="1CF27653">
            <w:pPr>
              <w:widowControl/>
              <w:numPr>
                <w:ilvl w:val="0"/>
                <w:numId w:val="347"/>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支持餐别设置：可自定义设置每天的餐别，设置不同餐别的就餐时间，支持与消费终端联动，未到就餐餐别时间段不允许支付扣费。</w:t>
            </w:r>
          </w:p>
          <w:p w14:paraId="1CB217E2">
            <w:pPr>
              <w:widowControl/>
              <w:numPr>
                <w:ilvl w:val="0"/>
                <w:numId w:val="347"/>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科目管理：系统支持设置不同科目，绑定不同支付方式。包括卡支付、码支付、人脸支付、退款等等。</w:t>
            </w:r>
          </w:p>
          <w:p w14:paraId="774B08BF">
            <w:pPr>
              <w:widowControl/>
              <w:numPr>
                <w:ilvl w:val="0"/>
                <w:numId w:val="347"/>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充值方式：系统支持后台自定义配置充值方式。支持PC充值，支付平台充值，退款功能。</w:t>
            </w:r>
          </w:p>
          <w:p w14:paraId="149B8AD0">
            <w:pPr>
              <w:widowControl/>
              <w:numPr>
                <w:ilvl w:val="0"/>
                <w:numId w:val="347"/>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结算部门</w:t>
            </w:r>
          </w:p>
          <w:p w14:paraId="2E29181E">
            <w:pPr>
              <w:widowControl/>
              <w:numPr>
                <w:ilvl w:val="1"/>
                <w:numId w:val="347"/>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支持自定义设置结算部门，绑定结算部门入库安装的终端设备。</w:t>
            </w:r>
          </w:p>
          <w:p w14:paraId="798F0678">
            <w:pPr>
              <w:widowControl/>
              <w:numPr>
                <w:ilvl w:val="1"/>
                <w:numId w:val="347"/>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针对不同结算部门支持设置不同支付参数组，以适配不同消费场景、不同结算部门消费需求。</w:t>
            </w:r>
          </w:p>
          <w:p w14:paraId="7EF8260C">
            <w:pPr>
              <w:widowControl/>
              <w:numPr>
                <w:ilvl w:val="0"/>
                <w:numId w:val="347"/>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补助管理</w:t>
            </w:r>
          </w:p>
          <w:p w14:paraId="10D88F53">
            <w:pPr>
              <w:widowControl/>
              <w:numPr>
                <w:ilvl w:val="1"/>
                <w:numId w:val="347"/>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支持补助计划的生成、审查、调整、提交生效和删除；</w:t>
            </w:r>
          </w:p>
          <w:p w14:paraId="5EFF2B75">
            <w:pPr>
              <w:widowControl/>
              <w:numPr>
                <w:ilvl w:val="1"/>
                <w:numId w:val="347"/>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支持根据岗位设置补助金额。</w:t>
            </w:r>
          </w:p>
          <w:p w14:paraId="7E330C34">
            <w:pPr>
              <w:widowControl/>
              <w:numPr>
                <w:ilvl w:val="0"/>
                <w:numId w:val="347"/>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统计查询</w:t>
            </w:r>
          </w:p>
          <w:p w14:paraId="07682BE4">
            <w:pPr>
              <w:widowControl/>
              <w:numPr>
                <w:ilvl w:val="1"/>
                <w:numId w:val="347"/>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支持按部门、商户、用户、账户等多种维度进行统计报表；</w:t>
            </w:r>
          </w:p>
          <w:p w14:paraId="42688D30">
            <w:pPr>
              <w:widowControl/>
              <w:numPr>
                <w:ilvl w:val="1"/>
                <w:numId w:val="347"/>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支持结算部门数据实时统计。</w:t>
            </w:r>
          </w:p>
          <w:p w14:paraId="3FFD4F97">
            <w:pPr>
              <w:widowControl/>
              <w:numPr>
                <w:ilvl w:val="0"/>
                <w:numId w:val="347"/>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记录查询</w:t>
            </w:r>
          </w:p>
          <w:p w14:paraId="73E335EF">
            <w:pPr>
              <w:widowControl/>
              <w:numPr>
                <w:ilvl w:val="1"/>
                <w:numId w:val="347"/>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支持多维度账户历史记录查询；</w:t>
            </w:r>
          </w:p>
          <w:p w14:paraId="6E99091C">
            <w:pPr>
              <w:widowControl/>
              <w:numPr>
                <w:ilvl w:val="0"/>
                <w:numId w:val="347"/>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现金充值&amp;退款</w:t>
            </w:r>
          </w:p>
          <w:p w14:paraId="7FFF579A">
            <w:pPr>
              <w:widowControl/>
              <w:numPr>
                <w:ilvl w:val="1"/>
                <w:numId w:val="347"/>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支持学生现金充值，系统中可通过人工录入形式进行充值和退款操作。</w:t>
            </w:r>
          </w:p>
          <w:p w14:paraId="01D0A676">
            <w:pPr>
              <w:widowControl/>
              <w:jc w:val="left"/>
              <w:textAlignment w:val="center"/>
              <w:rPr>
                <w:rFonts w:hint="eastAsia" w:ascii="宋体" w:hAnsi="宋体"/>
                <w:b/>
                <w:bCs/>
                <w:color w:val="auto"/>
                <w:kern w:val="0"/>
                <w:szCs w:val="21"/>
                <w:highlight w:val="none"/>
                <w:lang w:bidi="ar"/>
              </w:rPr>
            </w:pPr>
            <w:r>
              <w:rPr>
                <w:rFonts w:hint="eastAsia" w:ascii="宋体" w:hAnsi="宋体"/>
                <w:b/>
                <w:bCs/>
                <w:color w:val="auto"/>
                <w:kern w:val="0"/>
                <w:szCs w:val="21"/>
                <w:highlight w:val="none"/>
                <w:lang w:bidi="ar"/>
              </w:rPr>
              <w:t>八、身份识别</w:t>
            </w:r>
          </w:p>
          <w:p w14:paraId="3C8EA58E">
            <w:pPr>
              <w:widowControl/>
              <w:numPr>
                <w:ilvl w:val="0"/>
                <w:numId w:val="348"/>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多种终端集成管理：支持集中授权、统一管控，包括门禁终端、无线门锁、通道闸机等；</w:t>
            </w:r>
          </w:p>
          <w:p w14:paraId="47720444">
            <w:pPr>
              <w:widowControl/>
              <w:numPr>
                <w:ilvl w:val="0"/>
                <w:numId w:val="348"/>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支持多种验证方式：包括校园卡、密码、人脸识别等；</w:t>
            </w:r>
          </w:p>
          <w:p w14:paraId="7C1A80B6">
            <w:pPr>
              <w:widowControl/>
              <w:numPr>
                <w:ilvl w:val="0"/>
                <w:numId w:val="348"/>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授权时间段设置：支持授权有效时间段，到期自动生效，过期自动失效，支持按周期授权；</w:t>
            </w:r>
          </w:p>
          <w:p w14:paraId="1FC8C86B">
            <w:pPr>
              <w:widowControl/>
              <w:numPr>
                <w:ilvl w:val="0"/>
                <w:numId w:val="348"/>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自动授权授禁：支持设置指定部门或人员组与区域或设备组的权限绑定，支持人员或设备信息变化后自动授权/授禁；</w:t>
            </w:r>
          </w:p>
          <w:p w14:paraId="74BD85E9">
            <w:pPr>
              <w:widowControl/>
              <w:jc w:val="left"/>
              <w:textAlignment w:val="center"/>
              <w:rPr>
                <w:rFonts w:hint="eastAsia" w:ascii="宋体" w:hAnsi="宋体"/>
                <w:b/>
                <w:bCs/>
                <w:color w:val="auto"/>
                <w:kern w:val="0"/>
                <w:szCs w:val="21"/>
                <w:highlight w:val="none"/>
                <w:lang w:bidi="ar"/>
              </w:rPr>
            </w:pPr>
            <w:r>
              <w:rPr>
                <w:rFonts w:hint="eastAsia" w:ascii="宋体" w:hAnsi="宋体"/>
                <w:b/>
                <w:bCs/>
                <w:color w:val="auto"/>
                <w:kern w:val="0"/>
                <w:szCs w:val="21"/>
                <w:highlight w:val="none"/>
                <w:lang w:bidi="ar"/>
              </w:rPr>
              <w:t>九、设备管理</w:t>
            </w:r>
          </w:p>
          <w:p w14:paraId="25C74211">
            <w:pPr>
              <w:widowControl/>
              <w:numPr>
                <w:ilvl w:val="0"/>
                <w:numId w:val="349"/>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支持智能设备接入，如消费终端、门禁、门锁、电子班牌、水控等，完成数据的上传下达；</w:t>
            </w:r>
          </w:p>
          <w:p w14:paraId="683E5AEB">
            <w:pPr>
              <w:widowControl/>
              <w:numPr>
                <w:ilvl w:val="0"/>
                <w:numId w:val="349"/>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设备接入支持认证和授权控制；</w:t>
            </w:r>
          </w:p>
          <w:p w14:paraId="3B32D3EB">
            <w:pPr>
              <w:widowControl/>
              <w:numPr>
                <w:ilvl w:val="0"/>
                <w:numId w:val="349"/>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兼容以太网、Wifi、4G/5G等主流的终端组网方式；</w:t>
            </w:r>
          </w:p>
          <w:p w14:paraId="27F8C373">
            <w:pPr>
              <w:widowControl/>
              <w:numPr>
                <w:ilvl w:val="0"/>
                <w:numId w:val="349"/>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支持设备运行参数下发；</w:t>
            </w:r>
          </w:p>
          <w:p w14:paraId="0D6EEDE5">
            <w:pPr>
              <w:widowControl/>
              <w:numPr>
                <w:ilvl w:val="0"/>
                <w:numId w:val="349"/>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支持交易记录、身份识别记录和日志记录上传；</w:t>
            </w:r>
          </w:p>
          <w:p w14:paraId="73A918DE">
            <w:pPr>
              <w:widowControl/>
              <w:numPr>
                <w:ilvl w:val="0"/>
                <w:numId w:val="349"/>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 xml:space="preserve">支持管理各类型设备，屏蔽不同设备与业务系统间数据交互的差异化，包括但不限于通信方式、协议类型、报文格式； </w:t>
            </w:r>
          </w:p>
          <w:p w14:paraId="392C0312">
            <w:pPr>
              <w:widowControl/>
              <w:numPr>
                <w:ilvl w:val="0"/>
                <w:numId w:val="349"/>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 xml:space="preserve">支持规则引擎，可自定义数据转发规则，包括设备事件触发、运行状态上传、业务系统命令下发等； </w:t>
            </w:r>
          </w:p>
          <w:p w14:paraId="687E9E48">
            <w:pPr>
              <w:widowControl/>
              <w:numPr>
                <w:ilvl w:val="0"/>
                <w:numId w:val="349"/>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 xml:space="preserve">支持实时监控设备的各类状态，包括联机/脱机、业务属性、设备日志； </w:t>
            </w:r>
          </w:p>
          <w:p w14:paraId="5C8B1AB4">
            <w:pPr>
              <w:widowControl/>
              <w:numPr>
                <w:ilvl w:val="0"/>
                <w:numId w:val="349"/>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支持自动、批量触发终端设备的应用程序和固件程序的自动升级；</w:t>
            </w:r>
            <w:r>
              <w:rPr>
                <w:rFonts w:hint="eastAsia" w:ascii="宋体" w:hAnsi="宋体"/>
                <w:color w:val="auto"/>
                <w:szCs w:val="21"/>
                <w:highlight w:val="none"/>
              </w:rPr>
              <w:t xml:space="preserve"> </w:t>
            </w:r>
          </w:p>
        </w:tc>
        <w:tc>
          <w:tcPr>
            <w:tcW w:w="867" w:type="dxa"/>
            <w:gridSpan w:val="4"/>
            <w:tcBorders>
              <w:top w:val="single" w:color="000000" w:sz="4" w:space="0"/>
              <w:left w:val="single" w:color="000000" w:sz="4" w:space="0"/>
              <w:bottom w:val="single" w:color="000000" w:sz="4" w:space="0"/>
              <w:right w:val="single" w:color="000000" w:sz="4" w:space="0"/>
            </w:tcBorders>
            <w:vAlign w:val="center"/>
          </w:tcPr>
          <w:p w14:paraId="5F8C5078">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套</w:t>
            </w:r>
          </w:p>
        </w:tc>
        <w:tc>
          <w:tcPr>
            <w:tcW w:w="935" w:type="dxa"/>
            <w:gridSpan w:val="3"/>
            <w:tcBorders>
              <w:top w:val="single" w:color="000000" w:sz="4" w:space="0"/>
              <w:left w:val="single" w:color="000000" w:sz="4" w:space="0"/>
              <w:bottom w:val="single" w:color="000000" w:sz="4" w:space="0"/>
              <w:right w:val="single" w:color="000000" w:sz="4" w:space="0"/>
            </w:tcBorders>
            <w:vAlign w:val="center"/>
          </w:tcPr>
          <w:p w14:paraId="24F7E6B5">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5C9DBC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jc w:val="center"/>
        </w:trPr>
        <w:tc>
          <w:tcPr>
            <w:tcW w:w="749" w:type="dxa"/>
            <w:tcBorders>
              <w:top w:val="single" w:color="000000" w:sz="4" w:space="0"/>
              <w:left w:val="single" w:color="000000" w:sz="4" w:space="0"/>
              <w:bottom w:val="single" w:color="000000" w:sz="4" w:space="0"/>
              <w:right w:val="single" w:color="000000" w:sz="4" w:space="0"/>
            </w:tcBorders>
            <w:vAlign w:val="center"/>
          </w:tcPr>
          <w:p w14:paraId="0C58AC2C">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w:t>
            </w:r>
          </w:p>
        </w:tc>
        <w:tc>
          <w:tcPr>
            <w:tcW w:w="1227" w:type="dxa"/>
            <w:tcBorders>
              <w:top w:val="single" w:color="000000" w:sz="4" w:space="0"/>
              <w:left w:val="single" w:color="000000" w:sz="4" w:space="0"/>
              <w:bottom w:val="single" w:color="000000" w:sz="4" w:space="0"/>
              <w:right w:val="single" w:color="000000" w:sz="4" w:space="0"/>
            </w:tcBorders>
            <w:vAlign w:val="center"/>
          </w:tcPr>
          <w:p w14:paraId="40D1C237">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移动端APP</w:t>
            </w:r>
          </w:p>
        </w:tc>
        <w:tc>
          <w:tcPr>
            <w:tcW w:w="6200" w:type="dxa"/>
            <w:gridSpan w:val="3"/>
            <w:tcBorders>
              <w:top w:val="single" w:color="000000" w:sz="4" w:space="0"/>
              <w:left w:val="single" w:color="000000" w:sz="4" w:space="0"/>
              <w:bottom w:val="single" w:color="000000" w:sz="4" w:space="0"/>
              <w:right w:val="single" w:color="000000" w:sz="4" w:space="0"/>
            </w:tcBorders>
            <w:vAlign w:val="center"/>
          </w:tcPr>
          <w:p w14:paraId="4A149497">
            <w:pPr>
              <w:widowControl/>
              <w:numPr>
                <w:ilvl w:val="0"/>
                <w:numId w:val="350"/>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专属K12学校的充值小程序，含充值，交易明细查询，卡挂失等功能。</w:t>
            </w:r>
          </w:p>
        </w:tc>
        <w:tc>
          <w:tcPr>
            <w:tcW w:w="867" w:type="dxa"/>
            <w:gridSpan w:val="4"/>
            <w:tcBorders>
              <w:top w:val="single" w:color="000000" w:sz="4" w:space="0"/>
              <w:left w:val="single" w:color="000000" w:sz="4" w:space="0"/>
              <w:bottom w:val="single" w:color="000000" w:sz="4" w:space="0"/>
              <w:right w:val="single" w:color="000000" w:sz="4" w:space="0"/>
            </w:tcBorders>
            <w:vAlign w:val="center"/>
          </w:tcPr>
          <w:p w14:paraId="1295522E">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套</w:t>
            </w:r>
          </w:p>
        </w:tc>
        <w:tc>
          <w:tcPr>
            <w:tcW w:w="935" w:type="dxa"/>
            <w:gridSpan w:val="3"/>
            <w:tcBorders>
              <w:top w:val="single" w:color="000000" w:sz="4" w:space="0"/>
              <w:left w:val="single" w:color="000000" w:sz="4" w:space="0"/>
              <w:bottom w:val="single" w:color="000000" w:sz="4" w:space="0"/>
              <w:right w:val="single" w:color="000000" w:sz="4" w:space="0"/>
            </w:tcBorders>
            <w:vAlign w:val="center"/>
          </w:tcPr>
          <w:p w14:paraId="057E62B7">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2CA465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jc w:val="center"/>
        </w:trPr>
        <w:tc>
          <w:tcPr>
            <w:tcW w:w="749" w:type="dxa"/>
            <w:tcBorders>
              <w:top w:val="single" w:color="000000" w:sz="4" w:space="0"/>
              <w:left w:val="single" w:color="000000" w:sz="4" w:space="0"/>
              <w:bottom w:val="single" w:color="000000" w:sz="4" w:space="0"/>
              <w:right w:val="single" w:color="000000" w:sz="4" w:space="0"/>
            </w:tcBorders>
            <w:vAlign w:val="center"/>
          </w:tcPr>
          <w:p w14:paraId="2A49F9CC">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3</w:t>
            </w:r>
          </w:p>
        </w:tc>
        <w:tc>
          <w:tcPr>
            <w:tcW w:w="1227" w:type="dxa"/>
            <w:tcBorders>
              <w:top w:val="single" w:color="000000" w:sz="4" w:space="0"/>
              <w:left w:val="single" w:color="000000" w:sz="4" w:space="0"/>
              <w:bottom w:val="single" w:color="000000" w:sz="4" w:space="0"/>
              <w:right w:val="single" w:color="000000" w:sz="4" w:space="0"/>
            </w:tcBorders>
            <w:vAlign w:val="center"/>
          </w:tcPr>
          <w:p w14:paraId="7300D7F4">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UKEY</w:t>
            </w:r>
          </w:p>
        </w:tc>
        <w:tc>
          <w:tcPr>
            <w:tcW w:w="6200" w:type="dxa"/>
            <w:gridSpan w:val="3"/>
            <w:tcBorders>
              <w:top w:val="single" w:color="000000" w:sz="4" w:space="0"/>
              <w:left w:val="single" w:color="000000" w:sz="4" w:space="0"/>
              <w:bottom w:val="single" w:color="000000" w:sz="4" w:space="0"/>
              <w:right w:val="single" w:color="000000" w:sz="4" w:space="0"/>
            </w:tcBorders>
            <w:vAlign w:val="center"/>
          </w:tcPr>
          <w:p w14:paraId="0269AB79">
            <w:pPr>
              <w:widowControl/>
              <w:numPr>
                <w:ilvl w:val="1"/>
                <w:numId w:val="351"/>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接口规范：免驱USB接口</w:t>
            </w:r>
          </w:p>
          <w:p w14:paraId="2AE3EFF0">
            <w:pPr>
              <w:widowControl/>
              <w:numPr>
                <w:ilvl w:val="0"/>
                <w:numId w:val="351"/>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其他要求：硬件加密，即插即用，内置加密狗程序</w:t>
            </w:r>
          </w:p>
        </w:tc>
        <w:tc>
          <w:tcPr>
            <w:tcW w:w="867" w:type="dxa"/>
            <w:gridSpan w:val="4"/>
            <w:tcBorders>
              <w:top w:val="single" w:color="000000" w:sz="4" w:space="0"/>
              <w:left w:val="single" w:color="000000" w:sz="4" w:space="0"/>
              <w:bottom w:val="single" w:color="000000" w:sz="4" w:space="0"/>
              <w:right w:val="single" w:color="000000" w:sz="4" w:space="0"/>
            </w:tcBorders>
            <w:vAlign w:val="center"/>
          </w:tcPr>
          <w:p w14:paraId="05789FC3">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张</w:t>
            </w:r>
          </w:p>
        </w:tc>
        <w:tc>
          <w:tcPr>
            <w:tcW w:w="935" w:type="dxa"/>
            <w:gridSpan w:val="3"/>
            <w:tcBorders>
              <w:top w:val="single" w:color="000000" w:sz="4" w:space="0"/>
              <w:left w:val="single" w:color="000000" w:sz="4" w:space="0"/>
              <w:bottom w:val="single" w:color="000000" w:sz="4" w:space="0"/>
              <w:right w:val="single" w:color="000000" w:sz="4" w:space="0"/>
            </w:tcBorders>
            <w:vAlign w:val="center"/>
          </w:tcPr>
          <w:p w14:paraId="7F95B096">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34779C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jc w:val="center"/>
        </w:trPr>
        <w:tc>
          <w:tcPr>
            <w:tcW w:w="749" w:type="dxa"/>
            <w:tcBorders>
              <w:top w:val="single" w:color="000000" w:sz="4" w:space="0"/>
              <w:left w:val="single" w:color="000000" w:sz="4" w:space="0"/>
              <w:bottom w:val="single" w:color="000000" w:sz="4" w:space="0"/>
              <w:right w:val="single" w:color="000000" w:sz="4" w:space="0"/>
            </w:tcBorders>
            <w:vAlign w:val="center"/>
          </w:tcPr>
          <w:p w14:paraId="39E608B0">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4</w:t>
            </w:r>
          </w:p>
        </w:tc>
        <w:tc>
          <w:tcPr>
            <w:tcW w:w="1227" w:type="dxa"/>
            <w:tcBorders>
              <w:top w:val="single" w:color="000000" w:sz="4" w:space="0"/>
              <w:left w:val="single" w:color="000000" w:sz="4" w:space="0"/>
              <w:bottom w:val="single" w:color="000000" w:sz="4" w:space="0"/>
              <w:right w:val="single" w:color="000000" w:sz="4" w:space="0"/>
            </w:tcBorders>
            <w:vAlign w:val="center"/>
          </w:tcPr>
          <w:p w14:paraId="48E82380">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密钥卡读写器</w:t>
            </w:r>
          </w:p>
        </w:tc>
        <w:tc>
          <w:tcPr>
            <w:tcW w:w="6200" w:type="dxa"/>
            <w:gridSpan w:val="3"/>
            <w:tcBorders>
              <w:top w:val="single" w:color="000000" w:sz="4" w:space="0"/>
              <w:left w:val="single" w:color="000000" w:sz="4" w:space="0"/>
              <w:bottom w:val="single" w:color="000000" w:sz="4" w:space="0"/>
              <w:right w:val="single" w:color="000000" w:sz="4" w:space="0"/>
            </w:tcBorders>
            <w:vAlign w:val="center"/>
          </w:tcPr>
          <w:p w14:paraId="0CA6BDFE">
            <w:pPr>
              <w:widowControl/>
              <w:numPr>
                <w:ilvl w:val="1"/>
                <w:numId w:val="352"/>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使用卡类：支持Mifare1卡/CPU卡</w:t>
            </w:r>
          </w:p>
          <w:p w14:paraId="73D3809A">
            <w:pPr>
              <w:widowControl/>
              <w:numPr>
                <w:ilvl w:val="1"/>
                <w:numId w:val="352"/>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工作频率：13.56MHz</w:t>
            </w:r>
          </w:p>
          <w:p w14:paraId="13F99127">
            <w:pPr>
              <w:widowControl/>
              <w:numPr>
                <w:ilvl w:val="1"/>
                <w:numId w:val="352"/>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安全性：数据加密和双向验证功能</w:t>
            </w:r>
          </w:p>
          <w:p w14:paraId="68424CB9">
            <w:pPr>
              <w:widowControl/>
              <w:numPr>
                <w:ilvl w:val="1"/>
                <w:numId w:val="352"/>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读卡时间：≤500ms</w:t>
            </w:r>
          </w:p>
          <w:p w14:paraId="528640F4">
            <w:pPr>
              <w:widowControl/>
              <w:numPr>
                <w:ilvl w:val="1"/>
                <w:numId w:val="352"/>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PSAM卡槽：≥2个</w:t>
            </w:r>
          </w:p>
          <w:p w14:paraId="0376B220">
            <w:pPr>
              <w:widowControl/>
              <w:numPr>
                <w:ilvl w:val="1"/>
                <w:numId w:val="352"/>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接口：免驱USB</w:t>
            </w:r>
          </w:p>
        </w:tc>
        <w:tc>
          <w:tcPr>
            <w:tcW w:w="867" w:type="dxa"/>
            <w:gridSpan w:val="4"/>
            <w:tcBorders>
              <w:top w:val="single" w:color="000000" w:sz="4" w:space="0"/>
              <w:left w:val="single" w:color="000000" w:sz="4" w:space="0"/>
              <w:bottom w:val="single" w:color="000000" w:sz="4" w:space="0"/>
              <w:right w:val="single" w:color="000000" w:sz="4" w:space="0"/>
            </w:tcBorders>
            <w:vAlign w:val="center"/>
          </w:tcPr>
          <w:p w14:paraId="7B9C352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台</w:t>
            </w:r>
          </w:p>
        </w:tc>
        <w:tc>
          <w:tcPr>
            <w:tcW w:w="935" w:type="dxa"/>
            <w:gridSpan w:val="3"/>
            <w:tcBorders>
              <w:top w:val="single" w:color="000000" w:sz="4" w:space="0"/>
              <w:left w:val="single" w:color="000000" w:sz="4" w:space="0"/>
              <w:bottom w:val="single" w:color="000000" w:sz="4" w:space="0"/>
              <w:right w:val="single" w:color="000000" w:sz="4" w:space="0"/>
            </w:tcBorders>
            <w:vAlign w:val="center"/>
          </w:tcPr>
          <w:p w14:paraId="32B0674C">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728055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jc w:val="center"/>
        </w:trPr>
        <w:tc>
          <w:tcPr>
            <w:tcW w:w="749" w:type="dxa"/>
            <w:tcBorders>
              <w:top w:val="single" w:color="000000" w:sz="4" w:space="0"/>
              <w:left w:val="single" w:color="000000" w:sz="4" w:space="0"/>
              <w:bottom w:val="single" w:color="000000" w:sz="4" w:space="0"/>
              <w:right w:val="single" w:color="000000" w:sz="4" w:space="0"/>
            </w:tcBorders>
            <w:vAlign w:val="center"/>
          </w:tcPr>
          <w:p w14:paraId="6BC5A99F">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5</w:t>
            </w:r>
          </w:p>
        </w:tc>
        <w:tc>
          <w:tcPr>
            <w:tcW w:w="1227" w:type="dxa"/>
            <w:tcBorders>
              <w:top w:val="single" w:color="000000" w:sz="4" w:space="0"/>
              <w:left w:val="single" w:color="000000" w:sz="4" w:space="0"/>
              <w:bottom w:val="single" w:color="000000" w:sz="4" w:space="0"/>
              <w:right w:val="single" w:color="000000" w:sz="4" w:space="0"/>
            </w:tcBorders>
            <w:vAlign w:val="center"/>
          </w:tcPr>
          <w:p w14:paraId="19092F3A">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终端密钥卡</w:t>
            </w:r>
          </w:p>
        </w:tc>
        <w:tc>
          <w:tcPr>
            <w:tcW w:w="6200" w:type="dxa"/>
            <w:gridSpan w:val="3"/>
            <w:tcBorders>
              <w:top w:val="single" w:color="000000" w:sz="4" w:space="0"/>
              <w:left w:val="single" w:color="000000" w:sz="4" w:space="0"/>
              <w:bottom w:val="single" w:color="000000" w:sz="4" w:space="0"/>
              <w:right w:val="single" w:color="000000" w:sz="4" w:space="0"/>
            </w:tcBorders>
            <w:vAlign w:val="center"/>
          </w:tcPr>
          <w:p w14:paraId="10657E4B">
            <w:pPr>
              <w:widowControl/>
              <w:numPr>
                <w:ilvl w:val="0"/>
                <w:numId w:val="353"/>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安全机制：存储计算、验证密钥，具有密钥销毁策略</w:t>
            </w:r>
          </w:p>
          <w:p w14:paraId="20AABBE5">
            <w:pPr>
              <w:widowControl/>
              <w:numPr>
                <w:ilvl w:val="0"/>
                <w:numId w:val="353"/>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读取速度：≥1Kbps</w:t>
            </w:r>
          </w:p>
          <w:p w14:paraId="50F6FFF4">
            <w:pPr>
              <w:widowControl/>
              <w:numPr>
                <w:ilvl w:val="0"/>
                <w:numId w:val="353"/>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加密速度：≤50ms/8B</w:t>
            </w:r>
          </w:p>
          <w:p w14:paraId="2EC62396">
            <w:pPr>
              <w:widowControl/>
              <w:numPr>
                <w:ilvl w:val="0"/>
                <w:numId w:val="353"/>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电压电流：电压5.0V ，最大电流0.5A</w:t>
            </w:r>
          </w:p>
          <w:p w14:paraId="024FF335">
            <w:pPr>
              <w:widowControl/>
              <w:numPr>
                <w:ilvl w:val="0"/>
                <w:numId w:val="353"/>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运行温度：0～50︒C</w:t>
            </w:r>
          </w:p>
          <w:p w14:paraId="5031F731">
            <w:pPr>
              <w:widowControl/>
              <w:numPr>
                <w:ilvl w:val="0"/>
                <w:numId w:val="353"/>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运行湿度：5%～80% RH</w:t>
            </w:r>
          </w:p>
        </w:tc>
        <w:tc>
          <w:tcPr>
            <w:tcW w:w="867" w:type="dxa"/>
            <w:gridSpan w:val="4"/>
            <w:tcBorders>
              <w:top w:val="single" w:color="000000" w:sz="4" w:space="0"/>
              <w:left w:val="single" w:color="000000" w:sz="4" w:space="0"/>
              <w:bottom w:val="single" w:color="000000" w:sz="4" w:space="0"/>
              <w:right w:val="single" w:color="000000" w:sz="4" w:space="0"/>
            </w:tcBorders>
            <w:vAlign w:val="center"/>
          </w:tcPr>
          <w:p w14:paraId="27E502D3">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张</w:t>
            </w:r>
          </w:p>
        </w:tc>
        <w:tc>
          <w:tcPr>
            <w:tcW w:w="935" w:type="dxa"/>
            <w:gridSpan w:val="3"/>
            <w:tcBorders>
              <w:top w:val="single" w:color="000000" w:sz="4" w:space="0"/>
              <w:left w:val="single" w:color="000000" w:sz="4" w:space="0"/>
              <w:bottom w:val="single" w:color="000000" w:sz="4" w:space="0"/>
              <w:right w:val="single" w:color="000000" w:sz="4" w:space="0"/>
            </w:tcBorders>
            <w:vAlign w:val="center"/>
          </w:tcPr>
          <w:p w14:paraId="17AA11FA">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15</w:t>
            </w:r>
          </w:p>
        </w:tc>
      </w:tr>
      <w:tr w14:paraId="49CE88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jc w:val="center"/>
        </w:trPr>
        <w:tc>
          <w:tcPr>
            <w:tcW w:w="749" w:type="dxa"/>
            <w:tcBorders>
              <w:top w:val="single" w:color="000000" w:sz="4" w:space="0"/>
              <w:left w:val="single" w:color="000000" w:sz="4" w:space="0"/>
              <w:bottom w:val="single" w:color="000000" w:sz="4" w:space="0"/>
              <w:right w:val="single" w:color="000000" w:sz="4" w:space="0"/>
            </w:tcBorders>
            <w:vAlign w:val="center"/>
          </w:tcPr>
          <w:p w14:paraId="405FB342">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6</w:t>
            </w:r>
          </w:p>
        </w:tc>
        <w:tc>
          <w:tcPr>
            <w:tcW w:w="1227" w:type="dxa"/>
            <w:tcBorders>
              <w:top w:val="single" w:color="000000" w:sz="4" w:space="0"/>
              <w:left w:val="single" w:color="000000" w:sz="4" w:space="0"/>
              <w:bottom w:val="single" w:color="000000" w:sz="4" w:space="0"/>
              <w:right w:val="single" w:color="000000" w:sz="4" w:space="0"/>
            </w:tcBorders>
            <w:vAlign w:val="center"/>
          </w:tcPr>
          <w:p w14:paraId="326CB023">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管理工作站</w:t>
            </w:r>
          </w:p>
        </w:tc>
        <w:tc>
          <w:tcPr>
            <w:tcW w:w="6200" w:type="dxa"/>
            <w:gridSpan w:val="3"/>
            <w:tcBorders>
              <w:top w:val="single" w:color="000000" w:sz="4" w:space="0"/>
              <w:left w:val="single" w:color="000000" w:sz="4" w:space="0"/>
              <w:bottom w:val="single" w:color="000000" w:sz="4" w:space="0"/>
              <w:right w:val="single" w:color="000000" w:sz="4" w:space="0"/>
            </w:tcBorders>
            <w:vAlign w:val="center"/>
          </w:tcPr>
          <w:p w14:paraId="0EADFB4B">
            <w:pPr>
              <w:widowControl/>
              <w:numPr>
                <w:ilvl w:val="1"/>
                <w:numId w:val="354"/>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CPU：Intel i5-10500（含）以上</w:t>
            </w:r>
          </w:p>
          <w:p w14:paraId="438E3826">
            <w:pPr>
              <w:widowControl/>
              <w:numPr>
                <w:ilvl w:val="1"/>
                <w:numId w:val="354"/>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 xml:space="preserve">内存：≥8GB </w:t>
            </w:r>
          </w:p>
          <w:p w14:paraId="420CE3B8">
            <w:pPr>
              <w:widowControl/>
              <w:numPr>
                <w:ilvl w:val="1"/>
                <w:numId w:val="354"/>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 xml:space="preserve">硬盘：≥1TB </w:t>
            </w:r>
          </w:p>
          <w:p w14:paraId="0388E27D">
            <w:pPr>
              <w:widowControl/>
              <w:numPr>
                <w:ilvl w:val="1"/>
                <w:numId w:val="354"/>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网卡：集成10/100/1000M自适应以太网卡</w:t>
            </w:r>
          </w:p>
          <w:p w14:paraId="35658451">
            <w:pPr>
              <w:widowControl/>
              <w:numPr>
                <w:ilvl w:val="1"/>
                <w:numId w:val="354"/>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显示器：≥21.5英寸LED显示器</w:t>
            </w:r>
          </w:p>
          <w:p w14:paraId="1291E607">
            <w:pPr>
              <w:widowControl/>
              <w:numPr>
                <w:ilvl w:val="1"/>
                <w:numId w:val="354"/>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接口：≥4个USB接口、≥2个PS/2接口、≥1个串口</w:t>
            </w:r>
          </w:p>
          <w:p w14:paraId="023262C7">
            <w:pPr>
              <w:widowControl/>
              <w:numPr>
                <w:ilvl w:val="1"/>
                <w:numId w:val="354"/>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操作系统：预装正版Windows</w:t>
            </w:r>
          </w:p>
        </w:tc>
        <w:tc>
          <w:tcPr>
            <w:tcW w:w="867" w:type="dxa"/>
            <w:gridSpan w:val="4"/>
            <w:tcBorders>
              <w:top w:val="single" w:color="000000" w:sz="4" w:space="0"/>
              <w:left w:val="single" w:color="000000" w:sz="4" w:space="0"/>
              <w:bottom w:val="single" w:color="000000" w:sz="4" w:space="0"/>
              <w:right w:val="single" w:color="000000" w:sz="4" w:space="0"/>
            </w:tcBorders>
            <w:vAlign w:val="center"/>
          </w:tcPr>
          <w:p w14:paraId="620423AA">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台</w:t>
            </w:r>
          </w:p>
        </w:tc>
        <w:tc>
          <w:tcPr>
            <w:tcW w:w="935" w:type="dxa"/>
            <w:gridSpan w:val="3"/>
            <w:tcBorders>
              <w:top w:val="single" w:color="000000" w:sz="4" w:space="0"/>
              <w:left w:val="single" w:color="000000" w:sz="4" w:space="0"/>
              <w:bottom w:val="single" w:color="000000" w:sz="4" w:space="0"/>
              <w:right w:val="single" w:color="000000" w:sz="4" w:space="0"/>
            </w:tcBorders>
            <w:vAlign w:val="center"/>
          </w:tcPr>
          <w:p w14:paraId="53D91384">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5A07D4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jc w:val="center"/>
        </w:trPr>
        <w:tc>
          <w:tcPr>
            <w:tcW w:w="749" w:type="dxa"/>
            <w:tcBorders>
              <w:top w:val="single" w:color="000000" w:sz="4" w:space="0"/>
              <w:left w:val="single" w:color="000000" w:sz="4" w:space="0"/>
              <w:bottom w:val="single" w:color="000000" w:sz="4" w:space="0"/>
              <w:right w:val="single" w:color="000000" w:sz="4" w:space="0"/>
            </w:tcBorders>
            <w:vAlign w:val="center"/>
          </w:tcPr>
          <w:p w14:paraId="1365854B">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7</w:t>
            </w:r>
          </w:p>
        </w:tc>
        <w:tc>
          <w:tcPr>
            <w:tcW w:w="1227" w:type="dxa"/>
            <w:tcBorders>
              <w:top w:val="single" w:color="000000" w:sz="4" w:space="0"/>
              <w:left w:val="single" w:color="000000" w:sz="4" w:space="0"/>
              <w:bottom w:val="single" w:color="000000" w:sz="4" w:space="0"/>
              <w:right w:val="single" w:color="000000" w:sz="4" w:space="0"/>
            </w:tcBorders>
            <w:vAlign w:val="center"/>
          </w:tcPr>
          <w:p w14:paraId="38B73D27">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校园卡读写器</w:t>
            </w:r>
          </w:p>
        </w:tc>
        <w:tc>
          <w:tcPr>
            <w:tcW w:w="6200" w:type="dxa"/>
            <w:gridSpan w:val="3"/>
            <w:tcBorders>
              <w:top w:val="single" w:color="000000" w:sz="4" w:space="0"/>
              <w:left w:val="single" w:color="000000" w:sz="4" w:space="0"/>
              <w:bottom w:val="single" w:color="000000" w:sz="4" w:space="0"/>
              <w:right w:val="single" w:color="000000" w:sz="4" w:space="0"/>
            </w:tcBorders>
            <w:vAlign w:val="center"/>
          </w:tcPr>
          <w:p w14:paraId="68B1CFC4">
            <w:pPr>
              <w:widowControl/>
              <w:numPr>
                <w:ilvl w:val="1"/>
                <w:numId w:val="355"/>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使用卡类：支持Mifare1卡/CPU卡</w:t>
            </w:r>
          </w:p>
          <w:p w14:paraId="087C80CD">
            <w:pPr>
              <w:widowControl/>
              <w:numPr>
                <w:ilvl w:val="1"/>
                <w:numId w:val="355"/>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工作频率：13.56MHz</w:t>
            </w:r>
          </w:p>
          <w:p w14:paraId="2B65EFD9">
            <w:pPr>
              <w:widowControl/>
              <w:numPr>
                <w:ilvl w:val="1"/>
                <w:numId w:val="355"/>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安全性：数据加密和双向验证功能</w:t>
            </w:r>
          </w:p>
          <w:p w14:paraId="00AF143A">
            <w:pPr>
              <w:widowControl/>
              <w:numPr>
                <w:ilvl w:val="1"/>
                <w:numId w:val="355"/>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读卡时间：≤500ms</w:t>
            </w:r>
          </w:p>
          <w:p w14:paraId="57A7B7FB">
            <w:pPr>
              <w:widowControl/>
              <w:numPr>
                <w:ilvl w:val="1"/>
                <w:numId w:val="355"/>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PSAM卡槽：≥2个</w:t>
            </w:r>
          </w:p>
          <w:p w14:paraId="5849F9E4">
            <w:pPr>
              <w:widowControl/>
              <w:numPr>
                <w:ilvl w:val="1"/>
                <w:numId w:val="355"/>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接口：免驱USB</w:t>
            </w:r>
          </w:p>
        </w:tc>
        <w:tc>
          <w:tcPr>
            <w:tcW w:w="867" w:type="dxa"/>
            <w:gridSpan w:val="4"/>
            <w:tcBorders>
              <w:top w:val="single" w:color="000000" w:sz="4" w:space="0"/>
              <w:left w:val="single" w:color="000000" w:sz="4" w:space="0"/>
              <w:bottom w:val="single" w:color="000000" w:sz="4" w:space="0"/>
              <w:right w:val="single" w:color="000000" w:sz="4" w:space="0"/>
            </w:tcBorders>
            <w:vAlign w:val="center"/>
          </w:tcPr>
          <w:p w14:paraId="29047FBD">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台</w:t>
            </w:r>
          </w:p>
        </w:tc>
        <w:tc>
          <w:tcPr>
            <w:tcW w:w="935" w:type="dxa"/>
            <w:gridSpan w:val="3"/>
            <w:tcBorders>
              <w:top w:val="single" w:color="000000" w:sz="4" w:space="0"/>
              <w:left w:val="single" w:color="000000" w:sz="4" w:space="0"/>
              <w:bottom w:val="single" w:color="000000" w:sz="4" w:space="0"/>
              <w:right w:val="single" w:color="000000" w:sz="4" w:space="0"/>
            </w:tcBorders>
            <w:vAlign w:val="center"/>
          </w:tcPr>
          <w:p w14:paraId="2CA53C52">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01D586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jc w:val="center"/>
        </w:trPr>
        <w:tc>
          <w:tcPr>
            <w:tcW w:w="749" w:type="dxa"/>
            <w:tcBorders>
              <w:top w:val="single" w:color="000000" w:sz="4" w:space="0"/>
              <w:left w:val="single" w:color="000000" w:sz="4" w:space="0"/>
              <w:bottom w:val="single" w:color="000000" w:sz="4" w:space="0"/>
              <w:right w:val="single" w:color="000000" w:sz="4" w:space="0"/>
            </w:tcBorders>
            <w:vAlign w:val="center"/>
          </w:tcPr>
          <w:p w14:paraId="7967945C">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8</w:t>
            </w:r>
          </w:p>
        </w:tc>
        <w:tc>
          <w:tcPr>
            <w:tcW w:w="1227" w:type="dxa"/>
            <w:tcBorders>
              <w:top w:val="single" w:color="000000" w:sz="4" w:space="0"/>
              <w:left w:val="single" w:color="000000" w:sz="4" w:space="0"/>
              <w:bottom w:val="single" w:color="000000" w:sz="4" w:space="0"/>
              <w:right w:val="single" w:color="000000" w:sz="4" w:space="0"/>
            </w:tcBorders>
            <w:vAlign w:val="center"/>
          </w:tcPr>
          <w:p w14:paraId="15B39532">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出纳机</w:t>
            </w:r>
          </w:p>
        </w:tc>
        <w:tc>
          <w:tcPr>
            <w:tcW w:w="6200" w:type="dxa"/>
            <w:gridSpan w:val="3"/>
            <w:tcBorders>
              <w:top w:val="single" w:color="000000" w:sz="4" w:space="0"/>
              <w:left w:val="single" w:color="000000" w:sz="4" w:space="0"/>
              <w:bottom w:val="single" w:color="000000" w:sz="4" w:space="0"/>
              <w:right w:val="single" w:color="000000" w:sz="4" w:space="0"/>
            </w:tcBorders>
            <w:vAlign w:val="center"/>
          </w:tcPr>
          <w:p w14:paraId="256F57BD">
            <w:pPr>
              <w:widowControl/>
              <w:numPr>
                <w:ilvl w:val="1"/>
                <w:numId w:val="356"/>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操作系统：Android 6.0（含）以上</w:t>
            </w:r>
          </w:p>
          <w:p w14:paraId="3B85A675">
            <w:pPr>
              <w:widowControl/>
              <w:numPr>
                <w:ilvl w:val="1"/>
                <w:numId w:val="356"/>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中央处理器：64位四核或更优，主频1.4GHz（含）以上</w:t>
            </w:r>
          </w:p>
          <w:p w14:paraId="114FA435">
            <w:pPr>
              <w:widowControl/>
              <w:numPr>
                <w:ilvl w:val="1"/>
                <w:numId w:val="356"/>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运行内存：≥1GB</w:t>
            </w:r>
          </w:p>
          <w:p w14:paraId="375B4698">
            <w:pPr>
              <w:widowControl/>
              <w:numPr>
                <w:ilvl w:val="1"/>
                <w:numId w:val="356"/>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储存器：≥8GB</w:t>
            </w:r>
          </w:p>
          <w:p w14:paraId="43AFF7AE">
            <w:pPr>
              <w:widowControl/>
              <w:numPr>
                <w:ilvl w:val="1"/>
                <w:numId w:val="356"/>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用户侧显示屏：7英寸（含）以上彩屏，分辨率≥1024×600，多点触摸电容屏</w:t>
            </w:r>
          </w:p>
          <w:p w14:paraId="50BDAC78">
            <w:pPr>
              <w:widowControl/>
              <w:numPr>
                <w:ilvl w:val="1"/>
                <w:numId w:val="356"/>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管理侧显示屏：3.5英寸（含）以上彩屏，分辨率≥480×320</w:t>
            </w:r>
          </w:p>
          <w:p w14:paraId="178E64C4">
            <w:pPr>
              <w:widowControl/>
              <w:numPr>
                <w:ilvl w:val="1"/>
                <w:numId w:val="356"/>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键盘：数字键/字母键+功能键</w:t>
            </w:r>
          </w:p>
          <w:p w14:paraId="4CBC7FA1">
            <w:pPr>
              <w:widowControl/>
              <w:numPr>
                <w:ilvl w:val="1"/>
                <w:numId w:val="356"/>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SAM卡座：≥2个PSAM卡座，≥1个SIM卡座</w:t>
            </w:r>
          </w:p>
          <w:p w14:paraId="767927D0">
            <w:pPr>
              <w:widowControl/>
              <w:numPr>
                <w:ilvl w:val="1"/>
                <w:numId w:val="356"/>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非接读卡：支持Mifare 1卡/CPU卡</w:t>
            </w:r>
          </w:p>
          <w:p w14:paraId="20F95F16">
            <w:pPr>
              <w:widowControl/>
              <w:numPr>
                <w:ilvl w:val="1"/>
                <w:numId w:val="356"/>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二维码识别：内置扫码器，识别速度≤500ms</w:t>
            </w:r>
          </w:p>
          <w:p w14:paraId="19C180AC">
            <w:pPr>
              <w:widowControl/>
              <w:numPr>
                <w:ilvl w:val="1"/>
                <w:numId w:val="356"/>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外接接口：≥1个RJ45接口，≥1个RS232接口，≥1个USB2.0（OTG），≥1个USB Device接口</w:t>
            </w:r>
          </w:p>
          <w:p w14:paraId="2F720A5F">
            <w:pPr>
              <w:widowControl/>
              <w:numPr>
                <w:ilvl w:val="1"/>
                <w:numId w:val="356"/>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通讯方式：以太网或WiFi或4G全网通</w:t>
            </w:r>
          </w:p>
          <w:p w14:paraId="4504A7B7">
            <w:pPr>
              <w:widowControl/>
              <w:numPr>
                <w:ilvl w:val="1"/>
                <w:numId w:val="356"/>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声光提示：真人语音播报</w:t>
            </w:r>
          </w:p>
          <w:p w14:paraId="5EA30313">
            <w:pPr>
              <w:widowControl/>
              <w:numPr>
                <w:ilvl w:val="1"/>
                <w:numId w:val="356"/>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电源：AC220或DC12V</w:t>
            </w:r>
          </w:p>
          <w:p w14:paraId="2EB9E9D0">
            <w:pPr>
              <w:widowControl/>
              <w:numPr>
                <w:ilvl w:val="1"/>
                <w:numId w:val="356"/>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电池容量：≥4000mAH锂电池</w:t>
            </w:r>
          </w:p>
          <w:p w14:paraId="2D4B9858">
            <w:pPr>
              <w:widowControl/>
              <w:numPr>
                <w:ilvl w:val="1"/>
                <w:numId w:val="356"/>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工作环境：工作温度：-20℃～70℃ ，相对湿度：10%～93％（非冷凝）</w:t>
            </w:r>
          </w:p>
        </w:tc>
        <w:tc>
          <w:tcPr>
            <w:tcW w:w="867" w:type="dxa"/>
            <w:gridSpan w:val="4"/>
            <w:tcBorders>
              <w:top w:val="single" w:color="000000" w:sz="4" w:space="0"/>
              <w:left w:val="single" w:color="000000" w:sz="4" w:space="0"/>
              <w:bottom w:val="single" w:color="000000" w:sz="4" w:space="0"/>
              <w:right w:val="single" w:color="000000" w:sz="4" w:space="0"/>
            </w:tcBorders>
            <w:vAlign w:val="center"/>
          </w:tcPr>
          <w:p w14:paraId="48204242">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台</w:t>
            </w:r>
          </w:p>
        </w:tc>
        <w:tc>
          <w:tcPr>
            <w:tcW w:w="935" w:type="dxa"/>
            <w:gridSpan w:val="3"/>
            <w:tcBorders>
              <w:top w:val="single" w:color="000000" w:sz="4" w:space="0"/>
              <w:left w:val="single" w:color="000000" w:sz="4" w:space="0"/>
              <w:bottom w:val="single" w:color="000000" w:sz="4" w:space="0"/>
              <w:right w:val="single" w:color="000000" w:sz="4" w:space="0"/>
            </w:tcBorders>
            <w:vAlign w:val="center"/>
          </w:tcPr>
          <w:p w14:paraId="189AB31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6821BF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jc w:val="center"/>
        </w:trPr>
        <w:tc>
          <w:tcPr>
            <w:tcW w:w="749" w:type="dxa"/>
            <w:tcBorders>
              <w:top w:val="single" w:color="000000" w:sz="4" w:space="0"/>
              <w:left w:val="single" w:color="000000" w:sz="4" w:space="0"/>
              <w:bottom w:val="single" w:color="000000" w:sz="4" w:space="0"/>
              <w:right w:val="single" w:color="000000" w:sz="4" w:space="0"/>
            </w:tcBorders>
            <w:vAlign w:val="center"/>
          </w:tcPr>
          <w:p w14:paraId="779F1DDB">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9</w:t>
            </w:r>
          </w:p>
        </w:tc>
        <w:tc>
          <w:tcPr>
            <w:tcW w:w="1227" w:type="dxa"/>
            <w:tcBorders>
              <w:top w:val="single" w:color="000000" w:sz="4" w:space="0"/>
              <w:left w:val="single" w:color="000000" w:sz="4" w:space="0"/>
              <w:bottom w:val="single" w:color="000000" w:sz="4" w:space="0"/>
              <w:right w:val="single" w:color="000000" w:sz="4" w:space="0"/>
            </w:tcBorders>
            <w:vAlign w:val="center"/>
          </w:tcPr>
          <w:p w14:paraId="2E495DE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自助补卡充值机</w:t>
            </w:r>
          </w:p>
        </w:tc>
        <w:tc>
          <w:tcPr>
            <w:tcW w:w="6200" w:type="dxa"/>
            <w:gridSpan w:val="3"/>
            <w:tcBorders>
              <w:top w:val="single" w:color="000000" w:sz="4" w:space="0"/>
              <w:left w:val="single" w:color="000000" w:sz="4" w:space="0"/>
              <w:bottom w:val="single" w:color="000000" w:sz="4" w:space="0"/>
              <w:right w:val="single" w:color="000000" w:sz="4" w:space="0"/>
            </w:tcBorders>
            <w:vAlign w:val="center"/>
          </w:tcPr>
          <w:p w14:paraId="4FA48E15">
            <w:pPr>
              <w:widowControl/>
              <w:numPr>
                <w:ilvl w:val="1"/>
                <w:numId w:val="357"/>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处理器：Intel I5或更优</w:t>
            </w:r>
          </w:p>
          <w:p w14:paraId="76EB9EAE">
            <w:pPr>
              <w:widowControl/>
              <w:numPr>
                <w:ilvl w:val="1"/>
                <w:numId w:val="357"/>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内存：≥8GB</w:t>
            </w:r>
          </w:p>
          <w:p w14:paraId="48337E5C">
            <w:pPr>
              <w:widowControl/>
              <w:numPr>
                <w:ilvl w:val="1"/>
                <w:numId w:val="357"/>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硬盘：≥128GB固态硬盘</w:t>
            </w:r>
          </w:p>
          <w:p w14:paraId="7A8360B7">
            <w:pPr>
              <w:widowControl/>
              <w:numPr>
                <w:ilvl w:val="1"/>
                <w:numId w:val="357"/>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网卡：≥2个10M/100M/1000M自适应网卡</w:t>
            </w:r>
          </w:p>
          <w:p w14:paraId="1D224FC2">
            <w:pPr>
              <w:widowControl/>
              <w:numPr>
                <w:ilvl w:val="1"/>
                <w:numId w:val="357"/>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I/O：≥6个COM，≥8个USB</w:t>
            </w:r>
          </w:p>
          <w:p w14:paraId="485A81F2">
            <w:pPr>
              <w:widowControl/>
              <w:numPr>
                <w:ilvl w:val="1"/>
                <w:numId w:val="357"/>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显示屏：≥43英寸</w:t>
            </w:r>
          </w:p>
          <w:p w14:paraId="5337EACB">
            <w:pPr>
              <w:widowControl/>
              <w:numPr>
                <w:ilvl w:val="1"/>
                <w:numId w:val="357"/>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触控：电容触摸屏</w:t>
            </w:r>
          </w:p>
          <w:p w14:paraId="23374B55">
            <w:pPr>
              <w:widowControl/>
              <w:numPr>
                <w:ilvl w:val="1"/>
                <w:numId w:val="357"/>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刷新频率：≥60Hz</w:t>
            </w:r>
          </w:p>
          <w:p w14:paraId="1B51D0B3">
            <w:pPr>
              <w:widowControl/>
              <w:numPr>
                <w:ilvl w:val="1"/>
                <w:numId w:val="357"/>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分辨率：≥1920×1080</w:t>
            </w:r>
          </w:p>
          <w:p w14:paraId="2CC02E2F">
            <w:pPr>
              <w:widowControl/>
              <w:numPr>
                <w:ilvl w:val="1"/>
                <w:numId w:val="357"/>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电源：AC 220V 50Hz</w:t>
            </w:r>
          </w:p>
          <w:p w14:paraId="63B87BAB">
            <w:pPr>
              <w:widowControl/>
              <w:numPr>
                <w:ilvl w:val="1"/>
                <w:numId w:val="357"/>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密码键盘：标准16键防暴金属键盘，支持明/密文输出</w:t>
            </w:r>
          </w:p>
          <w:p w14:paraId="376D2A9C">
            <w:pPr>
              <w:widowControl/>
              <w:numPr>
                <w:ilvl w:val="1"/>
                <w:numId w:val="357"/>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校园卡识别：支持Mifare1卡/CPU卡</w:t>
            </w:r>
          </w:p>
          <w:p w14:paraId="72087431">
            <w:pPr>
              <w:widowControl/>
              <w:numPr>
                <w:ilvl w:val="1"/>
                <w:numId w:val="357"/>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身份证识别：支持第二代身份证</w:t>
            </w:r>
          </w:p>
          <w:p w14:paraId="495E6D9E">
            <w:pPr>
              <w:widowControl/>
              <w:numPr>
                <w:ilvl w:val="1"/>
                <w:numId w:val="357"/>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二维码识别：支持QR、Code128、Code39</w:t>
            </w:r>
          </w:p>
          <w:p w14:paraId="46A01CF1">
            <w:pPr>
              <w:widowControl/>
              <w:numPr>
                <w:ilvl w:val="1"/>
                <w:numId w:val="357"/>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人脸识别：≥200万像素双目摄像头，拍摄图像分辨率≥1920×1080</w:t>
            </w:r>
          </w:p>
          <w:p w14:paraId="07831B87">
            <w:pPr>
              <w:widowControl/>
              <w:numPr>
                <w:ilvl w:val="1"/>
                <w:numId w:val="357"/>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扬声器：立体声扬声器，系统操作有语音提示</w:t>
            </w:r>
          </w:p>
          <w:p w14:paraId="4BC3B294">
            <w:pPr>
              <w:widowControl/>
              <w:numPr>
                <w:ilvl w:val="1"/>
                <w:numId w:val="357"/>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纸币识别：纸币识别率≥99.99%，钞箱容量≥1000张</w:t>
            </w:r>
          </w:p>
          <w:p w14:paraId="2DA6BBDF">
            <w:pPr>
              <w:widowControl/>
              <w:numPr>
                <w:ilvl w:val="1"/>
                <w:numId w:val="357"/>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凭条打印：热敏打印、自动切纸，打印速度≥50mm/s</w:t>
            </w:r>
          </w:p>
          <w:p w14:paraId="70822743">
            <w:pPr>
              <w:widowControl/>
              <w:numPr>
                <w:ilvl w:val="1"/>
                <w:numId w:val="357"/>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证卡打印：彩色热升华、单色热转印</w:t>
            </w:r>
          </w:p>
          <w:p w14:paraId="4C291998">
            <w:pPr>
              <w:widowControl/>
              <w:numPr>
                <w:ilvl w:val="1"/>
                <w:numId w:val="357"/>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打印分辨率：≥300 dpi</w:t>
            </w:r>
          </w:p>
          <w:p w14:paraId="5FC7B78E">
            <w:pPr>
              <w:widowControl/>
              <w:numPr>
                <w:ilvl w:val="1"/>
                <w:numId w:val="357"/>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打印速度：单面全彩色≥100张/小时</w:t>
            </w:r>
          </w:p>
          <w:p w14:paraId="0BD9AC8A">
            <w:pPr>
              <w:widowControl/>
              <w:numPr>
                <w:ilvl w:val="1"/>
                <w:numId w:val="357"/>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 xml:space="preserve">UPS供电：≥5分钟 </w:t>
            </w:r>
          </w:p>
          <w:p w14:paraId="38BCD777">
            <w:pPr>
              <w:widowControl/>
              <w:numPr>
                <w:ilvl w:val="1"/>
                <w:numId w:val="357"/>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环境温度：-10℃～ 60℃</w:t>
            </w:r>
          </w:p>
        </w:tc>
        <w:tc>
          <w:tcPr>
            <w:tcW w:w="867" w:type="dxa"/>
            <w:gridSpan w:val="4"/>
            <w:tcBorders>
              <w:top w:val="single" w:color="000000" w:sz="4" w:space="0"/>
              <w:left w:val="single" w:color="000000" w:sz="4" w:space="0"/>
              <w:bottom w:val="single" w:color="000000" w:sz="4" w:space="0"/>
              <w:right w:val="single" w:color="000000" w:sz="4" w:space="0"/>
            </w:tcBorders>
            <w:vAlign w:val="center"/>
          </w:tcPr>
          <w:p w14:paraId="3FA2C5F3">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台</w:t>
            </w:r>
          </w:p>
        </w:tc>
        <w:tc>
          <w:tcPr>
            <w:tcW w:w="935" w:type="dxa"/>
            <w:gridSpan w:val="3"/>
            <w:tcBorders>
              <w:top w:val="single" w:color="000000" w:sz="4" w:space="0"/>
              <w:left w:val="single" w:color="000000" w:sz="4" w:space="0"/>
              <w:bottom w:val="single" w:color="000000" w:sz="4" w:space="0"/>
              <w:right w:val="single" w:color="000000" w:sz="4" w:space="0"/>
            </w:tcBorders>
            <w:vAlign w:val="center"/>
          </w:tcPr>
          <w:p w14:paraId="6290CD52">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w:t>
            </w:r>
          </w:p>
        </w:tc>
      </w:tr>
      <w:tr w14:paraId="5AF31C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jc w:val="center"/>
        </w:trPr>
        <w:tc>
          <w:tcPr>
            <w:tcW w:w="749" w:type="dxa"/>
            <w:tcBorders>
              <w:top w:val="single" w:color="000000" w:sz="4" w:space="0"/>
              <w:left w:val="single" w:color="000000" w:sz="4" w:space="0"/>
              <w:bottom w:val="single" w:color="000000" w:sz="4" w:space="0"/>
              <w:right w:val="single" w:color="000000" w:sz="4" w:space="0"/>
            </w:tcBorders>
            <w:vAlign w:val="center"/>
          </w:tcPr>
          <w:p w14:paraId="71AA02CC">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10</w:t>
            </w:r>
          </w:p>
        </w:tc>
        <w:tc>
          <w:tcPr>
            <w:tcW w:w="1227" w:type="dxa"/>
            <w:tcBorders>
              <w:top w:val="single" w:color="000000" w:sz="4" w:space="0"/>
              <w:left w:val="single" w:color="000000" w:sz="4" w:space="0"/>
              <w:bottom w:val="single" w:color="000000" w:sz="4" w:space="0"/>
              <w:right w:val="single" w:color="000000" w:sz="4" w:space="0"/>
            </w:tcBorders>
            <w:vAlign w:val="center"/>
          </w:tcPr>
          <w:p w14:paraId="223A401A">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智能批量发卡机</w:t>
            </w:r>
          </w:p>
        </w:tc>
        <w:tc>
          <w:tcPr>
            <w:tcW w:w="6200" w:type="dxa"/>
            <w:gridSpan w:val="3"/>
            <w:tcBorders>
              <w:top w:val="single" w:color="000000" w:sz="4" w:space="0"/>
              <w:left w:val="single" w:color="000000" w:sz="4" w:space="0"/>
              <w:bottom w:val="single" w:color="000000" w:sz="4" w:space="0"/>
              <w:right w:val="single" w:color="000000" w:sz="4" w:space="0"/>
            </w:tcBorders>
            <w:vAlign w:val="center"/>
          </w:tcPr>
          <w:p w14:paraId="2FB9DFD1">
            <w:pPr>
              <w:widowControl/>
              <w:numPr>
                <w:ilvl w:val="1"/>
                <w:numId w:val="358"/>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打印类型：热升华彩色打印机</w:t>
            </w:r>
          </w:p>
          <w:p w14:paraId="08CC1B83">
            <w:pPr>
              <w:widowControl/>
              <w:numPr>
                <w:ilvl w:val="1"/>
                <w:numId w:val="358"/>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分辨率：≥300dpi</w:t>
            </w:r>
          </w:p>
          <w:p w14:paraId="1948281D">
            <w:pPr>
              <w:widowControl/>
              <w:numPr>
                <w:ilvl w:val="1"/>
                <w:numId w:val="358"/>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系统支持：Windows XP（含）以上</w:t>
            </w:r>
          </w:p>
          <w:p w14:paraId="0037AADE">
            <w:pPr>
              <w:widowControl/>
              <w:numPr>
                <w:ilvl w:val="1"/>
                <w:numId w:val="358"/>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进卡方式：自动</w:t>
            </w:r>
          </w:p>
          <w:p w14:paraId="72A2C151">
            <w:pPr>
              <w:widowControl/>
              <w:numPr>
                <w:ilvl w:val="1"/>
                <w:numId w:val="358"/>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卡片类型：PVC、PET、复合PVC</w:t>
            </w:r>
          </w:p>
          <w:p w14:paraId="68DF22E1">
            <w:pPr>
              <w:widowControl/>
              <w:numPr>
                <w:ilvl w:val="1"/>
                <w:numId w:val="358"/>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卡片尺寸：符合ISO CR80规范</w:t>
            </w:r>
          </w:p>
          <w:p w14:paraId="534A13E3">
            <w:pPr>
              <w:widowControl/>
              <w:numPr>
                <w:ilvl w:val="1"/>
                <w:numId w:val="358"/>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卡片厚度：0.38-1.0mm</w:t>
            </w:r>
          </w:p>
          <w:p w14:paraId="5BE9D8DC">
            <w:pPr>
              <w:widowControl/>
              <w:numPr>
                <w:ilvl w:val="1"/>
                <w:numId w:val="358"/>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连接方式：USB接口</w:t>
            </w:r>
          </w:p>
          <w:p w14:paraId="35315141">
            <w:pPr>
              <w:widowControl/>
              <w:numPr>
                <w:ilvl w:val="1"/>
                <w:numId w:val="358"/>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环境：温度/湿度：15-35℃/35-70%</w:t>
            </w:r>
          </w:p>
          <w:p w14:paraId="40070294">
            <w:pPr>
              <w:widowControl/>
              <w:numPr>
                <w:ilvl w:val="1"/>
                <w:numId w:val="358"/>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打印速度：单色：≤5秒/张，彩色：≤17秒/张</w:t>
            </w:r>
          </w:p>
        </w:tc>
        <w:tc>
          <w:tcPr>
            <w:tcW w:w="867" w:type="dxa"/>
            <w:gridSpan w:val="4"/>
            <w:tcBorders>
              <w:top w:val="single" w:color="000000" w:sz="4" w:space="0"/>
              <w:left w:val="single" w:color="000000" w:sz="4" w:space="0"/>
              <w:bottom w:val="single" w:color="000000" w:sz="4" w:space="0"/>
              <w:right w:val="single" w:color="000000" w:sz="4" w:space="0"/>
            </w:tcBorders>
            <w:vAlign w:val="center"/>
          </w:tcPr>
          <w:p w14:paraId="67FACB0B">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台</w:t>
            </w:r>
          </w:p>
        </w:tc>
        <w:tc>
          <w:tcPr>
            <w:tcW w:w="935" w:type="dxa"/>
            <w:gridSpan w:val="3"/>
            <w:tcBorders>
              <w:top w:val="single" w:color="000000" w:sz="4" w:space="0"/>
              <w:left w:val="single" w:color="000000" w:sz="4" w:space="0"/>
              <w:bottom w:val="single" w:color="000000" w:sz="4" w:space="0"/>
              <w:right w:val="single" w:color="000000" w:sz="4" w:space="0"/>
            </w:tcBorders>
            <w:vAlign w:val="center"/>
          </w:tcPr>
          <w:p w14:paraId="1B4C58B0">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77B569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jc w:val="center"/>
        </w:trPr>
        <w:tc>
          <w:tcPr>
            <w:tcW w:w="749" w:type="dxa"/>
            <w:tcBorders>
              <w:top w:val="single" w:color="000000" w:sz="4" w:space="0"/>
              <w:left w:val="single" w:color="000000" w:sz="4" w:space="0"/>
              <w:bottom w:val="single" w:color="000000" w:sz="4" w:space="0"/>
              <w:right w:val="single" w:color="000000" w:sz="4" w:space="0"/>
            </w:tcBorders>
            <w:vAlign w:val="center"/>
          </w:tcPr>
          <w:p w14:paraId="3BA4952D">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11</w:t>
            </w:r>
          </w:p>
        </w:tc>
        <w:tc>
          <w:tcPr>
            <w:tcW w:w="1227" w:type="dxa"/>
            <w:tcBorders>
              <w:top w:val="single" w:color="000000" w:sz="4" w:space="0"/>
              <w:left w:val="single" w:color="000000" w:sz="4" w:space="0"/>
              <w:bottom w:val="single" w:color="000000" w:sz="4" w:space="0"/>
              <w:right w:val="single" w:color="000000" w:sz="4" w:space="0"/>
            </w:tcBorders>
            <w:vAlign w:val="center"/>
          </w:tcPr>
          <w:p w14:paraId="33FBBBBC">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色带</w:t>
            </w:r>
          </w:p>
        </w:tc>
        <w:tc>
          <w:tcPr>
            <w:tcW w:w="6200" w:type="dxa"/>
            <w:gridSpan w:val="3"/>
            <w:tcBorders>
              <w:top w:val="single" w:color="000000" w:sz="4" w:space="0"/>
              <w:left w:val="single" w:color="000000" w:sz="4" w:space="0"/>
              <w:bottom w:val="single" w:color="000000" w:sz="4" w:space="0"/>
              <w:right w:val="single" w:color="000000" w:sz="4" w:space="0"/>
            </w:tcBorders>
            <w:vAlign w:val="center"/>
          </w:tcPr>
          <w:p w14:paraId="5B5DF3B6">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全彩色带，智能批量发卡机专用色带</w:t>
            </w:r>
          </w:p>
        </w:tc>
        <w:tc>
          <w:tcPr>
            <w:tcW w:w="867" w:type="dxa"/>
            <w:gridSpan w:val="4"/>
            <w:tcBorders>
              <w:top w:val="single" w:color="000000" w:sz="4" w:space="0"/>
              <w:left w:val="single" w:color="000000" w:sz="4" w:space="0"/>
              <w:bottom w:val="single" w:color="000000" w:sz="4" w:space="0"/>
              <w:right w:val="single" w:color="000000" w:sz="4" w:space="0"/>
            </w:tcBorders>
            <w:vAlign w:val="center"/>
          </w:tcPr>
          <w:p w14:paraId="3E5B73D8">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套</w:t>
            </w:r>
          </w:p>
        </w:tc>
        <w:tc>
          <w:tcPr>
            <w:tcW w:w="935" w:type="dxa"/>
            <w:gridSpan w:val="3"/>
            <w:tcBorders>
              <w:top w:val="single" w:color="000000" w:sz="4" w:space="0"/>
              <w:left w:val="single" w:color="000000" w:sz="4" w:space="0"/>
              <w:bottom w:val="single" w:color="000000" w:sz="4" w:space="0"/>
              <w:right w:val="single" w:color="000000" w:sz="4" w:space="0"/>
            </w:tcBorders>
            <w:vAlign w:val="center"/>
          </w:tcPr>
          <w:p w14:paraId="5578006E">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3</w:t>
            </w:r>
          </w:p>
        </w:tc>
      </w:tr>
      <w:tr w14:paraId="31D388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jc w:val="center"/>
        </w:trPr>
        <w:tc>
          <w:tcPr>
            <w:tcW w:w="749" w:type="dxa"/>
            <w:tcBorders>
              <w:top w:val="single" w:color="000000" w:sz="4" w:space="0"/>
              <w:left w:val="single" w:color="000000" w:sz="4" w:space="0"/>
              <w:bottom w:val="single" w:color="000000" w:sz="4" w:space="0"/>
              <w:right w:val="single" w:color="000000" w:sz="4" w:space="0"/>
            </w:tcBorders>
            <w:vAlign w:val="center"/>
          </w:tcPr>
          <w:p w14:paraId="059A8944">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12</w:t>
            </w:r>
          </w:p>
        </w:tc>
        <w:tc>
          <w:tcPr>
            <w:tcW w:w="1227" w:type="dxa"/>
            <w:tcBorders>
              <w:top w:val="single" w:color="000000" w:sz="4" w:space="0"/>
              <w:left w:val="single" w:color="000000" w:sz="4" w:space="0"/>
              <w:bottom w:val="single" w:color="000000" w:sz="4" w:space="0"/>
              <w:right w:val="single" w:color="000000" w:sz="4" w:space="0"/>
            </w:tcBorders>
            <w:vAlign w:val="center"/>
          </w:tcPr>
          <w:p w14:paraId="1490A330">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CPU卡</w:t>
            </w:r>
          </w:p>
        </w:tc>
        <w:tc>
          <w:tcPr>
            <w:tcW w:w="6200" w:type="dxa"/>
            <w:gridSpan w:val="3"/>
            <w:tcBorders>
              <w:top w:val="single" w:color="000000" w:sz="4" w:space="0"/>
              <w:left w:val="single" w:color="000000" w:sz="4" w:space="0"/>
              <w:bottom w:val="single" w:color="000000" w:sz="4" w:space="0"/>
              <w:right w:val="single" w:color="000000" w:sz="4" w:space="0"/>
            </w:tcBorders>
            <w:vAlign w:val="center"/>
          </w:tcPr>
          <w:p w14:paraId="0BD125BB">
            <w:pPr>
              <w:widowControl/>
              <w:numPr>
                <w:ilvl w:val="0"/>
                <w:numId w:val="359"/>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接口规范：符合ISO/IEC 14443 TYPE-A 的RF接口</w:t>
            </w:r>
          </w:p>
          <w:p w14:paraId="71A140BC">
            <w:pPr>
              <w:widowControl/>
              <w:numPr>
                <w:ilvl w:val="0"/>
                <w:numId w:val="359"/>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载波频率：13.56MHz</w:t>
            </w:r>
          </w:p>
          <w:p w14:paraId="523D6947">
            <w:pPr>
              <w:widowControl/>
              <w:numPr>
                <w:ilvl w:val="0"/>
                <w:numId w:val="359"/>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通讯速率：≥106Kbps</w:t>
            </w:r>
          </w:p>
          <w:p w14:paraId="18FCA1BC">
            <w:pPr>
              <w:widowControl/>
              <w:numPr>
                <w:ilvl w:val="0"/>
                <w:numId w:val="359"/>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处理器：32位（含）以上</w:t>
            </w:r>
          </w:p>
          <w:p w14:paraId="2ED57414">
            <w:pPr>
              <w:widowControl/>
              <w:numPr>
                <w:ilvl w:val="0"/>
                <w:numId w:val="359"/>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存储器：SRAM≥256字节， EEPROM≥8K字节</w:t>
            </w:r>
          </w:p>
          <w:p w14:paraId="4DD2E161">
            <w:pPr>
              <w:widowControl/>
              <w:numPr>
                <w:ilvl w:val="0"/>
                <w:numId w:val="359"/>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安全机制：支持工作温度和工作场强检测机制（安检超出自动复位）</w:t>
            </w:r>
          </w:p>
          <w:p w14:paraId="2E1D3655">
            <w:pPr>
              <w:widowControl/>
              <w:numPr>
                <w:ilvl w:val="0"/>
                <w:numId w:val="359"/>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数据加密：EEPROM、ROM、IRAM和XRAM的数据均可以加密保护</w:t>
            </w:r>
          </w:p>
        </w:tc>
        <w:tc>
          <w:tcPr>
            <w:tcW w:w="867" w:type="dxa"/>
            <w:gridSpan w:val="4"/>
            <w:tcBorders>
              <w:top w:val="single" w:color="000000" w:sz="4" w:space="0"/>
              <w:left w:val="single" w:color="000000" w:sz="4" w:space="0"/>
              <w:bottom w:val="single" w:color="000000" w:sz="4" w:space="0"/>
              <w:right w:val="single" w:color="000000" w:sz="4" w:space="0"/>
            </w:tcBorders>
            <w:vAlign w:val="center"/>
          </w:tcPr>
          <w:p w14:paraId="31BA2A87">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张</w:t>
            </w:r>
          </w:p>
        </w:tc>
        <w:tc>
          <w:tcPr>
            <w:tcW w:w="935" w:type="dxa"/>
            <w:gridSpan w:val="3"/>
            <w:tcBorders>
              <w:top w:val="single" w:color="000000" w:sz="4" w:space="0"/>
              <w:left w:val="single" w:color="000000" w:sz="4" w:space="0"/>
              <w:bottom w:val="single" w:color="000000" w:sz="4" w:space="0"/>
              <w:right w:val="single" w:color="000000" w:sz="4" w:space="0"/>
            </w:tcBorders>
            <w:vAlign w:val="center"/>
          </w:tcPr>
          <w:p w14:paraId="4DFE5A1A">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1000</w:t>
            </w:r>
          </w:p>
        </w:tc>
      </w:tr>
      <w:tr w14:paraId="0EE48F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jc w:val="center"/>
        </w:trPr>
        <w:tc>
          <w:tcPr>
            <w:tcW w:w="749" w:type="dxa"/>
            <w:tcBorders>
              <w:top w:val="single" w:color="000000" w:sz="4" w:space="0"/>
              <w:left w:val="single" w:color="000000" w:sz="4" w:space="0"/>
              <w:bottom w:val="single" w:color="000000" w:sz="4" w:space="0"/>
              <w:right w:val="single" w:color="000000" w:sz="4" w:space="0"/>
            </w:tcBorders>
            <w:vAlign w:val="center"/>
          </w:tcPr>
          <w:p w14:paraId="1B1D679F">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13</w:t>
            </w:r>
          </w:p>
        </w:tc>
        <w:tc>
          <w:tcPr>
            <w:tcW w:w="1227" w:type="dxa"/>
            <w:tcBorders>
              <w:top w:val="single" w:color="000000" w:sz="4" w:space="0"/>
              <w:left w:val="single" w:color="000000" w:sz="4" w:space="0"/>
              <w:bottom w:val="single" w:color="000000" w:sz="4" w:space="0"/>
              <w:right w:val="single" w:color="000000" w:sz="4" w:space="0"/>
            </w:tcBorders>
            <w:vAlign w:val="center"/>
          </w:tcPr>
          <w:p w14:paraId="521CF6BB">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多功能POS机（台式）</w:t>
            </w:r>
          </w:p>
        </w:tc>
        <w:tc>
          <w:tcPr>
            <w:tcW w:w="6200" w:type="dxa"/>
            <w:gridSpan w:val="3"/>
            <w:tcBorders>
              <w:top w:val="single" w:color="000000" w:sz="4" w:space="0"/>
              <w:left w:val="single" w:color="000000" w:sz="4" w:space="0"/>
              <w:bottom w:val="single" w:color="000000" w:sz="4" w:space="0"/>
              <w:right w:val="single" w:color="000000" w:sz="4" w:space="0"/>
            </w:tcBorders>
            <w:vAlign w:val="center"/>
          </w:tcPr>
          <w:p w14:paraId="3C325813">
            <w:pPr>
              <w:widowControl/>
              <w:numPr>
                <w:ilvl w:val="0"/>
                <w:numId w:val="360"/>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 xml:space="preserve">中央处理器：8核或更优 </w:t>
            </w:r>
          </w:p>
          <w:p w14:paraId="72699935">
            <w:pPr>
              <w:widowControl/>
              <w:numPr>
                <w:ilvl w:val="0"/>
                <w:numId w:val="360"/>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运行内存：≥2GB</w:t>
            </w:r>
          </w:p>
          <w:p w14:paraId="58276AF5">
            <w:pPr>
              <w:widowControl/>
              <w:numPr>
                <w:ilvl w:val="0"/>
                <w:numId w:val="360"/>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储存器：≥16GB</w:t>
            </w:r>
          </w:p>
          <w:p w14:paraId="7B3F17A3">
            <w:pPr>
              <w:widowControl/>
              <w:numPr>
                <w:ilvl w:val="0"/>
                <w:numId w:val="360"/>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操作系统：Android 7.1（含）以上</w:t>
            </w:r>
          </w:p>
          <w:p w14:paraId="3E7AB1DD">
            <w:pPr>
              <w:widowControl/>
              <w:numPr>
                <w:ilvl w:val="0"/>
                <w:numId w:val="360"/>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用户侧显示屏：彩屏，8英寸≤屏幕尺寸≤10英寸，分辨率≥1280×800，；</w:t>
            </w:r>
          </w:p>
          <w:p w14:paraId="040649A0">
            <w:pPr>
              <w:widowControl/>
              <w:numPr>
                <w:ilvl w:val="0"/>
                <w:numId w:val="360"/>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管理侧显示屏：彩屏，屏幕尺寸≥5英寸，分辨率≥1280×720</w:t>
            </w:r>
          </w:p>
          <w:p w14:paraId="0043268B">
            <w:pPr>
              <w:widowControl/>
              <w:numPr>
                <w:ilvl w:val="0"/>
                <w:numId w:val="360"/>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按键：机械键盘，按键寿命≥60万次</w:t>
            </w:r>
          </w:p>
          <w:p w14:paraId="2B2A4471">
            <w:pPr>
              <w:widowControl/>
              <w:numPr>
                <w:ilvl w:val="0"/>
                <w:numId w:val="360"/>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读卡：支持Mifare 1卡/CPU卡</w:t>
            </w:r>
          </w:p>
          <w:p w14:paraId="0F906165">
            <w:pPr>
              <w:widowControl/>
              <w:numPr>
                <w:ilvl w:val="0"/>
                <w:numId w:val="360"/>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SAM卡座：≥2个PSAM卡座，≥1个SIM卡座</w:t>
            </w:r>
          </w:p>
          <w:p w14:paraId="30F5265A">
            <w:pPr>
              <w:widowControl/>
              <w:numPr>
                <w:ilvl w:val="0"/>
                <w:numId w:val="360"/>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二维码识别：支持QR Code、Code 128/39等（可旋转360°、偏转/倾斜45°），支持离线码识别，二维码识别时间≤400ms</w:t>
            </w:r>
          </w:p>
          <w:p w14:paraId="47CD092F">
            <w:pPr>
              <w:widowControl/>
              <w:numPr>
                <w:ilvl w:val="0"/>
                <w:numId w:val="360"/>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人脸识别摄像头：≥200万像素双目摄像头（可见光+红外光）</w:t>
            </w:r>
          </w:p>
          <w:p w14:paraId="1FE63CA6">
            <w:pPr>
              <w:widowControl/>
              <w:numPr>
                <w:ilvl w:val="0"/>
                <w:numId w:val="360"/>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摄像头角度可调：支持向上或向下旋转，上下旋转角度≥15°</w:t>
            </w:r>
          </w:p>
          <w:p w14:paraId="5EB16759">
            <w:pPr>
              <w:widowControl/>
              <w:numPr>
                <w:ilvl w:val="0"/>
                <w:numId w:val="360"/>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人脸识别速度：≤400ms</w:t>
            </w:r>
          </w:p>
          <w:p w14:paraId="56D6A044">
            <w:pPr>
              <w:widowControl/>
              <w:numPr>
                <w:ilvl w:val="0"/>
                <w:numId w:val="360"/>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 xml:space="preserve">人脸识别特征库容量：设备离线状态下≥5万人， </w:t>
            </w:r>
          </w:p>
          <w:p w14:paraId="02CF2FDE">
            <w:pPr>
              <w:widowControl/>
              <w:numPr>
                <w:ilvl w:val="0"/>
                <w:numId w:val="360"/>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人脸识别防护：支持活体识别，可防止手机照片或视频、打印照片、面具造假攻击</w:t>
            </w:r>
          </w:p>
          <w:p w14:paraId="616BFEFC">
            <w:pPr>
              <w:widowControl/>
              <w:numPr>
                <w:ilvl w:val="0"/>
                <w:numId w:val="360"/>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人脸识别通过率：人脸识别正确率≥99.98%，误识率≤0.02%，提供检测报告</w:t>
            </w:r>
          </w:p>
          <w:p w14:paraId="0721F141">
            <w:pPr>
              <w:widowControl/>
              <w:numPr>
                <w:ilvl w:val="0"/>
                <w:numId w:val="360"/>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通讯方式：同时支持以太网、WiFi、4G</w:t>
            </w:r>
          </w:p>
          <w:p w14:paraId="3C30FDB7">
            <w:pPr>
              <w:widowControl/>
              <w:numPr>
                <w:ilvl w:val="0"/>
                <w:numId w:val="360"/>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自动切换网络：同时开启以太网、WiFi、移动网络，当以太网不通时，设备可自动切换到WiFi网络，当WiFi网络不通时，设备可自动切换到移动网络。</w:t>
            </w:r>
          </w:p>
          <w:p w14:paraId="3E822AAD">
            <w:pPr>
              <w:widowControl/>
              <w:numPr>
                <w:ilvl w:val="0"/>
                <w:numId w:val="360"/>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数据离线存储：消费记录脱机时可离线存储到本地，网络恢复时可自动上传，支持百万离线数据存储</w:t>
            </w:r>
          </w:p>
          <w:p w14:paraId="22ABF67B">
            <w:pPr>
              <w:widowControl/>
              <w:numPr>
                <w:ilvl w:val="0"/>
                <w:numId w:val="360"/>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电源：DC 12V</w:t>
            </w:r>
          </w:p>
          <w:p w14:paraId="3A1B9909">
            <w:pPr>
              <w:widowControl/>
              <w:numPr>
                <w:ilvl w:val="0"/>
                <w:numId w:val="360"/>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 xml:space="preserve">电池容量：电池容量≥5000mAh且续航时长≥6小时， </w:t>
            </w:r>
          </w:p>
          <w:p w14:paraId="4FCACBA1">
            <w:pPr>
              <w:widowControl/>
              <w:numPr>
                <w:ilvl w:val="0"/>
                <w:numId w:val="360"/>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用电保护：支持短路保护（要求短路8H不损坏）</w:t>
            </w:r>
          </w:p>
          <w:p w14:paraId="31F2C5C4">
            <w:pPr>
              <w:widowControl/>
              <w:numPr>
                <w:ilvl w:val="0"/>
                <w:numId w:val="360"/>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工作环境：-10°C～60°C</w:t>
            </w:r>
          </w:p>
          <w:p w14:paraId="4999C7B8">
            <w:pPr>
              <w:widowControl/>
              <w:numPr>
                <w:ilvl w:val="0"/>
                <w:numId w:val="360"/>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高温高湿运行：支持高温高湿环境（要求温度50℃/湿度95%下运行48H不损坏）</w:t>
            </w:r>
          </w:p>
          <w:p w14:paraId="2B8FBDAE">
            <w:pPr>
              <w:widowControl/>
              <w:numPr>
                <w:ilvl w:val="0"/>
                <w:numId w:val="360"/>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防水防尘等级：≥IP65</w:t>
            </w:r>
          </w:p>
          <w:p w14:paraId="446C7BE6">
            <w:pPr>
              <w:widowControl/>
              <w:numPr>
                <w:ilvl w:val="0"/>
                <w:numId w:val="360"/>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静电防护：支持静电防护（要求静电抗扰度试验符合国家标准）</w:t>
            </w:r>
          </w:p>
          <w:p w14:paraId="10DA0F88">
            <w:pPr>
              <w:widowControl/>
              <w:numPr>
                <w:ilvl w:val="0"/>
                <w:numId w:val="360"/>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★传导抗扰：射频场感应的传导骚扰抗扰度检测：符合：GB/T17626.6-2017《电磁兼容 试验和测量技术 射频场感应的传导骚扰抗扰度》B级及以上要求。（提供检测报告）</w:t>
            </w:r>
          </w:p>
          <w:p w14:paraId="18929A3E">
            <w:pPr>
              <w:widowControl/>
              <w:numPr>
                <w:ilvl w:val="0"/>
                <w:numId w:val="360"/>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★阻燃防护：符合“GB/T 5169.11-2017电工电子产品着火危险试验 第11部分：灼热丝/热丝基本试验方法 成品的灼热丝可燃性试验方法（GWEPT），（提供检测报告）</w:t>
            </w:r>
          </w:p>
          <w:p w14:paraId="4B33FB17">
            <w:pPr>
              <w:widowControl/>
              <w:numPr>
                <w:ilvl w:val="0"/>
                <w:numId w:val="360"/>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外壳防护：设备屏幕部分应符合IK04的要求，其它表面应符合IK06的要求</w:t>
            </w:r>
          </w:p>
          <w:p w14:paraId="24346E89">
            <w:pPr>
              <w:widowControl/>
              <w:numPr>
                <w:ilvl w:val="0"/>
                <w:numId w:val="360"/>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设备时钟：支持查看时间，并可手动或自动调整时间</w:t>
            </w:r>
          </w:p>
          <w:p w14:paraId="0A8134B2">
            <w:pPr>
              <w:widowControl/>
              <w:numPr>
                <w:ilvl w:val="0"/>
                <w:numId w:val="360"/>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程序升级：支持在线或本地升级</w:t>
            </w:r>
          </w:p>
          <w:p w14:paraId="19CF499D">
            <w:pPr>
              <w:widowControl/>
              <w:numPr>
                <w:ilvl w:val="0"/>
                <w:numId w:val="360"/>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I/O接口：RJ45接口≥1个；RS232接口≥1个；USB2.0接口≥1个</w:t>
            </w:r>
          </w:p>
        </w:tc>
        <w:tc>
          <w:tcPr>
            <w:tcW w:w="867" w:type="dxa"/>
            <w:gridSpan w:val="4"/>
            <w:tcBorders>
              <w:top w:val="single" w:color="000000" w:sz="4" w:space="0"/>
              <w:left w:val="single" w:color="000000" w:sz="4" w:space="0"/>
              <w:bottom w:val="single" w:color="000000" w:sz="4" w:space="0"/>
              <w:right w:val="single" w:color="000000" w:sz="4" w:space="0"/>
            </w:tcBorders>
            <w:vAlign w:val="center"/>
          </w:tcPr>
          <w:p w14:paraId="4047C14F">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台</w:t>
            </w:r>
          </w:p>
        </w:tc>
        <w:tc>
          <w:tcPr>
            <w:tcW w:w="935" w:type="dxa"/>
            <w:gridSpan w:val="3"/>
            <w:tcBorders>
              <w:top w:val="single" w:color="000000" w:sz="4" w:space="0"/>
              <w:left w:val="single" w:color="000000" w:sz="4" w:space="0"/>
              <w:bottom w:val="single" w:color="000000" w:sz="4" w:space="0"/>
              <w:right w:val="single" w:color="000000" w:sz="4" w:space="0"/>
            </w:tcBorders>
            <w:vAlign w:val="center"/>
          </w:tcPr>
          <w:p w14:paraId="1BCFD32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10</w:t>
            </w:r>
          </w:p>
        </w:tc>
      </w:tr>
      <w:tr w14:paraId="224D99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jc w:val="center"/>
        </w:trPr>
        <w:tc>
          <w:tcPr>
            <w:tcW w:w="749" w:type="dxa"/>
            <w:tcBorders>
              <w:top w:val="single" w:color="000000" w:sz="4" w:space="0"/>
              <w:left w:val="single" w:color="000000" w:sz="4" w:space="0"/>
              <w:bottom w:val="single" w:color="000000" w:sz="4" w:space="0"/>
              <w:right w:val="single" w:color="000000" w:sz="4" w:space="0"/>
            </w:tcBorders>
            <w:vAlign w:val="center"/>
          </w:tcPr>
          <w:p w14:paraId="7152D606">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14</w:t>
            </w:r>
          </w:p>
        </w:tc>
        <w:tc>
          <w:tcPr>
            <w:tcW w:w="1227" w:type="dxa"/>
            <w:tcBorders>
              <w:top w:val="single" w:color="000000" w:sz="4" w:space="0"/>
              <w:left w:val="single" w:color="000000" w:sz="4" w:space="0"/>
              <w:bottom w:val="single" w:color="000000" w:sz="4" w:space="0"/>
              <w:right w:val="single" w:color="000000" w:sz="4" w:space="0"/>
            </w:tcBorders>
            <w:vAlign w:val="center"/>
          </w:tcPr>
          <w:p w14:paraId="11E98E82">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接入交换机</w:t>
            </w:r>
          </w:p>
        </w:tc>
        <w:tc>
          <w:tcPr>
            <w:tcW w:w="6200" w:type="dxa"/>
            <w:gridSpan w:val="3"/>
            <w:tcBorders>
              <w:top w:val="single" w:color="000000" w:sz="4" w:space="0"/>
              <w:left w:val="single" w:color="000000" w:sz="4" w:space="0"/>
              <w:bottom w:val="single" w:color="000000" w:sz="4" w:space="0"/>
              <w:right w:val="single" w:color="000000" w:sz="4" w:space="0"/>
            </w:tcBorders>
            <w:vAlign w:val="center"/>
          </w:tcPr>
          <w:p w14:paraId="480CBB1C">
            <w:pPr>
              <w:widowControl/>
              <w:jc w:val="left"/>
              <w:textAlignment w:val="center"/>
              <w:rPr>
                <w:rFonts w:hint="eastAsia" w:ascii="宋体" w:hAnsi="宋体"/>
                <w:color w:val="auto"/>
                <w:szCs w:val="21"/>
                <w:highlight w:val="none"/>
              </w:rPr>
            </w:pPr>
            <w:r>
              <w:rPr>
                <w:rFonts w:hint="eastAsia" w:ascii="宋体" w:hAnsi="宋体"/>
                <w:color w:val="auto"/>
                <w:szCs w:val="21"/>
                <w:highlight w:val="none"/>
              </w:rPr>
              <w:t>≥</w:t>
            </w:r>
            <w:r>
              <w:rPr>
                <w:rFonts w:hint="eastAsia" w:ascii="宋体" w:hAnsi="宋体"/>
                <w:color w:val="auto"/>
                <w:kern w:val="0"/>
                <w:szCs w:val="21"/>
                <w:highlight w:val="none"/>
                <w:lang w:bidi="ar"/>
              </w:rPr>
              <w:t>24千兆口；支持QoS、带宽控制、风暴抑制；支持端口汇聚、端口镜像、端口监控；支持Web网管，标准机架</w:t>
            </w:r>
          </w:p>
        </w:tc>
        <w:tc>
          <w:tcPr>
            <w:tcW w:w="867" w:type="dxa"/>
            <w:gridSpan w:val="4"/>
            <w:tcBorders>
              <w:top w:val="single" w:color="000000" w:sz="4" w:space="0"/>
              <w:left w:val="single" w:color="000000" w:sz="4" w:space="0"/>
              <w:bottom w:val="single" w:color="000000" w:sz="4" w:space="0"/>
              <w:right w:val="single" w:color="000000" w:sz="4" w:space="0"/>
            </w:tcBorders>
            <w:vAlign w:val="center"/>
          </w:tcPr>
          <w:p w14:paraId="2B730F9E">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台</w:t>
            </w:r>
          </w:p>
        </w:tc>
        <w:tc>
          <w:tcPr>
            <w:tcW w:w="935" w:type="dxa"/>
            <w:gridSpan w:val="3"/>
            <w:tcBorders>
              <w:top w:val="single" w:color="000000" w:sz="4" w:space="0"/>
              <w:left w:val="single" w:color="000000" w:sz="4" w:space="0"/>
              <w:bottom w:val="single" w:color="000000" w:sz="4" w:space="0"/>
              <w:right w:val="single" w:color="000000" w:sz="4" w:space="0"/>
            </w:tcBorders>
            <w:vAlign w:val="center"/>
          </w:tcPr>
          <w:p w14:paraId="782AF032">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11FB03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jc w:val="center"/>
        </w:trPr>
        <w:tc>
          <w:tcPr>
            <w:tcW w:w="749" w:type="dxa"/>
            <w:tcBorders>
              <w:top w:val="single" w:color="000000" w:sz="4" w:space="0"/>
              <w:left w:val="single" w:color="000000" w:sz="4" w:space="0"/>
              <w:bottom w:val="single" w:color="000000" w:sz="4" w:space="0"/>
              <w:right w:val="single" w:color="000000" w:sz="4" w:space="0"/>
            </w:tcBorders>
            <w:vAlign w:val="center"/>
          </w:tcPr>
          <w:p w14:paraId="15F9A26C">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15</w:t>
            </w:r>
          </w:p>
        </w:tc>
        <w:tc>
          <w:tcPr>
            <w:tcW w:w="1227" w:type="dxa"/>
            <w:tcBorders>
              <w:top w:val="single" w:color="000000" w:sz="4" w:space="0"/>
              <w:left w:val="single" w:color="000000" w:sz="4" w:space="0"/>
              <w:bottom w:val="single" w:color="000000" w:sz="4" w:space="0"/>
              <w:right w:val="single" w:color="000000" w:sz="4" w:space="0"/>
            </w:tcBorders>
            <w:vAlign w:val="center"/>
          </w:tcPr>
          <w:p w14:paraId="24D8CB9F">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服务器</w:t>
            </w:r>
          </w:p>
        </w:tc>
        <w:tc>
          <w:tcPr>
            <w:tcW w:w="6200" w:type="dxa"/>
            <w:gridSpan w:val="3"/>
            <w:tcBorders>
              <w:top w:val="single" w:color="000000" w:sz="4" w:space="0"/>
              <w:left w:val="single" w:color="000000" w:sz="4" w:space="0"/>
              <w:bottom w:val="single" w:color="000000" w:sz="4" w:space="0"/>
              <w:right w:val="single" w:color="000000" w:sz="4" w:space="0"/>
            </w:tcBorders>
            <w:vAlign w:val="center"/>
          </w:tcPr>
          <w:p w14:paraId="2C086A0E">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2*4214(12核、2.2GHz)；64G DDR4内存；3*1.2T  10K SAS硬盘； RAID5；双口千兆网卡；2*750W电源。</w:t>
            </w:r>
          </w:p>
        </w:tc>
        <w:tc>
          <w:tcPr>
            <w:tcW w:w="867" w:type="dxa"/>
            <w:gridSpan w:val="4"/>
            <w:tcBorders>
              <w:top w:val="single" w:color="000000" w:sz="4" w:space="0"/>
              <w:left w:val="single" w:color="000000" w:sz="4" w:space="0"/>
              <w:bottom w:val="single" w:color="000000" w:sz="4" w:space="0"/>
              <w:right w:val="single" w:color="000000" w:sz="4" w:space="0"/>
            </w:tcBorders>
            <w:vAlign w:val="center"/>
          </w:tcPr>
          <w:p w14:paraId="59D96603">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台</w:t>
            </w:r>
          </w:p>
        </w:tc>
        <w:tc>
          <w:tcPr>
            <w:tcW w:w="935" w:type="dxa"/>
            <w:gridSpan w:val="3"/>
            <w:tcBorders>
              <w:top w:val="single" w:color="000000" w:sz="4" w:space="0"/>
              <w:left w:val="single" w:color="000000" w:sz="4" w:space="0"/>
              <w:bottom w:val="single" w:color="000000" w:sz="4" w:space="0"/>
              <w:right w:val="single" w:color="000000" w:sz="4" w:space="0"/>
            </w:tcBorders>
            <w:vAlign w:val="center"/>
          </w:tcPr>
          <w:p w14:paraId="042B7382">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w:t>
            </w:r>
          </w:p>
        </w:tc>
      </w:tr>
      <w:tr w14:paraId="53A3A3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jc w:val="center"/>
        </w:trPr>
        <w:tc>
          <w:tcPr>
            <w:tcW w:w="749" w:type="dxa"/>
            <w:tcBorders>
              <w:top w:val="single" w:color="000000" w:sz="4" w:space="0"/>
              <w:left w:val="single" w:color="000000" w:sz="4" w:space="0"/>
              <w:bottom w:val="single" w:color="000000" w:sz="4" w:space="0"/>
              <w:right w:val="single" w:color="000000" w:sz="4" w:space="0"/>
            </w:tcBorders>
            <w:vAlign w:val="center"/>
          </w:tcPr>
          <w:p w14:paraId="65CA53E0">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16</w:t>
            </w:r>
          </w:p>
        </w:tc>
        <w:tc>
          <w:tcPr>
            <w:tcW w:w="1227" w:type="dxa"/>
            <w:tcBorders>
              <w:top w:val="single" w:color="000000" w:sz="4" w:space="0"/>
              <w:left w:val="single" w:color="000000" w:sz="4" w:space="0"/>
              <w:bottom w:val="single" w:color="000000" w:sz="4" w:space="0"/>
              <w:right w:val="single" w:color="000000" w:sz="4" w:space="0"/>
            </w:tcBorders>
            <w:vAlign w:val="center"/>
          </w:tcPr>
          <w:p w14:paraId="1E00B4C2">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施工及辅材</w:t>
            </w:r>
          </w:p>
        </w:tc>
        <w:tc>
          <w:tcPr>
            <w:tcW w:w="6200" w:type="dxa"/>
            <w:gridSpan w:val="3"/>
            <w:tcBorders>
              <w:top w:val="single" w:color="000000" w:sz="4" w:space="0"/>
              <w:left w:val="single" w:color="000000" w:sz="4" w:space="0"/>
              <w:bottom w:val="single" w:color="000000" w:sz="4" w:space="0"/>
              <w:right w:val="single" w:color="000000" w:sz="4" w:space="0"/>
            </w:tcBorders>
            <w:vAlign w:val="center"/>
          </w:tcPr>
          <w:p w14:paraId="1C233E09">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设备安装调试、强弱电线材、强弱电施工及相关辅材等</w:t>
            </w:r>
          </w:p>
        </w:tc>
        <w:tc>
          <w:tcPr>
            <w:tcW w:w="867" w:type="dxa"/>
            <w:gridSpan w:val="4"/>
            <w:tcBorders>
              <w:top w:val="single" w:color="000000" w:sz="4" w:space="0"/>
              <w:left w:val="single" w:color="000000" w:sz="4" w:space="0"/>
              <w:bottom w:val="single" w:color="000000" w:sz="4" w:space="0"/>
              <w:right w:val="single" w:color="000000" w:sz="4" w:space="0"/>
            </w:tcBorders>
            <w:vAlign w:val="center"/>
          </w:tcPr>
          <w:p w14:paraId="0F0FA4A8">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批</w:t>
            </w:r>
          </w:p>
        </w:tc>
        <w:tc>
          <w:tcPr>
            <w:tcW w:w="935" w:type="dxa"/>
            <w:gridSpan w:val="3"/>
            <w:tcBorders>
              <w:top w:val="single" w:color="000000" w:sz="4" w:space="0"/>
              <w:left w:val="single" w:color="000000" w:sz="4" w:space="0"/>
              <w:bottom w:val="single" w:color="000000" w:sz="4" w:space="0"/>
              <w:right w:val="single" w:color="000000" w:sz="4" w:space="0"/>
            </w:tcBorders>
            <w:vAlign w:val="center"/>
          </w:tcPr>
          <w:p w14:paraId="662C7C26">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7F9F06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7" w:type="dxa"/>
          <w:trHeight w:val="700" w:hRule="atLeast"/>
          <w:jc w:val="center"/>
        </w:trPr>
        <w:tc>
          <w:tcPr>
            <w:tcW w:w="9951" w:type="dxa"/>
            <w:gridSpan w:val="11"/>
            <w:tcBorders>
              <w:top w:val="single" w:color="000000" w:sz="4" w:space="0"/>
              <w:left w:val="single" w:color="000000" w:sz="4" w:space="0"/>
              <w:bottom w:val="single" w:color="000000" w:sz="4" w:space="0"/>
              <w:right w:val="single" w:color="000000" w:sz="4" w:space="0"/>
            </w:tcBorders>
            <w:noWrap/>
            <w:vAlign w:val="center"/>
          </w:tcPr>
          <w:p w14:paraId="47CC31CB">
            <w:pPr>
              <w:widowControl/>
              <w:jc w:val="center"/>
              <w:textAlignment w:val="center"/>
              <w:rPr>
                <w:rFonts w:hint="eastAsia" w:ascii="宋体" w:hAnsi="宋体"/>
                <w:b/>
                <w:bCs/>
                <w:color w:val="auto"/>
                <w:szCs w:val="21"/>
                <w:highlight w:val="none"/>
              </w:rPr>
            </w:pPr>
            <w:r>
              <w:rPr>
                <w:rFonts w:hint="eastAsia" w:ascii="宋体" w:hAnsi="宋体"/>
                <w:b/>
                <w:bCs/>
                <w:color w:val="auto"/>
                <w:kern w:val="0"/>
                <w:szCs w:val="21"/>
                <w:highlight w:val="none"/>
                <w:lang w:bidi="ar"/>
              </w:rPr>
              <w:t>十六、校园广播</w:t>
            </w:r>
          </w:p>
        </w:tc>
      </w:tr>
      <w:tr w14:paraId="1C4D97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7" w:type="dxa"/>
          <w:trHeight w:val="415" w:hRule="atLeast"/>
          <w:jc w:val="center"/>
        </w:trPr>
        <w:tc>
          <w:tcPr>
            <w:tcW w:w="74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2D58A79">
            <w:pPr>
              <w:widowControl/>
              <w:textAlignment w:val="center"/>
              <w:rPr>
                <w:rFonts w:hint="eastAsia" w:ascii="宋体" w:hAnsi="宋体"/>
                <w:b/>
                <w:bCs/>
                <w:color w:val="auto"/>
                <w:szCs w:val="21"/>
                <w:highlight w:val="none"/>
              </w:rPr>
            </w:pPr>
            <w:r>
              <w:rPr>
                <w:rFonts w:hint="eastAsia" w:ascii="宋体" w:hAnsi="宋体"/>
                <w:b/>
                <w:bCs/>
                <w:color w:val="auto"/>
                <w:kern w:val="0"/>
                <w:szCs w:val="21"/>
                <w:highlight w:val="none"/>
                <w:lang w:bidi="ar"/>
              </w:rPr>
              <w:t>（一）</w:t>
            </w:r>
          </w:p>
        </w:tc>
        <w:tc>
          <w:tcPr>
            <w:tcW w:w="122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52DF1E4">
            <w:pPr>
              <w:widowControl/>
              <w:jc w:val="center"/>
              <w:textAlignment w:val="center"/>
              <w:rPr>
                <w:rFonts w:hint="eastAsia" w:ascii="宋体" w:hAnsi="宋体"/>
                <w:b/>
                <w:bCs/>
                <w:color w:val="auto"/>
                <w:szCs w:val="21"/>
                <w:highlight w:val="none"/>
              </w:rPr>
            </w:pPr>
            <w:r>
              <w:rPr>
                <w:rFonts w:hint="eastAsia" w:ascii="宋体" w:hAnsi="宋体"/>
                <w:b/>
                <w:bCs/>
                <w:color w:val="auto"/>
                <w:kern w:val="0"/>
                <w:szCs w:val="21"/>
                <w:highlight w:val="none"/>
                <w:lang w:bidi="ar"/>
              </w:rPr>
              <w:t>主控室</w:t>
            </w:r>
          </w:p>
        </w:tc>
        <w:tc>
          <w:tcPr>
            <w:tcW w:w="6187" w:type="dxa"/>
            <w:gridSpan w:val="2"/>
            <w:tcBorders>
              <w:top w:val="single" w:color="000000" w:sz="4" w:space="0"/>
              <w:left w:val="single" w:color="000000" w:sz="4" w:space="0"/>
              <w:bottom w:val="single" w:color="000000" w:sz="4" w:space="0"/>
              <w:right w:val="single" w:color="000000" w:sz="4" w:space="0"/>
            </w:tcBorders>
            <w:noWrap/>
          </w:tcPr>
          <w:p w14:paraId="6EA57890">
            <w:pPr>
              <w:jc w:val="left"/>
              <w:rPr>
                <w:rFonts w:hint="eastAsia" w:ascii="宋体" w:hAnsi="宋体"/>
                <w:b/>
                <w:bCs/>
                <w:color w:val="auto"/>
                <w:szCs w:val="21"/>
                <w:highlight w:val="none"/>
              </w:rPr>
            </w:pPr>
          </w:p>
        </w:tc>
        <w:tc>
          <w:tcPr>
            <w:tcW w:w="863" w:type="dxa"/>
            <w:gridSpan w:val="4"/>
            <w:tcBorders>
              <w:top w:val="single" w:color="000000" w:sz="4" w:space="0"/>
              <w:left w:val="single" w:color="000000" w:sz="4" w:space="0"/>
              <w:bottom w:val="single" w:color="000000" w:sz="4" w:space="0"/>
              <w:right w:val="single" w:color="000000" w:sz="4" w:space="0"/>
            </w:tcBorders>
            <w:vAlign w:val="center"/>
          </w:tcPr>
          <w:p w14:paraId="5D0F2A1E">
            <w:pPr>
              <w:jc w:val="center"/>
              <w:rPr>
                <w:rFonts w:hint="eastAsia" w:ascii="宋体" w:hAnsi="宋体"/>
                <w:b/>
                <w:bCs/>
                <w:color w:val="auto"/>
                <w:szCs w:val="21"/>
                <w:highlight w:val="none"/>
              </w:rPr>
            </w:pPr>
          </w:p>
        </w:tc>
        <w:tc>
          <w:tcPr>
            <w:tcW w:w="925" w:type="dxa"/>
            <w:gridSpan w:val="3"/>
            <w:tcBorders>
              <w:top w:val="single" w:color="000000" w:sz="4" w:space="0"/>
              <w:left w:val="single" w:color="000000" w:sz="4" w:space="0"/>
              <w:bottom w:val="single" w:color="000000" w:sz="4" w:space="0"/>
              <w:right w:val="single" w:color="000000" w:sz="4" w:space="0"/>
            </w:tcBorders>
            <w:vAlign w:val="center"/>
          </w:tcPr>
          <w:p w14:paraId="29CF99D7">
            <w:pPr>
              <w:jc w:val="center"/>
              <w:rPr>
                <w:rFonts w:hint="eastAsia" w:ascii="宋体" w:hAnsi="宋体"/>
                <w:b/>
                <w:bCs/>
                <w:color w:val="auto"/>
                <w:szCs w:val="21"/>
                <w:highlight w:val="none"/>
              </w:rPr>
            </w:pPr>
          </w:p>
        </w:tc>
      </w:tr>
      <w:tr w14:paraId="155BB9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7" w:type="dxa"/>
          <w:trHeight w:val="415" w:hRule="atLeast"/>
          <w:jc w:val="center"/>
        </w:trPr>
        <w:tc>
          <w:tcPr>
            <w:tcW w:w="749" w:type="dxa"/>
            <w:tcBorders>
              <w:top w:val="single" w:color="000000" w:sz="4" w:space="0"/>
              <w:left w:val="single" w:color="000000" w:sz="4" w:space="0"/>
              <w:bottom w:val="single" w:color="000000" w:sz="4" w:space="0"/>
              <w:right w:val="single" w:color="000000" w:sz="4" w:space="0"/>
            </w:tcBorders>
            <w:vAlign w:val="center"/>
          </w:tcPr>
          <w:p w14:paraId="67C89D94">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c>
          <w:tcPr>
            <w:tcW w:w="1227" w:type="dxa"/>
            <w:tcBorders>
              <w:top w:val="single" w:color="000000" w:sz="4" w:space="0"/>
              <w:left w:val="single" w:color="000000" w:sz="4" w:space="0"/>
              <w:bottom w:val="single" w:color="000000" w:sz="4" w:space="0"/>
              <w:right w:val="single" w:color="000000" w:sz="4" w:space="0"/>
            </w:tcBorders>
            <w:vAlign w:val="center"/>
          </w:tcPr>
          <w:p w14:paraId="165226DC">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网络管理主机</w:t>
            </w:r>
          </w:p>
        </w:tc>
        <w:tc>
          <w:tcPr>
            <w:tcW w:w="6187" w:type="dxa"/>
            <w:gridSpan w:val="2"/>
            <w:tcBorders>
              <w:top w:val="single" w:color="000000" w:sz="4" w:space="0"/>
              <w:left w:val="single" w:color="000000" w:sz="4" w:space="0"/>
              <w:bottom w:val="single" w:color="000000" w:sz="4" w:space="0"/>
              <w:right w:val="single" w:color="000000" w:sz="4" w:space="0"/>
            </w:tcBorders>
            <w:vAlign w:val="center"/>
          </w:tcPr>
          <w:p w14:paraId="68A99592">
            <w:pPr>
              <w:widowControl/>
              <w:numPr>
                <w:ilvl w:val="0"/>
                <w:numId w:val="361"/>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高档7U铝合金黑色拉丝面板，美观大方。</w:t>
            </w:r>
          </w:p>
          <w:p w14:paraId="4CDBDF19">
            <w:pPr>
              <w:widowControl/>
              <w:numPr>
                <w:ilvl w:val="0"/>
                <w:numId w:val="361"/>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嵌入触摸屏和键鼠触摸板一体数字矩阵工业键盘。</w:t>
            </w:r>
          </w:p>
          <w:p w14:paraId="2A0AB2DA">
            <w:pPr>
              <w:widowControl/>
              <w:numPr>
                <w:ilvl w:val="0"/>
                <w:numId w:val="361"/>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工业级机柜式机箱设计，耐指纹电解锌钢板，有较高的防磁、防尘、防冲击的能力。</w:t>
            </w:r>
          </w:p>
          <w:p w14:paraId="777C16D4">
            <w:pPr>
              <w:widowControl/>
              <w:numPr>
                <w:ilvl w:val="0"/>
                <w:numId w:val="361"/>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强大的兼容性，兼容支持Windows、server2012 R2、LINUX银河麒麟等操作系统。</w:t>
            </w:r>
          </w:p>
          <w:p w14:paraId="6E84C7B6">
            <w:pPr>
              <w:widowControl/>
              <w:numPr>
                <w:ilvl w:val="0"/>
                <w:numId w:val="361"/>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防震抗干扰，节能静音，耐高低温，适应各种环境</w:t>
            </w:r>
          </w:p>
          <w:p w14:paraId="76EE8554">
            <w:pPr>
              <w:widowControl/>
              <w:numPr>
                <w:ilvl w:val="0"/>
                <w:numId w:val="361"/>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支持7*24小时不间断运行。</w:t>
            </w:r>
          </w:p>
          <w:p w14:paraId="377DDD3B">
            <w:pPr>
              <w:widowControl/>
              <w:numPr>
                <w:ilvl w:val="0"/>
                <w:numId w:val="361"/>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支持网络唤醒，定时开关机，支持上电开机等。</w:t>
            </w:r>
          </w:p>
          <w:p w14:paraId="729CE1B2">
            <w:pPr>
              <w:widowControl/>
              <w:numPr>
                <w:ilvl w:val="0"/>
                <w:numId w:val="361"/>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安装方式：支持机架安装方式，桌面放置</w:t>
            </w:r>
          </w:p>
          <w:p w14:paraId="078B4B86">
            <w:pPr>
              <w:widowControl/>
              <w:numPr>
                <w:ilvl w:val="0"/>
                <w:numId w:val="361"/>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处理器：Core i5' 六代四核四线程（主频3.2G）。</w:t>
            </w:r>
          </w:p>
          <w:p w14:paraId="05DD0FDA">
            <w:pPr>
              <w:widowControl/>
              <w:numPr>
                <w:ilvl w:val="0"/>
                <w:numId w:val="361"/>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显示屏：≥17.3寸高分辨率液晶显示屏（1600*900)</w:t>
            </w:r>
          </w:p>
          <w:p w14:paraId="0CB5CC34">
            <w:pPr>
              <w:widowControl/>
              <w:numPr>
                <w:ilvl w:val="0"/>
                <w:numId w:val="361"/>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内存：≥8G  支持单双通道 1600/1333MHz DDR3 内存，最大支持16G。</w:t>
            </w:r>
          </w:p>
          <w:p w14:paraId="3567AE99">
            <w:pPr>
              <w:widowControl/>
              <w:numPr>
                <w:ilvl w:val="0"/>
                <w:numId w:val="361"/>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硬盘：板载</w:t>
            </w:r>
            <w:r>
              <w:rPr>
                <w:rFonts w:hint="eastAsia" w:ascii="宋体" w:hAnsi="宋体"/>
                <w:color w:val="auto"/>
                <w:szCs w:val="21"/>
                <w:highlight w:val="none"/>
              </w:rPr>
              <w:t>≥</w:t>
            </w:r>
            <w:r>
              <w:rPr>
                <w:rFonts w:hint="eastAsia" w:ascii="宋体" w:hAnsi="宋体"/>
                <w:color w:val="auto"/>
                <w:kern w:val="0"/>
                <w:szCs w:val="21"/>
                <w:highlight w:val="none"/>
                <w:lang w:bidi="ar"/>
              </w:rPr>
              <w:t>128G SSD固态硬盘，mSATA接口。</w:t>
            </w:r>
          </w:p>
          <w:p w14:paraId="65A1F6E6">
            <w:pPr>
              <w:widowControl/>
              <w:numPr>
                <w:ilvl w:val="0"/>
                <w:numId w:val="361"/>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板载 ALC897 6 声道高保真音频控制器，支持    MIC/Line-out，功放（可内置监听喇叭）。</w:t>
            </w:r>
          </w:p>
          <w:p w14:paraId="1189D529">
            <w:pPr>
              <w:widowControl/>
              <w:numPr>
                <w:ilvl w:val="0"/>
                <w:numId w:val="361"/>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触摸屏:</w:t>
            </w:r>
            <w:r>
              <w:rPr>
                <w:rFonts w:hint="eastAsia" w:ascii="宋体" w:hAnsi="宋体"/>
                <w:color w:val="auto"/>
                <w:szCs w:val="21"/>
                <w:highlight w:val="none"/>
              </w:rPr>
              <w:t xml:space="preserve"> ≥</w:t>
            </w:r>
            <w:r>
              <w:rPr>
                <w:rFonts w:hint="eastAsia" w:ascii="宋体" w:hAnsi="宋体"/>
                <w:color w:val="auto"/>
                <w:kern w:val="0"/>
                <w:szCs w:val="21"/>
                <w:highlight w:val="none"/>
                <w:lang w:bidi="ar"/>
              </w:rPr>
              <w:t>10线电容式触摸屏。</w:t>
            </w:r>
          </w:p>
          <w:p w14:paraId="6FC3462E">
            <w:pPr>
              <w:widowControl/>
              <w:numPr>
                <w:ilvl w:val="0"/>
                <w:numId w:val="361"/>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主板扩展接口：可支持</w:t>
            </w:r>
            <w:r>
              <w:rPr>
                <w:rFonts w:hint="eastAsia" w:ascii="宋体" w:hAnsi="宋体"/>
                <w:color w:val="auto"/>
                <w:szCs w:val="21"/>
                <w:highlight w:val="none"/>
              </w:rPr>
              <w:t>≥</w:t>
            </w:r>
            <w:r>
              <w:rPr>
                <w:rFonts w:hint="eastAsia" w:ascii="宋体" w:hAnsi="宋体"/>
                <w:color w:val="auto"/>
                <w:kern w:val="0"/>
                <w:szCs w:val="21"/>
                <w:highlight w:val="none"/>
                <w:lang w:bidi="ar"/>
              </w:rPr>
              <w:t>1 个Mini-PCIe（WIFI/4G）和</w:t>
            </w:r>
            <w:r>
              <w:rPr>
                <w:rFonts w:hint="eastAsia" w:ascii="宋体" w:hAnsi="宋体"/>
                <w:color w:val="auto"/>
                <w:szCs w:val="21"/>
                <w:highlight w:val="none"/>
              </w:rPr>
              <w:t>≥</w:t>
            </w:r>
            <w:r>
              <w:rPr>
                <w:rFonts w:hint="eastAsia" w:ascii="宋体" w:hAnsi="宋体"/>
                <w:color w:val="auto"/>
                <w:kern w:val="0"/>
                <w:szCs w:val="21"/>
                <w:highlight w:val="none"/>
                <w:lang w:bidi="ar"/>
              </w:rPr>
              <w:t>1 个MSATA。</w:t>
            </w:r>
          </w:p>
          <w:p w14:paraId="31684D12">
            <w:pPr>
              <w:widowControl/>
              <w:numPr>
                <w:ilvl w:val="0"/>
                <w:numId w:val="361"/>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显示接口:</w:t>
            </w:r>
            <w:r>
              <w:rPr>
                <w:rFonts w:hint="eastAsia" w:ascii="宋体" w:hAnsi="宋体"/>
                <w:color w:val="auto"/>
                <w:szCs w:val="21"/>
                <w:highlight w:val="none"/>
              </w:rPr>
              <w:t xml:space="preserve"> ≥</w:t>
            </w:r>
            <w:r>
              <w:rPr>
                <w:rFonts w:hint="eastAsia" w:ascii="宋体" w:hAnsi="宋体"/>
                <w:color w:val="auto"/>
                <w:kern w:val="0"/>
                <w:szCs w:val="21"/>
                <w:highlight w:val="none"/>
                <w:lang w:bidi="ar"/>
              </w:rPr>
              <w:t>1个VGA接口，</w:t>
            </w:r>
            <w:r>
              <w:rPr>
                <w:rFonts w:hint="eastAsia" w:ascii="宋体" w:hAnsi="宋体"/>
                <w:color w:val="auto"/>
                <w:szCs w:val="21"/>
                <w:highlight w:val="none"/>
              </w:rPr>
              <w:t>≥</w:t>
            </w:r>
            <w:r>
              <w:rPr>
                <w:rFonts w:hint="eastAsia" w:ascii="宋体" w:hAnsi="宋体"/>
                <w:color w:val="auto"/>
                <w:kern w:val="0"/>
                <w:szCs w:val="21"/>
                <w:highlight w:val="none"/>
                <w:lang w:bidi="ar"/>
              </w:rPr>
              <w:t>1个HDMI。</w:t>
            </w:r>
          </w:p>
          <w:p w14:paraId="096176D8">
            <w:pPr>
              <w:widowControl/>
              <w:numPr>
                <w:ilvl w:val="0"/>
                <w:numId w:val="361"/>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网口：</w:t>
            </w:r>
            <w:r>
              <w:rPr>
                <w:rFonts w:hint="eastAsia" w:ascii="宋体" w:hAnsi="宋体"/>
                <w:color w:val="auto"/>
                <w:szCs w:val="21"/>
                <w:highlight w:val="none"/>
              </w:rPr>
              <w:t>≥</w:t>
            </w:r>
            <w:r>
              <w:rPr>
                <w:rFonts w:hint="eastAsia" w:ascii="宋体" w:hAnsi="宋体"/>
                <w:color w:val="auto"/>
                <w:kern w:val="0"/>
                <w:szCs w:val="21"/>
                <w:highlight w:val="none"/>
                <w:lang w:bidi="ar"/>
              </w:rPr>
              <w:t>5个千兆网口，支持10/100/1000Mbps。</w:t>
            </w:r>
          </w:p>
          <w:p w14:paraId="7B1904FF">
            <w:pPr>
              <w:widowControl/>
              <w:numPr>
                <w:ilvl w:val="0"/>
                <w:numId w:val="361"/>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串口：</w:t>
            </w:r>
            <w:r>
              <w:rPr>
                <w:rFonts w:hint="eastAsia" w:ascii="宋体" w:hAnsi="宋体"/>
                <w:color w:val="auto"/>
                <w:szCs w:val="21"/>
                <w:highlight w:val="none"/>
              </w:rPr>
              <w:t>≥</w:t>
            </w:r>
            <w:r>
              <w:rPr>
                <w:rFonts w:hint="eastAsia" w:ascii="宋体" w:hAnsi="宋体"/>
                <w:color w:val="auto"/>
                <w:kern w:val="0"/>
                <w:szCs w:val="21"/>
                <w:highlight w:val="none"/>
                <w:lang w:bidi="ar"/>
              </w:rPr>
              <w:t>6 个串口，</w:t>
            </w:r>
            <w:r>
              <w:rPr>
                <w:rFonts w:hint="eastAsia" w:ascii="宋体" w:hAnsi="宋体"/>
                <w:color w:val="auto"/>
                <w:szCs w:val="21"/>
                <w:highlight w:val="none"/>
              </w:rPr>
              <w:t>≥</w:t>
            </w:r>
            <w:r>
              <w:rPr>
                <w:rFonts w:hint="eastAsia" w:ascii="宋体" w:hAnsi="宋体"/>
                <w:color w:val="auto"/>
                <w:kern w:val="0"/>
                <w:szCs w:val="21"/>
                <w:highlight w:val="none"/>
                <w:lang w:bidi="ar"/>
              </w:rPr>
              <w:t>4个RS232，可支持</w:t>
            </w:r>
            <w:r>
              <w:rPr>
                <w:rFonts w:hint="eastAsia" w:ascii="宋体" w:hAnsi="宋体"/>
                <w:color w:val="auto"/>
                <w:szCs w:val="21"/>
                <w:highlight w:val="none"/>
              </w:rPr>
              <w:t>≥</w:t>
            </w:r>
            <w:r>
              <w:rPr>
                <w:rFonts w:hint="eastAsia" w:ascii="宋体" w:hAnsi="宋体"/>
                <w:color w:val="auto"/>
                <w:kern w:val="0"/>
                <w:szCs w:val="21"/>
                <w:highlight w:val="none"/>
                <w:lang w:bidi="ar"/>
              </w:rPr>
              <w:t>2个RS48。</w:t>
            </w:r>
          </w:p>
          <w:p w14:paraId="09E1A440">
            <w:pPr>
              <w:widowControl/>
              <w:numPr>
                <w:ilvl w:val="0"/>
                <w:numId w:val="361"/>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线路输入：</w:t>
            </w:r>
            <w:r>
              <w:rPr>
                <w:rFonts w:hint="eastAsia" w:ascii="宋体" w:hAnsi="宋体"/>
                <w:color w:val="auto"/>
                <w:szCs w:val="21"/>
                <w:highlight w:val="none"/>
              </w:rPr>
              <w:t>≥</w:t>
            </w:r>
            <w:r>
              <w:rPr>
                <w:rFonts w:hint="eastAsia" w:ascii="宋体" w:hAnsi="宋体"/>
                <w:color w:val="auto"/>
                <w:kern w:val="0"/>
                <w:szCs w:val="21"/>
                <w:highlight w:val="none"/>
                <w:lang w:bidi="ar"/>
              </w:rPr>
              <w:t>7路独立音量调节，</w:t>
            </w:r>
            <w:r>
              <w:rPr>
                <w:rFonts w:hint="eastAsia" w:ascii="宋体" w:hAnsi="宋体"/>
                <w:color w:val="auto"/>
                <w:szCs w:val="21"/>
                <w:highlight w:val="none"/>
              </w:rPr>
              <w:t>≥</w:t>
            </w:r>
            <w:r>
              <w:rPr>
                <w:rFonts w:hint="eastAsia" w:ascii="宋体" w:hAnsi="宋体"/>
                <w:color w:val="auto"/>
                <w:kern w:val="0"/>
                <w:szCs w:val="21"/>
                <w:highlight w:val="none"/>
                <w:lang w:bidi="ar"/>
              </w:rPr>
              <w:t>3路话筒输入，</w:t>
            </w:r>
            <w:r>
              <w:rPr>
                <w:rFonts w:hint="eastAsia" w:ascii="宋体" w:hAnsi="宋体"/>
                <w:color w:val="auto"/>
                <w:szCs w:val="21"/>
                <w:highlight w:val="none"/>
              </w:rPr>
              <w:t>≥</w:t>
            </w:r>
            <w:r>
              <w:rPr>
                <w:rFonts w:hint="eastAsia" w:ascii="宋体" w:hAnsi="宋体"/>
                <w:color w:val="auto"/>
                <w:kern w:val="0"/>
                <w:szCs w:val="21"/>
                <w:highlight w:val="none"/>
                <w:lang w:bidi="ar"/>
              </w:rPr>
              <w:t>4路线路输入，</w:t>
            </w:r>
            <w:r>
              <w:rPr>
                <w:rFonts w:hint="eastAsia" w:ascii="宋体" w:hAnsi="宋体"/>
                <w:color w:val="auto"/>
                <w:szCs w:val="21"/>
                <w:highlight w:val="none"/>
              </w:rPr>
              <w:t>≥</w:t>
            </w:r>
            <w:r>
              <w:rPr>
                <w:rFonts w:hint="eastAsia" w:ascii="宋体" w:hAnsi="宋体"/>
                <w:color w:val="auto"/>
                <w:kern w:val="0"/>
                <w:szCs w:val="21"/>
                <w:highlight w:val="none"/>
                <w:lang w:bidi="ar"/>
              </w:rPr>
              <w:t>3路辅助输出，带有高低音音量调节。</w:t>
            </w:r>
          </w:p>
          <w:p w14:paraId="3066D73C">
            <w:pPr>
              <w:widowControl/>
              <w:numPr>
                <w:ilvl w:val="0"/>
                <w:numId w:val="361"/>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线路接口：</w:t>
            </w:r>
            <w:r>
              <w:rPr>
                <w:rFonts w:hint="eastAsia" w:ascii="宋体" w:hAnsi="宋体"/>
                <w:color w:val="auto"/>
                <w:szCs w:val="21"/>
                <w:highlight w:val="none"/>
              </w:rPr>
              <w:t>≥</w:t>
            </w:r>
            <w:r>
              <w:rPr>
                <w:rFonts w:hint="eastAsia" w:ascii="宋体" w:hAnsi="宋体"/>
                <w:color w:val="auto"/>
                <w:kern w:val="0"/>
                <w:szCs w:val="21"/>
                <w:highlight w:val="none"/>
                <w:lang w:bidi="ar"/>
              </w:rPr>
              <w:t>1个3.5话筒输入接口，</w:t>
            </w:r>
            <w:r>
              <w:rPr>
                <w:rFonts w:hint="eastAsia" w:ascii="宋体" w:hAnsi="宋体"/>
                <w:color w:val="auto"/>
                <w:szCs w:val="21"/>
                <w:highlight w:val="none"/>
              </w:rPr>
              <w:t>≥</w:t>
            </w:r>
            <w:r>
              <w:rPr>
                <w:rFonts w:hint="eastAsia" w:ascii="宋体" w:hAnsi="宋体"/>
                <w:color w:val="auto"/>
                <w:kern w:val="0"/>
                <w:szCs w:val="21"/>
                <w:highlight w:val="none"/>
                <w:lang w:bidi="ar"/>
              </w:rPr>
              <w:t>1个3.5音频输出接口，</w:t>
            </w:r>
            <w:r>
              <w:rPr>
                <w:rFonts w:hint="eastAsia" w:ascii="宋体" w:hAnsi="宋体"/>
                <w:color w:val="auto"/>
                <w:szCs w:val="21"/>
                <w:highlight w:val="none"/>
              </w:rPr>
              <w:t>≥</w:t>
            </w:r>
            <w:r>
              <w:rPr>
                <w:rFonts w:hint="eastAsia" w:ascii="宋体" w:hAnsi="宋体"/>
                <w:color w:val="auto"/>
                <w:kern w:val="0"/>
                <w:szCs w:val="21"/>
                <w:highlight w:val="none"/>
                <w:lang w:bidi="ar"/>
              </w:rPr>
              <w:t>3个6.35话筒输入接口，</w:t>
            </w:r>
            <w:r>
              <w:rPr>
                <w:rFonts w:hint="eastAsia" w:ascii="宋体" w:hAnsi="宋体"/>
                <w:color w:val="auto"/>
                <w:szCs w:val="21"/>
                <w:highlight w:val="none"/>
              </w:rPr>
              <w:t>≥</w:t>
            </w:r>
            <w:r>
              <w:rPr>
                <w:rFonts w:hint="eastAsia" w:ascii="宋体" w:hAnsi="宋体"/>
                <w:color w:val="auto"/>
                <w:kern w:val="0"/>
                <w:szCs w:val="21"/>
                <w:highlight w:val="none"/>
                <w:lang w:bidi="ar"/>
              </w:rPr>
              <w:t>4组莲花输入接口，</w:t>
            </w:r>
            <w:r>
              <w:rPr>
                <w:rFonts w:hint="eastAsia" w:ascii="宋体" w:hAnsi="宋体"/>
                <w:color w:val="auto"/>
                <w:szCs w:val="21"/>
                <w:highlight w:val="none"/>
              </w:rPr>
              <w:t>≥</w:t>
            </w:r>
            <w:r>
              <w:rPr>
                <w:rFonts w:hint="eastAsia" w:ascii="宋体" w:hAnsi="宋体"/>
                <w:color w:val="auto"/>
                <w:kern w:val="0"/>
                <w:szCs w:val="21"/>
                <w:highlight w:val="none"/>
                <w:lang w:bidi="ar"/>
              </w:rPr>
              <w:t>2组莲花输出接口。</w:t>
            </w:r>
          </w:p>
          <w:p w14:paraId="745BE42C">
            <w:pPr>
              <w:widowControl/>
              <w:numPr>
                <w:ilvl w:val="0"/>
                <w:numId w:val="361"/>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并行端口：</w:t>
            </w:r>
            <w:r>
              <w:rPr>
                <w:rFonts w:hint="eastAsia" w:ascii="宋体" w:hAnsi="宋体"/>
                <w:color w:val="auto"/>
                <w:szCs w:val="21"/>
                <w:highlight w:val="none"/>
              </w:rPr>
              <w:t>≥</w:t>
            </w:r>
            <w:r>
              <w:rPr>
                <w:rFonts w:hint="eastAsia" w:ascii="宋体" w:hAnsi="宋体"/>
                <w:color w:val="auto"/>
                <w:kern w:val="0"/>
                <w:szCs w:val="21"/>
                <w:highlight w:val="none"/>
                <w:lang w:bidi="ar"/>
              </w:rPr>
              <w:t>1组标准LPT 打印口。</w:t>
            </w:r>
          </w:p>
        </w:tc>
        <w:tc>
          <w:tcPr>
            <w:tcW w:w="863" w:type="dxa"/>
            <w:gridSpan w:val="4"/>
            <w:tcBorders>
              <w:top w:val="single" w:color="000000" w:sz="4" w:space="0"/>
              <w:left w:val="single" w:color="000000" w:sz="4" w:space="0"/>
              <w:bottom w:val="single" w:color="000000" w:sz="4" w:space="0"/>
              <w:right w:val="single" w:color="000000" w:sz="4" w:space="0"/>
            </w:tcBorders>
            <w:vAlign w:val="center"/>
          </w:tcPr>
          <w:p w14:paraId="044D61DA">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台</w:t>
            </w:r>
          </w:p>
        </w:tc>
        <w:tc>
          <w:tcPr>
            <w:tcW w:w="925" w:type="dxa"/>
            <w:gridSpan w:val="3"/>
            <w:tcBorders>
              <w:top w:val="single" w:color="000000" w:sz="4" w:space="0"/>
              <w:left w:val="single" w:color="000000" w:sz="4" w:space="0"/>
              <w:bottom w:val="single" w:color="000000" w:sz="4" w:space="0"/>
              <w:right w:val="single" w:color="000000" w:sz="4" w:space="0"/>
            </w:tcBorders>
            <w:vAlign w:val="center"/>
          </w:tcPr>
          <w:p w14:paraId="27AF9108">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54F938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7" w:type="dxa"/>
          <w:trHeight w:val="415" w:hRule="atLeast"/>
          <w:jc w:val="center"/>
        </w:trPr>
        <w:tc>
          <w:tcPr>
            <w:tcW w:w="749" w:type="dxa"/>
            <w:tcBorders>
              <w:top w:val="single" w:color="000000" w:sz="4" w:space="0"/>
              <w:left w:val="single" w:color="000000" w:sz="4" w:space="0"/>
              <w:bottom w:val="single" w:color="000000" w:sz="4" w:space="0"/>
              <w:right w:val="single" w:color="000000" w:sz="4" w:space="0"/>
            </w:tcBorders>
            <w:vAlign w:val="center"/>
          </w:tcPr>
          <w:p w14:paraId="7AE90671">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w:t>
            </w:r>
          </w:p>
        </w:tc>
        <w:tc>
          <w:tcPr>
            <w:tcW w:w="1227" w:type="dxa"/>
            <w:tcBorders>
              <w:top w:val="single" w:color="000000" w:sz="4" w:space="0"/>
              <w:left w:val="single" w:color="000000" w:sz="4" w:space="0"/>
              <w:bottom w:val="single" w:color="000000" w:sz="4" w:space="0"/>
              <w:right w:val="single" w:color="000000" w:sz="4" w:space="0"/>
            </w:tcBorders>
            <w:vAlign w:val="center"/>
          </w:tcPr>
          <w:p w14:paraId="58A9292A">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服务器广播软件</w:t>
            </w:r>
          </w:p>
        </w:tc>
        <w:tc>
          <w:tcPr>
            <w:tcW w:w="6187" w:type="dxa"/>
            <w:gridSpan w:val="2"/>
            <w:tcBorders>
              <w:top w:val="single" w:color="000000" w:sz="4" w:space="0"/>
              <w:left w:val="single" w:color="000000" w:sz="4" w:space="0"/>
              <w:bottom w:val="single" w:color="000000" w:sz="4" w:space="0"/>
              <w:right w:val="single" w:color="000000" w:sz="4" w:space="0"/>
            </w:tcBorders>
            <w:vAlign w:val="center"/>
          </w:tcPr>
          <w:p w14:paraId="6C9D23DF">
            <w:pPr>
              <w:widowControl/>
              <w:numPr>
                <w:ilvl w:val="0"/>
                <w:numId w:val="362"/>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标准以太网协议，支持TCP/IP,UDP等标准以太网所有协议；</w:t>
            </w:r>
          </w:p>
          <w:p w14:paraId="63760644">
            <w:pPr>
              <w:widowControl/>
              <w:numPr>
                <w:ilvl w:val="0"/>
                <w:numId w:val="362"/>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网络音频传输，音频解码，音频播放；支持音频采集，支持声卡采集；支持终端间双向对讲；支持终端点播；支持一键求助；支持监狱巡更功能，支持消防报警联动；</w:t>
            </w:r>
          </w:p>
          <w:p w14:paraId="41DB3A0A">
            <w:pPr>
              <w:widowControl/>
              <w:numPr>
                <w:ilvl w:val="0"/>
                <w:numId w:val="362"/>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软件运行支持操作Windows XP、wind7 32位/64位、Windows10、server2012 R2、LINUX银河麒麟等系统；</w:t>
            </w:r>
          </w:p>
          <w:p w14:paraId="124E7B96">
            <w:pPr>
              <w:widowControl/>
              <w:numPr>
                <w:ilvl w:val="0"/>
                <w:numId w:val="362"/>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软件安装运行路径：BS/CS任意路径；</w:t>
            </w:r>
          </w:p>
          <w:p w14:paraId="67E7D6D2">
            <w:pPr>
              <w:widowControl/>
              <w:numPr>
                <w:ilvl w:val="0"/>
                <w:numId w:val="362"/>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支持局域网、跨网网段、互联网、云服务器、4G网络广播网络，广域网都可以；</w:t>
            </w:r>
          </w:p>
          <w:p w14:paraId="4429325F">
            <w:pPr>
              <w:widowControl/>
              <w:numPr>
                <w:ilvl w:val="0"/>
                <w:numId w:val="362"/>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单一服务器终端数量最大10000个终端，终端数量越多，对服务器硬盘配置要求越高；</w:t>
            </w:r>
          </w:p>
          <w:p w14:paraId="7B7E388E">
            <w:pPr>
              <w:widowControl/>
              <w:numPr>
                <w:ilvl w:val="0"/>
                <w:numId w:val="362"/>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支持MP3格式所有比特率歌曲播放；</w:t>
            </w:r>
          </w:p>
          <w:p w14:paraId="344C9BD1">
            <w:pPr>
              <w:widowControl/>
              <w:numPr>
                <w:ilvl w:val="0"/>
                <w:numId w:val="362"/>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可连接上百个分控软件，进行分控管理；</w:t>
            </w:r>
          </w:p>
          <w:p w14:paraId="7A02810E">
            <w:pPr>
              <w:widowControl/>
              <w:numPr>
                <w:ilvl w:val="0"/>
                <w:numId w:val="362"/>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软件可以接入上百个手机APP；</w:t>
            </w:r>
          </w:p>
          <w:p w14:paraId="4D1DF803">
            <w:pPr>
              <w:widowControl/>
              <w:numPr>
                <w:ilvl w:val="0"/>
                <w:numId w:val="362"/>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支持离线下载功能；</w:t>
            </w:r>
          </w:p>
          <w:p w14:paraId="11C063BC">
            <w:pPr>
              <w:widowControl/>
              <w:numPr>
                <w:ilvl w:val="0"/>
                <w:numId w:val="362"/>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支持模拟备份功能；</w:t>
            </w:r>
          </w:p>
          <w:p w14:paraId="1CBED234">
            <w:pPr>
              <w:widowControl/>
              <w:numPr>
                <w:ilvl w:val="0"/>
                <w:numId w:val="362"/>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支持文本转语音功能；</w:t>
            </w:r>
          </w:p>
          <w:p w14:paraId="5F92E37D">
            <w:pPr>
              <w:widowControl/>
              <w:numPr>
                <w:ilvl w:val="0"/>
                <w:numId w:val="362"/>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支持网络广播通知录音备份功能；</w:t>
            </w:r>
          </w:p>
          <w:p w14:paraId="212E2102">
            <w:pPr>
              <w:widowControl/>
              <w:numPr>
                <w:ilvl w:val="0"/>
                <w:numId w:val="362"/>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支持多套定时任务管理功能；</w:t>
            </w:r>
          </w:p>
          <w:p w14:paraId="01B5011A">
            <w:pPr>
              <w:widowControl/>
              <w:numPr>
                <w:ilvl w:val="0"/>
                <w:numId w:val="362"/>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支持分区行政级别广播权限管理能；</w:t>
            </w:r>
          </w:p>
          <w:p w14:paraId="17F7FED7">
            <w:pPr>
              <w:widowControl/>
              <w:numPr>
                <w:ilvl w:val="0"/>
                <w:numId w:val="362"/>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支持无线话筒自动触发开启采集，对终端广播功能；</w:t>
            </w:r>
          </w:p>
          <w:p w14:paraId="1FF84105">
            <w:pPr>
              <w:widowControl/>
              <w:numPr>
                <w:ilvl w:val="0"/>
                <w:numId w:val="362"/>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终端在线状态，终端播放状态，定时任务状态列表显示明显；</w:t>
            </w:r>
          </w:p>
          <w:p w14:paraId="11E32F2A">
            <w:pPr>
              <w:widowControl/>
              <w:numPr>
                <w:ilvl w:val="0"/>
                <w:numId w:val="362"/>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支持广播录音，可以备份录音，方便查阅。</w:t>
            </w:r>
          </w:p>
        </w:tc>
        <w:tc>
          <w:tcPr>
            <w:tcW w:w="863" w:type="dxa"/>
            <w:gridSpan w:val="4"/>
            <w:tcBorders>
              <w:top w:val="single" w:color="000000" w:sz="4" w:space="0"/>
              <w:left w:val="single" w:color="000000" w:sz="4" w:space="0"/>
              <w:bottom w:val="single" w:color="000000" w:sz="4" w:space="0"/>
              <w:right w:val="single" w:color="000000" w:sz="4" w:space="0"/>
            </w:tcBorders>
            <w:vAlign w:val="center"/>
          </w:tcPr>
          <w:p w14:paraId="539529A3">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套</w:t>
            </w:r>
          </w:p>
        </w:tc>
        <w:tc>
          <w:tcPr>
            <w:tcW w:w="925" w:type="dxa"/>
            <w:gridSpan w:val="3"/>
            <w:tcBorders>
              <w:top w:val="single" w:color="000000" w:sz="4" w:space="0"/>
              <w:left w:val="single" w:color="000000" w:sz="4" w:space="0"/>
              <w:bottom w:val="single" w:color="000000" w:sz="4" w:space="0"/>
              <w:right w:val="single" w:color="000000" w:sz="4" w:space="0"/>
            </w:tcBorders>
            <w:vAlign w:val="center"/>
          </w:tcPr>
          <w:p w14:paraId="1C6B21B7">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369FE2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7" w:type="dxa"/>
          <w:trHeight w:val="415" w:hRule="atLeast"/>
          <w:jc w:val="center"/>
        </w:trPr>
        <w:tc>
          <w:tcPr>
            <w:tcW w:w="749" w:type="dxa"/>
            <w:tcBorders>
              <w:top w:val="single" w:color="000000" w:sz="4" w:space="0"/>
              <w:left w:val="single" w:color="000000" w:sz="4" w:space="0"/>
              <w:bottom w:val="single" w:color="000000" w:sz="4" w:space="0"/>
              <w:right w:val="single" w:color="000000" w:sz="4" w:space="0"/>
            </w:tcBorders>
            <w:vAlign w:val="center"/>
          </w:tcPr>
          <w:p w14:paraId="77FD64F4">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3</w:t>
            </w:r>
          </w:p>
        </w:tc>
        <w:tc>
          <w:tcPr>
            <w:tcW w:w="1227" w:type="dxa"/>
            <w:tcBorders>
              <w:top w:val="single" w:color="000000" w:sz="4" w:space="0"/>
              <w:left w:val="single" w:color="000000" w:sz="4" w:space="0"/>
              <w:bottom w:val="single" w:color="000000" w:sz="4" w:space="0"/>
              <w:right w:val="single" w:color="000000" w:sz="4" w:space="0"/>
            </w:tcBorders>
            <w:vAlign w:val="center"/>
          </w:tcPr>
          <w:p w14:paraId="4F16CBE4">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网络寻呼话筒</w:t>
            </w:r>
          </w:p>
        </w:tc>
        <w:tc>
          <w:tcPr>
            <w:tcW w:w="6187" w:type="dxa"/>
            <w:gridSpan w:val="2"/>
            <w:tcBorders>
              <w:top w:val="single" w:color="000000" w:sz="4" w:space="0"/>
              <w:left w:val="single" w:color="000000" w:sz="4" w:space="0"/>
              <w:bottom w:val="single" w:color="000000" w:sz="4" w:space="0"/>
              <w:right w:val="single" w:color="000000" w:sz="4" w:space="0"/>
            </w:tcBorders>
            <w:vAlign w:val="center"/>
          </w:tcPr>
          <w:p w14:paraId="3898CF5B">
            <w:pPr>
              <w:widowControl/>
              <w:numPr>
                <w:ilvl w:val="0"/>
                <w:numId w:val="363"/>
              </w:numPr>
              <w:jc w:val="left"/>
              <w:textAlignment w:val="center"/>
              <w:rPr>
                <w:rFonts w:hint="eastAsia" w:ascii="宋体" w:hAnsi="宋体"/>
                <w:color w:val="auto"/>
                <w:szCs w:val="21"/>
                <w:highlight w:val="none"/>
              </w:rPr>
            </w:pPr>
            <w:r>
              <w:rPr>
                <w:rFonts w:hint="eastAsia" w:ascii="宋体" w:hAnsi="宋体"/>
                <w:color w:val="auto"/>
                <w:szCs w:val="21"/>
                <w:highlight w:val="none"/>
              </w:rPr>
              <w:t>≥</w:t>
            </w:r>
            <w:r>
              <w:rPr>
                <w:rFonts w:hint="eastAsia" w:ascii="宋体" w:hAnsi="宋体"/>
                <w:color w:val="auto"/>
                <w:kern w:val="0"/>
                <w:szCs w:val="21"/>
                <w:highlight w:val="none"/>
                <w:lang w:bidi="ar"/>
              </w:rPr>
              <w:t>7寸电容触屏，安卓手机体验，图形化界面；</w:t>
            </w:r>
          </w:p>
          <w:p w14:paraId="5957B49E">
            <w:pPr>
              <w:widowControl/>
              <w:numPr>
                <w:ilvl w:val="0"/>
                <w:numId w:val="363"/>
              </w:numPr>
              <w:jc w:val="left"/>
              <w:textAlignment w:val="center"/>
              <w:rPr>
                <w:rFonts w:hint="eastAsia" w:ascii="宋体" w:hAnsi="宋体"/>
                <w:color w:val="auto"/>
                <w:szCs w:val="21"/>
                <w:highlight w:val="none"/>
              </w:rPr>
            </w:pPr>
            <w:r>
              <w:rPr>
                <w:rFonts w:hint="eastAsia" w:ascii="宋体" w:hAnsi="宋体"/>
                <w:color w:val="auto"/>
                <w:szCs w:val="21"/>
                <w:highlight w:val="none"/>
              </w:rPr>
              <w:t>≥</w:t>
            </w:r>
            <w:r>
              <w:rPr>
                <w:rFonts w:hint="eastAsia" w:ascii="宋体" w:hAnsi="宋体"/>
                <w:color w:val="auto"/>
                <w:kern w:val="0"/>
                <w:szCs w:val="21"/>
                <w:highlight w:val="none"/>
                <w:lang w:bidi="ar"/>
              </w:rPr>
              <w:t>1路LAN网络接口，</w:t>
            </w:r>
            <w:r>
              <w:rPr>
                <w:rFonts w:hint="eastAsia" w:ascii="宋体" w:hAnsi="宋体"/>
                <w:color w:val="auto"/>
                <w:szCs w:val="21"/>
                <w:highlight w:val="none"/>
              </w:rPr>
              <w:t>≥</w:t>
            </w:r>
            <w:r>
              <w:rPr>
                <w:rFonts w:hint="eastAsia" w:ascii="宋体" w:hAnsi="宋体"/>
                <w:color w:val="auto"/>
                <w:kern w:val="0"/>
                <w:szCs w:val="21"/>
                <w:highlight w:val="none"/>
                <w:lang w:bidi="ar"/>
              </w:rPr>
              <w:t>1路3.5外部AUX音频输入，</w:t>
            </w:r>
            <w:r>
              <w:rPr>
                <w:rFonts w:hint="eastAsia" w:ascii="宋体" w:hAnsi="宋体"/>
                <w:color w:val="auto"/>
                <w:szCs w:val="21"/>
                <w:highlight w:val="none"/>
              </w:rPr>
              <w:t>≥</w:t>
            </w:r>
            <w:r>
              <w:rPr>
                <w:rFonts w:hint="eastAsia" w:ascii="宋体" w:hAnsi="宋体"/>
                <w:color w:val="auto"/>
                <w:kern w:val="0"/>
                <w:szCs w:val="21"/>
                <w:highlight w:val="none"/>
                <w:lang w:bidi="ar"/>
              </w:rPr>
              <w:t>1路3.5 AUX本地输出，</w:t>
            </w:r>
            <w:r>
              <w:rPr>
                <w:rFonts w:hint="eastAsia" w:ascii="宋体" w:hAnsi="宋体"/>
                <w:color w:val="auto"/>
                <w:szCs w:val="21"/>
                <w:highlight w:val="none"/>
              </w:rPr>
              <w:t>≥</w:t>
            </w:r>
            <w:r>
              <w:rPr>
                <w:rFonts w:hint="eastAsia" w:ascii="宋体" w:hAnsi="宋体"/>
                <w:color w:val="auto"/>
                <w:kern w:val="0"/>
                <w:szCs w:val="21"/>
                <w:highlight w:val="none"/>
                <w:lang w:bidi="ar"/>
              </w:rPr>
              <w:t>1路外接麦克风输入；</w:t>
            </w:r>
          </w:p>
          <w:p w14:paraId="14B8F415">
            <w:pPr>
              <w:widowControl/>
              <w:numPr>
                <w:ilvl w:val="0"/>
                <w:numId w:val="363"/>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USB接口推送本地音频至网络任意终端；</w:t>
            </w:r>
          </w:p>
          <w:p w14:paraId="16788593">
            <w:pPr>
              <w:widowControl/>
              <w:numPr>
                <w:ilvl w:val="0"/>
                <w:numId w:val="363"/>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网络音频AUX输出；</w:t>
            </w:r>
          </w:p>
          <w:p w14:paraId="28A917DE">
            <w:pPr>
              <w:widowControl/>
              <w:numPr>
                <w:ilvl w:val="0"/>
                <w:numId w:val="363"/>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内置</w:t>
            </w:r>
            <w:r>
              <w:rPr>
                <w:rFonts w:hint="eastAsia" w:ascii="宋体" w:hAnsi="宋体"/>
                <w:color w:val="auto"/>
                <w:szCs w:val="21"/>
                <w:highlight w:val="none"/>
              </w:rPr>
              <w:t>≥</w:t>
            </w:r>
            <w:r>
              <w:rPr>
                <w:rFonts w:hint="eastAsia" w:ascii="宋体" w:hAnsi="宋体"/>
                <w:color w:val="auto"/>
                <w:kern w:val="0"/>
                <w:szCs w:val="21"/>
                <w:highlight w:val="none"/>
                <w:lang w:bidi="ar"/>
              </w:rPr>
              <w:t>5W监听喇叭，可监听网络音频；</w:t>
            </w:r>
          </w:p>
          <w:p w14:paraId="7A0573B7">
            <w:pPr>
              <w:widowControl/>
              <w:numPr>
                <w:ilvl w:val="0"/>
                <w:numId w:val="363"/>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支持采播外部音频输入信号，也可以定时采播播放到别的终端；</w:t>
            </w:r>
          </w:p>
          <w:p w14:paraId="3E352C0A">
            <w:pPr>
              <w:widowControl/>
              <w:numPr>
                <w:ilvl w:val="0"/>
                <w:numId w:val="363"/>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支持双向对讲；</w:t>
            </w:r>
          </w:p>
          <w:p w14:paraId="18E75F84">
            <w:pPr>
              <w:widowControl/>
              <w:numPr>
                <w:ilvl w:val="0"/>
                <w:numId w:val="363"/>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支持单播、组播、群播功能；</w:t>
            </w:r>
          </w:p>
          <w:p w14:paraId="7F48034C">
            <w:pPr>
              <w:widowControl/>
              <w:numPr>
                <w:ilvl w:val="0"/>
                <w:numId w:val="363"/>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可点播服务器的歌曲；</w:t>
            </w:r>
          </w:p>
          <w:p w14:paraId="08B36B3B">
            <w:pPr>
              <w:widowControl/>
              <w:numPr>
                <w:ilvl w:val="0"/>
                <w:numId w:val="363"/>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自带本地麦克风，点击即可广播讲话；</w:t>
            </w:r>
          </w:p>
          <w:p w14:paraId="66256A35">
            <w:pPr>
              <w:widowControl/>
              <w:numPr>
                <w:ilvl w:val="0"/>
                <w:numId w:val="363"/>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MIC信号有效灵敏度：5～15mv；</w:t>
            </w:r>
          </w:p>
          <w:p w14:paraId="446860CD">
            <w:pPr>
              <w:widowControl/>
              <w:numPr>
                <w:ilvl w:val="0"/>
                <w:numId w:val="363"/>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线路输入信号有效灵敏度：50～350mv；</w:t>
            </w:r>
          </w:p>
        </w:tc>
        <w:tc>
          <w:tcPr>
            <w:tcW w:w="863" w:type="dxa"/>
            <w:gridSpan w:val="4"/>
            <w:tcBorders>
              <w:top w:val="single" w:color="000000" w:sz="4" w:space="0"/>
              <w:left w:val="single" w:color="000000" w:sz="4" w:space="0"/>
              <w:bottom w:val="single" w:color="000000" w:sz="4" w:space="0"/>
              <w:right w:val="single" w:color="000000" w:sz="4" w:space="0"/>
            </w:tcBorders>
            <w:vAlign w:val="center"/>
          </w:tcPr>
          <w:p w14:paraId="73566160">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只</w:t>
            </w:r>
          </w:p>
        </w:tc>
        <w:tc>
          <w:tcPr>
            <w:tcW w:w="925" w:type="dxa"/>
            <w:gridSpan w:val="3"/>
            <w:tcBorders>
              <w:top w:val="single" w:color="000000" w:sz="4" w:space="0"/>
              <w:left w:val="single" w:color="000000" w:sz="4" w:space="0"/>
              <w:bottom w:val="single" w:color="000000" w:sz="4" w:space="0"/>
              <w:right w:val="single" w:color="000000" w:sz="4" w:space="0"/>
            </w:tcBorders>
            <w:vAlign w:val="center"/>
          </w:tcPr>
          <w:p w14:paraId="53E295F6">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5F6B60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7" w:type="dxa"/>
          <w:trHeight w:val="415" w:hRule="atLeast"/>
          <w:jc w:val="center"/>
        </w:trPr>
        <w:tc>
          <w:tcPr>
            <w:tcW w:w="749" w:type="dxa"/>
            <w:tcBorders>
              <w:top w:val="single" w:color="000000" w:sz="4" w:space="0"/>
              <w:left w:val="single" w:color="000000" w:sz="4" w:space="0"/>
              <w:bottom w:val="single" w:color="000000" w:sz="4" w:space="0"/>
              <w:right w:val="single" w:color="000000" w:sz="4" w:space="0"/>
            </w:tcBorders>
            <w:vAlign w:val="center"/>
          </w:tcPr>
          <w:p w14:paraId="2EBD2957">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4</w:t>
            </w:r>
          </w:p>
        </w:tc>
        <w:tc>
          <w:tcPr>
            <w:tcW w:w="1227" w:type="dxa"/>
            <w:tcBorders>
              <w:top w:val="single" w:color="000000" w:sz="4" w:space="0"/>
              <w:left w:val="single" w:color="000000" w:sz="4" w:space="0"/>
              <w:bottom w:val="single" w:color="000000" w:sz="4" w:space="0"/>
              <w:right w:val="single" w:color="000000" w:sz="4" w:space="0"/>
            </w:tcBorders>
            <w:vAlign w:val="center"/>
          </w:tcPr>
          <w:p w14:paraId="29E7B09E">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监听音箱</w:t>
            </w:r>
          </w:p>
        </w:tc>
        <w:tc>
          <w:tcPr>
            <w:tcW w:w="6187" w:type="dxa"/>
            <w:gridSpan w:val="2"/>
            <w:tcBorders>
              <w:top w:val="single" w:color="000000" w:sz="4" w:space="0"/>
              <w:left w:val="single" w:color="000000" w:sz="4" w:space="0"/>
              <w:bottom w:val="single" w:color="000000" w:sz="4" w:space="0"/>
              <w:right w:val="single" w:color="000000" w:sz="4" w:space="0"/>
            </w:tcBorders>
            <w:vAlign w:val="center"/>
          </w:tcPr>
          <w:p w14:paraId="386F7836">
            <w:pPr>
              <w:widowControl/>
              <w:numPr>
                <w:ilvl w:val="0"/>
                <w:numId w:val="364"/>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专业一体化壁挂式音箱设计，箱体符合声音共振原理设计理念；十分美观大方。</w:t>
            </w:r>
          </w:p>
          <w:p w14:paraId="27638F27">
            <w:pPr>
              <w:widowControl/>
              <w:numPr>
                <w:ilvl w:val="0"/>
                <w:numId w:val="364"/>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设备采用嵌入式计算机技术和DSP音频处理技术设计。</w:t>
            </w:r>
          </w:p>
          <w:p w14:paraId="31779559">
            <w:pPr>
              <w:widowControl/>
              <w:numPr>
                <w:ilvl w:val="0"/>
                <w:numId w:val="364"/>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内置</w:t>
            </w:r>
            <w:r>
              <w:rPr>
                <w:rFonts w:hint="eastAsia" w:ascii="宋体" w:hAnsi="宋体"/>
                <w:color w:val="auto"/>
                <w:szCs w:val="21"/>
                <w:highlight w:val="none"/>
              </w:rPr>
              <w:t>≥</w:t>
            </w:r>
            <w:r>
              <w:rPr>
                <w:rFonts w:hint="eastAsia" w:ascii="宋体" w:hAnsi="宋体"/>
                <w:color w:val="auto"/>
                <w:kern w:val="0"/>
                <w:szCs w:val="21"/>
                <w:highlight w:val="none"/>
                <w:lang w:bidi="ar"/>
              </w:rPr>
              <w:t>1路网络硬件音频解码模块，支持TCP/IP、UDP，实现网络化传输16位CD音质的音频信号。</w:t>
            </w:r>
          </w:p>
          <w:p w14:paraId="53A94A6D">
            <w:pPr>
              <w:widowControl/>
              <w:numPr>
                <w:ilvl w:val="0"/>
                <w:numId w:val="364"/>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内置</w:t>
            </w:r>
            <w:r>
              <w:rPr>
                <w:rFonts w:hint="eastAsia" w:ascii="宋体" w:hAnsi="宋体"/>
                <w:color w:val="auto"/>
                <w:szCs w:val="21"/>
                <w:highlight w:val="none"/>
              </w:rPr>
              <w:t>≥</w:t>
            </w:r>
            <w:r>
              <w:rPr>
                <w:rFonts w:hint="eastAsia" w:ascii="宋体" w:hAnsi="宋体"/>
                <w:color w:val="auto"/>
                <w:kern w:val="0"/>
                <w:szCs w:val="21"/>
                <w:highlight w:val="none"/>
                <w:lang w:bidi="ar"/>
              </w:rPr>
              <w:t>2 x 30W（MAX）的双通道数字功率放大器，一路接主音箱，一路外接到副音箱；音质非常细腻，功率强劲；具有网络音量设置。</w:t>
            </w:r>
          </w:p>
          <w:p w14:paraId="2099224C">
            <w:pPr>
              <w:widowControl/>
              <w:numPr>
                <w:ilvl w:val="0"/>
                <w:numId w:val="364"/>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 xml:space="preserve">具有各路音频输入独立的音量电位器控制，支持断网本地寻呼功能；同时支持缄默强度预置减少功能，支持背景伴奏预置功能。 </w:t>
            </w:r>
          </w:p>
          <w:p w14:paraId="2DC58A43">
            <w:pPr>
              <w:widowControl/>
              <w:numPr>
                <w:ilvl w:val="0"/>
                <w:numId w:val="364"/>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兼容路由器、交换机、网桥网关、Modem、Internet、2G、3G、4G等任意网络结构。</w:t>
            </w:r>
          </w:p>
          <w:p w14:paraId="0E55FF37">
            <w:pPr>
              <w:widowControl/>
              <w:numPr>
                <w:ilvl w:val="0"/>
                <w:numId w:val="364"/>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数字化产品，扩容方便，不受地理位置限制，无需增加机房管理设备，采用共网免线路施工的设计理念，安装简便。</w:t>
            </w:r>
          </w:p>
          <w:p w14:paraId="142C906A">
            <w:pPr>
              <w:widowControl/>
              <w:numPr>
                <w:ilvl w:val="0"/>
                <w:numId w:val="364"/>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支持广播系统对终端进行远程固件升级，无需到终端本地升级，减轻维护人员工作强度;</w:t>
            </w:r>
          </w:p>
          <w:p w14:paraId="0CACE52A">
            <w:pPr>
              <w:widowControl/>
              <w:numPr>
                <w:ilvl w:val="0"/>
                <w:numId w:val="364"/>
              </w:numPr>
              <w:jc w:val="left"/>
              <w:textAlignment w:val="center"/>
              <w:rPr>
                <w:rFonts w:hint="eastAsia" w:ascii="宋体" w:hAnsi="宋体"/>
                <w:color w:val="auto"/>
                <w:szCs w:val="21"/>
                <w:highlight w:val="none"/>
              </w:rPr>
            </w:pPr>
            <w:r>
              <w:rPr>
                <w:rFonts w:hint="eastAsia" w:ascii="宋体" w:hAnsi="宋体"/>
                <w:color w:val="auto"/>
                <w:szCs w:val="21"/>
                <w:highlight w:val="none"/>
              </w:rPr>
              <w:t>≥</w:t>
            </w:r>
            <w:r>
              <w:rPr>
                <w:rFonts w:hint="eastAsia" w:ascii="宋体" w:hAnsi="宋体"/>
                <w:color w:val="auto"/>
                <w:kern w:val="0"/>
                <w:szCs w:val="21"/>
                <w:highlight w:val="none"/>
                <w:lang w:bidi="ar"/>
              </w:rPr>
              <w:t>1路3.5本地音频输入接口，</w:t>
            </w:r>
            <w:r>
              <w:rPr>
                <w:rFonts w:hint="eastAsia" w:ascii="宋体" w:hAnsi="宋体"/>
                <w:color w:val="auto"/>
                <w:szCs w:val="21"/>
                <w:highlight w:val="none"/>
              </w:rPr>
              <w:t>≥</w:t>
            </w:r>
            <w:r>
              <w:rPr>
                <w:rFonts w:hint="eastAsia" w:ascii="宋体" w:hAnsi="宋体"/>
                <w:color w:val="auto"/>
                <w:kern w:val="0"/>
                <w:szCs w:val="21"/>
                <w:highlight w:val="none"/>
                <w:lang w:bidi="ar"/>
              </w:rPr>
              <w:t>1路本地3.5话筒接口，</w:t>
            </w:r>
            <w:r>
              <w:rPr>
                <w:rFonts w:hint="eastAsia" w:ascii="宋体" w:hAnsi="宋体"/>
                <w:color w:val="auto"/>
                <w:szCs w:val="21"/>
                <w:highlight w:val="none"/>
              </w:rPr>
              <w:t>≥</w:t>
            </w:r>
            <w:r>
              <w:rPr>
                <w:rFonts w:hint="eastAsia" w:ascii="宋体" w:hAnsi="宋体"/>
                <w:color w:val="auto"/>
                <w:kern w:val="0"/>
                <w:szCs w:val="21"/>
                <w:highlight w:val="none"/>
                <w:lang w:bidi="ar"/>
              </w:rPr>
              <w:t>1路3.5本地音频输出接口</w:t>
            </w:r>
          </w:p>
          <w:p w14:paraId="5FE027A4">
            <w:pPr>
              <w:widowControl/>
              <w:numPr>
                <w:ilvl w:val="0"/>
                <w:numId w:val="364"/>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具有2级音频优先级，网络音频跟话筒音频最优先</w:t>
            </w:r>
          </w:p>
          <w:p w14:paraId="355D9EF0">
            <w:pPr>
              <w:widowControl/>
              <w:numPr>
                <w:ilvl w:val="0"/>
                <w:numId w:val="364"/>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支持内置2.4G无线话筒授课</w:t>
            </w:r>
          </w:p>
          <w:p w14:paraId="63A7274A">
            <w:pPr>
              <w:widowControl/>
              <w:numPr>
                <w:ilvl w:val="0"/>
                <w:numId w:val="364"/>
              </w:numPr>
              <w:jc w:val="left"/>
              <w:textAlignment w:val="center"/>
              <w:rPr>
                <w:rFonts w:hint="eastAsia" w:ascii="宋体" w:hAnsi="宋体"/>
                <w:color w:val="auto"/>
                <w:szCs w:val="21"/>
                <w:highlight w:val="none"/>
              </w:rPr>
            </w:pPr>
            <w:r>
              <w:rPr>
                <w:rFonts w:hint="eastAsia" w:ascii="宋体" w:hAnsi="宋体"/>
                <w:color w:val="auto"/>
                <w:szCs w:val="21"/>
                <w:highlight w:val="none"/>
              </w:rPr>
              <w:t>≥</w:t>
            </w:r>
            <w:r>
              <w:rPr>
                <w:rFonts w:hint="eastAsia" w:ascii="宋体" w:hAnsi="宋体"/>
                <w:color w:val="auto"/>
                <w:kern w:val="0"/>
                <w:szCs w:val="21"/>
                <w:highlight w:val="none"/>
                <w:lang w:bidi="ar"/>
              </w:rPr>
              <w:t>2路音量电位器独立调节</w:t>
            </w:r>
          </w:p>
          <w:p w14:paraId="1E9B3460">
            <w:pPr>
              <w:widowControl/>
              <w:numPr>
                <w:ilvl w:val="0"/>
                <w:numId w:val="364"/>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具有定压备份功能。</w:t>
            </w:r>
          </w:p>
        </w:tc>
        <w:tc>
          <w:tcPr>
            <w:tcW w:w="863" w:type="dxa"/>
            <w:gridSpan w:val="4"/>
            <w:tcBorders>
              <w:top w:val="single" w:color="000000" w:sz="4" w:space="0"/>
              <w:left w:val="single" w:color="000000" w:sz="4" w:space="0"/>
              <w:bottom w:val="single" w:color="000000" w:sz="4" w:space="0"/>
              <w:right w:val="single" w:color="000000" w:sz="4" w:space="0"/>
            </w:tcBorders>
            <w:vAlign w:val="center"/>
          </w:tcPr>
          <w:p w14:paraId="43350F55">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只</w:t>
            </w:r>
          </w:p>
        </w:tc>
        <w:tc>
          <w:tcPr>
            <w:tcW w:w="925" w:type="dxa"/>
            <w:gridSpan w:val="3"/>
            <w:tcBorders>
              <w:top w:val="single" w:color="000000" w:sz="4" w:space="0"/>
              <w:left w:val="single" w:color="000000" w:sz="4" w:space="0"/>
              <w:bottom w:val="single" w:color="000000" w:sz="4" w:space="0"/>
              <w:right w:val="single" w:color="000000" w:sz="4" w:space="0"/>
            </w:tcBorders>
            <w:vAlign w:val="center"/>
          </w:tcPr>
          <w:p w14:paraId="6599FC27">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617533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7" w:type="dxa"/>
          <w:trHeight w:val="415" w:hRule="atLeast"/>
          <w:jc w:val="center"/>
        </w:trPr>
        <w:tc>
          <w:tcPr>
            <w:tcW w:w="749" w:type="dxa"/>
            <w:tcBorders>
              <w:top w:val="single" w:color="000000" w:sz="4" w:space="0"/>
              <w:left w:val="single" w:color="000000" w:sz="4" w:space="0"/>
              <w:bottom w:val="single" w:color="000000" w:sz="4" w:space="0"/>
              <w:right w:val="single" w:color="000000" w:sz="4" w:space="0"/>
            </w:tcBorders>
            <w:vAlign w:val="center"/>
          </w:tcPr>
          <w:p w14:paraId="35722822">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5</w:t>
            </w:r>
          </w:p>
        </w:tc>
        <w:tc>
          <w:tcPr>
            <w:tcW w:w="1227" w:type="dxa"/>
            <w:tcBorders>
              <w:top w:val="single" w:color="000000" w:sz="4" w:space="0"/>
              <w:left w:val="single" w:color="000000" w:sz="4" w:space="0"/>
              <w:bottom w:val="single" w:color="000000" w:sz="4" w:space="0"/>
              <w:right w:val="single" w:color="000000" w:sz="4" w:space="0"/>
            </w:tcBorders>
            <w:vAlign w:val="center"/>
          </w:tcPr>
          <w:p w14:paraId="777A777D">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消防报警矩阵</w:t>
            </w:r>
          </w:p>
        </w:tc>
        <w:tc>
          <w:tcPr>
            <w:tcW w:w="6187" w:type="dxa"/>
            <w:gridSpan w:val="2"/>
            <w:tcBorders>
              <w:top w:val="single" w:color="000000" w:sz="4" w:space="0"/>
              <w:left w:val="single" w:color="000000" w:sz="4" w:space="0"/>
              <w:bottom w:val="single" w:color="000000" w:sz="4" w:space="0"/>
              <w:right w:val="single" w:color="000000" w:sz="4" w:space="0"/>
            </w:tcBorders>
            <w:vAlign w:val="center"/>
          </w:tcPr>
          <w:p w14:paraId="30470021">
            <w:pPr>
              <w:widowControl/>
              <w:numPr>
                <w:ilvl w:val="0"/>
                <w:numId w:val="365"/>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铝合金面板，2U金属机身；</w:t>
            </w:r>
          </w:p>
          <w:p w14:paraId="2EDCC66F">
            <w:pPr>
              <w:widowControl/>
              <w:numPr>
                <w:ilvl w:val="0"/>
                <w:numId w:val="365"/>
              </w:numPr>
              <w:jc w:val="left"/>
              <w:textAlignment w:val="center"/>
              <w:rPr>
                <w:rFonts w:hint="eastAsia" w:ascii="宋体" w:hAnsi="宋体"/>
                <w:color w:val="auto"/>
                <w:szCs w:val="21"/>
                <w:highlight w:val="none"/>
              </w:rPr>
            </w:pPr>
            <w:r>
              <w:rPr>
                <w:rFonts w:hint="eastAsia" w:ascii="宋体" w:hAnsi="宋体"/>
                <w:color w:val="auto"/>
                <w:szCs w:val="21"/>
                <w:highlight w:val="none"/>
              </w:rPr>
              <w:t>≥</w:t>
            </w:r>
            <w:r>
              <w:rPr>
                <w:rFonts w:hint="eastAsia" w:ascii="宋体" w:hAnsi="宋体"/>
                <w:color w:val="auto"/>
                <w:kern w:val="0"/>
                <w:szCs w:val="21"/>
                <w:highlight w:val="none"/>
                <w:lang w:bidi="ar"/>
              </w:rPr>
              <w:t>1路LAN网络接口；</w:t>
            </w:r>
          </w:p>
          <w:p w14:paraId="66B55EFF">
            <w:pPr>
              <w:widowControl/>
              <w:numPr>
                <w:ilvl w:val="0"/>
                <w:numId w:val="365"/>
              </w:numPr>
              <w:jc w:val="left"/>
              <w:textAlignment w:val="center"/>
              <w:rPr>
                <w:rFonts w:hint="eastAsia" w:ascii="宋体" w:hAnsi="宋体"/>
                <w:color w:val="auto"/>
                <w:szCs w:val="21"/>
                <w:highlight w:val="none"/>
              </w:rPr>
            </w:pPr>
            <w:r>
              <w:rPr>
                <w:rFonts w:hint="eastAsia" w:ascii="宋体" w:hAnsi="宋体"/>
                <w:color w:val="auto"/>
                <w:szCs w:val="21"/>
                <w:highlight w:val="none"/>
              </w:rPr>
              <w:t>≥</w:t>
            </w:r>
            <w:r>
              <w:rPr>
                <w:rFonts w:hint="eastAsia" w:ascii="宋体" w:hAnsi="宋体"/>
                <w:color w:val="auto"/>
                <w:kern w:val="0"/>
                <w:szCs w:val="21"/>
                <w:highlight w:val="none"/>
                <w:lang w:bidi="ar"/>
              </w:rPr>
              <w:t>32路消防报警接入端子，非排线接入，方便快捷，可多台级联；</w:t>
            </w:r>
          </w:p>
          <w:p w14:paraId="570A5233">
            <w:pPr>
              <w:widowControl/>
              <w:numPr>
                <w:ilvl w:val="0"/>
                <w:numId w:val="365"/>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设置报警复位按钮，可手动复位；</w:t>
            </w:r>
          </w:p>
          <w:p w14:paraId="42004824">
            <w:pPr>
              <w:widowControl/>
              <w:numPr>
                <w:ilvl w:val="0"/>
                <w:numId w:val="365"/>
              </w:numPr>
              <w:jc w:val="left"/>
              <w:textAlignment w:val="center"/>
              <w:rPr>
                <w:rFonts w:hint="eastAsia" w:ascii="宋体" w:hAnsi="宋体"/>
                <w:color w:val="auto"/>
                <w:szCs w:val="21"/>
                <w:highlight w:val="none"/>
              </w:rPr>
            </w:pPr>
            <w:r>
              <w:rPr>
                <w:rFonts w:hint="eastAsia" w:ascii="宋体" w:hAnsi="宋体"/>
                <w:color w:val="auto"/>
                <w:szCs w:val="21"/>
                <w:highlight w:val="none"/>
              </w:rPr>
              <w:t>≥</w:t>
            </w:r>
            <w:r>
              <w:rPr>
                <w:rFonts w:hint="eastAsia" w:ascii="宋体" w:hAnsi="宋体"/>
                <w:color w:val="auto"/>
                <w:kern w:val="0"/>
                <w:szCs w:val="21"/>
                <w:highlight w:val="none"/>
                <w:lang w:bidi="ar"/>
              </w:rPr>
              <w:t>1路短路信号输出，触发报警器等短路触发的设备；</w:t>
            </w:r>
          </w:p>
          <w:p w14:paraId="1FDC7036">
            <w:pPr>
              <w:widowControl/>
              <w:numPr>
                <w:ilvl w:val="0"/>
                <w:numId w:val="365"/>
              </w:numPr>
              <w:jc w:val="left"/>
              <w:textAlignment w:val="center"/>
              <w:rPr>
                <w:rFonts w:hint="eastAsia" w:ascii="宋体" w:hAnsi="宋体"/>
                <w:color w:val="auto"/>
                <w:szCs w:val="21"/>
                <w:highlight w:val="none"/>
              </w:rPr>
            </w:pPr>
            <w:r>
              <w:rPr>
                <w:rFonts w:hint="eastAsia" w:ascii="宋体" w:hAnsi="宋体"/>
                <w:color w:val="auto"/>
                <w:szCs w:val="21"/>
                <w:highlight w:val="none"/>
              </w:rPr>
              <w:t>≥</w:t>
            </w:r>
            <w:r>
              <w:rPr>
                <w:rFonts w:hint="eastAsia" w:ascii="宋体" w:hAnsi="宋体"/>
                <w:color w:val="auto"/>
                <w:kern w:val="0"/>
                <w:szCs w:val="21"/>
                <w:highlight w:val="none"/>
                <w:lang w:bidi="ar"/>
              </w:rPr>
              <w:t>32单元LED报警信号接入指示灯；</w:t>
            </w:r>
          </w:p>
          <w:p w14:paraId="66C98701">
            <w:pPr>
              <w:widowControl/>
              <w:numPr>
                <w:ilvl w:val="0"/>
                <w:numId w:val="365"/>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报警接入电平：0V低电平；</w:t>
            </w:r>
          </w:p>
        </w:tc>
        <w:tc>
          <w:tcPr>
            <w:tcW w:w="863" w:type="dxa"/>
            <w:gridSpan w:val="4"/>
            <w:tcBorders>
              <w:top w:val="single" w:color="000000" w:sz="4" w:space="0"/>
              <w:left w:val="single" w:color="000000" w:sz="4" w:space="0"/>
              <w:bottom w:val="single" w:color="000000" w:sz="4" w:space="0"/>
              <w:right w:val="single" w:color="000000" w:sz="4" w:space="0"/>
            </w:tcBorders>
            <w:vAlign w:val="center"/>
          </w:tcPr>
          <w:p w14:paraId="5C4D24D4">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台</w:t>
            </w:r>
          </w:p>
        </w:tc>
        <w:tc>
          <w:tcPr>
            <w:tcW w:w="925" w:type="dxa"/>
            <w:gridSpan w:val="3"/>
            <w:tcBorders>
              <w:top w:val="single" w:color="000000" w:sz="4" w:space="0"/>
              <w:left w:val="single" w:color="000000" w:sz="4" w:space="0"/>
              <w:bottom w:val="single" w:color="000000" w:sz="4" w:space="0"/>
              <w:right w:val="single" w:color="000000" w:sz="4" w:space="0"/>
            </w:tcBorders>
            <w:vAlign w:val="center"/>
          </w:tcPr>
          <w:p w14:paraId="168AAF56">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28780A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7" w:type="dxa"/>
          <w:trHeight w:val="415" w:hRule="atLeast"/>
          <w:jc w:val="center"/>
        </w:trPr>
        <w:tc>
          <w:tcPr>
            <w:tcW w:w="749" w:type="dxa"/>
            <w:tcBorders>
              <w:top w:val="single" w:color="000000" w:sz="4" w:space="0"/>
              <w:left w:val="single" w:color="000000" w:sz="4" w:space="0"/>
              <w:bottom w:val="single" w:color="000000" w:sz="4" w:space="0"/>
              <w:right w:val="single" w:color="000000" w:sz="4" w:space="0"/>
            </w:tcBorders>
            <w:vAlign w:val="center"/>
          </w:tcPr>
          <w:p w14:paraId="683E38F6">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6</w:t>
            </w:r>
          </w:p>
        </w:tc>
        <w:tc>
          <w:tcPr>
            <w:tcW w:w="1227" w:type="dxa"/>
            <w:tcBorders>
              <w:top w:val="single" w:color="000000" w:sz="4" w:space="0"/>
              <w:left w:val="single" w:color="000000" w:sz="4" w:space="0"/>
              <w:bottom w:val="single" w:color="000000" w:sz="4" w:space="0"/>
              <w:right w:val="single" w:color="000000" w:sz="4" w:space="0"/>
            </w:tcBorders>
            <w:vAlign w:val="center"/>
          </w:tcPr>
          <w:p w14:paraId="361C185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IP网络调音台</w:t>
            </w:r>
          </w:p>
        </w:tc>
        <w:tc>
          <w:tcPr>
            <w:tcW w:w="6187" w:type="dxa"/>
            <w:gridSpan w:val="2"/>
            <w:tcBorders>
              <w:top w:val="single" w:color="000000" w:sz="4" w:space="0"/>
              <w:left w:val="single" w:color="000000" w:sz="4" w:space="0"/>
              <w:bottom w:val="single" w:color="000000" w:sz="4" w:space="0"/>
              <w:right w:val="single" w:color="000000" w:sz="4" w:space="0"/>
            </w:tcBorders>
            <w:vAlign w:val="center"/>
          </w:tcPr>
          <w:p w14:paraId="6EDEE625">
            <w:pPr>
              <w:widowControl/>
              <w:numPr>
                <w:ilvl w:val="0"/>
                <w:numId w:val="366"/>
              </w:numPr>
              <w:jc w:val="left"/>
              <w:textAlignment w:val="center"/>
              <w:rPr>
                <w:rFonts w:hint="eastAsia" w:ascii="宋体" w:hAnsi="宋体"/>
                <w:color w:val="auto"/>
                <w:szCs w:val="21"/>
                <w:highlight w:val="none"/>
              </w:rPr>
            </w:pPr>
            <w:r>
              <w:rPr>
                <w:rFonts w:hint="eastAsia" w:ascii="宋体" w:hAnsi="宋体"/>
                <w:color w:val="auto"/>
                <w:szCs w:val="21"/>
                <w:highlight w:val="none"/>
              </w:rPr>
              <w:t>≥</w:t>
            </w:r>
            <w:r>
              <w:rPr>
                <w:rFonts w:hint="eastAsia" w:ascii="宋体" w:hAnsi="宋体"/>
                <w:color w:val="auto"/>
                <w:kern w:val="0"/>
                <w:szCs w:val="21"/>
                <w:highlight w:val="none"/>
                <w:lang w:bidi="ar"/>
              </w:rPr>
              <w:t>7寸电容触屏，安卓手机体验，图形化界面；</w:t>
            </w:r>
          </w:p>
          <w:p w14:paraId="78301525">
            <w:pPr>
              <w:widowControl/>
              <w:numPr>
                <w:ilvl w:val="0"/>
                <w:numId w:val="366"/>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LAN网络接口，</w:t>
            </w:r>
            <w:r>
              <w:rPr>
                <w:rFonts w:hint="eastAsia" w:ascii="宋体" w:hAnsi="宋体"/>
                <w:color w:val="auto"/>
                <w:szCs w:val="21"/>
                <w:highlight w:val="none"/>
              </w:rPr>
              <w:t>≥</w:t>
            </w:r>
            <w:r>
              <w:rPr>
                <w:rFonts w:hint="eastAsia" w:ascii="宋体" w:hAnsi="宋体"/>
                <w:color w:val="auto"/>
                <w:kern w:val="0"/>
                <w:szCs w:val="21"/>
                <w:highlight w:val="none"/>
                <w:lang w:bidi="ar"/>
              </w:rPr>
              <w:t>8路模拟音频独立采集（4路莲花座外部AUX音频输入，4路MIC话筒音频输入，4路莲花座AUX本地输出，各路音量单独高低音调节）</w:t>
            </w:r>
          </w:p>
          <w:p w14:paraId="67A82872">
            <w:pPr>
              <w:widowControl/>
              <w:numPr>
                <w:ilvl w:val="0"/>
                <w:numId w:val="366"/>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USB接口，可以插U盘播放到网络；</w:t>
            </w:r>
          </w:p>
          <w:p w14:paraId="39248EEE">
            <w:pPr>
              <w:widowControl/>
              <w:numPr>
                <w:ilvl w:val="0"/>
                <w:numId w:val="366"/>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网络音频，AUX，话筒单独音量调节；</w:t>
            </w:r>
          </w:p>
          <w:p w14:paraId="4A8C216B">
            <w:pPr>
              <w:widowControl/>
              <w:numPr>
                <w:ilvl w:val="0"/>
                <w:numId w:val="366"/>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内置5W监听喇叭，可监听网络音频；</w:t>
            </w:r>
          </w:p>
          <w:p w14:paraId="7CEAE15B">
            <w:pPr>
              <w:widowControl/>
              <w:numPr>
                <w:ilvl w:val="0"/>
                <w:numId w:val="366"/>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可采播外部音频输入信号以及定时采播播放到其他的终端；</w:t>
            </w:r>
          </w:p>
          <w:p w14:paraId="59D457F1">
            <w:pPr>
              <w:widowControl/>
              <w:numPr>
                <w:ilvl w:val="0"/>
                <w:numId w:val="366"/>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具有双向对讲功能，支持广播站、机房及终端设备实时寻呼对讲；</w:t>
            </w:r>
          </w:p>
          <w:p w14:paraId="423EAA5E">
            <w:pPr>
              <w:widowControl/>
              <w:numPr>
                <w:ilvl w:val="0"/>
                <w:numId w:val="366"/>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标准TCP/IP网络协议；</w:t>
            </w:r>
          </w:p>
          <w:p w14:paraId="791AAE9D">
            <w:pPr>
              <w:widowControl/>
              <w:numPr>
                <w:ilvl w:val="0"/>
                <w:numId w:val="366"/>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自带本地麦克风，点击即可单播、组播、全区域一键广播讲话；</w:t>
            </w:r>
          </w:p>
          <w:p w14:paraId="0FA9AE68">
            <w:pPr>
              <w:widowControl/>
              <w:numPr>
                <w:ilvl w:val="0"/>
                <w:numId w:val="366"/>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支持MP3播放USB接口，带蓝牙，带FM调频，可以播放到别的终端设备；</w:t>
            </w:r>
          </w:p>
          <w:p w14:paraId="7B947883">
            <w:pPr>
              <w:widowControl/>
              <w:numPr>
                <w:ilvl w:val="0"/>
                <w:numId w:val="366"/>
              </w:numPr>
              <w:jc w:val="left"/>
              <w:textAlignment w:val="center"/>
              <w:rPr>
                <w:rFonts w:hint="eastAsia" w:ascii="宋体" w:hAnsi="宋体"/>
                <w:color w:val="auto"/>
                <w:szCs w:val="21"/>
                <w:highlight w:val="none"/>
              </w:rPr>
            </w:pPr>
            <w:r>
              <w:rPr>
                <w:rFonts w:hint="eastAsia" w:ascii="宋体" w:hAnsi="宋体"/>
                <w:color w:val="auto"/>
                <w:szCs w:val="21"/>
                <w:highlight w:val="none"/>
              </w:rPr>
              <w:t>≥</w:t>
            </w:r>
            <w:r>
              <w:rPr>
                <w:rFonts w:hint="eastAsia" w:ascii="宋体" w:hAnsi="宋体"/>
                <w:color w:val="auto"/>
                <w:kern w:val="0"/>
                <w:szCs w:val="21"/>
                <w:highlight w:val="none"/>
                <w:lang w:bidi="ar"/>
              </w:rPr>
              <w:t>9路推拉音量调节，</w:t>
            </w:r>
            <w:r>
              <w:rPr>
                <w:rFonts w:hint="eastAsia" w:ascii="宋体" w:hAnsi="宋体"/>
                <w:color w:val="auto"/>
                <w:szCs w:val="21"/>
                <w:highlight w:val="none"/>
              </w:rPr>
              <w:t>≥</w:t>
            </w:r>
            <w:r>
              <w:rPr>
                <w:rFonts w:hint="eastAsia" w:ascii="宋体" w:hAnsi="宋体"/>
                <w:color w:val="auto"/>
                <w:kern w:val="0"/>
                <w:szCs w:val="21"/>
                <w:highlight w:val="none"/>
                <w:lang w:bidi="ar"/>
              </w:rPr>
              <w:t>1路推拉总音量调节；</w:t>
            </w:r>
          </w:p>
          <w:p w14:paraId="09E0244B">
            <w:pPr>
              <w:widowControl/>
              <w:numPr>
                <w:ilvl w:val="0"/>
                <w:numId w:val="366"/>
              </w:numPr>
              <w:jc w:val="left"/>
              <w:textAlignment w:val="center"/>
              <w:rPr>
                <w:rFonts w:hint="eastAsia" w:ascii="宋体" w:hAnsi="宋体"/>
                <w:color w:val="auto"/>
                <w:szCs w:val="21"/>
                <w:highlight w:val="none"/>
              </w:rPr>
            </w:pPr>
            <w:r>
              <w:rPr>
                <w:rFonts w:hint="eastAsia" w:ascii="宋体" w:hAnsi="宋体"/>
                <w:color w:val="auto"/>
                <w:szCs w:val="21"/>
                <w:highlight w:val="none"/>
              </w:rPr>
              <w:t>≥</w:t>
            </w:r>
            <w:r>
              <w:rPr>
                <w:rFonts w:hint="eastAsia" w:ascii="宋体" w:hAnsi="宋体"/>
                <w:color w:val="auto"/>
                <w:kern w:val="0"/>
                <w:szCs w:val="21"/>
                <w:highlight w:val="none"/>
                <w:lang w:bidi="ar"/>
              </w:rPr>
              <w:t>1路短路输出信号，可以触发整套网络机房设备；</w:t>
            </w:r>
          </w:p>
        </w:tc>
        <w:tc>
          <w:tcPr>
            <w:tcW w:w="863" w:type="dxa"/>
            <w:gridSpan w:val="4"/>
            <w:tcBorders>
              <w:top w:val="single" w:color="000000" w:sz="4" w:space="0"/>
              <w:left w:val="single" w:color="000000" w:sz="4" w:space="0"/>
              <w:bottom w:val="single" w:color="000000" w:sz="4" w:space="0"/>
              <w:right w:val="single" w:color="000000" w:sz="4" w:space="0"/>
            </w:tcBorders>
            <w:vAlign w:val="center"/>
          </w:tcPr>
          <w:p w14:paraId="76DCF788">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台</w:t>
            </w:r>
          </w:p>
        </w:tc>
        <w:tc>
          <w:tcPr>
            <w:tcW w:w="925" w:type="dxa"/>
            <w:gridSpan w:val="3"/>
            <w:tcBorders>
              <w:top w:val="single" w:color="000000" w:sz="4" w:space="0"/>
              <w:left w:val="single" w:color="000000" w:sz="4" w:space="0"/>
              <w:bottom w:val="single" w:color="000000" w:sz="4" w:space="0"/>
              <w:right w:val="single" w:color="000000" w:sz="4" w:space="0"/>
            </w:tcBorders>
            <w:vAlign w:val="center"/>
          </w:tcPr>
          <w:p w14:paraId="161115A5">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07272C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7" w:type="dxa"/>
          <w:trHeight w:val="415" w:hRule="atLeast"/>
          <w:jc w:val="center"/>
        </w:trPr>
        <w:tc>
          <w:tcPr>
            <w:tcW w:w="749" w:type="dxa"/>
            <w:tcBorders>
              <w:top w:val="single" w:color="000000" w:sz="4" w:space="0"/>
              <w:left w:val="single" w:color="000000" w:sz="4" w:space="0"/>
              <w:bottom w:val="single" w:color="000000" w:sz="4" w:space="0"/>
              <w:right w:val="single" w:color="000000" w:sz="4" w:space="0"/>
            </w:tcBorders>
            <w:vAlign w:val="center"/>
          </w:tcPr>
          <w:p w14:paraId="20387745">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7</w:t>
            </w:r>
          </w:p>
        </w:tc>
        <w:tc>
          <w:tcPr>
            <w:tcW w:w="1227" w:type="dxa"/>
            <w:tcBorders>
              <w:top w:val="single" w:color="000000" w:sz="4" w:space="0"/>
              <w:left w:val="single" w:color="000000" w:sz="4" w:space="0"/>
              <w:bottom w:val="single" w:color="000000" w:sz="4" w:space="0"/>
              <w:right w:val="single" w:color="000000" w:sz="4" w:space="0"/>
            </w:tcBorders>
            <w:vAlign w:val="center"/>
          </w:tcPr>
          <w:p w14:paraId="31445B93">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IP网络釆播器</w:t>
            </w:r>
          </w:p>
        </w:tc>
        <w:tc>
          <w:tcPr>
            <w:tcW w:w="6187" w:type="dxa"/>
            <w:gridSpan w:val="2"/>
            <w:tcBorders>
              <w:top w:val="single" w:color="000000" w:sz="4" w:space="0"/>
              <w:left w:val="single" w:color="000000" w:sz="4" w:space="0"/>
              <w:bottom w:val="single" w:color="000000" w:sz="4" w:space="0"/>
              <w:right w:val="single" w:color="000000" w:sz="4" w:space="0"/>
            </w:tcBorders>
            <w:vAlign w:val="center"/>
          </w:tcPr>
          <w:p w14:paraId="2679D126">
            <w:pPr>
              <w:widowControl/>
              <w:numPr>
                <w:ilvl w:val="0"/>
                <w:numId w:val="367"/>
              </w:numPr>
              <w:jc w:val="left"/>
              <w:textAlignment w:val="center"/>
              <w:rPr>
                <w:rFonts w:hint="eastAsia" w:ascii="宋体" w:hAnsi="宋体"/>
                <w:color w:val="auto"/>
                <w:szCs w:val="21"/>
                <w:highlight w:val="none"/>
              </w:rPr>
            </w:pPr>
            <w:r>
              <w:rPr>
                <w:rFonts w:hint="eastAsia" w:ascii="宋体" w:hAnsi="宋体"/>
                <w:color w:val="auto"/>
                <w:szCs w:val="21"/>
                <w:highlight w:val="none"/>
              </w:rPr>
              <w:t>≥</w:t>
            </w:r>
            <w:r>
              <w:rPr>
                <w:rFonts w:hint="eastAsia" w:ascii="宋体" w:hAnsi="宋体"/>
                <w:color w:val="auto"/>
                <w:kern w:val="0"/>
                <w:szCs w:val="21"/>
                <w:highlight w:val="none"/>
                <w:lang w:bidi="ar"/>
              </w:rPr>
              <w:t>1路LAN网络接口，</w:t>
            </w:r>
            <w:r>
              <w:rPr>
                <w:rFonts w:hint="eastAsia" w:ascii="宋体" w:hAnsi="宋体"/>
                <w:color w:val="auto"/>
                <w:szCs w:val="21"/>
                <w:highlight w:val="none"/>
              </w:rPr>
              <w:t>≥</w:t>
            </w:r>
            <w:r>
              <w:rPr>
                <w:rFonts w:hint="eastAsia" w:ascii="宋体" w:hAnsi="宋体"/>
                <w:color w:val="auto"/>
                <w:kern w:val="0"/>
                <w:szCs w:val="21"/>
                <w:highlight w:val="none"/>
                <w:lang w:bidi="ar"/>
              </w:rPr>
              <w:t>3路外部AUX输入，</w:t>
            </w:r>
            <w:r>
              <w:rPr>
                <w:rFonts w:hint="eastAsia" w:ascii="宋体" w:hAnsi="宋体"/>
                <w:color w:val="auto"/>
                <w:szCs w:val="21"/>
                <w:highlight w:val="none"/>
              </w:rPr>
              <w:t>≥</w:t>
            </w:r>
            <w:r>
              <w:rPr>
                <w:rFonts w:hint="eastAsia" w:ascii="宋体" w:hAnsi="宋体"/>
                <w:color w:val="auto"/>
                <w:kern w:val="0"/>
                <w:szCs w:val="21"/>
                <w:highlight w:val="none"/>
                <w:lang w:bidi="ar"/>
              </w:rPr>
              <w:t>1路AUX本地输出，</w:t>
            </w:r>
            <w:r>
              <w:rPr>
                <w:rFonts w:hint="eastAsia" w:ascii="宋体" w:hAnsi="宋体"/>
                <w:color w:val="auto"/>
                <w:szCs w:val="21"/>
                <w:highlight w:val="none"/>
              </w:rPr>
              <w:t>≥</w:t>
            </w:r>
            <w:r>
              <w:rPr>
                <w:rFonts w:hint="eastAsia" w:ascii="宋体" w:hAnsi="宋体"/>
                <w:color w:val="auto"/>
                <w:kern w:val="0"/>
                <w:szCs w:val="21"/>
                <w:highlight w:val="none"/>
                <w:lang w:bidi="ar"/>
              </w:rPr>
              <w:t>2路MIC本地输入；</w:t>
            </w:r>
          </w:p>
          <w:p w14:paraId="2A5961DE">
            <w:pPr>
              <w:widowControl/>
              <w:numPr>
                <w:ilvl w:val="0"/>
                <w:numId w:val="367"/>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USB接口，可以插U盘播放到网络；</w:t>
            </w:r>
          </w:p>
          <w:p w14:paraId="420C4AEE">
            <w:pPr>
              <w:widowControl/>
              <w:numPr>
                <w:ilvl w:val="0"/>
                <w:numId w:val="367"/>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网络音频，AUX，话筒单独音量调节；</w:t>
            </w:r>
          </w:p>
          <w:p w14:paraId="6CA358A9">
            <w:pPr>
              <w:widowControl/>
              <w:numPr>
                <w:ilvl w:val="0"/>
                <w:numId w:val="367"/>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MIC话筒具有自动开启自动关闭网络广播功能，只要打开插入的话筒，不需任何操作即可广播讲话（定制功能，下单需注明）；</w:t>
            </w:r>
          </w:p>
          <w:p w14:paraId="518D412E">
            <w:pPr>
              <w:widowControl/>
              <w:numPr>
                <w:ilvl w:val="0"/>
                <w:numId w:val="367"/>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可采播外部音频输入信号，也可以定时采播播放到别的终端；</w:t>
            </w:r>
          </w:p>
          <w:p w14:paraId="330A703B">
            <w:pPr>
              <w:widowControl/>
              <w:numPr>
                <w:ilvl w:val="0"/>
                <w:numId w:val="367"/>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支持高低音调节；</w:t>
            </w:r>
          </w:p>
          <w:p w14:paraId="32805E34">
            <w:pPr>
              <w:widowControl/>
              <w:numPr>
                <w:ilvl w:val="0"/>
                <w:numId w:val="367"/>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具有定压备份功能，在网络不通的情况下可以用模拟信号保证正常播放；（选配附加功能）</w:t>
            </w:r>
          </w:p>
          <w:p w14:paraId="01AAB168">
            <w:pPr>
              <w:widowControl/>
              <w:numPr>
                <w:ilvl w:val="0"/>
                <w:numId w:val="367"/>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服务器定时任务可下载到本地终端，服务器关闭时可以定时打铃；（选配附加功能）</w:t>
            </w:r>
          </w:p>
          <w:p w14:paraId="0C64A552">
            <w:pPr>
              <w:widowControl/>
              <w:numPr>
                <w:ilvl w:val="0"/>
                <w:numId w:val="367"/>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带10A继电器，带1路三插电源座插口，播放音乐时自动打开；</w:t>
            </w:r>
          </w:p>
          <w:p w14:paraId="0C26F9A9">
            <w:pPr>
              <w:widowControl/>
              <w:numPr>
                <w:ilvl w:val="0"/>
                <w:numId w:val="367"/>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可以使用U盘配置终端本地的IP地址等配置信息；</w:t>
            </w:r>
          </w:p>
          <w:p w14:paraId="4E447BB6">
            <w:pPr>
              <w:widowControl/>
              <w:numPr>
                <w:ilvl w:val="0"/>
                <w:numId w:val="367"/>
              </w:numPr>
              <w:jc w:val="left"/>
              <w:textAlignment w:val="center"/>
              <w:rPr>
                <w:rFonts w:hint="eastAsia" w:ascii="宋体" w:hAnsi="宋体"/>
                <w:color w:val="auto"/>
                <w:szCs w:val="21"/>
                <w:highlight w:val="none"/>
              </w:rPr>
            </w:pPr>
            <w:r>
              <w:rPr>
                <w:rFonts w:hint="eastAsia" w:ascii="宋体" w:hAnsi="宋体"/>
                <w:color w:val="auto"/>
                <w:szCs w:val="21"/>
                <w:highlight w:val="none"/>
              </w:rPr>
              <w:t>≥</w:t>
            </w:r>
            <w:r>
              <w:rPr>
                <w:rFonts w:hint="eastAsia" w:ascii="宋体" w:hAnsi="宋体"/>
                <w:color w:val="auto"/>
                <w:kern w:val="0"/>
                <w:szCs w:val="21"/>
                <w:highlight w:val="none"/>
                <w:lang w:bidi="ar"/>
              </w:rPr>
              <w:t>3路音频信号LED灯1单元指示，有信号时点亮；</w:t>
            </w:r>
          </w:p>
          <w:p w14:paraId="344ACFF6">
            <w:pPr>
              <w:widowControl/>
              <w:numPr>
                <w:ilvl w:val="0"/>
                <w:numId w:val="367"/>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标准TCP、IP网络协议，支持夸网段，网桥等连接；</w:t>
            </w:r>
          </w:p>
        </w:tc>
        <w:tc>
          <w:tcPr>
            <w:tcW w:w="863" w:type="dxa"/>
            <w:gridSpan w:val="4"/>
            <w:tcBorders>
              <w:top w:val="single" w:color="000000" w:sz="4" w:space="0"/>
              <w:left w:val="single" w:color="000000" w:sz="4" w:space="0"/>
              <w:bottom w:val="single" w:color="000000" w:sz="4" w:space="0"/>
              <w:right w:val="single" w:color="000000" w:sz="4" w:space="0"/>
            </w:tcBorders>
            <w:vAlign w:val="center"/>
          </w:tcPr>
          <w:p w14:paraId="3518D0F5">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台</w:t>
            </w:r>
          </w:p>
        </w:tc>
        <w:tc>
          <w:tcPr>
            <w:tcW w:w="925" w:type="dxa"/>
            <w:gridSpan w:val="3"/>
            <w:tcBorders>
              <w:top w:val="single" w:color="000000" w:sz="4" w:space="0"/>
              <w:left w:val="single" w:color="000000" w:sz="4" w:space="0"/>
              <w:bottom w:val="single" w:color="000000" w:sz="4" w:space="0"/>
              <w:right w:val="single" w:color="000000" w:sz="4" w:space="0"/>
            </w:tcBorders>
            <w:vAlign w:val="center"/>
          </w:tcPr>
          <w:p w14:paraId="14151083">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314D50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7" w:type="dxa"/>
          <w:trHeight w:val="415" w:hRule="atLeast"/>
          <w:jc w:val="center"/>
        </w:trPr>
        <w:tc>
          <w:tcPr>
            <w:tcW w:w="749" w:type="dxa"/>
            <w:tcBorders>
              <w:top w:val="single" w:color="000000" w:sz="4" w:space="0"/>
              <w:left w:val="single" w:color="000000" w:sz="4" w:space="0"/>
              <w:bottom w:val="single" w:color="000000" w:sz="4" w:space="0"/>
              <w:right w:val="single" w:color="000000" w:sz="4" w:space="0"/>
            </w:tcBorders>
            <w:vAlign w:val="center"/>
          </w:tcPr>
          <w:p w14:paraId="04DCA24F">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8</w:t>
            </w:r>
          </w:p>
        </w:tc>
        <w:tc>
          <w:tcPr>
            <w:tcW w:w="1227" w:type="dxa"/>
            <w:tcBorders>
              <w:top w:val="single" w:color="000000" w:sz="4" w:space="0"/>
              <w:left w:val="single" w:color="000000" w:sz="4" w:space="0"/>
              <w:bottom w:val="single" w:color="000000" w:sz="4" w:space="0"/>
              <w:right w:val="single" w:color="000000" w:sz="4" w:space="0"/>
            </w:tcBorders>
            <w:vAlign w:val="center"/>
          </w:tcPr>
          <w:p w14:paraId="1F4B539E">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DVD播放器</w:t>
            </w:r>
          </w:p>
        </w:tc>
        <w:tc>
          <w:tcPr>
            <w:tcW w:w="6187" w:type="dxa"/>
            <w:gridSpan w:val="2"/>
            <w:tcBorders>
              <w:top w:val="single" w:color="000000" w:sz="4" w:space="0"/>
              <w:left w:val="single" w:color="000000" w:sz="4" w:space="0"/>
              <w:bottom w:val="single" w:color="000000" w:sz="4" w:space="0"/>
              <w:right w:val="single" w:color="000000" w:sz="4" w:space="0"/>
            </w:tcBorders>
            <w:vAlign w:val="center"/>
          </w:tcPr>
          <w:p w14:paraId="27D3A09A">
            <w:pPr>
              <w:widowControl/>
              <w:numPr>
                <w:ilvl w:val="0"/>
                <w:numId w:val="368"/>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微电脑控制，轻触式按键操作；</w:t>
            </w:r>
          </w:p>
          <w:p w14:paraId="7CC5035E">
            <w:pPr>
              <w:widowControl/>
              <w:numPr>
                <w:ilvl w:val="0"/>
                <w:numId w:val="368"/>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支持USB2.0，支持3合1读卡各U盘/ SD卡即插即放。</w:t>
            </w:r>
          </w:p>
          <w:p w14:paraId="2D1F1BAB">
            <w:pPr>
              <w:widowControl/>
              <w:numPr>
                <w:ilvl w:val="0"/>
                <w:numId w:val="368"/>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可实现DVD的全部通用功能。</w:t>
            </w:r>
          </w:p>
          <w:p w14:paraId="1D7545F7">
            <w:pPr>
              <w:widowControl/>
              <w:numPr>
                <w:ilvl w:val="0"/>
                <w:numId w:val="368"/>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LED段码显示屏。</w:t>
            </w:r>
          </w:p>
        </w:tc>
        <w:tc>
          <w:tcPr>
            <w:tcW w:w="863" w:type="dxa"/>
            <w:gridSpan w:val="4"/>
            <w:tcBorders>
              <w:top w:val="single" w:color="000000" w:sz="4" w:space="0"/>
              <w:left w:val="single" w:color="000000" w:sz="4" w:space="0"/>
              <w:bottom w:val="single" w:color="000000" w:sz="4" w:space="0"/>
              <w:right w:val="single" w:color="000000" w:sz="4" w:space="0"/>
            </w:tcBorders>
            <w:vAlign w:val="center"/>
          </w:tcPr>
          <w:p w14:paraId="3709DC37">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台</w:t>
            </w:r>
          </w:p>
        </w:tc>
        <w:tc>
          <w:tcPr>
            <w:tcW w:w="925" w:type="dxa"/>
            <w:gridSpan w:val="3"/>
            <w:tcBorders>
              <w:top w:val="single" w:color="000000" w:sz="4" w:space="0"/>
              <w:left w:val="single" w:color="000000" w:sz="4" w:space="0"/>
              <w:bottom w:val="single" w:color="000000" w:sz="4" w:space="0"/>
              <w:right w:val="single" w:color="000000" w:sz="4" w:space="0"/>
            </w:tcBorders>
            <w:vAlign w:val="center"/>
          </w:tcPr>
          <w:p w14:paraId="1051E866">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4479CE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7" w:type="dxa"/>
          <w:trHeight w:val="415" w:hRule="atLeast"/>
          <w:jc w:val="center"/>
        </w:trPr>
        <w:tc>
          <w:tcPr>
            <w:tcW w:w="749" w:type="dxa"/>
            <w:tcBorders>
              <w:top w:val="single" w:color="000000" w:sz="4" w:space="0"/>
              <w:left w:val="single" w:color="000000" w:sz="4" w:space="0"/>
              <w:bottom w:val="single" w:color="000000" w:sz="4" w:space="0"/>
              <w:right w:val="single" w:color="000000" w:sz="4" w:space="0"/>
            </w:tcBorders>
            <w:vAlign w:val="center"/>
          </w:tcPr>
          <w:p w14:paraId="7E0E32C5">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9</w:t>
            </w:r>
          </w:p>
        </w:tc>
        <w:tc>
          <w:tcPr>
            <w:tcW w:w="1227" w:type="dxa"/>
            <w:tcBorders>
              <w:top w:val="single" w:color="000000" w:sz="4" w:space="0"/>
              <w:left w:val="single" w:color="000000" w:sz="4" w:space="0"/>
              <w:bottom w:val="single" w:color="000000" w:sz="4" w:space="0"/>
              <w:right w:val="single" w:color="000000" w:sz="4" w:space="0"/>
            </w:tcBorders>
            <w:vAlign w:val="center"/>
          </w:tcPr>
          <w:p w14:paraId="01BEB47E">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24口网络交换机</w:t>
            </w:r>
          </w:p>
        </w:tc>
        <w:tc>
          <w:tcPr>
            <w:tcW w:w="6187" w:type="dxa"/>
            <w:gridSpan w:val="2"/>
            <w:tcBorders>
              <w:top w:val="single" w:color="000000" w:sz="4" w:space="0"/>
              <w:left w:val="single" w:color="000000" w:sz="4" w:space="0"/>
              <w:bottom w:val="single" w:color="000000" w:sz="4" w:space="0"/>
              <w:right w:val="single" w:color="000000" w:sz="4" w:space="0"/>
            </w:tcBorders>
            <w:vAlign w:val="center"/>
          </w:tcPr>
          <w:p w14:paraId="0C1F023E">
            <w:pPr>
              <w:widowControl/>
              <w:numPr>
                <w:ilvl w:val="0"/>
                <w:numId w:val="369"/>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24口交换机</w:t>
            </w:r>
          </w:p>
        </w:tc>
        <w:tc>
          <w:tcPr>
            <w:tcW w:w="863" w:type="dxa"/>
            <w:gridSpan w:val="4"/>
            <w:tcBorders>
              <w:top w:val="single" w:color="000000" w:sz="4" w:space="0"/>
              <w:left w:val="single" w:color="000000" w:sz="4" w:space="0"/>
              <w:bottom w:val="single" w:color="000000" w:sz="4" w:space="0"/>
              <w:right w:val="single" w:color="000000" w:sz="4" w:space="0"/>
            </w:tcBorders>
            <w:vAlign w:val="center"/>
          </w:tcPr>
          <w:p w14:paraId="1CA5CE68">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台</w:t>
            </w:r>
          </w:p>
        </w:tc>
        <w:tc>
          <w:tcPr>
            <w:tcW w:w="925" w:type="dxa"/>
            <w:gridSpan w:val="3"/>
            <w:tcBorders>
              <w:top w:val="single" w:color="000000" w:sz="4" w:space="0"/>
              <w:left w:val="single" w:color="000000" w:sz="4" w:space="0"/>
              <w:bottom w:val="single" w:color="000000" w:sz="4" w:space="0"/>
              <w:right w:val="single" w:color="000000" w:sz="4" w:space="0"/>
            </w:tcBorders>
            <w:vAlign w:val="center"/>
          </w:tcPr>
          <w:p w14:paraId="1FEC3A00">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524603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7" w:type="dxa"/>
          <w:trHeight w:val="415" w:hRule="atLeast"/>
          <w:jc w:val="center"/>
        </w:trPr>
        <w:tc>
          <w:tcPr>
            <w:tcW w:w="749" w:type="dxa"/>
            <w:tcBorders>
              <w:top w:val="single" w:color="000000" w:sz="4" w:space="0"/>
              <w:left w:val="single" w:color="000000" w:sz="4" w:space="0"/>
              <w:bottom w:val="single" w:color="000000" w:sz="4" w:space="0"/>
              <w:right w:val="single" w:color="000000" w:sz="4" w:space="0"/>
            </w:tcBorders>
            <w:vAlign w:val="center"/>
          </w:tcPr>
          <w:p w14:paraId="0FF40B6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10</w:t>
            </w:r>
          </w:p>
        </w:tc>
        <w:tc>
          <w:tcPr>
            <w:tcW w:w="1227" w:type="dxa"/>
            <w:tcBorders>
              <w:top w:val="single" w:color="000000" w:sz="4" w:space="0"/>
              <w:left w:val="single" w:color="000000" w:sz="4" w:space="0"/>
              <w:bottom w:val="single" w:color="000000" w:sz="4" w:space="0"/>
              <w:right w:val="single" w:color="000000" w:sz="4" w:space="0"/>
            </w:tcBorders>
            <w:vAlign w:val="center"/>
          </w:tcPr>
          <w:p w14:paraId="20668387">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机柜</w:t>
            </w:r>
          </w:p>
        </w:tc>
        <w:tc>
          <w:tcPr>
            <w:tcW w:w="6187" w:type="dxa"/>
            <w:gridSpan w:val="2"/>
            <w:tcBorders>
              <w:top w:val="single" w:color="000000" w:sz="4" w:space="0"/>
              <w:left w:val="single" w:color="000000" w:sz="4" w:space="0"/>
              <w:bottom w:val="single" w:color="000000" w:sz="4" w:space="0"/>
              <w:right w:val="single" w:color="000000" w:sz="4" w:space="0"/>
            </w:tcBorders>
            <w:vAlign w:val="center"/>
          </w:tcPr>
          <w:p w14:paraId="17D0975B">
            <w:pPr>
              <w:widowControl/>
              <w:numPr>
                <w:ilvl w:val="0"/>
                <w:numId w:val="370"/>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 xml:space="preserve">容量：≥32U  </w:t>
            </w:r>
          </w:p>
          <w:p w14:paraId="384B3236">
            <w:pPr>
              <w:widowControl/>
              <w:numPr>
                <w:ilvl w:val="0"/>
                <w:numId w:val="370"/>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 xml:space="preserve">标准：≥19英寸国际标准  </w:t>
            </w:r>
          </w:p>
          <w:p w14:paraId="37D20547">
            <w:pPr>
              <w:widowControl/>
              <w:numPr>
                <w:ilvl w:val="0"/>
                <w:numId w:val="370"/>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 xml:space="preserve">门及门锁：前门：钢化玻璃前门，带锁；后门：全金属后门，带锁 </w:t>
            </w:r>
          </w:p>
          <w:p w14:paraId="0F214F76">
            <w:pPr>
              <w:widowControl/>
              <w:numPr>
                <w:ilvl w:val="0"/>
                <w:numId w:val="370"/>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 xml:space="preserve">材料及工艺：钢化玻璃前门和网孔后门 </w:t>
            </w:r>
          </w:p>
          <w:p w14:paraId="0BF20D1B">
            <w:pPr>
              <w:widowControl/>
              <w:numPr>
                <w:ilvl w:val="0"/>
                <w:numId w:val="370"/>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附加功能：侧板：速装卸侧板</w:t>
            </w:r>
          </w:p>
          <w:p w14:paraId="5FED70DD">
            <w:pPr>
              <w:widowControl/>
              <w:numPr>
                <w:ilvl w:val="0"/>
                <w:numId w:val="370"/>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底座：四重载轮和四调节脚</w:t>
            </w:r>
          </w:p>
          <w:p w14:paraId="330FC6FF">
            <w:pPr>
              <w:widowControl/>
              <w:numPr>
                <w:ilvl w:val="0"/>
                <w:numId w:val="370"/>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顶盖：侧通风顶盖</w:t>
            </w:r>
          </w:p>
          <w:p w14:paraId="7F51F003">
            <w:pPr>
              <w:widowControl/>
              <w:numPr>
                <w:ilvl w:val="0"/>
                <w:numId w:val="370"/>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最大载重：≥500Kg</w:t>
            </w:r>
          </w:p>
          <w:p w14:paraId="057198F5">
            <w:pPr>
              <w:widowControl/>
              <w:numPr>
                <w:ilvl w:val="0"/>
                <w:numId w:val="370"/>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风扇单元（2 风机）；固定托架2个；六孔PDU一个； 地脚轮4个； 地脚钉4颗；安装螺丝50颗</w:t>
            </w:r>
          </w:p>
          <w:p w14:paraId="720597D6">
            <w:pPr>
              <w:widowControl/>
              <w:numPr>
                <w:ilvl w:val="0"/>
                <w:numId w:val="370"/>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 xml:space="preserve">外观参数 高度：≥1600mm   宽度：≥600mm   深度：≥800mm </w:t>
            </w:r>
          </w:p>
        </w:tc>
        <w:tc>
          <w:tcPr>
            <w:tcW w:w="863" w:type="dxa"/>
            <w:gridSpan w:val="4"/>
            <w:tcBorders>
              <w:top w:val="single" w:color="000000" w:sz="4" w:space="0"/>
              <w:left w:val="single" w:color="000000" w:sz="4" w:space="0"/>
              <w:bottom w:val="single" w:color="000000" w:sz="4" w:space="0"/>
              <w:right w:val="single" w:color="000000" w:sz="4" w:space="0"/>
            </w:tcBorders>
            <w:vAlign w:val="center"/>
          </w:tcPr>
          <w:p w14:paraId="5B9EECB8">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台</w:t>
            </w:r>
          </w:p>
        </w:tc>
        <w:tc>
          <w:tcPr>
            <w:tcW w:w="925" w:type="dxa"/>
            <w:gridSpan w:val="3"/>
            <w:tcBorders>
              <w:top w:val="single" w:color="000000" w:sz="4" w:space="0"/>
              <w:left w:val="single" w:color="000000" w:sz="4" w:space="0"/>
              <w:bottom w:val="single" w:color="000000" w:sz="4" w:space="0"/>
              <w:right w:val="single" w:color="000000" w:sz="4" w:space="0"/>
            </w:tcBorders>
            <w:vAlign w:val="center"/>
          </w:tcPr>
          <w:p w14:paraId="7AEC31F8">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1AC1CD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7" w:type="dxa"/>
          <w:trHeight w:val="415" w:hRule="atLeast"/>
          <w:jc w:val="center"/>
        </w:trPr>
        <w:tc>
          <w:tcPr>
            <w:tcW w:w="749" w:type="dxa"/>
            <w:tcBorders>
              <w:top w:val="single" w:color="000000" w:sz="4" w:space="0"/>
              <w:left w:val="single" w:color="000000" w:sz="4" w:space="0"/>
              <w:bottom w:val="single" w:color="000000" w:sz="4" w:space="0"/>
              <w:right w:val="single" w:color="000000" w:sz="4" w:space="0"/>
            </w:tcBorders>
            <w:vAlign w:val="center"/>
          </w:tcPr>
          <w:p w14:paraId="62F5FBDE">
            <w:pPr>
              <w:widowControl/>
              <w:textAlignment w:val="center"/>
              <w:rPr>
                <w:rFonts w:hint="eastAsia" w:ascii="宋体" w:hAnsi="宋体"/>
                <w:b/>
                <w:bCs/>
                <w:color w:val="auto"/>
                <w:szCs w:val="21"/>
                <w:highlight w:val="none"/>
              </w:rPr>
            </w:pPr>
            <w:r>
              <w:rPr>
                <w:rFonts w:hint="eastAsia" w:ascii="宋体" w:hAnsi="宋体"/>
                <w:b/>
                <w:bCs/>
                <w:color w:val="auto"/>
                <w:kern w:val="0"/>
                <w:szCs w:val="21"/>
                <w:highlight w:val="none"/>
                <w:lang w:bidi="ar"/>
              </w:rPr>
              <w:t>（二）</w:t>
            </w:r>
          </w:p>
        </w:tc>
        <w:tc>
          <w:tcPr>
            <w:tcW w:w="1227" w:type="dxa"/>
            <w:tcBorders>
              <w:top w:val="single" w:color="000000" w:sz="4" w:space="0"/>
              <w:left w:val="single" w:color="000000" w:sz="4" w:space="0"/>
              <w:bottom w:val="single" w:color="000000" w:sz="4" w:space="0"/>
              <w:right w:val="single" w:color="000000" w:sz="4" w:space="0"/>
            </w:tcBorders>
            <w:vAlign w:val="center"/>
          </w:tcPr>
          <w:p w14:paraId="11CC57E8">
            <w:pPr>
              <w:widowControl/>
              <w:jc w:val="center"/>
              <w:textAlignment w:val="center"/>
              <w:rPr>
                <w:rFonts w:hint="eastAsia" w:ascii="宋体" w:hAnsi="宋体"/>
                <w:b/>
                <w:bCs/>
                <w:color w:val="auto"/>
                <w:szCs w:val="21"/>
                <w:highlight w:val="none"/>
              </w:rPr>
            </w:pPr>
            <w:r>
              <w:rPr>
                <w:rFonts w:hint="eastAsia" w:ascii="宋体" w:hAnsi="宋体"/>
                <w:b/>
                <w:bCs/>
                <w:color w:val="auto"/>
                <w:kern w:val="0"/>
                <w:szCs w:val="21"/>
                <w:highlight w:val="none"/>
                <w:lang w:bidi="ar"/>
              </w:rPr>
              <w:t>1#教学楼</w:t>
            </w:r>
          </w:p>
        </w:tc>
        <w:tc>
          <w:tcPr>
            <w:tcW w:w="6187" w:type="dxa"/>
            <w:gridSpan w:val="2"/>
            <w:tcBorders>
              <w:top w:val="single" w:color="000000" w:sz="4" w:space="0"/>
              <w:left w:val="single" w:color="000000" w:sz="4" w:space="0"/>
              <w:bottom w:val="single" w:color="000000" w:sz="4" w:space="0"/>
              <w:right w:val="single" w:color="000000" w:sz="4" w:space="0"/>
            </w:tcBorders>
            <w:vAlign w:val="center"/>
          </w:tcPr>
          <w:p w14:paraId="6755141B">
            <w:pPr>
              <w:jc w:val="left"/>
              <w:rPr>
                <w:rFonts w:hint="eastAsia" w:ascii="宋体" w:hAnsi="宋体"/>
                <w:b/>
                <w:bCs/>
                <w:color w:val="auto"/>
                <w:szCs w:val="21"/>
                <w:highlight w:val="none"/>
              </w:rPr>
            </w:pPr>
          </w:p>
        </w:tc>
        <w:tc>
          <w:tcPr>
            <w:tcW w:w="863" w:type="dxa"/>
            <w:gridSpan w:val="4"/>
            <w:tcBorders>
              <w:top w:val="single" w:color="000000" w:sz="4" w:space="0"/>
              <w:left w:val="single" w:color="000000" w:sz="4" w:space="0"/>
              <w:bottom w:val="single" w:color="000000" w:sz="4" w:space="0"/>
              <w:right w:val="single" w:color="000000" w:sz="4" w:space="0"/>
            </w:tcBorders>
            <w:vAlign w:val="center"/>
          </w:tcPr>
          <w:p w14:paraId="45F12BD2">
            <w:pPr>
              <w:jc w:val="center"/>
              <w:rPr>
                <w:rFonts w:hint="eastAsia" w:ascii="宋体" w:hAnsi="宋体"/>
                <w:b/>
                <w:bCs/>
                <w:color w:val="auto"/>
                <w:szCs w:val="21"/>
                <w:highlight w:val="none"/>
              </w:rPr>
            </w:pPr>
          </w:p>
        </w:tc>
        <w:tc>
          <w:tcPr>
            <w:tcW w:w="925" w:type="dxa"/>
            <w:gridSpan w:val="3"/>
            <w:tcBorders>
              <w:top w:val="single" w:color="000000" w:sz="4" w:space="0"/>
              <w:left w:val="single" w:color="000000" w:sz="4" w:space="0"/>
              <w:bottom w:val="single" w:color="000000" w:sz="4" w:space="0"/>
              <w:right w:val="single" w:color="000000" w:sz="4" w:space="0"/>
            </w:tcBorders>
            <w:vAlign w:val="center"/>
          </w:tcPr>
          <w:p w14:paraId="502AF33A">
            <w:pPr>
              <w:jc w:val="center"/>
              <w:rPr>
                <w:rFonts w:hint="eastAsia" w:ascii="宋体" w:hAnsi="宋体"/>
                <w:b/>
                <w:bCs/>
                <w:color w:val="auto"/>
                <w:szCs w:val="21"/>
                <w:highlight w:val="none"/>
              </w:rPr>
            </w:pPr>
          </w:p>
        </w:tc>
      </w:tr>
      <w:tr w14:paraId="4C7707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7" w:type="dxa"/>
          <w:trHeight w:val="415" w:hRule="atLeast"/>
          <w:jc w:val="center"/>
        </w:trPr>
        <w:tc>
          <w:tcPr>
            <w:tcW w:w="749" w:type="dxa"/>
            <w:tcBorders>
              <w:top w:val="single" w:color="000000" w:sz="4" w:space="0"/>
              <w:left w:val="single" w:color="000000" w:sz="4" w:space="0"/>
              <w:bottom w:val="single" w:color="000000" w:sz="4" w:space="0"/>
              <w:right w:val="single" w:color="000000" w:sz="4" w:space="0"/>
            </w:tcBorders>
            <w:vAlign w:val="center"/>
          </w:tcPr>
          <w:p w14:paraId="17E3D1BA">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c>
          <w:tcPr>
            <w:tcW w:w="1227" w:type="dxa"/>
            <w:tcBorders>
              <w:top w:val="single" w:color="000000" w:sz="4" w:space="0"/>
              <w:left w:val="single" w:color="000000" w:sz="4" w:space="0"/>
              <w:bottom w:val="single" w:color="000000" w:sz="4" w:space="0"/>
              <w:right w:val="single" w:color="000000" w:sz="4" w:space="0"/>
            </w:tcBorders>
            <w:vAlign w:val="center"/>
          </w:tcPr>
          <w:p w14:paraId="19F17EED">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音响</w:t>
            </w:r>
          </w:p>
        </w:tc>
        <w:tc>
          <w:tcPr>
            <w:tcW w:w="6187" w:type="dxa"/>
            <w:gridSpan w:val="2"/>
            <w:tcBorders>
              <w:top w:val="single" w:color="000000" w:sz="4" w:space="0"/>
              <w:left w:val="single" w:color="000000" w:sz="4" w:space="0"/>
              <w:bottom w:val="single" w:color="000000" w:sz="4" w:space="0"/>
              <w:right w:val="single" w:color="000000" w:sz="4" w:space="0"/>
            </w:tcBorders>
            <w:vAlign w:val="center"/>
          </w:tcPr>
          <w:p w14:paraId="609EFFF8">
            <w:pPr>
              <w:widowControl/>
              <w:numPr>
                <w:ilvl w:val="0"/>
                <w:numId w:val="371"/>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 xml:space="preserve">功率：3-10W </w:t>
            </w:r>
          </w:p>
          <w:p w14:paraId="4ECEBDEF">
            <w:pPr>
              <w:widowControl/>
              <w:numPr>
                <w:ilvl w:val="0"/>
                <w:numId w:val="371"/>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喇叭单元:6.5寸+小高音 尺寸:≥260*185*120mm 颜色：纯白色</w:t>
            </w:r>
          </w:p>
          <w:p w14:paraId="6C5968CA">
            <w:pPr>
              <w:widowControl/>
              <w:numPr>
                <w:ilvl w:val="0"/>
                <w:numId w:val="371"/>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定压输入:70-100v  灵敏度：91dB   频率响应：90-16000Hz</w:t>
            </w:r>
          </w:p>
        </w:tc>
        <w:tc>
          <w:tcPr>
            <w:tcW w:w="863" w:type="dxa"/>
            <w:gridSpan w:val="4"/>
            <w:tcBorders>
              <w:top w:val="single" w:color="000000" w:sz="4" w:space="0"/>
              <w:left w:val="single" w:color="000000" w:sz="4" w:space="0"/>
              <w:bottom w:val="single" w:color="000000" w:sz="4" w:space="0"/>
              <w:right w:val="single" w:color="000000" w:sz="4" w:space="0"/>
            </w:tcBorders>
            <w:vAlign w:val="center"/>
          </w:tcPr>
          <w:p w14:paraId="3D160DF6">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25" w:type="dxa"/>
            <w:gridSpan w:val="3"/>
            <w:tcBorders>
              <w:top w:val="single" w:color="000000" w:sz="4" w:space="0"/>
              <w:left w:val="single" w:color="000000" w:sz="4" w:space="0"/>
              <w:bottom w:val="single" w:color="000000" w:sz="4" w:space="0"/>
              <w:right w:val="single" w:color="000000" w:sz="4" w:space="0"/>
            </w:tcBorders>
            <w:vAlign w:val="center"/>
          </w:tcPr>
          <w:p w14:paraId="12226485">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48</w:t>
            </w:r>
          </w:p>
        </w:tc>
      </w:tr>
      <w:tr w14:paraId="71F217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7" w:type="dxa"/>
          <w:trHeight w:val="415" w:hRule="atLeast"/>
          <w:jc w:val="center"/>
        </w:trPr>
        <w:tc>
          <w:tcPr>
            <w:tcW w:w="749" w:type="dxa"/>
            <w:tcBorders>
              <w:top w:val="single" w:color="000000" w:sz="4" w:space="0"/>
              <w:left w:val="single" w:color="000000" w:sz="4" w:space="0"/>
              <w:bottom w:val="single" w:color="000000" w:sz="4" w:space="0"/>
              <w:right w:val="single" w:color="000000" w:sz="4" w:space="0"/>
            </w:tcBorders>
            <w:vAlign w:val="center"/>
          </w:tcPr>
          <w:p w14:paraId="0D58408C">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w:t>
            </w:r>
          </w:p>
        </w:tc>
        <w:tc>
          <w:tcPr>
            <w:tcW w:w="1227" w:type="dxa"/>
            <w:tcBorders>
              <w:top w:val="single" w:color="000000" w:sz="4" w:space="0"/>
              <w:left w:val="single" w:color="000000" w:sz="4" w:space="0"/>
              <w:bottom w:val="single" w:color="000000" w:sz="4" w:space="0"/>
              <w:right w:val="single" w:color="000000" w:sz="4" w:space="0"/>
            </w:tcBorders>
            <w:vAlign w:val="center"/>
          </w:tcPr>
          <w:p w14:paraId="0DB0F502">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IP网络定压功放</w:t>
            </w:r>
          </w:p>
        </w:tc>
        <w:tc>
          <w:tcPr>
            <w:tcW w:w="6187" w:type="dxa"/>
            <w:gridSpan w:val="2"/>
            <w:tcBorders>
              <w:top w:val="single" w:color="000000" w:sz="4" w:space="0"/>
              <w:left w:val="single" w:color="000000" w:sz="4" w:space="0"/>
              <w:bottom w:val="single" w:color="000000" w:sz="4" w:space="0"/>
              <w:right w:val="single" w:color="000000" w:sz="4" w:space="0"/>
            </w:tcBorders>
            <w:vAlign w:val="center"/>
          </w:tcPr>
          <w:p w14:paraId="58B3FF67">
            <w:pPr>
              <w:widowControl/>
              <w:numPr>
                <w:ilvl w:val="0"/>
                <w:numId w:val="372"/>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IP功放是一款基于TCP/IP传输协议的全数字化的模数转换信号处理器，由主控系统智能控制，可播放来自主控系统的背景节目、紧急寻呼、告警信号等</w:t>
            </w:r>
          </w:p>
          <w:p w14:paraId="0C59FCAB">
            <w:pPr>
              <w:widowControl/>
              <w:numPr>
                <w:ilvl w:val="0"/>
                <w:numId w:val="372"/>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100V, 70V定压输出和4～16Ω定阻（平衡，不接地）输出</w:t>
            </w:r>
          </w:p>
          <w:p w14:paraId="733EF553">
            <w:pPr>
              <w:widowControl/>
              <w:numPr>
                <w:ilvl w:val="0"/>
                <w:numId w:val="372"/>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六分区输出，每路分区可独立控制音量</w:t>
            </w:r>
          </w:p>
          <w:p w14:paraId="51565CC0">
            <w:pPr>
              <w:widowControl/>
              <w:numPr>
                <w:ilvl w:val="0"/>
                <w:numId w:val="372"/>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铝合金拉丝面板，配有MP3播放器并具有LCD显示屏功能，可实时知道当前播放状态。</w:t>
            </w:r>
          </w:p>
          <w:p w14:paraId="7931054B">
            <w:pPr>
              <w:widowControl/>
              <w:numPr>
                <w:ilvl w:val="0"/>
                <w:numId w:val="372"/>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采用工业级芯片全数字化设计，内置DSP音效处理芯片，语音传输指数高，具有高保真CD音质</w:t>
            </w:r>
          </w:p>
          <w:p w14:paraId="68A4FC63">
            <w:pPr>
              <w:widowControl/>
              <w:numPr>
                <w:ilvl w:val="0"/>
                <w:numId w:val="372"/>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支持最大48kHz采样率16bit数字音频流解码</w:t>
            </w:r>
          </w:p>
          <w:p w14:paraId="1C7362C5">
            <w:pPr>
              <w:widowControl/>
              <w:numPr>
                <w:ilvl w:val="0"/>
                <w:numId w:val="372"/>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播放模式可以在单曲播放、单曲循环、顺序播放、循环播放、随机播放之间任音选择</w:t>
            </w:r>
          </w:p>
          <w:p w14:paraId="11A0DC43">
            <w:pPr>
              <w:widowControl/>
              <w:numPr>
                <w:ilvl w:val="0"/>
                <w:numId w:val="372"/>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具有6路辅助音频输入、2路辅助音频输出、两路话筒输入(话筒1有优先级最高)</w:t>
            </w:r>
          </w:p>
          <w:p w14:paraId="632EAEC2">
            <w:pPr>
              <w:widowControl/>
              <w:numPr>
                <w:ilvl w:val="0"/>
                <w:numId w:val="372"/>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辅助音频输入、话筒输入带有默音调节电位器，默音电平量可调节</w:t>
            </w:r>
          </w:p>
          <w:p w14:paraId="10F34011">
            <w:pPr>
              <w:widowControl/>
              <w:numPr>
                <w:ilvl w:val="0"/>
                <w:numId w:val="372"/>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工作状态、网络状态、电源状态、功放状态LED指示</w:t>
            </w:r>
          </w:p>
          <w:p w14:paraId="5EED7BC1">
            <w:pPr>
              <w:widowControl/>
              <w:numPr>
                <w:ilvl w:val="0"/>
                <w:numId w:val="372"/>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内置看门狗功能，有效保障设备的正常运行</w:t>
            </w:r>
          </w:p>
          <w:p w14:paraId="08007154">
            <w:pPr>
              <w:widowControl/>
              <w:numPr>
                <w:ilvl w:val="0"/>
                <w:numId w:val="372"/>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高可靠性设计寿命长，平均无故障时间(MTBF)&gt;10万小时</w:t>
            </w:r>
          </w:p>
          <w:p w14:paraId="57B18210">
            <w:pPr>
              <w:widowControl/>
              <w:numPr>
                <w:ilvl w:val="0"/>
                <w:numId w:val="372"/>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可脱机接受紧急寻呼,音量调节到80%</w:t>
            </w:r>
          </w:p>
          <w:p w14:paraId="4FD78FAE">
            <w:pPr>
              <w:widowControl/>
              <w:numPr>
                <w:ilvl w:val="0"/>
                <w:numId w:val="372"/>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软件设置IP地址，支持TCP,UDP,4G，静态IP</w:t>
            </w:r>
          </w:p>
          <w:p w14:paraId="1BAFE752">
            <w:pPr>
              <w:widowControl/>
              <w:numPr>
                <w:ilvl w:val="0"/>
                <w:numId w:val="372"/>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内置热敏电阻及温控开关，开机静音，信号启动或升温50°后由8～12V供电，降噪风扇节能更环保</w:t>
            </w:r>
          </w:p>
          <w:p w14:paraId="4649F7DA">
            <w:pPr>
              <w:widowControl/>
              <w:numPr>
                <w:ilvl w:val="0"/>
                <w:numId w:val="372"/>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网络接口：标准RJ45输入</w:t>
            </w:r>
          </w:p>
          <w:p w14:paraId="1EB62F7A">
            <w:pPr>
              <w:widowControl/>
              <w:numPr>
                <w:ilvl w:val="0"/>
                <w:numId w:val="372"/>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支持协议：TCP/IP、UDP、IGMP、4G，静态IP</w:t>
            </w:r>
          </w:p>
          <w:p w14:paraId="4E482786">
            <w:pPr>
              <w:widowControl/>
              <w:numPr>
                <w:ilvl w:val="0"/>
                <w:numId w:val="372"/>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传输速率：</w:t>
            </w:r>
            <w:r>
              <w:rPr>
                <w:rFonts w:hint="eastAsia" w:ascii="宋体" w:hAnsi="宋体"/>
                <w:color w:val="auto"/>
                <w:szCs w:val="21"/>
                <w:highlight w:val="none"/>
              </w:rPr>
              <w:t>≥</w:t>
            </w:r>
            <w:r>
              <w:rPr>
                <w:rFonts w:hint="eastAsia" w:ascii="宋体" w:hAnsi="宋体"/>
                <w:color w:val="auto"/>
                <w:kern w:val="0"/>
                <w:szCs w:val="21"/>
                <w:highlight w:val="none"/>
                <w:lang w:bidi="ar"/>
              </w:rPr>
              <w:t>100Mbps</w:t>
            </w:r>
          </w:p>
          <w:p w14:paraId="41210F1B">
            <w:pPr>
              <w:widowControl/>
              <w:numPr>
                <w:ilvl w:val="0"/>
                <w:numId w:val="372"/>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功率：≥650W</w:t>
            </w:r>
          </w:p>
        </w:tc>
        <w:tc>
          <w:tcPr>
            <w:tcW w:w="863" w:type="dxa"/>
            <w:gridSpan w:val="4"/>
            <w:tcBorders>
              <w:top w:val="single" w:color="000000" w:sz="4" w:space="0"/>
              <w:left w:val="single" w:color="000000" w:sz="4" w:space="0"/>
              <w:bottom w:val="single" w:color="000000" w:sz="4" w:space="0"/>
              <w:right w:val="single" w:color="000000" w:sz="4" w:space="0"/>
            </w:tcBorders>
            <w:vAlign w:val="center"/>
          </w:tcPr>
          <w:p w14:paraId="2C4D46F7">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台</w:t>
            </w:r>
          </w:p>
        </w:tc>
        <w:tc>
          <w:tcPr>
            <w:tcW w:w="925" w:type="dxa"/>
            <w:gridSpan w:val="3"/>
            <w:tcBorders>
              <w:top w:val="single" w:color="000000" w:sz="4" w:space="0"/>
              <w:left w:val="single" w:color="000000" w:sz="4" w:space="0"/>
              <w:bottom w:val="single" w:color="000000" w:sz="4" w:space="0"/>
              <w:right w:val="single" w:color="000000" w:sz="4" w:space="0"/>
            </w:tcBorders>
            <w:vAlign w:val="center"/>
          </w:tcPr>
          <w:p w14:paraId="2BA84880">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w:t>
            </w:r>
          </w:p>
        </w:tc>
      </w:tr>
      <w:tr w14:paraId="1F18D2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7" w:type="dxa"/>
          <w:trHeight w:val="415" w:hRule="atLeast"/>
          <w:jc w:val="center"/>
        </w:trPr>
        <w:tc>
          <w:tcPr>
            <w:tcW w:w="749" w:type="dxa"/>
            <w:tcBorders>
              <w:top w:val="single" w:color="000000" w:sz="4" w:space="0"/>
              <w:left w:val="single" w:color="000000" w:sz="4" w:space="0"/>
              <w:bottom w:val="single" w:color="000000" w:sz="4" w:space="0"/>
              <w:right w:val="single" w:color="000000" w:sz="4" w:space="0"/>
            </w:tcBorders>
            <w:vAlign w:val="center"/>
          </w:tcPr>
          <w:p w14:paraId="6F69B6FD">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3</w:t>
            </w:r>
          </w:p>
        </w:tc>
        <w:tc>
          <w:tcPr>
            <w:tcW w:w="1227" w:type="dxa"/>
            <w:tcBorders>
              <w:top w:val="single" w:color="000000" w:sz="4" w:space="0"/>
              <w:left w:val="single" w:color="000000" w:sz="4" w:space="0"/>
              <w:bottom w:val="single" w:color="000000" w:sz="4" w:space="0"/>
              <w:right w:val="single" w:color="000000" w:sz="4" w:space="0"/>
            </w:tcBorders>
            <w:vAlign w:val="center"/>
          </w:tcPr>
          <w:p w14:paraId="459DED23">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IP网络音响</w:t>
            </w:r>
          </w:p>
        </w:tc>
        <w:tc>
          <w:tcPr>
            <w:tcW w:w="6187" w:type="dxa"/>
            <w:gridSpan w:val="2"/>
            <w:tcBorders>
              <w:top w:val="single" w:color="000000" w:sz="4" w:space="0"/>
              <w:left w:val="single" w:color="000000" w:sz="4" w:space="0"/>
              <w:bottom w:val="single" w:color="000000" w:sz="4" w:space="0"/>
              <w:right w:val="single" w:color="000000" w:sz="4" w:space="0"/>
            </w:tcBorders>
            <w:vAlign w:val="center"/>
          </w:tcPr>
          <w:p w14:paraId="569F40D7">
            <w:pPr>
              <w:widowControl/>
              <w:numPr>
                <w:ilvl w:val="0"/>
                <w:numId w:val="373"/>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专业一体化壁挂式音箱设计，箱体符合声音共振原理设计理念；十分美观大方。</w:t>
            </w:r>
          </w:p>
          <w:p w14:paraId="36874BE0">
            <w:pPr>
              <w:widowControl/>
              <w:numPr>
                <w:ilvl w:val="0"/>
                <w:numId w:val="373"/>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设备采用嵌入式计算机技术和DSP音频处理技术设计。</w:t>
            </w:r>
          </w:p>
          <w:p w14:paraId="7F76AD0F">
            <w:pPr>
              <w:widowControl/>
              <w:numPr>
                <w:ilvl w:val="0"/>
                <w:numId w:val="373"/>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内置</w:t>
            </w:r>
            <w:r>
              <w:rPr>
                <w:rFonts w:hint="eastAsia" w:ascii="宋体" w:hAnsi="宋体"/>
                <w:color w:val="auto"/>
                <w:szCs w:val="21"/>
                <w:highlight w:val="none"/>
              </w:rPr>
              <w:t>≥</w:t>
            </w:r>
            <w:r>
              <w:rPr>
                <w:rFonts w:hint="eastAsia" w:ascii="宋体" w:hAnsi="宋体"/>
                <w:color w:val="auto"/>
                <w:kern w:val="0"/>
                <w:szCs w:val="21"/>
                <w:highlight w:val="none"/>
                <w:lang w:bidi="ar"/>
              </w:rPr>
              <w:t>1路网络硬件音频解码模块，支持TCP/IP、UDP，实现网络化传输16位CD音质的音频信号。</w:t>
            </w:r>
          </w:p>
          <w:p w14:paraId="06DA0CBE">
            <w:pPr>
              <w:widowControl/>
              <w:numPr>
                <w:ilvl w:val="0"/>
                <w:numId w:val="373"/>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内置</w:t>
            </w:r>
            <w:r>
              <w:rPr>
                <w:rFonts w:hint="eastAsia" w:ascii="宋体" w:hAnsi="宋体"/>
                <w:color w:val="auto"/>
                <w:szCs w:val="21"/>
                <w:highlight w:val="none"/>
              </w:rPr>
              <w:t>≥</w:t>
            </w:r>
            <w:r>
              <w:rPr>
                <w:rFonts w:hint="eastAsia" w:ascii="宋体" w:hAnsi="宋体"/>
                <w:color w:val="auto"/>
                <w:kern w:val="0"/>
                <w:szCs w:val="21"/>
                <w:highlight w:val="none"/>
                <w:lang w:bidi="ar"/>
              </w:rPr>
              <w:t>2 x 30W（MAX）的双通道数字功率放大器，一路接主音箱，一路外接到副音箱；音质非常细腻，功率强劲；具有网络音量设置。</w:t>
            </w:r>
          </w:p>
          <w:p w14:paraId="762784E6">
            <w:pPr>
              <w:widowControl/>
              <w:numPr>
                <w:ilvl w:val="0"/>
                <w:numId w:val="373"/>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具有各路音频输入独立的音量电位器控制，支持断网本地寻呼功能；同时支持缄默强度预置减少功能，支持背景伴奏预置功能。</w:t>
            </w:r>
          </w:p>
          <w:p w14:paraId="65226E61">
            <w:pPr>
              <w:widowControl/>
              <w:numPr>
                <w:ilvl w:val="0"/>
                <w:numId w:val="373"/>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兼容路由器、交换机、网桥网关、Modem、Internet、2G、3G、4G等任意网络结构。</w:t>
            </w:r>
          </w:p>
          <w:p w14:paraId="74F15EC5">
            <w:pPr>
              <w:widowControl/>
              <w:numPr>
                <w:ilvl w:val="0"/>
                <w:numId w:val="373"/>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数字化产品，扩容方便，不受地理位置限制，无需增加机房管理设备，采用共网免线路施工的设计理念，安装简便。</w:t>
            </w:r>
          </w:p>
          <w:p w14:paraId="6ACD9C1B">
            <w:pPr>
              <w:widowControl/>
              <w:numPr>
                <w:ilvl w:val="0"/>
                <w:numId w:val="373"/>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支持广播系统对终端进行远程固件升级，无需到终端本地升级，减轻维护人员工作强度;</w:t>
            </w:r>
          </w:p>
          <w:p w14:paraId="6CEAB16A">
            <w:pPr>
              <w:widowControl/>
              <w:numPr>
                <w:ilvl w:val="0"/>
                <w:numId w:val="373"/>
              </w:numPr>
              <w:jc w:val="left"/>
              <w:textAlignment w:val="center"/>
              <w:rPr>
                <w:rFonts w:hint="eastAsia" w:ascii="宋体" w:hAnsi="宋体"/>
                <w:color w:val="auto"/>
                <w:szCs w:val="21"/>
                <w:highlight w:val="none"/>
              </w:rPr>
            </w:pPr>
            <w:r>
              <w:rPr>
                <w:rFonts w:hint="eastAsia" w:ascii="宋体" w:hAnsi="宋体"/>
                <w:color w:val="auto"/>
                <w:szCs w:val="21"/>
                <w:highlight w:val="none"/>
              </w:rPr>
              <w:t>≥</w:t>
            </w:r>
            <w:r>
              <w:rPr>
                <w:rFonts w:hint="eastAsia" w:ascii="宋体" w:hAnsi="宋体"/>
                <w:color w:val="auto"/>
                <w:kern w:val="0"/>
                <w:szCs w:val="21"/>
                <w:highlight w:val="none"/>
                <w:lang w:bidi="ar"/>
              </w:rPr>
              <w:t>1路3.5本地音频输入接口，</w:t>
            </w:r>
            <w:r>
              <w:rPr>
                <w:rFonts w:hint="eastAsia" w:ascii="宋体" w:hAnsi="宋体"/>
                <w:color w:val="auto"/>
                <w:szCs w:val="21"/>
                <w:highlight w:val="none"/>
              </w:rPr>
              <w:t>≥</w:t>
            </w:r>
            <w:r>
              <w:rPr>
                <w:rFonts w:hint="eastAsia" w:ascii="宋体" w:hAnsi="宋体"/>
                <w:color w:val="auto"/>
                <w:kern w:val="0"/>
                <w:szCs w:val="21"/>
                <w:highlight w:val="none"/>
                <w:lang w:bidi="ar"/>
              </w:rPr>
              <w:t>1路本地3.5话筒接口，</w:t>
            </w:r>
            <w:r>
              <w:rPr>
                <w:rFonts w:hint="eastAsia" w:ascii="宋体" w:hAnsi="宋体"/>
                <w:color w:val="auto"/>
                <w:szCs w:val="21"/>
                <w:highlight w:val="none"/>
              </w:rPr>
              <w:t>≥</w:t>
            </w:r>
            <w:r>
              <w:rPr>
                <w:rFonts w:hint="eastAsia" w:ascii="宋体" w:hAnsi="宋体"/>
                <w:color w:val="auto"/>
                <w:kern w:val="0"/>
                <w:szCs w:val="21"/>
                <w:highlight w:val="none"/>
                <w:lang w:bidi="ar"/>
              </w:rPr>
              <w:t>1路3.5本地音频输出接口</w:t>
            </w:r>
          </w:p>
          <w:p w14:paraId="02A52839">
            <w:pPr>
              <w:widowControl/>
              <w:numPr>
                <w:ilvl w:val="0"/>
                <w:numId w:val="373"/>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具有2级音频优先级，网络音频跟话筒音频最优先</w:t>
            </w:r>
          </w:p>
          <w:p w14:paraId="1504B7CD">
            <w:pPr>
              <w:widowControl/>
              <w:numPr>
                <w:ilvl w:val="0"/>
                <w:numId w:val="373"/>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支持内置2.4G无线话筒授课</w:t>
            </w:r>
          </w:p>
          <w:p w14:paraId="710BE394">
            <w:pPr>
              <w:widowControl/>
              <w:numPr>
                <w:ilvl w:val="0"/>
                <w:numId w:val="373"/>
              </w:numPr>
              <w:jc w:val="left"/>
              <w:textAlignment w:val="center"/>
              <w:rPr>
                <w:rFonts w:hint="eastAsia" w:ascii="宋体" w:hAnsi="宋体"/>
                <w:color w:val="auto"/>
                <w:szCs w:val="21"/>
                <w:highlight w:val="none"/>
              </w:rPr>
            </w:pPr>
            <w:r>
              <w:rPr>
                <w:rFonts w:hint="eastAsia" w:ascii="宋体" w:hAnsi="宋体"/>
                <w:color w:val="auto"/>
                <w:szCs w:val="21"/>
                <w:highlight w:val="none"/>
              </w:rPr>
              <w:t>≥</w:t>
            </w:r>
            <w:r>
              <w:rPr>
                <w:rFonts w:hint="eastAsia" w:ascii="宋体" w:hAnsi="宋体"/>
                <w:color w:val="auto"/>
                <w:kern w:val="0"/>
                <w:szCs w:val="21"/>
                <w:highlight w:val="none"/>
                <w:lang w:bidi="ar"/>
              </w:rPr>
              <w:t>2路音量电位器独立调节</w:t>
            </w:r>
          </w:p>
          <w:p w14:paraId="702686C5">
            <w:pPr>
              <w:widowControl/>
              <w:numPr>
                <w:ilvl w:val="0"/>
                <w:numId w:val="373"/>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具有定压备份功能。</w:t>
            </w:r>
          </w:p>
        </w:tc>
        <w:tc>
          <w:tcPr>
            <w:tcW w:w="863" w:type="dxa"/>
            <w:gridSpan w:val="4"/>
            <w:tcBorders>
              <w:top w:val="single" w:color="000000" w:sz="4" w:space="0"/>
              <w:left w:val="single" w:color="000000" w:sz="4" w:space="0"/>
              <w:bottom w:val="single" w:color="000000" w:sz="4" w:space="0"/>
              <w:right w:val="single" w:color="000000" w:sz="4" w:space="0"/>
            </w:tcBorders>
            <w:vAlign w:val="center"/>
          </w:tcPr>
          <w:p w14:paraId="110D23E3">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只</w:t>
            </w:r>
          </w:p>
        </w:tc>
        <w:tc>
          <w:tcPr>
            <w:tcW w:w="925" w:type="dxa"/>
            <w:gridSpan w:val="3"/>
            <w:tcBorders>
              <w:top w:val="single" w:color="000000" w:sz="4" w:space="0"/>
              <w:left w:val="single" w:color="000000" w:sz="4" w:space="0"/>
              <w:bottom w:val="single" w:color="000000" w:sz="4" w:space="0"/>
              <w:right w:val="single" w:color="000000" w:sz="4" w:space="0"/>
            </w:tcBorders>
            <w:vAlign w:val="center"/>
          </w:tcPr>
          <w:p w14:paraId="402679BB">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60</w:t>
            </w:r>
          </w:p>
        </w:tc>
      </w:tr>
      <w:tr w14:paraId="59269A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7" w:type="dxa"/>
          <w:trHeight w:val="415" w:hRule="atLeast"/>
          <w:jc w:val="center"/>
        </w:trPr>
        <w:tc>
          <w:tcPr>
            <w:tcW w:w="749" w:type="dxa"/>
            <w:tcBorders>
              <w:top w:val="single" w:color="000000" w:sz="4" w:space="0"/>
              <w:left w:val="single" w:color="000000" w:sz="4" w:space="0"/>
              <w:bottom w:val="single" w:color="000000" w:sz="4" w:space="0"/>
              <w:right w:val="single" w:color="000000" w:sz="4" w:space="0"/>
            </w:tcBorders>
            <w:vAlign w:val="center"/>
          </w:tcPr>
          <w:p w14:paraId="1654255B">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4</w:t>
            </w:r>
          </w:p>
        </w:tc>
        <w:tc>
          <w:tcPr>
            <w:tcW w:w="1227" w:type="dxa"/>
            <w:tcBorders>
              <w:top w:val="single" w:color="000000" w:sz="4" w:space="0"/>
              <w:left w:val="single" w:color="000000" w:sz="4" w:space="0"/>
              <w:bottom w:val="single" w:color="000000" w:sz="4" w:space="0"/>
              <w:right w:val="single" w:color="000000" w:sz="4" w:space="0"/>
            </w:tcBorders>
            <w:vAlign w:val="center"/>
          </w:tcPr>
          <w:p w14:paraId="3529CB82">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IP网络副音响</w:t>
            </w:r>
          </w:p>
        </w:tc>
        <w:tc>
          <w:tcPr>
            <w:tcW w:w="6187" w:type="dxa"/>
            <w:gridSpan w:val="2"/>
            <w:tcBorders>
              <w:top w:val="single" w:color="000000" w:sz="4" w:space="0"/>
              <w:left w:val="single" w:color="000000" w:sz="4" w:space="0"/>
              <w:bottom w:val="single" w:color="000000" w:sz="4" w:space="0"/>
              <w:right w:val="single" w:color="000000" w:sz="4" w:space="0"/>
            </w:tcBorders>
            <w:vAlign w:val="center"/>
          </w:tcPr>
          <w:p w14:paraId="1F70FD97">
            <w:pPr>
              <w:widowControl/>
              <w:numPr>
                <w:ilvl w:val="0"/>
                <w:numId w:val="374"/>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颜色：黑色</w:t>
            </w:r>
          </w:p>
          <w:p w14:paraId="4CBD48A5">
            <w:pPr>
              <w:widowControl/>
              <w:numPr>
                <w:ilvl w:val="0"/>
                <w:numId w:val="374"/>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5.5寸单元+带高音；</w:t>
            </w:r>
          </w:p>
          <w:p w14:paraId="1498C407">
            <w:pPr>
              <w:widowControl/>
              <w:numPr>
                <w:ilvl w:val="0"/>
                <w:numId w:val="374"/>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功率：20-30W</w:t>
            </w:r>
          </w:p>
          <w:p w14:paraId="43A4EB1A">
            <w:pPr>
              <w:widowControl/>
              <w:numPr>
                <w:ilvl w:val="0"/>
                <w:numId w:val="374"/>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材料：精美木质</w:t>
            </w:r>
          </w:p>
          <w:p w14:paraId="28DC24E1">
            <w:pPr>
              <w:widowControl/>
              <w:numPr>
                <w:ilvl w:val="0"/>
                <w:numId w:val="374"/>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阻抗8Ω，定阻输入</w:t>
            </w:r>
          </w:p>
          <w:p w14:paraId="207F9CD0">
            <w:pPr>
              <w:widowControl/>
              <w:numPr>
                <w:ilvl w:val="0"/>
                <w:numId w:val="374"/>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频响：50Hz~16KHz</w:t>
            </w:r>
          </w:p>
          <w:p w14:paraId="5AAF9F91">
            <w:pPr>
              <w:widowControl/>
              <w:numPr>
                <w:ilvl w:val="0"/>
                <w:numId w:val="374"/>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灵敏度：≥91dB</w:t>
            </w:r>
          </w:p>
        </w:tc>
        <w:tc>
          <w:tcPr>
            <w:tcW w:w="863" w:type="dxa"/>
            <w:gridSpan w:val="4"/>
            <w:tcBorders>
              <w:top w:val="single" w:color="000000" w:sz="4" w:space="0"/>
              <w:left w:val="single" w:color="000000" w:sz="4" w:space="0"/>
              <w:bottom w:val="single" w:color="000000" w:sz="4" w:space="0"/>
              <w:right w:val="single" w:color="000000" w:sz="4" w:space="0"/>
            </w:tcBorders>
            <w:vAlign w:val="center"/>
          </w:tcPr>
          <w:p w14:paraId="1E896CDF">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只</w:t>
            </w:r>
          </w:p>
        </w:tc>
        <w:tc>
          <w:tcPr>
            <w:tcW w:w="925" w:type="dxa"/>
            <w:gridSpan w:val="3"/>
            <w:tcBorders>
              <w:top w:val="single" w:color="000000" w:sz="4" w:space="0"/>
              <w:left w:val="single" w:color="000000" w:sz="4" w:space="0"/>
              <w:bottom w:val="single" w:color="000000" w:sz="4" w:space="0"/>
              <w:right w:val="single" w:color="000000" w:sz="4" w:space="0"/>
            </w:tcBorders>
            <w:vAlign w:val="center"/>
          </w:tcPr>
          <w:p w14:paraId="19226FC5">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60</w:t>
            </w:r>
          </w:p>
        </w:tc>
      </w:tr>
      <w:tr w14:paraId="0C9202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7" w:type="dxa"/>
          <w:trHeight w:val="415" w:hRule="atLeast"/>
          <w:jc w:val="center"/>
        </w:trPr>
        <w:tc>
          <w:tcPr>
            <w:tcW w:w="749" w:type="dxa"/>
            <w:tcBorders>
              <w:top w:val="single" w:color="000000" w:sz="4" w:space="0"/>
              <w:left w:val="single" w:color="000000" w:sz="4" w:space="0"/>
              <w:bottom w:val="single" w:color="000000" w:sz="4" w:space="0"/>
              <w:right w:val="single" w:color="000000" w:sz="4" w:space="0"/>
            </w:tcBorders>
            <w:vAlign w:val="center"/>
          </w:tcPr>
          <w:p w14:paraId="38FC5AF8">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5</w:t>
            </w:r>
          </w:p>
        </w:tc>
        <w:tc>
          <w:tcPr>
            <w:tcW w:w="1227" w:type="dxa"/>
            <w:tcBorders>
              <w:top w:val="single" w:color="000000" w:sz="4" w:space="0"/>
              <w:left w:val="single" w:color="000000" w:sz="4" w:space="0"/>
              <w:bottom w:val="single" w:color="000000" w:sz="4" w:space="0"/>
              <w:right w:val="single" w:color="000000" w:sz="4" w:space="0"/>
            </w:tcBorders>
            <w:vAlign w:val="center"/>
          </w:tcPr>
          <w:p w14:paraId="443AA1A1">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16口网络交换机</w:t>
            </w:r>
          </w:p>
        </w:tc>
        <w:tc>
          <w:tcPr>
            <w:tcW w:w="6187" w:type="dxa"/>
            <w:gridSpan w:val="2"/>
            <w:tcBorders>
              <w:top w:val="single" w:color="000000" w:sz="4" w:space="0"/>
              <w:left w:val="single" w:color="000000" w:sz="4" w:space="0"/>
              <w:bottom w:val="single" w:color="000000" w:sz="4" w:space="0"/>
              <w:right w:val="single" w:color="000000" w:sz="4" w:space="0"/>
            </w:tcBorders>
            <w:vAlign w:val="center"/>
          </w:tcPr>
          <w:p w14:paraId="1857668C">
            <w:pPr>
              <w:widowControl/>
              <w:numPr>
                <w:ilvl w:val="0"/>
                <w:numId w:val="375"/>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16口交换机</w:t>
            </w:r>
          </w:p>
        </w:tc>
        <w:tc>
          <w:tcPr>
            <w:tcW w:w="863" w:type="dxa"/>
            <w:gridSpan w:val="4"/>
            <w:tcBorders>
              <w:top w:val="single" w:color="000000" w:sz="4" w:space="0"/>
              <w:left w:val="single" w:color="000000" w:sz="4" w:space="0"/>
              <w:bottom w:val="single" w:color="000000" w:sz="4" w:space="0"/>
              <w:right w:val="single" w:color="000000" w:sz="4" w:space="0"/>
            </w:tcBorders>
            <w:vAlign w:val="center"/>
          </w:tcPr>
          <w:p w14:paraId="6C05C027">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台</w:t>
            </w:r>
          </w:p>
        </w:tc>
        <w:tc>
          <w:tcPr>
            <w:tcW w:w="925" w:type="dxa"/>
            <w:gridSpan w:val="3"/>
            <w:tcBorders>
              <w:top w:val="single" w:color="000000" w:sz="4" w:space="0"/>
              <w:left w:val="single" w:color="000000" w:sz="4" w:space="0"/>
              <w:bottom w:val="single" w:color="000000" w:sz="4" w:space="0"/>
              <w:right w:val="single" w:color="000000" w:sz="4" w:space="0"/>
            </w:tcBorders>
            <w:vAlign w:val="center"/>
          </w:tcPr>
          <w:p w14:paraId="33A99A52">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5</w:t>
            </w:r>
          </w:p>
        </w:tc>
      </w:tr>
      <w:tr w14:paraId="09558D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7" w:type="dxa"/>
          <w:trHeight w:val="415" w:hRule="atLeast"/>
          <w:jc w:val="center"/>
        </w:trPr>
        <w:tc>
          <w:tcPr>
            <w:tcW w:w="749" w:type="dxa"/>
            <w:tcBorders>
              <w:top w:val="single" w:color="000000" w:sz="4" w:space="0"/>
              <w:left w:val="single" w:color="000000" w:sz="4" w:space="0"/>
              <w:bottom w:val="single" w:color="000000" w:sz="4" w:space="0"/>
              <w:right w:val="single" w:color="000000" w:sz="4" w:space="0"/>
            </w:tcBorders>
            <w:vAlign w:val="center"/>
          </w:tcPr>
          <w:p w14:paraId="5885F37E">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6</w:t>
            </w:r>
          </w:p>
        </w:tc>
        <w:tc>
          <w:tcPr>
            <w:tcW w:w="1227" w:type="dxa"/>
            <w:tcBorders>
              <w:top w:val="single" w:color="000000" w:sz="4" w:space="0"/>
              <w:left w:val="single" w:color="000000" w:sz="4" w:space="0"/>
              <w:bottom w:val="single" w:color="000000" w:sz="4" w:space="0"/>
              <w:right w:val="single" w:color="000000" w:sz="4" w:space="0"/>
            </w:tcBorders>
            <w:vAlign w:val="center"/>
          </w:tcPr>
          <w:p w14:paraId="25DAFC9F">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机柜</w:t>
            </w:r>
          </w:p>
        </w:tc>
        <w:tc>
          <w:tcPr>
            <w:tcW w:w="6187" w:type="dxa"/>
            <w:gridSpan w:val="2"/>
            <w:tcBorders>
              <w:top w:val="single" w:color="000000" w:sz="4" w:space="0"/>
              <w:left w:val="single" w:color="000000" w:sz="4" w:space="0"/>
              <w:bottom w:val="single" w:color="000000" w:sz="4" w:space="0"/>
              <w:right w:val="single" w:color="000000" w:sz="4" w:space="0"/>
            </w:tcBorders>
            <w:vAlign w:val="center"/>
          </w:tcPr>
          <w:p w14:paraId="5D1A1D0D">
            <w:pPr>
              <w:widowControl/>
              <w:numPr>
                <w:ilvl w:val="0"/>
                <w:numId w:val="376"/>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标准：19英寸国际标准</w:t>
            </w:r>
          </w:p>
          <w:p w14:paraId="4DD96BE4">
            <w:pPr>
              <w:widowControl/>
              <w:numPr>
                <w:ilvl w:val="0"/>
                <w:numId w:val="376"/>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 xml:space="preserve">门及门锁：前门：钢化玻璃前门，带锁；后门：全金属后门，带锁 </w:t>
            </w:r>
          </w:p>
          <w:p w14:paraId="290CE072">
            <w:pPr>
              <w:widowControl/>
              <w:numPr>
                <w:ilvl w:val="0"/>
                <w:numId w:val="376"/>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材料及工艺：钢化玻璃前门和金属后门</w:t>
            </w:r>
          </w:p>
          <w:p w14:paraId="6E0B4E5A">
            <w:pPr>
              <w:widowControl/>
              <w:numPr>
                <w:ilvl w:val="0"/>
                <w:numId w:val="376"/>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附加功能：侧板：速装卸侧板</w:t>
            </w:r>
          </w:p>
        </w:tc>
        <w:tc>
          <w:tcPr>
            <w:tcW w:w="863" w:type="dxa"/>
            <w:gridSpan w:val="4"/>
            <w:tcBorders>
              <w:top w:val="single" w:color="000000" w:sz="4" w:space="0"/>
              <w:left w:val="single" w:color="000000" w:sz="4" w:space="0"/>
              <w:bottom w:val="single" w:color="000000" w:sz="4" w:space="0"/>
              <w:right w:val="single" w:color="000000" w:sz="4" w:space="0"/>
            </w:tcBorders>
            <w:vAlign w:val="center"/>
          </w:tcPr>
          <w:p w14:paraId="42C9C3D6">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台</w:t>
            </w:r>
          </w:p>
        </w:tc>
        <w:tc>
          <w:tcPr>
            <w:tcW w:w="925" w:type="dxa"/>
            <w:gridSpan w:val="3"/>
            <w:tcBorders>
              <w:top w:val="single" w:color="000000" w:sz="4" w:space="0"/>
              <w:left w:val="single" w:color="000000" w:sz="4" w:space="0"/>
              <w:bottom w:val="single" w:color="000000" w:sz="4" w:space="0"/>
              <w:right w:val="single" w:color="000000" w:sz="4" w:space="0"/>
            </w:tcBorders>
            <w:vAlign w:val="center"/>
          </w:tcPr>
          <w:p w14:paraId="516ACD5F">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5</w:t>
            </w:r>
          </w:p>
        </w:tc>
      </w:tr>
      <w:tr w14:paraId="5A0F63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7" w:type="dxa"/>
          <w:trHeight w:val="415" w:hRule="atLeast"/>
          <w:jc w:val="center"/>
        </w:trPr>
        <w:tc>
          <w:tcPr>
            <w:tcW w:w="749" w:type="dxa"/>
            <w:tcBorders>
              <w:top w:val="single" w:color="000000" w:sz="4" w:space="0"/>
              <w:left w:val="single" w:color="000000" w:sz="4" w:space="0"/>
              <w:bottom w:val="single" w:color="000000" w:sz="4" w:space="0"/>
              <w:right w:val="single" w:color="000000" w:sz="4" w:space="0"/>
            </w:tcBorders>
            <w:vAlign w:val="center"/>
          </w:tcPr>
          <w:p w14:paraId="3215E51E">
            <w:pPr>
              <w:widowControl/>
              <w:textAlignment w:val="center"/>
              <w:rPr>
                <w:rFonts w:hint="eastAsia" w:ascii="宋体" w:hAnsi="宋体"/>
                <w:b/>
                <w:bCs/>
                <w:color w:val="auto"/>
                <w:szCs w:val="21"/>
                <w:highlight w:val="none"/>
              </w:rPr>
            </w:pPr>
            <w:r>
              <w:rPr>
                <w:rFonts w:hint="eastAsia" w:ascii="宋体" w:hAnsi="宋体"/>
                <w:b/>
                <w:bCs/>
                <w:color w:val="auto"/>
                <w:kern w:val="0"/>
                <w:szCs w:val="21"/>
                <w:highlight w:val="none"/>
                <w:lang w:bidi="ar"/>
              </w:rPr>
              <w:t>（三）</w:t>
            </w:r>
          </w:p>
        </w:tc>
        <w:tc>
          <w:tcPr>
            <w:tcW w:w="1227" w:type="dxa"/>
            <w:tcBorders>
              <w:top w:val="single" w:color="000000" w:sz="4" w:space="0"/>
              <w:left w:val="single" w:color="000000" w:sz="4" w:space="0"/>
              <w:bottom w:val="single" w:color="000000" w:sz="4" w:space="0"/>
              <w:right w:val="single" w:color="000000" w:sz="4" w:space="0"/>
            </w:tcBorders>
            <w:vAlign w:val="center"/>
          </w:tcPr>
          <w:p w14:paraId="0D038DB6">
            <w:pPr>
              <w:widowControl/>
              <w:jc w:val="center"/>
              <w:textAlignment w:val="center"/>
              <w:rPr>
                <w:rFonts w:hint="eastAsia" w:ascii="宋体" w:hAnsi="宋体"/>
                <w:b/>
                <w:bCs/>
                <w:color w:val="auto"/>
                <w:szCs w:val="21"/>
                <w:highlight w:val="none"/>
              </w:rPr>
            </w:pPr>
            <w:r>
              <w:rPr>
                <w:rFonts w:hint="eastAsia" w:ascii="宋体" w:hAnsi="宋体"/>
                <w:b/>
                <w:bCs/>
                <w:color w:val="auto"/>
                <w:kern w:val="0"/>
                <w:szCs w:val="21"/>
                <w:highlight w:val="none"/>
                <w:lang w:bidi="ar"/>
              </w:rPr>
              <w:t>2#行政楼</w:t>
            </w:r>
          </w:p>
        </w:tc>
        <w:tc>
          <w:tcPr>
            <w:tcW w:w="6187" w:type="dxa"/>
            <w:gridSpan w:val="2"/>
            <w:tcBorders>
              <w:top w:val="single" w:color="000000" w:sz="4" w:space="0"/>
              <w:left w:val="single" w:color="000000" w:sz="4" w:space="0"/>
              <w:bottom w:val="single" w:color="000000" w:sz="4" w:space="0"/>
              <w:right w:val="single" w:color="000000" w:sz="4" w:space="0"/>
            </w:tcBorders>
            <w:vAlign w:val="center"/>
          </w:tcPr>
          <w:p w14:paraId="5C60427A">
            <w:pPr>
              <w:jc w:val="left"/>
              <w:rPr>
                <w:rFonts w:hint="eastAsia" w:ascii="宋体" w:hAnsi="宋体"/>
                <w:b/>
                <w:bCs/>
                <w:color w:val="auto"/>
                <w:szCs w:val="21"/>
                <w:highlight w:val="none"/>
              </w:rPr>
            </w:pPr>
          </w:p>
        </w:tc>
        <w:tc>
          <w:tcPr>
            <w:tcW w:w="863" w:type="dxa"/>
            <w:gridSpan w:val="4"/>
            <w:tcBorders>
              <w:top w:val="single" w:color="000000" w:sz="4" w:space="0"/>
              <w:left w:val="single" w:color="000000" w:sz="4" w:space="0"/>
              <w:bottom w:val="single" w:color="000000" w:sz="4" w:space="0"/>
              <w:right w:val="single" w:color="000000" w:sz="4" w:space="0"/>
            </w:tcBorders>
            <w:vAlign w:val="center"/>
          </w:tcPr>
          <w:p w14:paraId="73E32778">
            <w:pPr>
              <w:jc w:val="center"/>
              <w:rPr>
                <w:rFonts w:hint="eastAsia" w:ascii="宋体" w:hAnsi="宋体"/>
                <w:b/>
                <w:bCs/>
                <w:color w:val="auto"/>
                <w:szCs w:val="21"/>
                <w:highlight w:val="none"/>
              </w:rPr>
            </w:pPr>
          </w:p>
        </w:tc>
        <w:tc>
          <w:tcPr>
            <w:tcW w:w="925" w:type="dxa"/>
            <w:gridSpan w:val="3"/>
            <w:tcBorders>
              <w:top w:val="single" w:color="000000" w:sz="4" w:space="0"/>
              <w:left w:val="single" w:color="000000" w:sz="4" w:space="0"/>
              <w:bottom w:val="single" w:color="000000" w:sz="4" w:space="0"/>
              <w:right w:val="single" w:color="000000" w:sz="4" w:space="0"/>
            </w:tcBorders>
            <w:vAlign w:val="center"/>
          </w:tcPr>
          <w:p w14:paraId="6C6E2F09">
            <w:pPr>
              <w:jc w:val="center"/>
              <w:rPr>
                <w:rFonts w:hint="eastAsia" w:ascii="宋体" w:hAnsi="宋体"/>
                <w:b/>
                <w:bCs/>
                <w:color w:val="auto"/>
                <w:szCs w:val="21"/>
                <w:highlight w:val="none"/>
              </w:rPr>
            </w:pPr>
          </w:p>
        </w:tc>
      </w:tr>
      <w:tr w14:paraId="709A20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7" w:type="dxa"/>
          <w:trHeight w:val="415" w:hRule="atLeast"/>
          <w:jc w:val="center"/>
        </w:trPr>
        <w:tc>
          <w:tcPr>
            <w:tcW w:w="749" w:type="dxa"/>
            <w:tcBorders>
              <w:top w:val="single" w:color="000000" w:sz="4" w:space="0"/>
              <w:left w:val="single" w:color="000000" w:sz="4" w:space="0"/>
              <w:bottom w:val="single" w:color="000000" w:sz="4" w:space="0"/>
              <w:right w:val="single" w:color="000000" w:sz="4" w:space="0"/>
            </w:tcBorders>
            <w:vAlign w:val="center"/>
          </w:tcPr>
          <w:p w14:paraId="1B6DFEF8">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c>
          <w:tcPr>
            <w:tcW w:w="1227" w:type="dxa"/>
            <w:tcBorders>
              <w:top w:val="single" w:color="000000" w:sz="4" w:space="0"/>
              <w:left w:val="single" w:color="000000" w:sz="4" w:space="0"/>
              <w:bottom w:val="single" w:color="000000" w:sz="4" w:space="0"/>
              <w:right w:val="single" w:color="000000" w:sz="4" w:space="0"/>
            </w:tcBorders>
            <w:vAlign w:val="center"/>
          </w:tcPr>
          <w:p w14:paraId="65DB1DA6">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音响</w:t>
            </w:r>
          </w:p>
        </w:tc>
        <w:tc>
          <w:tcPr>
            <w:tcW w:w="6187" w:type="dxa"/>
            <w:gridSpan w:val="2"/>
            <w:tcBorders>
              <w:top w:val="single" w:color="000000" w:sz="4" w:space="0"/>
              <w:left w:val="single" w:color="000000" w:sz="4" w:space="0"/>
              <w:bottom w:val="single" w:color="000000" w:sz="4" w:space="0"/>
              <w:right w:val="single" w:color="000000" w:sz="4" w:space="0"/>
            </w:tcBorders>
            <w:vAlign w:val="center"/>
          </w:tcPr>
          <w:p w14:paraId="220D53EE">
            <w:pPr>
              <w:widowControl/>
              <w:numPr>
                <w:ilvl w:val="0"/>
                <w:numId w:val="377"/>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 xml:space="preserve">功率：3-10W  </w:t>
            </w:r>
          </w:p>
          <w:p w14:paraId="74599724">
            <w:pPr>
              <w:widowControl/>
              <w:numPr>
                <w:ilvl w:val="0"/>
                <w:numId w:val="377"/>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喇叭单元:6.5寸+小高音 尺寸:260*185*120mm 颜色：纯白色</w:t>
            </w:r>
          </w:p>
          <w:p w14:paraId="2C083D6F">
            <w:pPr>
              <w:widowControl/>
              <w:numPr>
                <w:ilvl w:val="0"/>
                <w:numId w:val="377"/>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 xml:space="preserve">定压输入:70-100v  </w:t>
            </w:r>
          </w:p>
          <w:p w14:paraId="5329A0D1">
            <w:pPr>
              <w:widowControl/>
              <w:numPr>
                <w:ilvl w:val="0"/>
                <w:numId w:val="377"/>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 xml:space="preserve">灵敏度：91dB   </w:t>
            </w:r>
          </w:p>
          <w:p w14:paraId="7F0B556D">
            <w:pPr>
              <w:widowControl/>
              <w:numPr>
                <w:ilvl w:val="0"/>
                <w:numId w:val="377"/>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频率响应：90-16000Hz</w:t>
            </w:r>
          </w:p>
        </w:tc>
        <w:tc>
          <w:tcPr>
            <w:tcW w:w="863" w:type="dxa"/>
            <w:gridSpan w:val="4"/>
            <w:tcBorders>
              <w:top w:val="single" w:color="000000" w:sz="4" w:space="0"/>
              <w:left w:val="single" w:color="000000" w:sz="4" w:space="0"/>
              <w:bottom w:val="single" w:color="000000" w:sz="4" w:space="0"/>
              <w:right w:val="single" w:color="000000" w:sz="4" w:space="0"/>
            </w:tcBorders>
            <w:vAlign w:val="center"/>
          </w:tcPr>
          <w:p w14:paraId="70D93F30">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25" w:type="dxa"/>
            <w:gridSpan w:val="3"/>
            <w:tcBorders>
              <w:top w:val="single" w:color="000000" w:sz="4" w:space="0"/>
              <w:left w:val="single" w:color="000000" w:sz="4" w:space="0"/>
              <w:bottom w:val="single" w:color="000000" w:sz="4" w:space="0"/>
              <w:right w:val="single" w:color="000000" w:sz="4" w:space="0"/>
            </w:tcBorders>
            <w:vAlign w:val="center"/>
          </w:tcPr>
          <w:p w14:paraId="595A19BC">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53</w:t>
            </w:r>
          </w:p>
        </w:tc>
      </w:tr>
      <w:tr w14:paraId="601842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7" w:type="dxa"/>
          <w:trHeight w:val="415" w:hRule="atLeast"/>
          <w:jc w:val="center"/>
        </w:trPr>
        <w:tc>
          <w:tcPr>
            <w:tcW w:w="749" w:type="dxa"/>
            <w:tcBorders>
              <w:top w:val="single" w:color="000000" w:sz="4" w:space="0"/>
              <w:left w:val="single" w:color="000000" w:sz="4" w:space="0"/>
              <w:bottom w:val="single" w:color="000000" w:sz="4" w:space="0"/>
              <w:right w:val="single" w:color="000000" w:sz="4" w:space="0"/>
            </w:tcBorders>
            <w:vAlign w:val="center"/>
          </w:tcPr>
          <w:p w14:paraId="63DED613">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w:t>
            </w:r>
          </w:p>
        </w:tc>
        <w:tc>
          <w:tcPr>
            <w:tcW w:w="1227" w:type="dxa"/>
            <w:tcBorders>
              <w:top w:val="single" w:color="000000" w:sz="4" w:space="0"/>
              <w:left w:val="single" w:color="000000" w:sz="4" w:space="0"/>
              <w:bottom w:val="single" w:color="000000" w:sz="4" w:space="0"/>
              <w:right w:val="single" w:color="000000" w:sz="4" w:space="0"/>
            </w:tcBorders>
            <w:vAlign w:val="center"/>
          </w:tcPr>
          <w:p w14:paraId="76C77AA1">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IP网络定压功放</w:t>
            </w:r>
          </w:p>
        </w:tc>
        <w:tc>
          <w:tcPr>
            <w:tcW w:w="6187" w:type="dxa"/>
            <w:gridSpan w:val="2"/>
            <w:tcBorders>
              <w:top w:val="single" w:color="000000" w:sz="4" w:space="0"/>
              <w:left w:val="single" w:color="000000" w:sz="4" w:space="0"/>
              <w:bottom w:val="single" w:color="000000" w:sz="4" w:space="0"/>
              <w:right w:val="single" w:color="000000" w:sz="4" w:space="0"/>
            </w:tcBorders>
            <w:vAlign w:val="center"/>
          </w:tcPr>
          <w:p w14:paraId="5DB8699F">
            <w:pPr>
              <w:widowControl/>
              <w:numPr>
                <w:ilvl w:val="0"/>
                <w:numId w:val="378"/>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IP功放是一款基于TCP/IP传输协议的全数字化的模数转换信号处理器，由主控系统智能控制，可播放来自主控系统的背景节目、紧急寻呼、告警信号等</w:t>
            </w:r>
          </w:p>
          <w:p w14:paraId="06B8F1C6">
            <w:pPr>
              <w:widowControl/>
              <w:numPr>
                <w:ilvl w:val="0"/>
                <w:numId w:val="378"/>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100V, 70V定压输出和4～16Ω定阻（平衡，不接地）输出</w:t>
            </w:r>
          </w:p>
          <w:p w14:paraId="001FF9D2">
            <w:pPr>
              <w:widowControl/>
              <w:numPr>
                <w:ilvl w:val="0"/>
                <w:numId w:val="378"/>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六分区输出，每路分区可独立控制音量</w:t>
            </w:r>
          </w:p>
          <w:p w14:paraId="65BFAC4D">
            <w:pPr>
              <w:widowControl/>
              <w:numPr>
                <w:ilvl w:val="0"/>
                <w:numId w:val="378"/>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铝合金拉丝面板，配有MP3播放器并具有LCD显示屏功能，可实时知道当前播放状态。</w:t>
            </w:r>
          </w:p>
          <w:p w14:paraId="0541FCF7">
            <w:pPr>
              <w:widowControl/>
              <w:numPr>
                <w:ilvl w:val="0"/>
                <w:numId w:val="378"/>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采用工业级芯片全数字化设计，内置DSP音效处理芯片，语音传输指数高，具有高保真CD音质</w:t>
            </w:r>
          </w:p>
          <w:p w14:paraId="4F923C50">
            <w:pPr>
              <w:widowControl/>
              <w:numPr>
                <w:ilvl w:val="0"/>
                <w:numId w:val="378"/>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支持最大48kHz采样率16bit数字音频流解码</w:t>
            </w:r>
          </w:p>
          <w:p w14:paraId="3820A5D3">
            <w:pPr>
              <w:widowControl/>
              <w:numPr>
                <w:ilvl w:val="0"/>
                <w:numId w:val="378"/>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播放模式可以在单曲播放、单曲循环、顺序播放、循环播放、随机播放之间任音选择</w:t>
            </w:r>
          </w:p>
          <w:p w14:paraId="5786648C">
            <w:pPr>
              <w:widowControl/>
              <w:numPr>
                <w:ilvl w:val="0"/>
                <w:numId w:val="378"/>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具有</w:t>
            </w:r>
            <w:r>
              <w:rPr>
                <w:rFonts w:hint="eastAsia" w:ascii="宋体" w:hAnsi="宋体"/>
                <w:color w:val="auto"/>
                <w:szCs w:val="21"/>
                <w:highlight w:val="none"/>
              </w:rPr>
              <w:t>≥</w:t>
            </w:r>
            <w:r>
              <w:rPr>
                <w:rFonts w:hint="eastAsia" w:ascii="宋体" w:hAnsi="宋体"/>
                <w:color w:val="auto"/>
                <w:kern w:val="0"/>
                <w:szCs w:val="21"/>
                <w:highlight w:val="none"/>
                <w:lang w:bidi="ar"/>
              </w:rPr>
              <w:t>6路辅助音频输入、</w:t>
            </w:r>
            <w:r>
              <w:rPr>
                <w:rFonts w:hint="eastAsia" w:ascii="宋体" w:hAnsi="宋体"/>
                <w:color w:val="auto"/>
                <w:szCs w:val="21"/>
                <w:highlight w:val="none"/>
              </w:rPr>
              <w:t>≥</w:t>
            </w:r>
            <w:r>
              <w:rPr>
                <w:rFonts w:hint="eastAsia" w:ascii="宋体" w:hAnsi="宋体"/>
                <w:color w:val="auto"/>
                <w:kern w:val="0"/>
                <w:szCs w:val="21"/>
                <w:highlight w:val="none"/>
                <w:lang w:bidi="ar"/>
              </w:rPr>
              <w:t>2路辅助音频输出、</w:t>
            </w:r>
            <w:r>
              <w:rPr>
                <w:rFonts w:hint="eastAsia" w:ascii="宋体" w:hAnsi="宋体"/>
                <w:color w:val="auto"/>
                <w:szCs w:val="21"/>
                <w:highlight w:val="none"/>
              </w:rPr>
              <w:t>≥</w:t>
            </w:r>
            <w:r>
              <w:rPr>
                <w:rFonts w:hint="eastAsia" w:ascii="宋体" w:hAnsi="宋体"/>
                <w:color w:val="auto"/>
                <w:kern w:val="0"/>
                <w:szCs w:val="21"/>
                <w:highlight w:val="none"/>
                <w:lang w:bidi="ar"/>
              </w:rPr>
              <w:t>2路话筒输入(话筒1有优先级最高)</w:t>
            </w:r>
          </w:p>
          <w:p w14:paraId="59CC20FB">
            <w:pPr>
              <w:widowControl/>
              <w:numPr>
                <w:ilvl w:val="0"/>
                <w:numId w:val="378"/>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辅助音频输入、话筒输入带有默音调节电位器，默音电平量可调节</w:t>
            </w:r>
          </w:p>
          <w:p w14:paraId="071A1A06">
            <w:pPr>
              <w:widowControl/>
              <w:numPr>
                <w:ilvl w:val="0"/>
                <w:numId w:val="378"/>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工作状态、网络状态、电源状态、功放状态LED指示</w:t>
            </w:r>
          </w:p>
          <w:p w14:paraId="0F650DAF">
            <w:pPr>
              <w:widowControl/>
              <w:numPr>
                <w:ilvl w:val="0"/>
                <w:numId w:val="378"/>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内置看门狗功能，有效保障设备的正常运行</w:t>
            </w:r>
          </w:p>
          <w:p w14:paraId="32CA9A36">
            <w:pPr>
              <w:widowControl/>
              <w:numPr>
                <w:ilvl w:val="0"/>
                <w:numId w:val="378"/>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高可靠性设计寿命长，平均无故障时间(MTBF)&gt;10万小时</w:t>
            </w:r>
          </w:p>
          <w:p w14:paraId="218AE6D5">
            <w:pPr>
              <w:widowControl/>
              <w:numPr>
                <w:ilvl w:val="0"/>
                <w:numId w:val="378"/>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可脱机接受紧急寻呼,音量调节到80%</w:t>
            </w:r>
          </w:p>
          <w:p w14:paraId="68C62B5B">
            <w:pPr>
              <w:widowControl/>
              <w:numPr>
                <w:ilvl w:val="0"/>
                <w:numId w:val="378"/>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软件设置IP地址，支持TCP,UDP,4G，静态IP</w:t>
            </w:r>
          </w:p>
          <w:p w14:paraId="157A21D2">
            <w:pPr>
              <w:widowControl/>
              <w:numPr>
                <w:ilvl w:val="0"/>
                <w:numId w:val="378"/>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支持主备服务器切换功能,当主服务器出现故障时自动切换至备用服务器（可选）</w:t>
            </w:r>
          </w:p>
          <w:p w14:paraId="09702E03">
            <w:pPr>
              <w:widowControl/>
              <w:numPr>
                <w:ilvl w:val="0"/>
                <w:numId w:val="378"/>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后结四路接线柱式接头，对接香蕉头，快插式接入</w:t>
            </w:r>
          </w:p>
          <w:p w14:paraId="2FA1EFD3">
            <w:pPr>
              <w:widowControl/>
              <w:numPr>
                <w:ilvl w:val="0"/>
                <w:numId w:val="378"/>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内置热敏电阻及温控开关，开机静音，信号启动或升温50°后由8～12V供电，降噪风扇节能更环保</w:t>
            </w:r>
          </w:p>
          <w:p w14:paraId="727A371C">
            <w:pPr>
              <w:widowControl/>
              <w:numPr>
                <w:ilvl w:val="0"/>
                <w:numId w:val="378"/>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功放采用H类结构，稳定高效</w:t>
            </w:r>
          </w:p>
          <w:p w14:paraId="55A1159F">
            <w:pPr>
              <w:widowControl/>
              <w:numPr>
                <w:ilvl w:val="0"/>
                <w:numId w:val="378"/>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独立电源线插头，便于机柜式工程安装调试</w:t>
            </w:r>
          </w:p>
          <w:p w14:paraId="1FC756B2">
            <w:pPr>
              <w:widowControl/>
              <w:numPr>
                <w:ilvl w:val="0"/>
                <w:numId w:val="378"/>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功放配备备用保险丝</w:t>
            </w:r>
          </w:p>
          <w:p w14:paraId="3D55ADA7">
            <w:pPr>
              <w:widowControl/>
              <w:numPr>
                <w:ilvl w:val="0"/>
                <w:numId w:val="378"/>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具有蓝牙、FM调频、SD卡输入功能</w:t>
            </w:r>
          </w:p>
          <w:p w14:paraId="1AF3A1FB">
            <w:pPr>
              <w:widowControl/>
              <w:numPr>
                <w:ilvl w:val="0"/>
                <w:numId w:val="378"/>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两路话筒输入，MIC1具有优先默音功能链接消防报警信号一键切入，两路MIC音量独控旋钮</w:t>
            </w:r>
          </w:p>
          <w:p w14:paraId="0F99EA83">
            <w:pPr>
              <w:widowControl/>
              <w:numPr>
                <w:ilvl w:val="0"/>
                <w:numId w:val="378"/>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功放24小时处于关机状态，接收任务执行自动触发开启，任务执行后自动关机，高效节能环保</w:t>
            </w:r>
          </w:p>
          <w:p w14:paraId="1EC64C47">
            <w:pPr>
              <w:widowControl/>
              <w:numPr>
                <w:ilvl w:val="0"/>
                <w:numId w:val="378"/>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网络接口：标准RJ45输入</w:t>
            </w:r>
          </w:p>
          <w:p w14:paraId="38690B79">
            <w:pPr>
              <w:widowControl/>
              <w:numPr>
                <w:ilvl w:val="0"/>
                <w:numId w:val="378"/>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支持协议：TCP/IP、UDP、IGMP、4G，静态IP</w:t>
            </w:r>
          </w:p>
          <w:p w14:paraId="30E9E5F8">
            <w:pPr>
              <w:widowControl/>
              <w:numPr>
                <w:ilvl w:val="0"/>
                <w:numId w:val="378"/>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传输速率：</w:t>
            </w:r>
            <w:r>
              <w:rPr>
                <w:rFonts w:hint="eastAsia" w:ascii="宋体" w:hAnsi="宋体"/>
                <w:color w:val="auto"/>
                <w:szCs w:val="21"/>
                <w:highlight w:val="none"/>
              </w:rPr>
              <w:t>≥</w:t>
            </w:r>
            <w:r>
              <w:rPr>
                <w:rFonts w:hint="eastAsia" w:ascii="宋体" w:hAnsi="宋体"/>
                <w:color w:val="auto"/>
                <w:kern w:val="0"/>
                <w:szCs w:val="21"/>
                <w:highlight w:val="none"/>
                <w:lang w:bidi="ar"/>
              </w:rPr>
              <w:t>100Mbps</w:t>
            </w:r>
          </w:p>
          <w:p w14:paraId="182819BD">
            <w:pPr>
              <w:widowControl/>
              <w:numPr>
                <w:ilvl w:val="0"/>
                <w:numId w:val="378"/>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功率：</w:t>
            </w:r>
            <w:r>
              <w:rPr>
                <w:rFonts w:hint="eastAsia" w:ascii="宋体" w:hAnsi="宋体"/>
                <w:color w:val="auto"/>
                <w:szCs w:val="21"/>
                <w:highlight w:val="none"/>
              </w:rPr>
              <w:t>≥</w:t>
            </w:r>
            <w:r>
              <w:rPr>
                <w:rFonts w:hint="eastAsia" w:ascii="宋体" w:hAnsi="宋体"/>
                <w:color w:val="auto"/>
                <w:kern w:val="0"/>
                <w:szCs w:val="21"/>
                <w:highlight w:val="none"/>
                <w:lang w:bidi="ar"/>
              </w:rPr>
              <w:t>800W</w:t>
            </w:r>
          </w:p>
        </w:tc>
        <w:tc>
          <w:tcPr>
            <w:tcW w:w="863" w:type="dxa"/>
            <w:gridSpan w:val="4"/>
            <w:tcBorders>
              <w:top w:val="single" w:color="000000" w:sz="4" w:space="0"/>
              <w:left w:val="single" w:color="000000" w:sz="4" w:space="0"/>
              <w:bottom w:val="single" w:color="000000" w:sz="4" w:space="0"/>
              <w:right w:val="single" w:color="000000" w:sz="4" w:space="0"/>
            </w:tcBorders>
            <w:vAlign w:val="center"/>
          </w:tcPr>
          <w:p w14:paraId="55701571">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台</w:t>
            </w:r>
          </w:p>
        </w:tc>
        <w:tc>
          <w:tcPr>
            <w:tcW w:w="925" w:type="dxa"/>
            <w:gridSpan w:val="3"/>
            <w:tcBorders>
              <w:top w:val="single" w:color="000000" w:sz="4" w:space="0"/>
              <w:left w:val="single" w:color="000000" w:sz="4" w:space="0"/>
              <w:bottom w:val="single" w:color="000000" w:sz="4" w:space="0"/>
              <w:right w:val="single" w:color="000000" w:sz="4" w:space="0"/>
            </w:tcBorders>
            <w:vAlign w:val="center"/>
          </w:tcPr>
          <w:p w14:paraId="47F36937">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310824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7" w:type="dxa"/>
          <w:trHeight w:val="415" w:hRule="atLeast"/>
          <w:jc w:val="center"/>
        </w:trPr>
        <w:tc>
          <w:tcPr>
            <w:tcW w:w="749" w:type="dxa"/>
            <w:tcBorders>
              <w:top w:val="single" w:color="000000" w:sz="4" w:space="0"/>
              <w:left w:val="single" w:color="000000" w:sz="4" w:space="0"/>
              <w:bottom w:val="single" w:color="000000" w:sz="4" w:space="0"/>
              <w:right w:val="single" w:color="000000" w:sz="4" w:space="0"/>
            </w:tcBorders>
            <w:vAlign w:val="center"/>
          </w:tcPr>
          <w:p w14:paraId="1DC24BE0">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3</w:t>
            </w:r>
          </w:p>
        </w:tc>
        <w:tc>
          <w:tcPr>
            <w:tcW w:w="1227" w:type="dxa"/>
            <w:tcBorders>
              <w:top w:val="single" w:color="000000" w:sz="4" w:space="0"/>
              <w:left w:val="single" w:color="000000" w:sz="4" w:space="0"/>
              <w:bottom w:val="single" w:color="000000" w:sz="4" w:space="0"/>
              <w:right w:val="single" w:color="000000" w:sz="4" w:space="0"/>
            </w:tcBorders>
            <w:vAlign w:val="center"/>
          </w:tcPr>
          <w:p w14:paraId="41E59B3B">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8口交换机</w:t>
            </w:r>
          </w:p>
        </w:tc>
        <w:tc>
          <w:tcPr>
            <w:tcW w:w="6187" w:type="dxa"/>
            <w:gridSpan w:val="2"/>
            <w:tcBorders>
              <w:top w:val="single" w:color="000000" w:sz="4" w:space="0"/>
              <w:left w:val="single" w:color="000000" w:sz="4" w:space="0"/>
              <w:bottom w:val="single" w:color="000000" w:sz="4" w:space="0"/>
              <w:right w:val="single" w:color="000000" w:sz="4" w:space="0"/>
            </w:tcBorders>
            <w:vAlign w:val="center"/>
          </w:tcPr>
          <w:p w14:paraId="2080EB85">
            <w:pPr>
              <w:widowControl/>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8口交换机</w:t>
            </w:r>
          </w:p>
        </w:tc>
        <w:tc>
          <w:tcPr>
            <w:tcW w:w="863" w:type="dxa"/>
            <w:gridSpan w:val="4"/>
            <w:tcBorders>
              <w:top w:val="single" w:color="000000" w:sz="4" w:space="0"/>
              <w:left w:val="single" w:color="000000" w:sz="4" w:space="0"/>
              <w:bottom w:val="single" w:color="000000" w:sz="4" w:space="0"/>
              <w:right w:val="single" w:color="000000" w:sz="4" w:space="0"/>
            </w:tcBorders>
            <w:vAlign w:val="center"/>
          </w:tcPr>
          <w:p w14:paraId="0CD812EE">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台</w:t>
            </w:r>
          </w:p>
        </w:tc>
        <w:tc>
          <w:tcPr>
            <w:tcW w:w="925" w:type="dxa"/>
            <w:gridSpan w:val="3"/>
            <w:tcBorders>
              <w:top w:val="single" w:color="000000" w:sz="4" w:space="0"/>
              <w:left w:val="single" w:color="000000" w:sz="4" w:space="0"/>
              <w:bottom w:val="single" w:color="000000" w:sz="4" w:space="0"/>
              <w:right w:val="single" w:color="000000" w:sz="4" w:space="0"/>
            </w:tcBorders>
            <w:vAlign w:val="center"/>
          </w:tcPr>
          <w:p w14:paraId="585ADE1F">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102DBA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7" w:type="dxa"/>
          <w:trHeight w:val="415" w:hRule="atLeast"/>
          <w:jc w:val="center"/>
        </w:trPr>
        <w:tc>
          <w:tcPr>
            <w:tcW w:w="749" w:type="dxa"/>
            <w:tcBorders>
              <w:top w:val="single" w:color="000000" w:sz="4" w:space="0"/>
              <w:left w:val="single" w:color="000000" w:sz="4" w:space="0"/>
              <w:bottom w:val="single" w:color="000000" w:sz="4" w:space="0"/>
              <w:right w:val="single" w:color="000000" w:sz="4" w:space="0"/>
            </w:tcBorders>
            <w:vAlign w:val="center"/>
          </w:tcPr>
          <w:p w14:paraId="2078A8A3">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4</w:t>
            </w:r>
          </w:p>
        </w:tc>
        <w:tc>
          <w:tcPr>
            <w:tcW w:w="1227" w:type="dxa"/>
            <w:tcBorders>
              <w:top w:val="single" w:color="000000" w:sz="4" w:space="0"/>
              <w:left w:val="single" w:color="000000" w:sz="4" w:space="0"/>
              <w:bottom w:val="single" w:color="000000" w:sz="4" w:space="0"/>
              <w:right w:val="single" w:color="000000" w:sz="4" w:space="0"/>
            </w:tcBorders>
            <w:vAlign w:val="center"/>
          </w:tcPr>
          <w:p w14:paraId="4FEA38B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机柜</w:t>
            </w:r>
          </w:p>
        </w:tc>
        <w:tc>
          <w:tcPr>
            <w:tcW w:w="6187" w:type="dxa"/>
            <w:gridSpan w:val="2"/>
            <w:tcBorders>
              <w:top w:val="single" w:color="000000" w:sz="4" w:space="0"/>
              <w:left w:val="single" w:color="000000" w:sz="4" w:space="0"/>
              <w:bottom w:val="single" w:color="000000" w:sz="4" w:space="0"/>
              <w:right w:val="single" w:color="000000" w:sz="4" w:space="0"/>
            </w:tcBorders>
            <w:vAlign w:val="center"/>
          </w:tcPr>
          <w:p w14:paraId="678F044B">
            <w:pPr>
              <w:widowControl/>
              <w:numPr>
                <w:ilvl w:val="0"/>
                <w:numId w:val="379"/>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标准：19英寸国际标准</w:t>
            </w:r>
          </w:p>
          <w:p w14:paraId="74A4B172">
            <w:pPr>
              <w:widowControl/>
              <w:numPr>
                <w:ilvl w:val="0"/>
                <w:numId w:val="379"/>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 xml:space="preserve">门及门锁：前门：钢化玻璃前门，带锁；后门：全金属后门，带锁  </w:t>
            </w:r>
          </w:p>
          <w:p w14:paraId="6D385A72">
            <w:pPr>
              <w:widowControl/>
              <w:numPr>
                <w:ilvl w:val="0"/>
                <w:numId w:val="379"/>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材料及工艺：钢化玻璃前门和金属后门</w:t>
            </w:r>
          </w:p>
          <w:p w14:paraId="25F2C752">
            <w:pPr>
              <w:widowControl/>
              <w:numPr>
                <w:ilvl w:val="0"/>
                <w:numId w:val="379"/>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附加功能：侧板：速装卸侧板</w:t>
            </w:r>
          </w:p>
        </w:tc>
        <w:tc>
          <w:tcPr>
            <w:tcW w:w="863" w:type="dxa"/>
            <w:gridSpan w:val="4"/>
            <w:tcBorders>
              <w:top w:val="single" w:color="000000" w:sz="4" w:space="0"/>
              <w:left w:val="single" w:color="000000" w:sz="4" w:space="0"/>
              <w:bottom w:val="single" w:color="000000" w:sz="4" w:space="0"/>
              <w:right w:val="single" w:color="000000" w:sz="4" w:space="0"/>
            </w:tcBorders>
            <w:vAlign w:val="center"/>
          </w:tcPr>
          <w:p w14:paraId="6DD54AA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台</w:t>
            </w:r>
          </w:p>
        </w:tc>
        <w:tc>
          <w:tcPr>
            <w:tcW w:w="925" w:type="dxa"/>
            <w:gridSpan w:val="3"/>
            <w:tcBorders>
              <w:top w:val="single" w:color="000000" w:sz="4" w:space="0"/>
              <w:left w:val="single" w:color="000000" w:sz="4" w:space="0"/>
              <w:bottom w:val="single" w:color="000000" w:sz="4" w:space="0"/>
              <w:right w:val="single" w:color="000000" w:sz="4" w:space="0"/>
            </w:tcBorders>
            <w:vAlign w:val="center"/>
          </w:tcPr>
          <w:p w14:paraId="2A9E263D">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5390D1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7" w:type="dxa"/>
          <w:trHeight w:val="415" w:hRule="atLeast"/>
          <w:jc w:val="center"/>
        </w:trPr>
        <w:tc>
          <w:tcPr>
            <w:tcW w:w="749" w:type="dxa"/>
            <w:tcBorders>
              <w:top w:val="single" w:color="000000" w:sz="4" w:space="0"/>
              <w:left w:val="single" w:color="000000" w:sz="4" w:space="0"/>
              <w:bottom w:val="single" w:color="000000" w:sz="4" w:space="0"/>
              <w:right w:val="single" w:color="000000" w:sz="4" w:space="0"/>
            </w:tcBorders>
            <w:vAlign w:val="center"/>
          </w:tcPr>
          <w:p w14:paraId="45688B28">
            <w:pPr>
              <w:widowControl/>
              <w:textAlignment w:val="center"/>
              <w:rPr>
                <w:rFonts w:hint="eastAsia" w:ascii="宋体" w:hAnsi="宋体"/>
                <w:b/>
                <w:bCs/>
                <w:color w:val="auto"/>
                <w:szCs w:val="21"/>
                <w:highlight w:val="none"/>
              </w:rPr>
            </w:pPr>
            <w:r>
              <w:rPr>
                <w:rFonts w:hint="eastAsia" w:ascii="宋体" w:hAnsi="宋体"/>
                <w:b/>
                <w:bCs/>
                <w:color w:val="auto"/>
                <w:kern w:val="0"/>
                <w:szCs w:val="21"/>
                <w:highlight w:val="none"/>
                <w:lang w:bidi="ar"/>
              </w:rPr>
              <w:t>（四）</w:t>
            </w:r>
          </w:p>
        </w:tc>
        <w:tc>
          <w:tcPr>
            <w:tcW w:w="1227" w:type="dxa"/>
            <w:tcBorders>
              <w:top w:val="single" w:color="000000" w:sz="4" w:space="0"/>
              <w:left w:val="single" w:color="000000" w:sz="4" w:space="0"/>
              <w:bottom w:val="single" w:color="000000" w:sz="4" w:space="0"/>
              <w:right w:val="single" w:color="000000" w:sz="4" w:space="0"/>
            </w:tcBorders>
            <w:vAlign w:val="center"/>
          </w:tcPr>
          <w:p w14:paraId="56AF69CD">
            <w:pPr>
              <w:widowControl/>
              <w:jc w:val="center"/>
              <w:textAlignment w:val="center"/>
              <w:rPr>
                <w:rFonts w:hint="eastAsia" w:ascii="宋体" w:hAnsi="宋体"/>
                <w:b/>
                <w:bCs/>
                <w:color w:val="auto"/>
                <w:szCs w:val="21"/>
                <w:highlight w:val="none"/>
              </w:rPr>
            </w:pPr>
            <w:r>
              <w:rPr>
                <w:rFonts w:hint="eastAsia" w:ascii="宋体" w:hAnsi="宋体"/>
                <w:b/>
                <w:bCs/>
                <w:color w:val="auto"/>
                <w:kern w:val="0"/>
                <w:szCs w:val="21"/>
                <w:highlight w:val="none"/>
                <w:lang w:bidi="ar"/>
              </w:rPr>
              <w:t>3#教学楼</w:t>
            </w:r>
          </w:p>
        </w:tc>
        <w:tc>
          <w:tcPr>
            <w:tcW w:w="6187" w:type="dxa"/>
            <w:gridSpan w:val="2"/>
            <w:tcBorders>
              <w:top w:val="single" w:color="000000" w:sz="4" w:space="0"/>
              <w:left w:val="single" w:color="000000" w:sz="4" w:space="0"/>
              <w:bottom w:val="single" w:color="000000" w:sz="4" w:space="0"/>
              <w:right w:val="single" w:color="000000" w:sz="4" w:space="0"/>
            </w:tcBorders>
            <w:vAlign w:val="center"/>
          </w:tcPr>
          <w:p w14:paraId="227AC95F">
            <w:pPr>
              <w:jc w:val="left"/>
              <w:rPr>
                <w:rFonts w:hint="eastAsia" w:ascii="宋体" w:hAnsi="宋体"/>
                <w:b/>
                <w:bCs/>
                <w:color w:val="auto"/>
                <w:szCs w:val="21"/>
                <w:highlight w:val="none"/>
              </w:rPr>
            </w:pPr>
          </w:p>
        </w:tc>
        <w:tc>
          <w:tcPr>
            <w:tcW w:w="863" w:type="dxa"/>
            <w:gridSpan w:val="4"/>
            <w:tcBorders>
              <w:top w:val="single" w:color="000000" w:sz="4" w:space="0"/>
              <w:left w:val="single" w:color="000000" w:sz="4" w:space="0"/>
              <w:bottom w:val="single" w:color="000000" w:sz="4" w:space="0"/>
              <w:right w:val="single" w:color="000000" w:sz="4" w:space="0"/>
            </w:tcBorders>
            <w:vAlign w:val="center"/>
          </w:tcPr>
          <w:p w14:paraId="5B8C0A91">
            <w:pPr>
              <w:jc w:val="center"/>
              <w:rPr>
                <w:rFonts w:hint="eastAsia" w:ascii="宋体" w:hAnsi="宋体"/>
                <w:b/>
                <w:bCs/>
                <w:color w:val="auto"/>
                <w:szCs w:val="21"/>
                <w:highlight w:val="none"/>
              </w:rPr>
            </w:pPr>
          </w:p>
        </w:tc>
        <w:tc>
          <w:tcPr>
            <w:tcW w:w="925" w:type="dxa"/>
            <w:gridSpan w:val="3"/>
            <w:tcBorders>
              <w:top w:val="single" w:color="000000" w:sz="4" w:space="0"/>
              <w:left w:val="single" w:color="000000" w:sz="4" w:space="0"/>
              <w:bottom w:val="single" w:color="000000" w:sz="4" w:space="0"/>
              <w:right w:val="single" w:color="000000" w:sz="4" w:space="0"/>
            </w:tcBorders>
            <w:vAlign w:val="center"/>
          </w:tcPr>
          <w:p w14:paraId="267E3A57">
            <w:pPr>
              <w:jc w:val="center"/>
              <w:rPr>
                <w:rFonts w:hint="eastAsia" w:ascii="宋体" w:hAnsi="宋体"/>
                <w:b/>
                <w:bCs/>
                <w:color w:val="auto"/>
                <w:szCs w:val="21"/>
                <w:highlight w:val="none"/>
              </w:rPr>
            </w:pPr>
          </w:p>
        </w:tc>
      </w:tr>
      <w:tr w14:paraId="2F831B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7" w:type="dxa"/>
          <w:trHeight w:val="415" w:hRule="atLeast"/>
          <w:jc w:val="center"/>
        </w:trPr>
        <w:tc>
          <w:tcPr>
            <w:tcW w:w="749" w:type="dxa"/>
            <w:tcBorders>
              <w:top w:val="single" w:color="000000" w:sz="4" w:space="0"/>
              <w:left w:val="single" w:color="000000" w:sz="4" w:space="0"/>
              <w:bottom w:val="single" w:color="000000" w:sz="4" w:space="0"/>
              <w:right w:val="single" w:color="000000" w:sz="4" w:space="0"/>
            </w:tcBorders>
            <w:vAlign w:val="center"/>
          </w:tcPr>
          <w:p w14:paraId="75AFE6EF">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c>
          <w:tcPr>
            <w:tcW w:w="1227" w:type="dxa"/>
            <w:tcBorders>
              <w:top w:val="single" w:color="000000" w:sz="4" w:space="0"/>
              <w:left w:val="single" w:color="000000" w:sz="4" w:space="0"/>
              <w:bottom w:val="single" w:color="000000" w:sz="4" w:space="0"/>
              <w:right w:val="single" w:color="000000" w:sz="4" w:space="0"/>
            </w:tcBorders>
            <w:vAlign w:val="center"/>
          </w:tcPr>
          <w:p w14:paraId="783B6684">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音响</w:t>
            </w:r>
          </w:p>
        </w:tc>
        <w:tc>
          <w:tcPr>
            <w:tcW w:w="6187" w:type="dxa"/>
            <w:gridSpan w:val="2"/>
            <w:tcBorders>
              <w:top w:val="single" w:color="000000" w:sz="4" w:space="0"/>
              <w:left w:val="single" w:color="000000" w:sz="4" w:space="0"/>
              <w:bottom w:val="single" w:color="000000" w:sz="4" w:space="0"/>
              <w:right w:val="single" w:color="000000" w:sz="4" w:space="0"/>
            </w:tcBorders>
            <w:vAlign w:val="center"/>
          </w:tcPr>
          <w:p w14:paraId="19D8D45C">
            <w:pPr>
              <w:widowControl/>
              <w:numPr>
                <w:ilvl w:val="0"/>
                <w:numId w:val="380"/>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 xml:space="preserve">功率：3-10W  </w:t>
            </w:r>
          </w:p>
          <w:p w14:paraId="2E579162">
            <w:pPr>
              <w:widowControl/>
              <w:numPr>
                <w:ilvl w:val="0"/>
                <w:numId w:val="380"/>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喇叭单元:6.5寸+小高音 尺寸:260*185*120mm 颜色：纯白色</w:t>
            </w:r>
          </w:p>
          <w:p w14:paraId="70712CC6">
            <w:pPr>
              <w:widowControl/>
              <w:numPr>
                <w:ilvl w:val="0"/>
                <w:numId w:val="380"/>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 xml:space="preserve">定压输入:70-100v  灵敏度：91dB  </w:t>
            </w:r>
          </w:p>
          <w:p w14:paraId="40CF8F68">
            <w:pPr>
              <w:widowControl/>
              <w:numPr>
                <w:ilvl w:val="0"/>
                <w:numId w:val="380"/>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频率响应：90-16000Hz</w:t>
            </w:r>
          </w:p>
        </w:tc>
        <w:tc>
          <w:tcPr>
            <w:tcW w:w="863" w:type="dxa"/>
            <w:gridSpan w:val="4"/>
            <w:tcBorders>
              <w:top w:val="single" w:color="000000" w:sz="4" w:space="0"/>
              <w:left w:val="single" w:color="000000" w:sz="4" w:space="0"/>
              <w:bottom w:val="single" w:color="000000" w:sz="4" w:space="0"/>
              <w:right w:val="single" w:color="000000" w:sz="4" w:space="0"/>
            </w:tcBorders>
            <w:vAlign w:val="center"/>
          </w:tcPr>
          <w:p w14:paraId="75BD5CC6">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25" w:type="dxa"/>
            <w:gridSpan w:val="3"/>
            <w:tcBorders>
              <w:top w:val="single" w:color="000000" w:sz="4" w:space="0"/>
              <w:left w:val="single" w:color="000000" w:sz="4" w:space="0"/>
              <w:bottom w:val="single" w:color="000000" w:sz="4" w:space="0"/>
              <w:right w:val="single" w:color="000000" w:sz="4" w:space="0"/>
            </w:tcBorders>
            <w:vAlign w:val="center"/>
          </w:tcPr>
          <w:p w14:paraId="7C9D0985">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44</w:t>
            </w:r>
          </w:p>
        </w:tc>
      </w:tr>
      <w:tr w14:paraId="680BF8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7" w:type="dxa"/>
          <w:trHeight w:val="415" w:hRule="atLeast"/>
          <w:jc w:val="center"/>
        </w:trPr>
        <w:tc>
          <w:tcPr>
            <w:tcW w:w="749" w:type="dxa"/>
            <w:tcBorders>
              <w:top w:val="single" w:color="000000" w:sz="4" w:space="0"/>
              <w:left w:val="single" w:color="000000" w:sz="4" w:space="0"/>
              <w:bottom w:val="single" w:color="000000" w:sz="4" w:space="0"/>
              <w:right w:val="single" w:color="000000" w:sz="4" w:space="0"/>
            </w:tcBorders>
            <w:vAlign w:val="center"/>
          </w:tcPr>
          <w:p w14:paraId="53B8F0F7">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w:t>
            </w:r>
          </w:p>
        </w:tc>
        <w:tc>
          <w:tcPr>
            <w:tcW w:w="1227" w:type="dxa"/>
            <w:tcBorders>
              <w:top w:val="single" w:color="000000" w:sz="4" w:space="0"/>
              <w:left w:val="single" w:color="000000" w:sz="4" w:space="0"/>
              <w:bottom w:val="single" w:color="000000" w:sz="4" w:space="0"/>
              <w:right w:val="single" w:color="000000" w:sz="4" w:space="0"/>
            </w:tcBorders>
            <w:vAlign w:val="center"/>
          </w:tcPr>
          <w:p w14:paraId="79010C98">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IP网络定压功放</w:t>
            </w:r>
          </w:p>
        </w:tc>
        <w:tc>
          <w:tcPr>
            <w:tcW w:w="6187" w:type="dxa"/>
            <w:gridSpan w:val="2"/>
            <w:tcBorders>
              <w:top w:val="single" w:color="000000" w:sz="4" w:space="0"/>
              <w:left w:val="single" w:color="000000" w:sz="4" w:space="0"/>
              <w:bottom w:val="single" w:color="000000" w:sz="4" w:space="0"/>
              <w:right w:val="single" w:color="000000" w:sz="4" w:space="0"/>
            </w:tcBorders>
            <w:vAlign w:val="center"/>
          </w:tcPr>
          <w:p w14:paraId="384D0D65">
            <w:pPr>
              <w:widowControl/>
              <w:numPr>
                <w:ilvl w:val="0"/>
                <w:numId w:val="381"/>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IP功放是一款基于TCP/IP传输协议的全数字化的模数转换信号处理器，由主控系统智能控制，可播放来自主控系统的背景节目、紧急寻呼、告警信号等</w:t>
            </w:r>
          </w:p>
          <w:p w14:paraId="7F079E00">
            <w:pPr>
              <w:widowControl/>
              <w:numPr>
                <w:ilvl w:val="0"/>
                <w:numId w:val="381"/>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100V, 70V定压输出和4～16Ω定阻（平衡，不接地）输出</w:t>
            </w:r>
          </w:p>
          <w:p w14:paraId="62455CAF">
            <w:pPr>
              <w:widowControl/>
              <w:numPr>
                <w:ilvl w:val="0"/>
                <w:numId w:val="381"/>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六分区输出，每路分区可独立控制音量</w:t>
            </w:r>
          </w:p>
          <w:p w14:paraId="1A019AFD">
            <w:pPr>
              <w:widowControl/>
              <w:numPr>
                <w:ilvl w:val="0"/>
                <w:numId w:val="381"/>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铝合金拉丝面板，配有MP3播放器并具有LCD显示屏功能，可实时知道当前播放状态。</w:t>
            </w:r>
          </w:p>
          <w:p w14:paraId="4AA3A796">
            <w:pPr>
              <w:widowControl/>
              <w:numPr>
                <w:ilvl w:val="0"/>
                <w:numId w:val="381"/>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采用工业级芯片全数字化设计，内置DSP音效处理芯片，语音传输指数高，具有高保真CD音质</w:t>
            </w:r>
          </w:p>
          <w:p w14:paraId="036110DE">
            <w:pPr>
              <w:widowControl/>
              <w:numPr>
                <w:ilvl w:val="0"/>
                <w:numId w:val="381"/>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支持最大48kHz采样率16bit数字音频流解码</w:t>
            </w:r>
          </w:p>
          <w:p w14:paraId="3DD0D34A">
            <w:pPr>
              <w:widowControl/>
              <w:numPr>
                <w:ilvl w:val="0"/>
                <w:numId w:val="381"/>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播放模式可以在单曲播放、单曲循环、顺序播放、循环播放、随机播放之间任音选择</w:t>
            </w:r>
          </w:p>
          <w:p w14:paraId="0F469208">
            <w:pPr>
              <w:widowControl/>
              <w:numPr>
                <w:ilvl w:val="0"/>
                <w:numId w:val="381"/>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具有</w:t>
            </w:r>
            <w:r>
              <w:rPr>
                <w:rFonts w:hint="eastAsia" w:ascii="宋体" w:hAnsi="宋体"/>
                <w:color w:val="auto"/>
                <w:szCs w:val="21"/>
                <w:highlight w:val="none"/>
              </w:rPr>
              <w:t>≥</w:t>
            </w:r>
            <w:r>
              <w:rPr>
                <w:rFonts w:hint="eastAsia" w:ascii="宋体" w:hAnsi="宋体"/>
                <w:color w:val="auto"/>
                <w:kern w:val="0"/>
                <w:szCs w:val="21"/>
                <w:highlight w:val="none"/>
                <w:lang w:bidi="ar"/>
              </w:rPr>
              <w:t>6路辅助音频输入、</w:t>
            </w:r>
            <w:r>
              <w:rPr>
                <w:rFonts w:hint="eastAsia" w:ascii="宋体" w:hAnsi="宋体"/>
                <w:color w:val="auto"/>
                <w:szCs w:val="21"/>
                <w:highlight w:val="none"/>
              </w:rPr>
              <w:t>≥</w:t>
            </w:r>
            <w:r>
              <w:rPr>
                <w:rFonts w:hint="eastAsia" w:ascii="宋体" w:hAnsi="宋体"/>
                <w:color w:val="auto"/>
                <w:kern w:val="0"/>
                <w:szCs w:val="21"/>
                <w:highlight w:val="none"/>
                <w:lang w:bidi="ar"/>
              </w:rPr>
              <w:t>2路辅助音频输出、</w:t>
            </w:r>
            <w:r>
              <w:rPr>
                <w:rFonts w:hint="eastAsia" w:ascii="宋体" w:hAnsi="宋体"/>
                <w:color w:val="auto"/>
                <w:szCs w:val="21"/>
                <w:highlight w:val="none"/>
              </w:rPr>
              <w:t>≥</w:t>
            </w:r>
            <w:r>
              <w:rPr>
                <w:rFonts w:hint="eastAsia" w:ascii="宋体" w:hAnsi="宋体"/>
                <w:color w:val="auto"/>
                <w:kern w:val="0"/>
                <w:szCs w:val="21"/>
                <w:highlight w:val="none"/>
                <w:lang w:bidi="ar"/>
              </w:rPr>
              <w:t>2路话筒输入(话筒1有优先级最高)</w:t>
            </w:r>
          </w:p>
          <w:p w14:paraId="215CEFB6">
            <w:pPr>
              <w:widowControl/>
              <w:numPr>
                <w:ilvl w:val="0"/>
                <w:numId w:val="381"/>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辅助音频输入、话筒输入带有默音调节电位器，默音电平量可调节</w:t>
            </w:r>
          </w:p>
          <w:p w14:paraId="0564D271">
            <w:pPr>
              <w:widowControl/>
              <w:numPr>
                <w:ilvl w:val="0"/>
                <w:numId w:val="381"/>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工作状态、网络状态、电源状态、功放状态LED指示</w:t>
            </w:r>
          </w:p>
          <w:p w14:paraId="07E9EACF">
            <w:pPr>
              <w:widowControl/>
              <w:numPr>
                <w:ilvl w:val="0"/>
                <w:numId w:val="381"/>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内置看门狗功能，有效保障设备的正常运行</w:t>
            </w:r>
          </w:p>
          <w:p w14:paraId="33E1ABB1">
            <w:pPr>
              <w:widowControl/>
              <w:numPr>
                <w:ilvl w:val="0"/>
                <w:numId w:val="381"/>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高可靠性设计寿命长，平均无故障时间(MTBF)&gt;10万小时</w:t>
            </w:r>
          </w:p>
          <w:p w14:paraId="73846A62">
            <w:pPr>
              <w:widowControl/>
              <w:numPr>
                <w:ilvl w:val="0"/>
                <w:numId w:val="381"/>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可脱机接受紧急寻呼,音量调节到80%</w:t>
            </w:r>
          </w:p>
          <w:p w14:paraId="39F21D93">
            <w:pPr>
              <w:widowControl/>
              <w:numPr>
                <w:ilvl w:val="0"/>
                <w:numId w:val="381"/>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软件设置IP地址，支持TCP,UDP,4G，静态IP</w:t>
            </w:r>
          </w:p>
          <w:p w14:paraId="18656081">
            <w:pPr>
              <w:widowControl/>
              <w:numPr>
                <w:ilvl w:val="0"/>
                <w:numId w:val="381"/>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内置热敏电阻及温控开关，开机静音，信号启动或升温50°后由8～12V供电，降噪风扇节能更环保</w:t>
            </w:r>
          </w:p>
          <w:p w14:paraId="0433EF03">
            <w:pPr>
              <w:widowControl/>
              <w:numPr>
                <w:ilvl w:val="0"/>
                <w:numId w:val="381"/>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功放采用H类结构，稳定高效</w:t>
            </w:r>
          </w:p>
          <w:p w14:paraId="5764F7C4">
            <w:pPr>
              <w:widowControl/>
              <w:numPr>
                <w:ilvl w:val="0"/>
                <w:numId w:val="381"/>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独立电源线插头，便于机柜式工程安装调试</w:t>
            </w:r>
          </w:p>
          <w:p w14:paraId="57820473">
            <w:pPr>
              <w:widowControl/>
              <w:numPr>
                <w:ilvl w:val="0"/>
                <w:numId w:val="381"/>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功放配备备用保险丝</w:t>
            </w:r>
          </w:p>
          <w:p w14:paraId="31F19F59">
            <w:pPr>
              <w:widowControl/>
              <w:numPr>
                <w:ilvl w:val="0"/>
                <w:numId w:val="381"/>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具有蓝牙、FM调频、SD卡输入功能</w:t>
            </w:r>
          </w:p>
          <w:p w14:paraId="1D7ADE91">
            <w:pPr>
              <w:widowControl/>
              <w:numPr>
                <w:ilvl w:val="0"/>
                <w:numId w:val="381"/>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两路话筒输入，MIC1具有优先默音功能链接消防报警信号一键切入，两路MIC音量独控旋钮</w:t>
            </w:r>
          </w:p>
          <w:p w14:paraId="0DB93439">
            <w:pPr>
              <w:widowControl/>
              <w:numPr>
                <w:ilvl w:val="0"/>
                <w:numId w:val="381"/>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功放24小时处于关机状态，接收任务执行自动触发开启，任务执行后自动关机，高效节能环保</w:t>
            </w:r>
          </w:p>
          <w:p w14:paraId="1515367E">
            <w:pPr>
              <w:widowControl/>
              <w:numPr>
                <w:ilvl w:val="0"/>
                <w:numId w:val="381"/>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网络接口：标准RJ45输入</w:t>
            </w:r>
          </w:p>
          <w:p w14:paraId="69D833B2">
            <w:pPr>
              <w:widowControl/>
              <w:numPr>
                <w:ilvl w:val="0"/>
                <w:numId w:val="381"/>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支持协议：TCP/IP、UDP、IGMP、4G，静态IP</w:t>
            </w:r>
          </w:p>
          <w:p w14:paraId="26442F26">
            <w:pPr>
              <w:widowControl/>
              <w:numPr>
                <w:ilvl w:val="0"/>
                <w:numId w:val="381"/>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传输速率：</w:t>
            </w:r>
            <w:r>
              <w:rPr>
                <w:rFonts w:hint="eastAsia" w:ascii="宋体" w:hAnsi="宋体"/>
                <w:color w:val="auto"/>
                <w:szCs w:val="21"/>
                <w:highlight w:val="none"/>
              </w:rPr>
              <w:t>≥</w:t>
            </w:r>
            <w:r>
              <w:rPr>
                <w:rFonts w:hint="eastAsia" w:ascii="宋体" w:hAnsi="宋体"/>
                <w:color w:val="auto"/>
                <w:kern w:val="0"/>
                <w:szCs w:val="21"/>
                <w:highlight w:val="none"/>
                <w:lang w:bidi="ar"/>
              </w:rPr>
              <w:t>100Mbps</w:t>
            </w:r>
          </w:p>
          <w:p w14:paraId="20D18578">
            <w:pPr>
              <w:widowControl/>
              <w:numPr>
                <w:ilvl w:val="0"/>
                <w:numId w:val="381"/>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功率：</w:t>
            </w:r>
            <w:r>
              <w:rPr>
                <w:rFonts w:hint="eastAsia" w:ascii="宋体" w:hAnsi="宋体"/>
                <w:color w:val="auto"/>
                <w:szCs w:val="21"/>
                <w:highlight w:val="none"/>
              </w:rPr>
              <w:t>≥</w:t>
            </w:r>
            <w:r>
              <w:rPr>
                <w:rFonts w:hint="eastAsia" w:ascii="宋体" w:hAnsi="宋体"/>
                <w:color w:val="auto"/>
                <w:kern w:val="0"/>
                <w:szCs w:val="21"/>
                <w:highlight w:val="none"/>
                <w:lang w:bidi="ar"/>
              </w:rPr>
              <w:t>650W</w:t>
            </w:r>
          </w:p>
        </w:tc>
        <w:tc>
          <w:tcPr>
            <w:tcW w:w="863" w:type="dxa"/>
            <w:gridSpan w:val="4"/>
            <w:tcBorders>
              <w:top w:val="single" w:color="000000" w:sz="4" w:space="0"/>
              <w:left w:val="single" w:color="000000" w:sz="4" w:space="0"/>
              <w:bottom w:val="single" w:color="000000" w:sz="4" w:space="0"/>
              <w:right w:val="single" w:color="000000" w:sz="4" w:space="0"/>
            </w:tcBorders>
            <w:vAlign w:val="center"/>
          </w:tcPr>
          <w:p w14:paraId="20FA1D12">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台</w:t>
            </w:r>
          </w:p>
        </w:tc>
        <w:tc>
          <w:tcPr>
            <w:tcW w:w="925" w:type="dxa"/>
            <w:gridSpan w:val="3"/>
            <w:tcBorders>
              <w:top w:val="single" w:color="000000" w:sz="4" w:space="0"/>
              <w:left w:val="single" w:color="000000" w:sz="4" w:space="0"/>
              <w:bottom w:val="single" w:color="000000" w:sz="4" w:space="0"/>
              <w:right w:val="single" w:color="000000" w:sz="4" w:space="0"/>
            </w:tcBorders>
            <w:vAlign w:val="center"/>
          </w:tcPr>
          <w:p w14:paraId="3639F22A">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w:t>
            </w:r>
          </w:p>
        </w:tc>
      </w:tr>
      <w:tr w14:paraId="590E69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7" w:type="dxa"/>
          <w:trHeight w:val="415" w:hRule="atLeast"/>
          <w:jc w:val="center"/>
        </w:trPr>
        <w:tc>
          <w:tcPr>
            <w:tcW w:w="749" w:type="dxa"/>
            <w:tcBorders>
              <w:top w:val="single" w:color="000000" w:sz="4" w:space="0"/>
              <w:left w:val="single" w:color="000000" w:sz="4" w:space="0"/>
              <w:bottom w:val="single" w:color="000000" w:sz="4" w:space="0"/>
              <w:right w:val="single" w:color="000000" w:sz="4" w:space="0"/>
            </w:tcBorders>
            <w:vAlign w:val="center"/>
          </w:tcPr>
          <w:p w14:paraId="2E508A6C">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3</w:t>
            </w:r>
          </w:p>
        </w:tc>
        <w:tc>
          <w:tcPr>
            <w:tcW w:w="1227" w:type="dxa"/>
            <w:tcBorders>
              <w:top w:val="single" w:color="000000" w:sz="4" w:space="0"/>
              <w:left w:val="single" w:color="000000" w:sz="4" w:space="0"/>
              <w:bottom w:val="single" w:color="000000" w:sz="4" w:space="0"/>
              <w:right w:val="single" w:color="000000" w:sz="4" w:space="0"/>
            </w:tcBorders>
            <w:vAlign w:val="center"/>
          </w:tcPr>
          <w:p w14:paraId="62DB2F31">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IP网络音响</w:t>
            </w:r>
          </w:p>
        </w:tc>
        <w:tc>
          <w:tcPr>
            <w:tcW w:w="6187" w:type="dxa"/>
            <w:gridSpan w:val="2"/>
            <w:tcBorders>
              <w:top w:val="single" w:color="000000" w:sz="4" w:space="0"/>
              <w:left w:val="single" w:color="000000" w:sz="4" w:space="0"/>
              <w:bottom w:val="single" w:color="000000" w:sz="4" w:space="0"/>
              <w:right w:val="single" w:color="000000" w:sz="4" w:space="0"/>
            </w:tcBorders>
            <w:vAlign w:val="center"/>
          </w:tcPr>
          <w:p w14:paraId="0DAE6277">
            <w:pPr>
              <w:widowControl/>
              <w:numPr>
                <w:ilvl w:val="2"/>
                <w:numId w:val="382"/>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专业一体化壁挂式音箱设计，箱体符合声音共振原理设计理念；十分美观大方。</w:t>
            </w:r>
          </w:p>
          <w:p w14:paraId="760425C6">
            <w:pPr>
              <w:widowControl/>
              <w:numPr>
                <w:ilvl w:val="2"/>
                <w:numId w:val="382"/>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设备采用嵌入式计算机技术和DSP音频处理技术设计。</w:t>
            </w:r>
          </w:p>
          <w:p w14:paraId="182A2620">
            <w:pPr>
              <w:widowControl/>
              <w:numPr>
                <w:ilvl w:val="2"/>
                <w:numId w:val="382"/>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内置</w:t>
            </w:r>
            <w:r>
              <w:rPr>
                <w:rFonts w:hint="eastAsia" w:ascii="宋体" w:hAnsi="宋体"/>
                <w:color w:val="auto"/>
                <w:szCs w:val="21"/>
                <w:highlight w:val="none"/>
              </w:rPr>
              <w:t>≥</w:t>
            </w:r>
            <w:r>
              <w:rPr>
                <w:rFonts w:hint="eastAsia" w:ascii="宋体" w:hAnsi="宋体"/>
                <w:color w:val="auto"/>
                <w:kern w:val="0"/>
                <w:szCs w:val="21"/>
                <w:highlight w:val="none"/>
                <w:lang w:bidi="ar"/>
              </w:rPr>
              <w:t>1路网络硬件音频解码模块，支持TCP/IP、UDP，实现网络化传输16位CD音质的音频信号。</w:t>
            </w:r>
          </w:p>
          <w:p w14:paraId="24056395">
            <w:pPr>
              <w:widowControl/>
              <w:numPr>
                <w:ilvl w:val="2"/>
                <w:numId w:val="382"/>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内置</w:t>
            </w:r>
            <w:r>
              <w:rPr>
                <w:rFonts w:hint="eastAsia" w:ascii="宋体" w:hAnsi="宋体"/>
                <w:color w:val="auto"/>
                <w:szCs w:val="21"/>
                <w:highlight w:val="none"/>
              </w:rPr>
              <w:t>≥</w:t>
            </w:r>
            <w:r>
              <w:rPr>
                <w:rFonts w:hint="eastAsia" w:ascii="宋体" w:hAnsi="宋体"/>
                <w:color w:val="auto"/>
                <w:kern w:val="0"/>
                <w:szCs w:val="21"/>
                <w:highlight w:val="none"/>
                <w:lang w:bidi="ar"/>
              </w:rPr>
              <w:t>2 x 30W（MAX）的双通道数字功率放大器，一路接主音箱，一路外接到副音箱；音质非常细腻，功率强劲；具有网络音量设置。</w:t>
            </w:r>
          </w:p>
          <w:p w14:paraId="7DCA0951">
            <w:pPr>
              <w:widowControl/>
              <w:numPr>
                <w:ilvl w:val="2"/>
                <w:numId w:val="382"/>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 xml:space="preserve">具有各路音频输入独立的音量电位器控制，支持断网本地寻呼功能；同时支持缄默强度预置减少功能，支持背景伴奏预置功能。 </w:t>
            </w:r>
          </w:p>
          <w:p w14:paraId="4AD45F7D">
            <w:pPr>
              <w:widowControl/>
              <w:numPr>
                <w:ilvl w:val="2"/>
                <w:numId w:val="382"/>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兼容路由器、交换机、网桥网关、Modem、Internet、2G、3G、4G等任意网络结构。</w:t>
            </w:r>
          </w:p>
          <w:p w14:paraId="50600A03">
            <w:pPr>
              <w:widowControl/>
              <w:numPr>
                <w:ilvl w:val="2"/>
                <w:numId w:val="382"/>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数字化产品，扩容方便，不受地理位置限制，无需增加机房管理设备，采用共网免线路施工的设计理念，安装简便。</w:t>
            </w:r>
          </w:p>
          <w:p w14:paraId="0F6CF97F">
            <w:pPr>
              <w:widowControl/>
              <w:numPr>
                <w:ilvl w:val="2"/>
                <w:numId w:val="382"/>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支持广播系统对终端进行远程固件升级，无需到终端本地升级，减轻维护人员工作强度;</w:t>
            </w:r>
          </w:p>
          <w:p w14:paraId="62AC3FE5">
            <w:pPr>
              <w:widowControl/>
              <w:numPr>
                <w:ilvl w:val="2"/>
                <w:numId w:val="382"/>
              </w:numPr>
              <w:jc w:val="left"/>
              <w:textAlignment w:val="center"/>
              <w:rPr>
                <w:rFonts w:hint="eastAsia" w:ascii="宋体" w:hAnsi="宋体"/>
                <w:color w:val="auto"/>
                <w:kern w:val="0"/>
                <w:szCs w:val="21"/>
                <w:highlight w:val="none"/>
                <w:lang w:bidi="ar"/>
              </w:rPr>
            </w:pPr>
            <w:r>
              <w:rPr>
                <w:rFonts w:hint="eastAsia" w:ascii="宋体" w:hAnsi="宋体"/>
                <w:color w:val="auto"/>
                <w:szCs w:val="21"/>
                <w:highlight w:val="none"/>
              </w:rPr>
              <w:t>≥</w:t>
            </w:r>
            <w:r>
              <w:rPr>
                <w:rFonts w:hint="eastAsia" w:ascii="宋体" w:hAnsi="宋体"/>
                <w:color w:val="auto"/>
                <w:kern w:val="0"/>
                <w:szCs w:val="21"/>
                <w:highlight w:val="none"/>
                <w:lang w:bidi="ar"/>
              </w:rPr>
              <w:t>1路3.5本地音频输入接口，</w:t>
            </w:r>
            <w:r>
              <w:rPr>
                <w:rFonts w:hint="eastAsia" w:ascii="宋体" w:hAnsi="宋体"/>
                <w:color w:val="auto"/>
                <w:szCs w:val="21"/>
                <w:highlight w:val="none"/>
              </w:rPr>
              <w:t>≥</w:t>
            </w:r>
            <w:r>
              <w:rPr>
                <w:rFonts w:hint="eastAsia" w:ascii="宋体" w:hAnsi="宋体"/>
                <w:color w:val="auto"/>
                <w:kern w:val="0"/>
                <w:szCs w:val="21"/>
                <w:highlight w:val="none"/>
                <w:lang w:bidi="ar"/>
              </w:rPr>
              <w:t>1路本地3.5话筒接口，</w:t>
            </w:r>
            <w:r>
              <w:rPr>
                <w:rFonts w:hint="eastAsia" w:ascii="宋体" w:hAnsi="宋体"/>
                <w:color w:val="auto"/>
                <w:szCs w:val="21"/>
                <w:highlight w:val="none"/>
              </w:rPr>
              <w:t>≥</w:t>
            </w:r>
            <w:r>
              <w:rPr>
                <w:rFonts w:hint="eastAsia" w:ascii="宋体" w:hAnsi="宋体"/>
                <w:color w:val="auto"/>
                <w:kern w:val="0"/>
                <w:szCs w:val="21"/>
                <w:highlight w:val="none"/>
                <w:lang w:bidi="ar"/>
              </w:rPr>
              <w:t>1路3.5本地音频输出接口</w:t>
            </w:r>
          </w:p>
          <w:p w14:paraId="051C2E54">
            <w:pPr>
              <w:widowControl/>
              <w:numPr>
                <w:ilvl w:val="2"/>
                <w:numId w:val="382"/>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具有</w:t>
            </w:r>
            <w:r>
              <w:rPr>
                <w:rFonts w:hint="eastAsia" w:ascii="宋体" w:hAnsi="宋体"/>
                <w:color w:val="auto"/>
                <w:szCs w:val="21"/>
                <w:highlight w:val="none"/>
              </w:rPr>
              <w:t>≥</w:t>
            </w:r>
            <w:r>
              <w:rPr>
                <w:rFonts w:hint="eastAsia" w:ascii="宋体" w:hAnsi="宋体"/>
                <w:color w:val="auto"/>
                <w:kern w:val="0"/>
                <w:szCs w:val="21"/>
                <w:highlight w:val="none"/>
                <w:lang w:bidi="ar"/>
              </w:rPr>
              <w:t>2级音频优先级，网络音频跟话筒音频最优先</w:t>
            </w:r>
          </w:p>
          <w:p w14:paraId="252A02D7">
            <w:pPr>
              <w:widowControl/>
              <w:numPr>
                <w:ilvl w:val="2"/>
                <w:numId w:val="382"/>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支持内置2.4G无线话筒授课</w:t>
            </w:r>
          </w:p>
          <w:p w14:paraId="57BBC008">
            <w:pPr>
              <w:widowControl/>
              <w:numPr>
                <w:ilvl w:val="2"/>
                <w:numId w:val="382"/>
              </w:numPr>
              <w:jc w:val="left"/>
              <w:textAlignment w:val="center"/>
              <w:rPr>
                <w:rFonts w:hint="eastAsia" w:ascii="宋体" w:hAnsi="宋体"/>
                <w:color w:val="auto"/>
                <w:kern w:val="0"/>
                <w:szCs w:val="21"/>
                <w:highlight w:val="none"/>
                <w:lang w:bidi="ar"/>
              </w:rPr>
            </w:pPr>
            <w:r>
              <w:rPr>
                <w:rFonts w:hint="eastAsia" w:ascii="宋体" w:hAnsi="宋体"/>
                <w:color w:val="auto"/>
                <w:szCs w:val="21"/>
                <w:highlight w:val="none"/>
              </w:rPr>
              <w:t>≥</w:t>
            </w:r>
            <w:r>
              <w:rPr>
                <w:rFonts w:hint="eastAsia" w:ascii="宋体" w:hAnsi="宋体"/>
                <w:color w:val="auto"/>
                <w:kern w:val="0"/>
                <w:szCs w:val="21"/>
                <w:highlight w:val="none"/>
                <w:lang w:bidi="ar"/>
              </w:rPr>
              <w:t>2路音量电位器独立调节</w:t>
            </w:r>
          </w:p>
          <w:p w14:paraId="58C2C926">
            <w:pPr>
              <w:widowControl/>
              <w:numPr>
                <w:ilvl w:val="2"/>
                <w:numId w:val="382"/>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具有定压备份功能。</w:t>
            </w:r>
          </w:p>
        </w:tc>
        <w:tc>
          <w:tcPr>
            <w:tcW w:w="863" w:type="dxa"/>
            <w:gridSpan w:val="4"/>
            <w:tcBorders>
              <w:top w:val="single" w:color="000000" w:sz="4" w:space="0"/>
              <w:left w:val="single" w:color="000000" w:sz="4" w:space="0"/>
              <w:bottom w:val="single" w:color="000000" w:sz="4" w:space="0"/>
              <w:right w:val="single" w:color="000000" w:sz="4" w:space="0"/>
            </w:tcBorders>
            <w:vAlign w:val="center"/>
          </w:tcPr>
          <w:p w14:paraId="43AB9344">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只</w:t>
            </w:r>
          </w:p>
        </w:tc>
        <w:tc>
          <w:tcPr>
            <w:tcW w:w="925" w:type="dxa"/>
            <w:gridSpan w:val="3"/>
            <w:tcBorders>
              <w:top w:val="single" w:color="000000" w:sz="4" w:space="0"/>
              <w:left w:val="single" w:color="000000" w:sz="4" w:space="0"/>
              <w:bottom w:val="single" w:color="000000" w:sz="4" w:space="0"/>
              <w:right w:val="single" w:color="000000" w:sz="4" w:space="0"/>
            </w:tcBorders>
            <w:vAlign w:val="center"/>
          </w:tcPr>
          <w:p w14:paraId="283D7717">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66</w:t>
            </w:r>
          </w:p>
        </w:tc>
      </w:tr>
      <w:tr w14:paraId="29329D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7" w:type="dxa"/>
          <w:trHeight w:val="415" w:hRule="atLeast"/>
          <w:jc w:val="center"/>
        </w:trPr>
        <w:tc>
          <w:tcPr>
            <w:tcW w:w="749" w:type="dxa"/>
            <w:tcBorders>
              <w:top w:val="single" w:color="000000" w:sz="4" w:space="0"/>
              <w:left w:val="single" w:color="000000" w:sz="4" w:space="0"/>
              <w:bottom w:val="single" w:color="000000" w:sz="4" w:space="0"/>
              <w:right w:val="single" w:color="000000" w:sz="4" w:space="0"/>
            </w:tcBorders>
            <w:vAlign w:val="center"/>
          </w:tcPr>
          <w:p w14:paraId="18F5EDEC">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4</w:t>
            </w:r>
          </w:p>
        </w:tc>
        <w:tc>
          <w:tcPr>
            <w:tcW w:w="1227" w:type="dxa"/>
            <w:tcBorders>
              <w:top w:val="single" w:color="000000" w:sz="4" w:space="0"/>
              <w:left w:val="single" w:color="000000" w:sz="4" w:space="0"/>
              <w:bottom w:val="single" w:color="000000" w:sz="4" w:space="0"/>
              <w:right w:val="single" w:color="000000" w:sz="4" w:space="0"/>
            </w:tcBorders>
            <w:vAlign w:val="center"/>
          </w:tcPr>
          <w:p w14:paraId="2DB53A52">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IP网络副音响</w:t>
            </w:r>
          </w:p>
        </w:tc>
        <w:tc>
          <w:tcPr>
            <w:tcW w:w="6187" w:type="dxa"/>
            <w:gridSpan w:val="2"/>
            <w:tcBorders>
              <w:top w:val="single" w:color="000000" w:sz="4" w:space="0"/>
              <w:left w:val="single" w:color="000000" w:sz="4" w:space="0"/>
              <w:bottom w:val="single" w:color="000000" w:sz="4" w:space="0"/>
              <w:right w:val="single" w:color="000000" w:sz="4" w:space="0"/>
            </w:tcBorders>
            <w:vAlign w:val="center"/>
          </w:tcPr>
          <w:p w14:paraId="1C8B2F7D">
            <w:pPr>
              <w:widowControl/>
              <w:numPr>
                <w:ilvl w:val="0"/>
                <w:numId w:val="383"/>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颜色：黑色</w:t>
            </w:r>
          </w:p>
          <w:p w14:paraId="22A97DC4">
            <w:pPr>
              <w:widowControl/>
              <w:numPr>
                <w:ilvl w:val="0"/>
                <w:numId w:val="383"/>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5.5寸单元+带高音；</w:t>
            </w:r>
          </w:p>
          <w:p w14:paraId="5B4A9A40">
            <w:pPr>
              <w:widowControl/>
              <w:numPr>
                <w:ilvl w:val="0"/>
                <w:numId w:val="383"/>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功率：20-30W</w:t>
            </w:r>
          </w:p>
          <w:p w14:paraId="580C5F1E">
            <w:pPr>
              <w:widowControl/>
              <w:numPr>
                <w:ilvl w:val="0"/>
                <w:numId w:val="383"/>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材料：精美木质</w:t>
            </w:r>
          </w:p>
          <w:p w14:paraId="6DA9E1E1">
            <w:pPr>
              <w:widowControl/>
              <w:numPr>
                <w:ilvl w:val="0"/>
                <w:numId w:val="383"/>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阻抗8Ω，定阻输入</w:t>
            </w:r>
          </w:p>
          <w:p w14:paraId="294B68BB">
            <w:pPr>
              <w:widowControl/>
              <w:numPr>
                <w:ilvl w:val="0"/>
                <w:numId w:val="383"/>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频响：50Hz~16KHz</w:t>
            </w:r>
          </w:p>
          <w:p w14:paraId="4CFD884D">
            <w:pPr>
              <w:widowControl/>
              <w:numPr>
                <w:ilvl w:val="0"/>
                <w:numId w:val="383"/>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灵敏度：91dB</w:t>
            </w:r>
          </w:p>
        </w:tc>
        <w:tc>
          <w:tcPr>
            <w:tcW w:w="863" w:type="dxa"/>
            <w:gridSpan w:val="4"/>
            <w:tcBorders>
              <w:top w:val="single" w:color="000000" w:sz="4" w:space="0"/>
              <w:left w:val="single" w:color="000000" w:sz="4" w:space="0"/>
              <w:bottom w:val="single" w:color="000000" w:sz="4" w:space="0"/>
              <w:right w:val="single" w:color="000000" w:sz="4" w:space="0"/>
            </w:tcBorders>
            <w:vAlign w:val="center"/>
          </w:tcPr>
          <w:p w14:paraId="3562DEEB">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只</w:t>
            </w:r>
          </w:p>
        </w:tc>
        <w:tc>
          <w:tcPr>
            <w:tcW w:w="925" w:type="dxa"/>
            <w:gridSpan w:val="3"/>
            <w:tcBorders>
              <w:top w:val="single" w:color="000000" w:sz="4" w:space="0"/>
              <w:left w:val="single" w:color="000000" w:sz="4" w:space="0"/>
              <w:bottom w:val="single" w:color="000000" w:sz="4" w:space="0"/>
              <w:right w:val="single" w:color="000000" w:sz="4" w:space="0"/>
            </w:tcBorders>
            <w:vAlign w:val="center"/>
          </w:tcPr>
          <w:p w14:paraId="2D0EBB42">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66</w:t>
            </w:r>
          </w:p>
        </w:tc>
      </w:tr>
      <w:tr w14:paraId="1B43C2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7" w:type="dxa"/>
          <w:trHeight w:val="415" w:hRule="atLeast"/>
          <w:jc w:val="center"/>
        </w:trPr>
        <w:tc>
          <w:tcPr>
            <w:tcW w:w="749" w:type="dxa"/>
            <w:tcBorders>
              <w:top w:val="single" w:color="000000" w:sz="4" w:space="0"/>
              <w:left w:val="single" w:color="000000" w:sz="4" w:space="0"/>
              <w:bottom w:val="single" w:color="000000" w:sz="4" w:space="0"/>
              <w:right w:val="single" w:color="000000" w:sz="4" w:space="0"/>
            </w:tcBorders>
            <w:vAlign w:val="center"/>
          </w:tcPr>
          <w:p w14:paraId="15C99A5F">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5</w:t>
            </w:r>
          </w:p>
        </w:tc>
        <w:tc>
          <w:tcPr>
            <w:tcW w:w="1227" w:type="dxa"/>
            <w:tcBorders>
              <w:top w:val="single" w:color="000000" w:sz="4" w:space="0"/>
              <w:left w:val="single" w:color="000000" w:sz="4" w:space="0"/>
              <w:bottom w:val="single" w:color="000000" w:sz="4" w:space="0"/>
              <w:right w:val="single" w:color="000000" w:sz="4" w:space="0"/>
            </w:tcBorders>
            <w:vAlign w:val="center"/>
          </w:tcPr>
          <w:p w14:paraId="7233EA9A">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16口网络交换机</w:t>
            </w:r>
          </w:p>
        </w:tc>
        <w:tc>
          <w:tcPr>
            <w:tcW w:w="6187" w:type="dxa"/>
            <w:gridSpan w:val="2"/>
            <w:tcBorders>
              <w:top w:val="single" w:color="000000" w:sz="4" w:space="0"/>
              <w:left w:val="single" w:color="000000" w:sz="4" w:space="0"/>
              <w:bottom w:val="single" w:color="000000" w:sz="4" w:space="0"/>
              <w:right w:val="single" w:color="000000" w:sz="4" w:space="0"/>
            </w:tcBorders>
            <w:vAlign w:val="center"/>
          </w:tcPr>
          <w:p w14:paraId="4CBC09B6">
            <w:pPr>
              <w:widowControl/>
              <w:numPr>
                <w:ilvl w:val="0"/>
                <w:numId w:val="384"/>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16口交换机</w:t>
            </w:r>
          </w:p>
        </w:tc>
        <w:tc>
          <w:tcPr>
            <w:tcW w:w="863" w:type="dxa"/>
            <w:gridSpan w:val="4"/>
            <w:tcBorders>
              <w:top w:val="single" w:color="000000" w:sz="4" w:space="0"/>
              <w:left w:val="single" w:color="000000" w:sz="4" w:space="0"/>
              <w:bottom w:val="single" w:color="000000" w:sz="4" w:space="0"/>
              <w:right w:val="single" w:color="000000" w:sz="4" w:space="0"/>
            </w:tcBorders>
            <w:vAlign w:val="center"/>
          </w:tcPr>
          <w:p w14:paraId="64CD5705">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台</w:t>
            </w:r>
          </w:p>
        </w:tc>
        <w:tc>
          <w:tcPr>
            <w:tcW w:w="925" w:type="dxa"/>
            <w:gridSpan w:val="3"/>
            <w:tcBorders>
              <w:top w:val="single" w:color="000000" w:sz="4" w:space="0"/>
              <w:left w:val="single" w:color="000000" w:sz="4" w:space="0"/>
              <w:bottom w:val="single" w:color="000000" w:sz="4" w:space="0"/>
              <w:right w:val="single" w:color="000000" w:sz="4" w:space="0"/>
            </w:tcBorders>
            <w:vAlign w:val="center"/>
          </w:tcPr>
          <w:p w14:paraId="349034BB">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5</w:t>
            </w:r>
          </w:p>
        </w:tc>
      </w:tr>
      <w:tr w14:paraId="50B7B4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7" w:type="dxa"/>
          <w:trHeight w:val="415" w:hRule="atLeast"/>
          <w:jc w:val="center"/>
        </w:trPr>
        <w:tc>
          <w:tcPr>
            <w:tcW w:w="749" w:type="dxa"/>
            <w:tcBorders>
              <w:top w:val="single" w:color="000000" w:sz="4" w:space="0"/>
              <w:left w:val="single" w:color="000000" w:sz="4" w:space="0"/>
              <w:bottom w:val="single" w:color="000000" w:sz="4" w:space="0"/>
              <w:right w:val="single" w:color="000000" w:sz="4" w:space="0"/>
            </w:tcBorders>
            <w:vAlign w:val="center"/>
          </w:tcPr>
          <w:p w14:paraId="118C56AD">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6</w:t>
            </w:r>
          </w:p>
        </w:tc>
        <w:tc>
          <w:tcPr>
            <w:tcW w:w="1227" w:type="dxa"/>
            <w:tcBorders>
              <w:top w:val="single" w:color="000000" w:sz="4" w:space="0"/>
              <w:left w:val="single" w:color="000000" w:sz="4" w:space="0"/>
              <w:bottom w:val="single" w:color="000000" w:sz="4" w:space="0"/>
              <w:right w:val="single" w:color="000000" w:sz="4" w:space="0"/>
            </w:tcBorders>
            <w:vAlign w:val="center"/>
          </w:tcPr>
          <w:p w14:paraId="4FE5D315">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机柜</w:t>
            </w:r>
          </w:p>
        </w:tc>
        <w:tc>
          <w:tcPr>
            <w:tcW w:w="6187" w:type="dxa"/>
            <w:gridSpan w:val="2"/>
            <w:tcBorders>
              <w:top w:val="single" w:color="000000" w:sz="4" w:space="0"/>
              <w:left w:val="single" w:color="000000" w:sz="4" w:space="0"/>
              <w:bottom w:val="single" w:color="000000" w:sz="4" w:space="0"/>
              <w:right w:val="single" w:color="000000" w:sz="4" w:space="0"/>
            </w:tcBorders>
            <w:vAlign w:val="center"/>
          </w:tcPr>
          <w:p w14:paraId="3EDFBB39">
            <w:pPr>
              <w:widowControl/>
              <w:numPr>
                <w:ilvl w:val="0"/>
                <w:numId w:val="385"/>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 xml:space="preserve">标准：19英寸国际标准   </w:t>
            </w:r>
          </w:p>
          <w:p w14:paraId="281E5772">
            <w:pPr>
              <w:widowControl/>
              <w:numPr>
                <w:ilvl w:val="0"/>
                <w:numId w:val="385"/>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 xml:space="preserve">门及门锁：前门：钢化玻璃前门，带锁；后门：全金属后门，带锁  </w:t>
            </w:r>
          </w:p>
          <w:p w14:paraId="2F0D6CCF">
            <w:pPr>
              <w:widowControl/>
              <w:numPr>
                <w:ilvl w:val="0"/>
                <w:numId w:val="385"/>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 xml:space="preserve">材料及工艺：钢化玻璃前门和金属后门  </w:t>
            </w:r>
          </w:p>
          <w:p w14:paraId="3114041D">
            <w:pPr>
              <w:widowControl/>
              <w:numPr>
                <w:ilvl w:val="0"/>
                <w:numId w:val="385"/>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附加功能：侧板：速装卸侧板</w:t>
            </w:r>
          </w:p>
        </w:tc>
        <w:tc>
          <w:tcPr>
            <w:tcW w:w="863" w:type="dxa"/>
            <w:gridSpan w:val="4"/>
            <w:tcBorders>
              <w:top w:val="single" w:color="000000" w:sz="4" w:space="0"/>
              <w:left w:val="single" w:color="000000" w:sz="4" w:space="0"/>
              <w:bottom w:val="single" w:color="000000" w:sz="4" w:space="0"/>
              <w:right w:val="single" w:color="000000" w:sz="4" w:space="0"/>
            </w:tcBorders>
            <w:vAlign w:val="center"/>
          </w:tcPr>
          <w:p w14:paraId="67EE87E0">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台</w:t>
            </w:r>
          </w:p>
        </w:tc>
        <w:tc>
          <w:tcPr>
            <w:tcW w:w="925" w:type="dxa"/>
            <w:gridSpan w:val="3"/>
            <w:tcBorders>
              <w:top w:val="single" w:color="000000" w:sz="4" w:space="0"/>
              <w:left w:val="single" w:color="000000" w:sz="4" w:space="0"/>
              <w:bottom w:val="single" w:color="000000" w:sz="4" w:space="0"/>
              <w:right w:val="single" w:color="000000" w:sz="4" w:space="0"/>
            </w:tcBorders>
            <w:vAlign w:val="center"/>
          </w:tcPr>
          <w:p w14:paraId="44DF972F">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5</w:t>
            </w:r>
          </w:p>
        </w:tc>
      </w:tr>
      <w:tr w14:paraId="517779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7" w:type="dxa"/>
          <w:trHeight w:val="415" w:hRule="atLeast"/>
          <w:jc w:val="center"/>
        </w:trPr>
        <w:tc>
          <w:tcPr>
            <w:tcW w:w="749" w:type="dxa"/>
            <w:tcBorders>
              <w:top w:val="single" w:color="000000" w:sz="4" w:space="0"/>
              <w:left w:val="single" w:color="000000" w:sz="4" w:space="0"/>
              <w:bottom w:val="single" w:color="000000" w:sz="4" w:space="0"/>
              <w:right w:val="single" w:color="000000" w:sz="4" w:space="0"/>
            </w:tcBorders>
            <w:vAlign w:val="center"/>
          </w:tcPr>
          <w:p w14:paraId="329DF8F3">
            <w:pPr>
              <w:widowControl/>
              <w:textAlignment w:val="center"/>
              <w:rPr>
                <w:rFonts w:hint="eastAsia" w:ascii="宋体" w:hAnsi="宋体"/>
                <w:b/>
                <w:bCs/>
                <w:color w:val="auto"/>
                <w:szCs w:val="21"/>
                <w:highlight w:val="none"/>
              </w:rPr>
            </w:pPr>
            <w:r>
              <w:rPr>
                <w:rFonts w:hint="eastAsia" w:ascii="宋体" w:hAnsi="宋体"/>
                <w:b/>
                <w:bCs/>
                <w:color w:val="auto"/>
                <w:kern w:val="0"/>
                <w:szCs w:val="21"/>
                <w:highlight w:val="none"/>
                <w:lang w:bidi="ar"/>
              </w:rPr>
              <w:t>（五）</w:t>
            </w:r>
          </w:p>
        </w:tc>
        <w:tc>
          <w:tcPr>
            <w:tcW w:w="1227" w:type="dxa"/>
            <w:tcBorders>
              <w:top w:val="single" w:color="000000" w:sz="4" w:space="0"/>
              <w:left w:val="single" w:color="000000" w:sz="4" w:space="0"/>
              <w:bottom w:val="single" w:color="000000" w:sz="4" w:space="0"/>
              <w:right w:val="single" w:color="000000" w:sz="4" w:space="0"/>
            </w:tcBorders>
            <w:vAlign w:val="center"/>
          </w:tcPr>
          <w:p w14:paraId="71645BE4">
            <w:pPr>
              <w:widowControl/>
              <w:jc w:val="center"/>
              <w:textAlignment w:val="center"/>
              <w:rPr>
                <w:rFonts w:hint="eastAsia" w:ascii="宋体" w:hAnsi="宋体"/>
                <w:b/>
                <w:bCs/>
                <w:color w:val="auto"/>
                <w:szCs w:val="21"/>
                <w:highlight w:val="none"/>
              </w:rPr>
            </w:pPr>
            <w:r>
              <w:rPr>
                <w:rFonts w:hint="eastAsia" w:ascii="宋体" w:hAnsi="宋体"/>
                <w:b/>
                <w:bCs/>
                <w:color w:val="auto"/>
                <w:kern w:val="0"/>
                <w:szCs w:val="21"/>
                <w:highlight w:val="none"/>
                <w:lang w:bidi="ar"/>
              </w:rPr>
              <w:t>4#宿舍楼</w:t>
            </w:r>
          </w:p>
        </w:tc>
        <w:tc>
          <w:tcPr>
            <w:tcW w:w="6187" w:type="dxa"/>
            <w:gridSpan w:val="2"/>
            <w:tcBorders>
              <w:top w:val="single" w:color="000000" w:sz="4" w:space="0"/>
              <w:left w:val="single" w:color="000000" w:sz="4" w:space="0"/>
              <w:bottom w:val="single" w:color="000000" w:sz="4" w:space="0"/>
              <w:right w:val="single" w:color="000000" w:sz="4" w:space="0"/>
            </w:tcBorders>
            <w:vAlign w:val="center"/>
          </w:tcPr>
          <w:p w14:paraId="32261CF6">
            <w:pPr>
              <w:jc w:val="left"/>
              <w:rPr>
                <w:rFonts w:hint="eastAsia" w:ascii="宋体" w:hAnsi="宋体"/>
                <w:b/>
                <w:bCs/>
                <w:color w:val="auto"/>
                <w:szCs w:val="21"/>
                <w:highlight w:val="none"/>
              </w:rPr>
            </w:pPr>
          </w:p>
        </w:tc>
        <w:tc>
          <w:tcPr>
            <w:tcW w:w="863" w:type="dxa"/>
            <w:gridSpan w:val="4"/>
            <w:tcBorders>
              <w:top w:val="single" w:color="000000" w:sz="4" w:space="0"/>
              <w:left w:val="single" w:color="000000" w:sz="4" w:space="0"/>
              <w:bottom w:val="single" w:color="000000" w:sz="4" w:space="0"/>
              <w:right w:val="single" w:color="000000" w:sz="4" w:space="0"/>
            </w:tcBorders>
            <w:vAlign w:val="center"/>
          </w:tcPr>
          <w:p w14:paraId="7B31C8D4">
            <w:pPr>
              <w:jc w:val="center"/>
              <w:rPr>
                <w:rFonts w:hint="eastAsia" w:ascii="宋体" w:hAnsi="宋体"/>
                <w:b/>
                <w:bCs/>
                <w:color w:val="auto"/>
                <w:szCs w:val="21"/>
                <w:highlight w:val="none"/>
              </w:rPr>
            </w:pPr>
          </w:p>
        </w:tc>
        <w:tc>
          <w:tcPr>
            <w:tcW w:w="925" w:type="dxa"/>
            <w:gridSpan w:val="3"/>
            <w:tcBorders>
              <w:top w:val="single" w:color="000000" w:sz="4" w:space="0"/>
              <w:left w:val="single" w:color="000000" w:sz="4" w:space="0"/>
              <w:bottom w:val="single" w:color="000000" w:sz="4" w:space="0"/>
              <w:right w:val="single" w:color="000000" w:sz="4" w:space="0"/>
            </w:tcBorders>
            <w:vAlign w:val="center"/>
          </w:tcPr>
          <w:p w14:paraId="3FF26773">
            <w:pPr>
              <w:jc w:val="center"/>
              <w:rPr>
                <w:rFonts w:hint="eastAsia" w:ascii="宋体" w:hAnsi="宋体"/>
                <w:b/>
                <w:bCs/>
                <w:color w:val="auto"/>
                <w:szCs w:val="21"/>
                <w:highlight w:val="none"/>
              </w:rPr>
            </w:pPr>
          </w:p>
        </w:tc>
      </w:tr>
      <w:tr w14:paraId="7BA2AE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7" w:type="dxa"/>
          <w:trHeight w:val="415" w:hRule="atLeast"/>
          <w:jc w:val="center"/>
        </w:trPr>
        <w:tc>
          <w:tcPr>
            <w:tcW w:w="749" w:type="dxa"/>
            <w:tcBorders>
              <w:top w:val="single" w:color="000000" w:sz="4" w:space="0"/>
              <w:left w:val="single" w:color="000000" w:sz="4" w:space="0"/>
              <w:bottom w:val="single" w:color="000000" w:sz="4" w:space="0"/>
              <w:right w:val="single" w:color="000000" w:sz="4" w:space="0"/>
            </w:tcBorders>
            <w:vAlign w:val="center"/>
          </w:tcPr>
          <w:p w14:paraId="6F6E8C00">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c>
          <w:tcPr>
            <w:tcW w:w="1227" w:type="dxa"/>
            <w:tcBorders>
              <w:top w:val="single" w:color="000000" w:sz="4" w:space="0"/>
              <w:left w:val="single" w:color="000000" w:sz="4" w:space="0"/>
              <w:bottom w:val="single" w:color="000000" w:sz="4" w:space="0"/>
              <w:right w:val="single" w:color="000000" w:sz="4" w:space="0"/>
            </w:tcBorders>
            <w:vAlign w:val="center"/>
          </w:tcPr>
          <w:p w14:paraId="7EFDD1DC">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音响</w:t>
            </w:r>
          </w:p>
        </w:tc>
        <w:tc>
          <w:tcPr>
            <w:tcW w:w="6187" w:type="dxa"/>
            <w:gridSpan w:val="2"/>
            <w:tcBorders>
              <w:top w:val="single" w:color="000000" w:sz="4" w:space="0"/>
              <w:left w:val="single" w:color="000000" w:sz="4" w:space="0"/>
              <w:bottom w:val="single" w:color="000000" w:sz="4" w:space="0"/>
              <w:right w:val="single" w:color="000000" w:sz="4" w:space="0"/>
            </w:tcBorders>
            <w:vAlign w:val="center"/>
          </w:tcPr>
          <w:p w14:paraId="6A68DA7B">
            <w:pPr>
              <w:widowControl/>
              <w:numPr>
                <w:ilvl w:val="0"/>
                <w:numId w:val="386"/>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 xml:space="preserve">功率：3-10W  </w:t>
            </w:r>
          </w:p>
          <w:p w14:paraId="5392A0BC">
            <w:pPr>
              <w:widowControl/>
              <w:numPr>
                <w:ilvl w:val="0"/>
                <w:numId w:val="386"/>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喇叭单元:5寸</w:t>
            </w:r>
          </w:p>
          <w:p w14:paraId="3B2D3665">
            <w:pPr>
              <w:widowControl/>
              <w:numPr>
                <w:ilvl w:val="0"/>
                <w:numId w:val="386"/>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 xml:space="preserve">定压输入:70-100v  </w:t>
            </w:r>
          </w:p>
          <w:p w14:paraId="508CA253">
            <w:pPr>
              <w:widowControl/>
              <w:numPr>
                <w:ilvl w:val="0"/>
                <w:numId w:val="386"/>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 xml:space="preserve">灵敏度：91dB   </w:t>
            </w:r>
          </w:p>
          <w:p w14:paraId="3E3C17A1">
            <w:pPr>
              <w:widowControl/>
              <w:numPr>
                <w:ilvl w:val="0"/>
                <w:numId w:val="386"/>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频率响应：90-16000Hz</w:t>
            </w:r>
          </w:p>
        </w:tc>
        <w:tc>
          <w:tcPr>
            <w:tcW w:w="863" w:type="dxa"/>
            <w:gridSpan w:val="4"/>
            <w:tcBorders>
              <w:top w:val="single" w:color="000000" w:sz="4" w:space="0"/>
              <w:left w:val="single" w:color="000000" w:sz="4" w:space="0"/>
              <w:bottom w:val="single" w:color="000000" w:sz="4" w:space="0"/>
              <w:right w:val="single" w:color="000000" w:sz="4" w:space="0"/>
            </w:tcBorders>
            <w:vAlign w:val="center"/>
          </w:tcPr>
          <w:p w14:paraId="22634E4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25" w:type="dxa"/>
            <w:gridSpan w:val="3"/>
            <w:tcBorders>
              <w:top w:val="single" w:color="000000" w:sz="4" w:space="0"/>
              <w:left w:val="single" w:color="000000" w:sz="4" w:space="0"/>
              <w:bottom w:val="single" w:color="000000" w:sz="4" w:space="0"/>
              <w:right w:val="single" w:color="000000" w:sz="4" w:space="0"/>
            </w:tcBorders>
            <w:vAlign w:val="center"/>
          </w:tcPr>
          <w:p w14:paraId="56BF1558">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36</w:t>
            </w:r>
          </w:p>
        </w:tc>
      </w:tr>
      <w:tr w14:paraId="3C033A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7" w:type="dxa"/>
          <w:trHeight w:val="415" w:hRule="atLeast"/>
          <w:jc w:val="center"/>
        </w:trPr>
        <w:tc>
          <w:tcPr>
            <w:tcW w:w="749" w:type="dxa"/>
            <w:tcBorders>
              <w:top w:val="single" w:color="000000" w:sz="4" w:space="0"/>
              <w:left w:val="single" w:color="000000" w:sz="4" w:space="0"/>
              <w:bottom w:val="single" w:color="000000" w:sz="4" w:space="0"/>
              <w:right w:val="single" w:color="000000" w:sz="4" w:space="0"/>
            </w:tcBorders>
            <w:vAlign w:val="center"/>
          </w:tcPr>
          <w:p w14:paraId="2AFE132F">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w:t>
            </w:r>
          </w:p>
        </w:tc>
        <w:tc>
          <w:tcPr>
            <w:tcW w:w="1227" w:type="dxa"/>
            <w:tcBorders>
              <w:top w:val="single" w:color="000000" w:sz="4" w:space="0"/>
              <w:left w:val="single" w:color="000000" w:sz="4" w:space="0"/>
              <w:bottom w:val="single" w:color="000000" w:sz="4" w:space="0"/>
              <w:right w:val="single" w:color="000000" w:sz="4" w:space="0"/>
            </w:tcBorders>
            <w:vAlign w:val="center"/>
          </w:tcPr>
          <w:p w14:paraId="7032AFBD">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IP网络定压功放</w:t>
            </w:r>
          </w:p>
        </w:tc>
        <w:tc>
          <w:tcPr>
            <w:tcW w:w="6187" w:type="dxa"/>
            <w:gridSpan w:val="2"/>
            <w:tcBorders>
              <w:top w:val="single" w:color="000000" w:sz="4" w:space="0"/>
              <w:left w:val="single" w:color="000000" w:sz="4" w:space="0"/>
              <w:bottom w:val="single" w:color="000000" w:sz="4" w:space="0"/>
              <w:right w:val="single" w:color="000000" w:sz="4" w:space="0"/>
            </w:tcBorders>
            <w:vAlign w:val="center"/>
          </w:tcPr>
          <w:p w14:paraId="638CD24E">
            <w:pPr>
              <w:widowControl/>
              <w:numPr>
                <w:ilvl w:val="0"/>
                <w:numId w:val="387"/>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IP功放是一款基于TCP/IP传输协议的全数字化的模数转换信号处理器，由主控系统智能控制，可播放来自主控系统的背景节目、紧急寻呼、告警信号等</w:t>
            </w:r>
          </w:p>
          <w:p w14:paraId="2C6CE2DD">
            <w:pPr>
              <w:widowControl/>
              <w:numPr>
                <w:ilvl w:val="0"/>
                <w:numId w:val="387"/>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100V, 70V定压输出和4～16Ω定阻（平衡，不接地）输出</w:t>
            </w:r>
          </w:p>
          <w:p w14:paraId="6847FAAB">
            <w:pPr>
              <w:widowControl/>
              <w:numPr>
                <w:ilvl w:val="0"/>
                <w:numId w:val="387"/>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六分区输出，每路分区可独立控制音量</w:t>
            </w:r>
          </w:p>
          <w:p w14:paraId="2C686FC7">
            <w:pPr>
              <w:widowControl/>
              <w:numPr>
                <w:ilvl w:val="0"/>
                <w:numId w:val="387"/>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铝合金拉丝面板，配有MP3播放器并具有LCD显示屏功能，可实时知道当前播放状态。</w:t>
            </w:r>
          </w:p>
          <w:p w14:paraId="3D94F039">
            <w:pPr>
              <w:widowControl/>
              <w:numPr>
                <w:ilvl w:val="0"/>
                <w:numId w:val="387"/>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采用工业级芯片全数字化设计，内置DSP音效处理芯片，语音传输指数高，具有高保真CD音质</w:t>
            </w:r>
          </w:p>
          <w:p w14:paraId="15D086C3">
            <w:pPr>
              <w:widowControl/>
              <w:numPr>
                <w:ilvl w:val="0"/>
                <w:numId w:val="387"/>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支持最大48kHz采样率16bit数字音频流解码</w:t>
            </w:r>
          </w:p>
          <w:p w14:paraId="7BCEA853">
            <w:pPr>
              <w:widowControl/>
              <w:numPr>
                <w:ilvl w:val="0"/>
                <w:numId w:val="387"/>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播放模式可以在单曲播放、单曲循环、顺序播放、循环播放、随机播放之间任音选择</w:t>
            </w:r>
          </w:p>
          <w:p w14:paraId="421C6EEA">
            <w:pPr>
              <w:widowControl/>
              <w:numPr>
                <w:ilvl w:val="0"/>
                <w:numId w:val="387"/>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具有</w:t>
            </w:r>
            <w:r>
              <w:rPr>
                <w:rFonts w:hint="eastAsia" w:ascii="宋体" w:hAnsi="宋体"/>
                <w:color w:val="auto"/>
                <w:szCs w:val="21"/>
                <w:highlight w:val="none"/>
              </w:rPr>
              <w:t>≥</w:t>
            </w:r>
            <w:r>
              <w:rPr>
                <w:rFonts w:hint="eastAsia" w:ascii="宋体" w:hAnsi="宋体"/>
                <w:color w:val="auto"/>
                <w:kern w:val="0"/>
                <w:szCs w:val="21"/>
                <w:highlight w:val="none"/>
                <w:lang w:bidi="ar"/>
              </w:rPr>
              <w:t>6路辅助音频输入、</w:t>
            </w:r>
            <w:r>
              <w:rPr>
                <w:rFonts w:hint="eastAsia" w:ascii="宋体" w:hAnsi="宋体"/>
                <w:color w:val="auto"/>
                <w:szCs w:val="21"/>
                <w:highlight w:val="none"/>
              </w:rPr>
              <w:t>≥</w:t>
            </w:r>
            <w:r>
              <w:rPr>
                <w:rFonts w:hint="eastAsia" w:ascii="宋体" w:hAnsi="宋体"/>
                <w:color w:val="auto"/>
                <w:kern w:val="0"/>
                <w:szCs w:val="21"/>
                <w:highlight w:val="none"/>
                <w:lang w:bidi="ar"/>
              </w:rPr>
              <w:t>2路辅助音频输出、</w:t>
            </w:r>
            <w:r>
              <w:rPr>
                <w:rFonts w:hint="eastAsia" w:ascii="宋体" w:hAnsi="宋体"/>
                <w:color w:val="auto"/>
                <w:szCs w:val="21"/>
                <w:highlight w:val="none"/>
              </w:rPr>
              <w:t>≥</w:t>
            </w:r>
            <w:r>
              <w:rPr>
                <w:rFonts w:hint="eastAsia" w:ascii="宋体" w:hAnsi="宋体"/>
                <w:color w:val="auto"/>
                <w:kern w:val="0"/>
                <w:szCs w:val="21"/>
                <w:highlight w:val="none"/>
                <w:lang w:bidi="ar"/>
              </w:rPr>
              <w:t>2路话筒输入(话筒1有优先级最高)</w:t>
            </w:r>
          </w:p>
          <w:p w14:paraId="57D7DD19">
            <w:pPr>
              <w:widowControl/>
              <w:numPr>
                <w:ilvl w:val="0"/>
                <w:numId w:val="387"/>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辅助音频输入、话筒输入带有默音调节电位器，默音电平量可调节</w:t>
            </w:r>
          </w:p>
          <w:p w14:paraId="0F49FCF9">
            <w:pPr>
              <w:widowControl/>
              <w:numPr>
                <w:ilvl w:val="0"/>
                <w:numId w:val="387"/>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工作状态、网络状态、电源状态、功放状态LED指示</w:t>
            </w:r>
          </w:p>
          <w:p w14:paraId="247A9DB9">
            <w:pPr>
              <w:widowControl/>
              <w:numPr>
                <w:ilvl w:val="0"/>
                <w:numId w:val="387"/>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内置看门狗功能，有效保障设备的正常运行</w:t>
            </w:r>
          </w:p>
          <w:p w14:paraId="0F017DB4">
            <w:pPr>
              <w:widowControl/>
              <w:numPr>
                <w:ilvl w:val="0"/>
                <w:numId w:val="387"/>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高可靠性设计寿命长，平均无故障时间(MTBF)&gt;10万小时</w:t>
            </w:r>
          </w:p>
          <w:p w14:paraId="47401E68">
            <w:pPr>
              <w:widowControl/>
              <w:numPr>
                <w:ilvl w:val="0"/>
                <w:numId w:val="387"/>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可脱机接受紧急寻呼,音量调节到80%</w:t>
            </w:r>
          </w:p>
          <w:p w14:paraId="01DB6895">
            <w:pPr>
              <w:widowControl/>
              <w:numPr>
                <w:ilvl w:val="0"/>
                <w:numId w:val="387"/>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软件设置IP地址，支持TCP,UDP,4G，静态IP</w:t>
            </w:r>
          </w:p>
          <w:p w14:paraId="5947C5B7">
            <w:pPr>
              <w:widowControl/>
              <w:numPr>
                <w:ilvl w:val="0"/>
                <w:numId w:val="387"/>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支持主备服务器切换功能,当主服务器出现故障时自动切换至备用服务器（可选）</w:t>
            </w:r>
          </w:p>
          <w:p w14:paraId="3178D00E">
            <w:pPr>
              <w:widowControl/>
              <w:numPr>
                <w:ilvl w:val="0"/>
                <w:numId w:val="387"/>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后结四路接线柱式接头，对接香蕉头，快插式接入</w:t>
            </w:r>
          </w:p>
          <w:p w14:paraId="02D27A03">
            <w:pPr>
              <w:widowControl/>
              <w:numPr>
                <w:ilvl w:val="0"/>
                <w:numId w:val="387"/>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内置热敏电阻及温控开关，开机静音，信号启动或升温50°后由8～12V供电，降噪风扇节能更环保</w:t>
            </w:r>
          </w:p>
          <w:p w14:paraId="5F9F7F28">
            <w:pPr>
              <w:widowControl/>
              <w:numPr>
                <w:ilvl w:val="0"/>
                <w:numId w:val="387"/>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功放采用H类结构，稳定高效</w:t>
            </w:r>
          </w:p>
          <w:p w14:paraId="04DE18F9">
            <w:pPr>
              <w:widowControl/>
              <w:numPr>
                <w:ilvl w:val="0"/>
                <w:numId w:val="387"/>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独立电源线插头，便于机柜式工程安装调试</w:t>
            </w:r>
          </w:p>
          <w:p w14:paraId="5770C11A">
            <w:pPr>
              <w:widowControl/>
              <w:numPr>
                <w:ilvl w:val="0"/>
                <w:numId w:val="387"/>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功放配备备用保险丝</w:t>
            </w:r>
          </w:p>
          <w:p w14:paraId="1BACE893">
            <w:pPr>
              <w:widowControl/>
              <w:numPr>
                <w:ilvl w:val="0"/>
                <w:numId w:val="387"/>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具有蓝牙、FM调频、SD卡输入功能</w:t>
            </w:r>
          </w:p>
          <w:p w14:paraId="536318FB">
            <w:pPr>
              <w:widowControl/>
              <w:numPr>
                <w:ilvl w:val="0"/>
                <w:numId w:val="387"/>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两路话筒输入，MIC1具有优先默音功能链接消防报警信号一键切入，两路MIC音量独控旋钮</w:t>
            </w:r>
          </w:p>
          <w:p w14:paraId="1BC23D43">
            <w:pPr>
              <w:widowControl/>
              <w:numPr>
                <w:ilvl w:val="0"/>
                <w:numId w:val="387"/>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功放24小时处于关机状态，接收任务执行自动触发开启，任务执行后自动关机，高效节能环保</w:t>
            </w:r>
          </w:p>
          <w:p w14:paraId="05B4F249">
            <w:pPr>
              <w:widowControl/>
              <w:numPr>
                <w:ilvl w:val="0"/>
                <w:numId w:val="387"/>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网络接口：标准RJ45输入</w:t>
            </w:r>
          </w:p>
          <w:p w14:paraId="09BF7DD0">
            <w:pPr>
              <w:widowControl/>
              <w:numPr>
                <w:ilvl w:val="0"/>
                <w:numId w:val="387"/>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支持协议：TCP/IP、UDP、IGMP、4G，静态IP</w:t>
            </w:r>
          </w:p>
          <w:p w14:paraId="124A5D3F">
            <w:pPr>
              <w:widowControl/>
              <w:numPr>
                <w:ilvl w:val="0"/>
                <w:numId w:val="387"/>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传输速率：</w:t>
            </w:r>
            <w:r>
              <w:rPr>
                <w:rFonts w:hint="eastAsia" w:ascii="宋体" w:hAnsi="宋体"/>
                <w:color w:val="auto"/>
                <w:szCs w:val="21"/>
                <w:highlight w:val="none"/>
              </w:rPr>
              <w:t>≥</w:t>
            </w:r>
            <w:r>
              <w:rPr>
                <w:rFonts w:hint="eastAsia" w:ascii="宋体" w:hAnsi="宋体"/>
                <w:color w:val="auto"/>
                <w:kern w:val="0"/>
                <w:szCs w:val="21"/>
                <w:highlight w:val="none"/>
                <w:lang w:bidi="ar"/>
              </w:rPr>
              <w:t>100Mbps</w:t>
            </w:r>
          </w:p>
          <w:p w14:paraId="49E7F4B5">
            <w:pPr>
              <w:widowControl/>
              <w:numPr>
                <w:ilvl w:val="0"/>
                <w:numId w:val="387"/>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功率：</w:t>
            </w:r>
            <w:r>
              <w:rPr>
                <w:rFonts w:hint="eastAsia" w:ascii="宋体" w:hAnsi="宋体"/>
                <w:color w:val="auto"/>
                <w:szCs w:val="21"/>
                <w:highlight w:val="none"/>
              </w:rPr>
              <w:t>≥</w:t>
            </w:r>
            <w:r>
              <w:rPr>
                <w:rFonts w:hint="eastAsia" w:ascii="宋体" w:hAnsi="宋体"/>
                <w:color w:val="auto"/>
                <w:kern w:val="0"/>
                <w:szCs w:val="21"/>
                <w:highlight w:val="none"/>
                <w:lang w:bidi="ar"/>
              </w:rPr>
              <w:t>500W</w:t>
            </w:r>
          </w:p>
        </w:tc>
        <w:tc>
          <w:tcPr>
            <w:tcW w:w="863" w:type="dxa"/>
            <w:gridSpan w:val="4"/>
            <w:tcBorders>
              <w:top w:val="single" w:color="000000" w:sz="4" w:space="0"/>
              <w:left w:val="single" w:color="000000" w:sz="4" w:space="0"/>
              <w:bottom w:val="single" w:color="000000" w:sz="4" w:space="0"/>
              <w:right w:val="single" w:color="000000" w:sz="4" w:space="0"/>
            </w:tcBorders>
            <w:vAlign w:val="center"/>
          </w:tcPr>
          <w:p w14:paraId="62A38DC8">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台</w:t>
            </w:r>
          </w:p>
        </w:tc>
        <w:tc>
          <w:tcPr>
            <w:tcW w:w="925" w:type="dxa"/>
            <w:gridSpan w:val="3"/>
            <w:tcBorders>
              <w:top w:val="single" w:color="000000" w:sz="4" w:space="0"/>
              <w:left w:val="single" w:color="000000" w:sz="4" w:space="0"/>
              <w:bottom w:val="single" w:color="000000" w:sz="4" w:space="0"/>
              <w:right w:val="single" w:color="000000" w:sz="4" w:space="0"/>
            </w:tcBorders>
            <w:vAlign w:val="center"/>
          </w:tcPr>
          <w:p w14:paraId="37831D2E">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212FB9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7" w:type="dxa"/>
          <w:trHeight w:val="415" w:hRule="atLeast"/>
          <w:jc w:val="center"/>
        </w:trPr>
        <w:tc>
          <w:tcPr>
            <w:tcW w:w="749" w:type="dxa"/>
            <w:tcBorders>
              <w:top w:val="single" w:color="000000" w:sz="4" w:space="0"/>
              <w:left w:val="single" w:color="000000" w:sz="4" w:space="0"/>
              <w:bottom w:val="single" w:color="000000" w:sz="4" w:space="0"/>
              <w:right w:val="single" w:color="000000" w:sz="4" w:space="0"/>
            </w:tcBorders>
            <w:vAlign w:val="center"/>
          </w:tcPr>
          <w:p w14:paraId="62DFF4C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3</w:t>
            </w:r>
          </w:p>
        </w:tc>
        <w:tc>
          <w:tcPr>
            <w:tcW w:w="1227" w:type="dxa"/>
            <w:tcBorders>
              <w:top w:val="single" w:color="000000" w:sz="4" w:space="0"/>
              <w:left w:val="single" w:color="000000" w:sz="4" w:space="0"/>
              <w:bottom w:val="single" w:color="000000" w:sz="4" w:space="0"/>
              <w:right w:val="single" w:color="000000" w:sz="4" w:space="0"/>
            </w:tcBorders>
            <w:vAlign w:val="center"/>
          </w:tcPr>
          <w:p w14:paraId="44BE9CEF">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8口交换机</w:t>
            </w:r>
          </w:p>
        </w:tc>
        <w:tc>
          <w:tcPr>
            <w:tcW w:w="6187" w:type="dxa"/>
            <w:gridSpan w:val="2"/>
            <w:tcBorders>
              <w:top w:val="single" w:color="000000" w:sz="4" w:space="0"/>
              <w:left w:val="single" w:color="000000" w:sz="4" w:space="0"/>
              <w:bottom w:val="single" w:color="000000" w:sz="4" w:space="0"/>
              <w:right w:val="single" w:color="000000" w:sz="4" w:space="0"/>
            </w:tcBorders>
            <w:vAlign w:val="center"/>
          </w:tcPr>
          <w:p w14:paraId="5F975576">
            <w:pPr>
              <w:widowControl/>
              <w:numPr>
                <w:ilvl w:val="0"/>
                <w:numId w:val="388"/>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8口交换机</w:t>
            </w:r>
          </w:p>
        </w:tc>
        <w:tc>
          <w:tcPr>
            <w:tcW w:w="863" w:type="dxa"/>
            <w:gridSpan w:val="4"/>
            <w:tcBorders>
              <w:top w:val="single" w:color="000000" w:sz="4" w:space="0"/>
              <w:left w:val="single" w:color="000000" w:sz="4" w:space="0"/>
              <w:bottom w:val="single" w:color="000000" w:sz="4" w:space="0"/>
              <w:right w:val="single" w:color="000000" w:sz="4" w:space="0"/>
            </w:tcBorders>
            <w:vAlign w:val="center"/>
          </w:tcPr>
          <w:p w14:paraId="4BB68B80">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台</w:t>
            </w:r>
          </w:p>
        </w:tc>
        <w:tc>
          <w:tcPr>
            <w:tcW w:w="925" w:type="dxa"/>
            <w:gridSpan w:val="3"/>
            <w:tcBorders>
              <w:top w:val="single" w:color="000000" w:sz="4" w:space="0"/>
              <w:left w:val="single" w:color="000000" w:sz="4" w:space="0"/>
              <w:bottom w:val="single" w:color="000000" w:sz="4" w:space="0"/>
              <w:right w:val="single" w:color="000000" w:sz="4" w:space="0"/>
            </w:tcBorders>
            <w:vAlign w:val="center"/>
          </w:tcPr>
          <w:p w14:paraId="35127C1A">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28D30F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7" w:type="dxa"/>
          <w:trHeight w:val="415" w:hRule="atLeast"/>
          <w:jc w:val="center"/>
        </w:trPr>
        <w:tc>
          <w:tcPr>
            <w:tcW w:w="749" w:type="dxa"/>
            <w:tcBorders>
              <w:top w:val="single" w:color="000000" w:sz="4" w:space="0"/>
              <w:left w:val="single" w:color="000000" w:sz="4" w:space="0"/>
              <w:bottom w:val="single" w:color="000000" w:sz="4" w:space="0"/>
              <w:right w:val="single" w:color="000000" w:sz="4" w:space="0"/>
            </w:tcBorders>
            <w:vAlign w:val="center"/>
          </w:tcPr>
          <w:p w14:paraId="3EF2FF95">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4</w:t>
            </w:r>
          </w:p>
        </w:tc>
        <w:tc>
          <w:tcPr>
            <w:tcW w:w="1227" w:type="dxa"/>
            <w:tcBorders>
              <w:top w:val="single" w:color="000000" w:sz="4" w:space="0"/>
              <w:left w:val="single" w:color="000000" w:sz="4" w:space="0"/>
              <w:bottom w:val="single" w:color="000000" w:sz="4" w:space="0"/>
              <w:right w:val="single" w:color="000000" w:sz="4" w:space="0"/>
            </w:tcBorders>
            <w:vAlign w:val="center"/>
          </w:tcPr>
          <w:p w14:paraId="0B43D9E3">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机柜</w:t>
            </w:r>
          </w:p>
        </w:tc>
        <w:tc>
          <w:tcPr>
            <w:tcW w:w="6187" w:type="dxa"/>
            <w:gridSpan w:val="2"/>
            <w:tcBorders>
              <w:top w:val="single" w:color="000000" w:sz="4" w:space="0"/>
              <w:left w:val="single" w:color="000000" w:sz="4" w:space="0"/>
              <w:bottom w:val="single" w:color="000000" w:sz="4" w:space="0"/>
              <w:right w:val="single" w:color="000000" w:sz="4" w:space="0"/>
            </w:tcBorders>
            <w:vAlign w:val="center"/>
          </w:tcPr>
          <w:p w14:paraId="450A9C60">
            <w:pPr>
              <w:widowControl/>
              <w:numPr>
                <w:ilvl w:val="0"/>
                <w:numId w:val="389"/>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 xml:space="preserve">标准：19英寸国际标准   </w:t>
            </w:r>
          </w:p>
          <w:p w14:paraId="431DF095">
            <w:pPr>
              <w:widowControl/>
              <w:numPr>
                <w:ilvl w:val="0"/>
                <w:numId w:val="389"/>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 xml:space="preserve">门及门锁：前门：钢化玻璃前门，带锁；后门：全金属后门，带锁  </w:t>
            </w:r>
          </w:p>
          <w:p w14:paraId="6EA35892">
            <w:pPr>
              <w:widowControl/>
              <w:numPr>
                <w:ilvl w:val="0"/>
                <w:numId w:val="389"/>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 xml:space="preserve">材料及工艺：钢化玻璃前门和金属后门  </w:t>
            </w:r>
          </w:p>
          <w:p w14:paraId="0B89CE15">
            <w:pPr>
              <w:widowControl/>
              <w:numPr>
                <w:ilvl w:val="0"/>
                <w:numId w:val="389"/>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附加功能：侧板：速装卸侧板</w:t>
            </w:r>
          </w:p>
        </w:tc>
        <w:tc>
          <w:tcPr>
            <w:tcW w:w="863" w:type="dxa"/>
            <w:gridSpan w:val="4"/>
            <w:tcBorders>
              <w:top w:val="single" w:color="000000" w:sz="4" w:space="0"/>
              <w:left w:val="single" w:color="000000" w:sz="4" w:space="0"/>
              <w:bottom w:val="single" w:color="000000" w:sz="4" w:space="0"/>
              <w:right w:val="single" w:color="000000" w:sz="4" w:space="0"/>
            </w:tcBorders>
            <w:vAlign w:val="center"/>
          </w:tcPr>
          <w:p w14:paraId="40B3A49D">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台</w:t>
            </w:r>
          </w:p>
        </w:tc>
        <w:tc>
          <w:tcPr>
            <w:tcW w:w="925" w:type="dxa"/>
            <w:gridSpan w:val="3"/>
            <w:tcBorders>
              <w:top w:val="single" w:color="000000" w:sz="4" w:space="0"/>
              <w:left w:val="single" w:color="000000" w:sz="4" w:space="0"/>
              <w:bottom w:val="single" w:color="000000" w:sz="4" w:space="0"/>
              <w:right w:val="single" w:color="000000" w:sz="4" w:space="0"/>
            </w:tcBorders>
            <w:vAlign w:val="center"/>
          </w:tcPr>
          <w:p w14:paraId="46BF0296">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0D62E0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7" w:type="dxa"/>
          <w:trHeight w:val="415" w:hRule="atLeast"/>
          <w:jc w:val="center"/>
        </w:trPr>
        <w:tc>
          <w:tcPr>
            <w:tcW w:w="749" w:type="dxa"/>
            <w:tcBorders>
              <w:top w:val="single" w:color="000000" w:sz="4" w:space="0"/>
              <w:left w:val="single" w:color="000000" w:sz="4" w:space="0"/>
              <w:bottom w:val="single" w:color="000000" w:sz="4" w:space="0"/>
              <w:right w:val="single" w:color="000000" w:sz="4" w:space="0"/>
            </w:tcBorders>
            <w:vAlign w:val="center"/>
          </w:tcPr>
          <w:p w14:paraId="4401E2BE">
            <w:pPr>
              <w:widowControl/>
              <w:textAlignment w:val="center"/>
              <w:rPr>
                <w:rFonts w:hint="eastAsia" w:ascii="宋体" w:hAnsi="宋体"/>
                <w:b/>
                <w:bCs/>
                <w:color w:val="auto"/>
                <w:szCs w:val="21"/>
                <w:highlight w:val="none"/>
              </w:rPr>
            </w:pPr>
            <w:r>
              <w:rPr>
                <w:rFonts w:hint="eastAsia" w:ascii="宋体" w:hAnsi="宋体"/>
                <w:b/>
                <w:bCs/>
                <w:color w:val="auto"/>
                <w:kern w:val="0"/>
                <w:szCs w:val="21"/>
                <w:highlight w:val="none"/>
                <w:lang w:bidi="ar"/>
              </w:rPr>
              <w:t>（六）</w:t>
            </w:r>
          </w:p>
        </w:tc>
        <w:tc>
          <w:tcPr>
            <w:tcW w:w="1227" w:type="dxa"/>
            <w:tcBorders>
              <w:top w:val="single" w:color="000000" w:sz="4" w:space="0"/>
              <w:left w:val="single" w:color="000000" w:sz="4" w:space="0"/>
              <w:bottom w:val="single" w:color="000000" w:sz="4" w:space="0"/>
              <w:right w:val="single" w:color="000000" w:sz="4" w:space="0"/>
            </w:tcBorders>
            <w:vAlign w:val="center"/>
          </w:tcPr>
          <w:p w14:paraId="17645916">
            <w:pPr>
              <w:widowControl/>
              <w:jc w:val="center"/>
              <w:textAlignment w:val="center"/>
              <w:rPr>
                <w:rFonts w:hint="eastAsia" w:ascii="宋体" w:hAnsi="宋体"/>
                <w:b/>
                <w:bCs/>
                <w:color w:val="auto"/>
                <w:szCs w:val="21"/>
                <w:highlight w:val="none"/>
              </w:rPr>
            </w:pPr>
            <w:r>
              <w:rPr>
                <w:rFonts w:hint="eastAsia" w:ascii="宋体" w:hAnsi="宋体"/>
                <w:b/>
                <w:bCs/>
                <w:color w:val="auto"/>
                <w:kern w:val="0"/>
                <w:szCs w:val="21"/>
                <w:highlight w:val="none"/>
                <w:lang w:bidi="ar"/>
              </w:rPr>
              <w:t>5#食堂/风雨操场</w:t>
            </w:r>
          </w:p>
        </w:tc>
        <w:tc>
          <w:tcPr>
            <w:tcW w:w="6187" w:type="dxa"/>
            <w:gridSpan w:val="2"/>
            <w:tcBorders>
              <w:top w:val="single" w:color="000000" w:sz="4" w:space="0"/>
              <w:left w:val="single" w:color="000000" w:sz="4" w:space="0"/>
              <w:bottom w:val="single" w:color="000000" w:sz="4" w:space="0"/>
              <w:right w:val="single" w:color="000000" w:sz="4" w:space="0"/>
            </w:tcBorders>
            <w:vAlign w:val="center"/>
          </w:tcPr>
          <w:p w14:paraId="7FBA4E18">
            <w:pPr>
              <w:jc w:val="left"/>
              <w:rPr>
                <w:rFonts w:hint="eastAsia" w:ascii="宋体" w:hAnsi="宋体"/>
                <w:b/>
                <w:bCs/>
                <w:color w:val="auto"/>
                <w:szCs w:val="21"/>
                <w:highlight w:val="none"/>
              </w:rPr>
            </w:pPr>
          </w:p>
        </w:tc>
        <w:tc>
          <w:tcPr>
            <w:tcW w:w="863" w:type="dxa"/>
            <w:gridSpan w:val="4"/>
            <w:tcBorders>
              <w:top w:val="single" w:color="000000" w:sz="4" w:space="0"/>
              <w:left w:val="single" w:color="000000" w:sz="4" w:space="0"/>
              <w:bottom w:val="single" w:color="000000" w:sz="4" w:space="0"/>
              <w:right w:val="single" w:color="000000" w:sz="4" w:space="0"/>
            </w:tcBorders>
            <w:vAlign w:val="center"/>
          </w:tcPr>
          <w:p w14:paraId="2952FC43">
            <w:pPr>
              <w:jc w:val="center"/>
              <w:rPr>
                <w:rFonts w:hint="eastAsia" w:ascii="宋体" w:hAnsi="宋体"/>
                <w:b/>
                <w:bCs/>
                <w:color w:val="auto"/>
                <w:szCs w:val="21"/>
                <w:highlight w:val="none"/>
              </w:rPr>
            </w:pPr>
          </w:p>
        </w:tc>
        <w:tc>
          <w:tcPr>
            <w:tcW w:w="925" w:type="dxa"/>
            <w:gridSpan w:val="3"/>
            <w:tcBorders>
              <w:top w:val="single" w:color="000000" w:sz="4" w:space="0"/>
              <w:left w:val="single" w:color="000000" w:sz="4" w:space="0"/>
              <w:bottom w:val="single" w:color="000000" w:sz="4" w:space="0"/>
              <w:right w:val="single" w:color="000000" w:sz="4" w:space="0"/>
            </w:tcBorders>
            <w:vAlign w:val="center"/>
          </w:tcPr>
          <w:p w14:paraId="6FA44E75">
            <w:pPr>
              <w:jc w:val="center"/>
              <w:rPr>
                <w:rFonts w:hint="eastAsia" w:ascii="宋体" w:hAnsi="宋体"/>
                <w:b/>
                <w:bCs/>
                <w:color w:val="auto"/>
                <w:szCs w:val="21"/>
                <w:highlight w:val="none"/>
              </w:rPr>
            </w:pPr>
          </w:p>
        </w:tc>
      </w:tr>
      <w:tr w14:paraId="20E133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7" w:type="dxa"/>
          <w:trHeight w:val="415" w:hRule="atLeast"/>
          <w:jc w:val="center"/>
        </w:trPr>
        <w:tc>
          <w:tcPr>
            <w:tcW w:w="749" w:type="dxa"/>
            <w:tcBorders>
              <w:top w:val="single" w:color="000000" w:sz="4" w:space="0"/>
              <w:left w:val="single" w:color="000000" w:sz="4" w:space="0"/>
              <w:bottom w:val="single" w:color="000000" w:sz="4" w:space="0"/>
              <w:right w:val="single" w:color="000000" w:sz="4" w:space="0"/>
            </w:tcBorders>
            <w:vAlign w:val="center"/>
          </w:tcPr>
          <w:p w14:paraId="254E7432">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c>
          <w:tcPr>
            <w:tcW w:w="1227" w:type="dxa"/>
            <w:tcBorders>
              <w:top w:val="single" w:color="000000" w:sz="4" w:space="0"/>
              <w:left w:val="single" w:color="000000" w:sz="4" w:space="0"/>
              <w:bottom w:val="single" w:color="000000" w:sz="4" w:space="0"/>
              <w:right w:val="single" w:color="000000" w:sz="4" w:space="0"/>
            </w:tcBorders>
            <w:vAlign w:val="center"/>
          </w:tcPr>
          <w:p w14:paraId="4DCC6141">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音响</w:t>
            </w:r>
          </w:p>
        </w:tc>
        <w:tc>
          <w:tcPr>
            <w:tcW w:w="6187" w:type="dxa"/>
            <w:gridSpan w:val="2"/>
            <w:tcBorders>
              <w:top w:val="single" w:color="000000" w:sz="4" w:space="0"/>
              <w:left w:val="single" w:color="000000" w:sz="4" w:space="0"/>
              <w:bottom w:val="single" w:color="000000" w:sz="4" w:space="0"/>
              <w:right w:val="single" w:color="000000" w:sz="4" w:space="0"/>
            </w:tcBorders>
            <w:vAlign w:val="center"/>
          </w:tcPr>
          <w:p w14:paraId="34BBD235">
            <w:pPr>
              <w:widowControl/>
              <w:numPr>
                <w:ilvl w:val="0"/>
                <w:numId w:val="390"/>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功率：</w:t>
            </w:r>
            <w:r>
              <w:rPr>
                <w:rFonts w:hint="eastAsia" w:ascii="宋体" w:hAnsi="宋体"/>
                <w:color w:val="auto"/>
                <w:szCs w:val="21"/>
                <w:highlight w:val="none"/>
              </w:rPr>
              <w:t>≥</w:t>
            </w:r>
            <w:r>
              <w:rPr>
                <w:rFonts w:hint="eastAsia" w:ascii="宋体" w:hAnsi="宋体"/>
                <w:color w:val="auto"/>
                <w:kern w:val="0"/>
                <w:szCs w:val="21"/>
                <w:highlight w:val="none"/>
                <w:lang w:bidi="ar"/>
              </w:rPr>
              <w:t xml:space="preserve">20W  </w:t>
            </w:r>
          </w:p>
          <w:p w14:paraId="247BFBB2">
            <w:pPr>
              <w:widowControl/>
              <w:numPr>
                <w:ilvl w:val="0"/>
                <w:numId w:val="390"/>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 xml:space="preserve">喇叭单元:5寸+高音 </w:t>
            </w:r>
          </w:p>
          <w:p w14:paraId="4373973B">
            <w:pPr>
              <w:widowControl/>
              <w:numPr>
                <w:ilvl w:val="0"/>
                <w:numId w:val="390"/>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 xml:space="preserve">定压输入:70-100v </w:t>
            </w:r>
          </w:p>
          <w:p w14:paraId="447D9BC8">
            <w:pPr>
              <w:widowControl/>
              <w:numPr>
                <w:ilvl w:val="0"/>
                <w:numId w:val="390"/>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 xml:space="preserve">灵敏度：92dB    </w:t>
            </w:r>
          </w:p>
          <w:p w14:paraId="21CE3055">
            <w:pPr>
              <w:widowControl/>
              <w:numPr>
                <w:ilvl w:val="0"/>
                <w:numId w:val="390"/>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 xml:space="preserve">频率响应：70-20000Hz   </w:t>
            </w:r>
          </w:p>
          <w:p w14:paraId="7E20FD33">
            <w:pPr>
              <w:widowControl/>
              <w:numPr>
                <w:ilvl w:val="0"/>
                <w:numId w:val="390"/>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颜色：黑/白</w:t>
            </w:r>
          </w:p>
        </w:tc>
        <w:tc>
          <w:tcPr>
            <w:tcW w:w="863" w:type="dxa"/>
            <w:gridSpan w:val="4"/>
            <w:tcBorders>
              <w:top w:val="single" w:color="000000" w:sz="4" w:space="0"/>
              <w:left w:val="single" w:color="000000" w:sz="4" w:space="0"/>
              <w:bottom w:val="single" w:color="000000" w:sz="4" w:space="0"/>
              <w:right w:val="single" w:color="000000" w:sz="4" w:space="0"/>
            </w:tcBorders>
            <w:vAlign w:val="center"/>
          </w:tcPr>
          <w:p w14:paraId="529E82F0">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个</w:t>
            </w:r>
          </w:p>
        </w:tc>
        <w:tc>
          <w:tcPr>
            <w:tcW w:w="925" w:type="dxa"/>
            <w:gridSpan w:val="3"/>
            <w:tcBorders>
              <w:top w:val="single" w:color="000000" w:sz="4" w:space="0"/>
              <w:left w:val="single" w:color="000000" w:sz="4" w:space="0"/>
              <w:bottom w:val="single" w:color="000000" w:sz="4" w:space="0"/>
              <w:right w:val="single" w:color="000000" w:sz="4" w:space="0"/>
            </w:tcBorders>
            <w:vAlign w:val="center"/>
          </w:tcPr>
          <w:p w14:paraId="2612234E">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12</w:t>
            </w:r>
          </w:p>
        </w:tc>
      </w:tr>
      <w:tr w14:paraId="737EDA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7" w:type="dxa"/>
          <w:trHeight w:val="415" w:hRule="atLeast"/>
          <w:jc w:val="center"/>
        </w:trPr>
        <w:tc>
          <w:tcPr>
            <w:tcW w:w="749" w:type="dxa"/>
            <w:tcBorders>
              <w:top w:val="single" w:color="000000" w:sz="4" w:space="0"/>
              <w:left w:val="single" w:color="000000" w:sz="4" w:space="0"/>
              <w:bottom w:val="single" w:color="000000" w:sz="4" w:space="0"/>
              <w:right w:val="single" w:color="000000" w:sz="4" w:space="0"/>
            </w:tcBorders>
            <w:vAlign w:val="center"/>
          </w:tcPr>
          <w:p w14:paraId="7A7A64F1">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w:t>
            </w:r>
          </w:p>
        </w:tc>
        <w:tc>
          <w:tcPr>
            <w:tcW w:w="1227" w:type="dxa"/>
            <w:tcBorders>
              <w:top w:val="single" w:color="000000" w:sz="4" w:space="0"/>
              <w:left w:val="single" w:color="000000" w:sz="4" w:space="0"/>
              <w:bottom w:val="single" w:color="000000" w:sz="4" w:space="0"/>
              <w:right w:val="single" w:color="000000" w:sz="4" w:space="0"/>
            </w:tcBorders>
            <w:vAlign w:val="center"/>
          </w:tcPr>
          <w:p w14:paraId="447F6C6F">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IP网络定压功放</w:t>
            </w:r>
          </w:p>
        </w:tc>
        <w:tc>
          <w:tcPr>
            <w:tcW w:w="6187" w:type="dxa"/>
            <w:gridSpan w:val="2"/>
            <w:tcBorders>
              <w:top w:val="single" w:color="000000" w:sz="4" w:space="0"/>
              <w:left w:val="single" w:color="000000" w:sz="4" w:space="0"/>
              <w:bottom w:val="single" w:color="000000" w:sz="4" w:space="0"/>
              <w:right w:val="single" w:color="000000" w:sz="4" w:space="0"/>
            </w:tcBorders>
            <w:vAlign w:val="center"/>
          </w:tcPr>
          <w:p w14:paraId="676FB3F7">
            <w:pPr>
              <w:widowControl/>
              <w:numPr>
                <w:ilvl w:val="0"/>
                <w:numId w:val="391"/>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IP功放是一款基于TCP/IP传输协议的全数字化的模数转换信号处理器，由主控系统智能控制，可播放来自主控系统的背景节目、紧急寻呼、告警信号等</w:t>
            </w:r>
          </w:p>
          <w:p w14:paraId="4357FC2C">
            <w:pPr>
              <w:widowControl/>
              <w:numPr>
                <w:ilvl w:val="0"/>
                <w:numId w:val="391"/>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100V, 70V定压输出和4～16Ω定阻（平衡，不接地）输出</w:t>
            </w:r>
          </w:p>
          <w:p w14:paraId="2171FDFA">
            <w:pPr>
              <w:widowControl/>
              <w:numPr>
                <w:ilvl w:val="0"/>
                <w:numId w:val="391"/>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六分区输出，每路分区可独立控制音量</w:t>
            </w:r>
          </w:p>
          <w:p w14:paraId="2D291911">
            <w:pPr>
              <w:widowControl/>
              <w:numPr>
                <w:ilvl w:val="0"/>
                <w:numId w:val="391"/>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铝合金拉丝面板，配有MP3播放器并具有LCD显示屏功能，可实时知道当前播放状态。</w:t>
            </w:r>
          </w:p>
          <w:p w14:paraId="1CB37253">
            <w:pPr>
              <w:widowControl/>
              <w:numPr>
                <w:ilvl w:val="0"/>
                <w:numId w:val="391"/>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采用工业级芯片全数字化设计，内置DSP音效处理芯片，语音传输指数高，具有高保真CD音质</w:t>
            </w:r>
          </w:p>
          <w:p w14:paraId="2B35A921">
            <w:pPr>
              <w:widowControl/>
              <w:numPr>
                <w:ilvl w:val="0"/>
                <w:numId w:val="391"/>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支持最大48kHz采样率16bit数字音频流解码</w:t>
            </w:r>
          </w:p>
          <w:p w14:paraId="44A61BB3">
            <w:pPr>
              <w:widowControl/>
              <w:numPr>
                <w:ilvl w:val="0"/>
                <w:numId w:val="391"/>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播放模式可以在单曲播放、单曲循环、顺序播放、循环播放、随机播放之间任音选择</w:t>
            </w:r>
          </w:p>
          <w:p w14:paraId="33816B29">
            <w:pPr>
              <w:widowControl/>
              <w:numPr>
                <w:ilvl w:val="0"/>
                <w:numId w:val="391"/>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具有</w:t>
            </w:r>
            <w:r>
              <w:rPr>
                <w:rFonts w:hint="eastAsia" w:ascii="宋体" w:hAnsi="宋体"/>
                <w:color w:val="auto"/>
                <w:szCs w:val="21"/>
                <w:highlight w:val="none"/>
              </w:rPr>
              <w:t>≥</w:t>
            </w:r>
            <w:r>
              <w:rPr>
                <w:rFonts w:hint="eastAsia" w:ascii="宋体" w:hAnsi="宋体"/>
                <w:color w:val="auto"/>
                <w:kern w:val="0"/>
                <w:szCs w:val="21"/>
                <w:highlight w:val="none"/>
                <w:lang w:bidi="ar"/>
              </w:rPr>
              <w:t>6路辅助音频输入、</w:t>
            </w:r>
            <w:r>
              <w:rPr>
                <w:rFonts w:hint="eastAsia" w:ascii="宋体" w:hAnsi="宋体"/>
                <w:color w:val="auto"/>
                <w:szCs w:val="21"/>
                <w:highlight w:val="none"/>
              </w:rPr>
              <w:t>≥</w:t>
            </w:r>
            <w:r>
              <w:rPr>
                <w:rFonts w:hint="eastAsia" w:ascii="宋体" w:hAnsi="宋体"/>
                <w:color w:val="auto"/>
                <w:kern w:val="0"/>
                <w:szCs w:val="21"/>
                <w:highlight w:val="none"/>
                <w:lang w:bidi="ar"/>
              </w:rPr>
              <w:t>2路辅助音频输出、</w:t>
            </w:r>
            <w:r>
              <w:rPr>
                <w:rFonts w:hint="eastAsia" w:ascii="宋体" w:hAnsi="宋体"/>
                <w:color w:val="auto"/>
                <w:szCs w:val="21"/>
                <w:highlight w:val="none"/>
              </w:rPr>
              <w:t>≥</w:t>
            </w:r>
            <w:r>
              <w:rPr>
                <w:rFonts w:hint="eastAsia" w:ascii="宋体" w:hAnsi="宋体"/>
                <w:color w:val="auto"/>
                <w:kern w:val="0"/>
                <w:szCs w:val="21"/>
                <w:highlight w:val="none"/>
                <w:lang w:bidi="ar"/>
              </w:rPr>
              <w:t>2路话筒输入(话筒1有优先级最高)</w:t>
            </w:r>
          </w:p>
          <w:p w14:paraId="06F8C22A">
            <w:pPr>
              <w:widowControl/>
              <w:numPr>
                <w:ilvl w:val="0"/>
                <w:numId w:val="391"/>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辅助音频输入、话筒输入带有默音调节电位器，默音电平量可调节</w:t>
            </w:r>
          </w:p>
          <w:p w14:paraId="103D7690">
            <w:pPr>
              <w:widowControl/>
              <w:numPr>
                <w:ilvl w:val="0"/>
                <w:numId w:val="391"/>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工作状态、网络状态、电源状态、功放状态LED指示</w:t>
            </w:r>
          </w:p>
          <w:p w14:paraId="20FA39B9">
            <w:pPr>
              <w:widowControl/>
              <w:numPr>
                <w:ilvl w:val="0"/>
                <w:numId w:val="391"/>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内置看门狗功能，有效保障设备的正常运行</w:t>
            </w:r>
          </w:p>
          <w:p w14:paraId="3A8525A8">
            <w:pPr>
              <w:widowControl/>
              <w:numPr>
                <w:ilvl w:val="0"/>
                <w:numId w:val="391"/>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高可靠性设计寿命长，平均无故障时间(MTBF)&gt;10万小时</w:t>
            </w:r>
          </w:p>
          <w:p w14:paraId="21026165">
            <w:pPr>
              <w:widowControl/>
              <w:numPr>
                <w:ilvl w:val="0"/>
                <w:numId w:val="391"/>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可脱机接受紧急寻呼,音量调节到80%</w:t>
            </w:r>
          </w:p>
          <w:p w14:paraId="735F1E7A">
            <w:pPr>
              <w:widowControl/>
              <w:numPr>
                <w:ilvl w:val="0"/>
                <w:numId w:val="391"/>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软件设置IP地址，支持TCP,UDP,4G，静态IP</w:t>
            </w:r>
          </w:p>
          <w:p w14:paraId="232136C4">
            <w:pPr>
              <w:widowControl/>
              <w:numPr>
                <w:ilvl w:val="0"/>
                <w:numId w:val="391"/>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支持主备服务器切换功能,当主服务器出现故障时自动切换至备用服务器（可选）</w:t>
            </w:r>
          </w:p>
          <w:p w14:paraId="4C3ECE33">
            <w:pPr>
              <w:widowControl/>
              <w:numPr>
                <w:ilvl w:val="0"/>
                <w:numId w:val="391"/>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后结四路接线柱式接头，对接香蕉头，快插式接入</w:t>
            </w:r>
          </w:p>
          <w:p w14:paraId="207961EE">
            <w:pPr>
              <w:widowControl/>
              <w:numPr>
                <w:ilvl w:val="0"/>
                <w:numId w:val="391"/>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内置热敏电阻及温控开关，开机静音，信号启动或升温50°后由8～12V供电，降噪风扇节能更环保</w:t>
            </w:r>
          </w:p>
          <w:p w14:paraId="6BAEB469">
            <w:pPr>
              <w:widowControl/>
              <w:numPr>
                <w:ilvl w:val="0"/>
                <w:numId w:val="391"/>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功放采用H类结构，稳定高效</w:t>
            </w:r>
          </w:p>
          <w:p w14:paraId="284C0EE4">
            <w:pPr>
              <w:widowControl/>
              <w:numPr>
                <w:ilvl w:val="0"/>
                <w:numId w:val="391"/>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独立电源线插头，便于机柜式工程安装调试</w:t>
            </w:r>
          </w:p>
          <w:p w14:paraId="08E4064A">
            <w:pPr>
              <w:widowControl/>
              <w:numPr>
                <w:ilvl w:val="0"/>
                <w:numId w:val="391"/>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功放配备备用保险丝</w:t>
            </w:r>
          </w:p>
          <w:p w14:paraId="2ED206F9">
            <w:pPr>
              <w:widowControl/>
              <w:numPr>
                <w:ilvl w:val="0"/>
                <w:numId w:val="391"/>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具有蓝牙、FM调频、SD卡输入功能</w:t>
            </w:r>
          </w:p>
          <w:p w14:paraId="4A6239E0">
            <w:pPr>
              <w:widowControl/>
              <w:numPr>
                <w:ilvl w:val="0"/>
                <w:numId w:val="391"/>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两路话筒输入，MIC1具有优先默音功能链接消防报警信号一键切入，两路MIC音量独控旋钮</w:t>
            </w:r>
          </w:p>
          <w:p w14:paraId="355321CA">
            <w:pPr>
              <w:widowControl/>
              <w:numPr>
                <w:ilvl w:val="0"/>
                <w:numId w:val="391"/>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功放24小时处于关机状态，接收任务执行自动触发开启，任务执行后自动关机，高效节能环保</w:t>
            </w:r>
          </w:p>
          <w:p w14:paraId="51440CF0">
            <w:pPr>
              <w:widowControl/>
              <w:numPr>
                <w:ilvl w:val="0"/>
                <w:numId w:val="391"/>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网络接口：标准RJ45输入</w:t>
            </w:r>
          </w:p>
          <w:p w14:paraId="3AB122C3">
            <w:pPr>
              <w:widowControl/>
              <w:numPr>
                <w:ilvl w:val="0"/>
                <w:numId w:val="391"/>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支持协议：TCP/IP、UDP、IGMP、4G，静态IP</w:t>
            </w:r>
          </w:p>
          <w:p w14:paraId="388F68EF">
            <w:pPr>
              <w:widowControl/>
              <w:numPr>
                <w:ilvl w:val="0"/>
                <w:numId w:val="391"/>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传输速率：</w:t>
            </w:r>
            <w:r>
              <w:rPr>
                <w:rFonts w:hint="eastAsia" w:ascii="宋体" w:hAnsi="宋体"/>
                <w:color w:val="auto"/>
                <w:szCs w:val="21"/>
                <w:highlight w:val="none"/>
              </w:rPr>
              <w:t>≥</w:t>
            </w:r>
            <w:r>
              <w:rPr>
                <w:rFonts w:hint="eastAsia" w:ascii="宋体" w:hAnsi="宋体"/>
                <w:color w:val="auto"/>
                <w:kern w:val="0"/>
                <w:szCs w:val="21"/>
                <w:highlight w:val="none"/>
                <w:lang w:bidi="ar"/>
              </w:rPr>
              <w:t>100Mbps</w:t>
            </w:r>
          </w:p>
          <w:p w14:paraId="70B96759">
            <w:pPr>
              <w:widowControl/>
              <w:numPr>
                <w:ilvl w:val="0"/>
                <w:numId w:val="391"/>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功率：</w:t>
            </w:r>
            <w:r>
              <w:rPr>
                <w:rFonts w:hint="eastAsia" w:ascii="宋体" w:hAnsi="宋体"/>
                <w:color w:val="auto"/>
                <w:szCs w:val="21"/>
                <w:highlight w:val="none"/>
              </w:rPr>
              <w:t>≥</w:t>
            </w:r>
            <w:r>
              <w:rPr>
                <w:rFonts w:hint="eastAsia" w:ascii="宋体" w:hAnsi="宋体"/>
                <w:color w:val="auto"/>
                <w:kern w:val="0"/>
                <w:szCs w:val="21"/>
                <w:highlight w:val="none"/>
                <w:lang w:bidi="ar"/>
              </w:rPr>
              <w:t>350W</w:t>
            </w:r>
          </w:p>
        </w:tc>
        <w:tc>
          <w:tcPr>
            <w:tcW w:w="863" w:type="dxa"/>
            <w:gridSpan w:val="4"/>
            <w:tcBorders>
              <w:top w:val="single" w:color="000000" w:sz="4" w:space="0"/>
              <w:left w:val="single" w:color="000000" w:sz="4" w:space="0"/>
              <w:bottom w:val="single" w:color="000000" w:sz="4" w:space="0"/>
              <w:right w:val="single" w:color="000000" w:sz="4" w:space="0"/>
            </w:tcBorders>
            <w:vAlign w:val="center"/>
          </w:tcPr>
          <w:p w14:paraId="13BEA8F6">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台</w:t>
            </w:r>
          </w:p>
        </w:tc>
        <w:tc>
          <w:tcPr>
            <w:tcW w:w="925" w:type="dxa"/>
            <w:gridSpan w:val="3"/>
            <w:tcBorders>
              <w:top w:val="single" w:color="000000" w:sz="4" w:space="0"/>
              <w:left w:val="single" w:color="000000" w:sz="4" w:space="0"/>
              <w:bottom w:val="single" w:color="000000" w:sz="4" w:space="0"/>
              <w:right w:val="single" w:color="000000" w:sz="4" w:space="0"/>
            </w:tcBorders>
            <w:vAlign w:val="center"/>
          </w:tcPr>
          <w:p w14:paraId="1464A0F0">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33F43D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7" w:type="dxa"/>
          <w:trHeight w:val="415" w:hRule="atLeast"/>
          <w:jc w:val="center"/>
        </w:trPr>
        <w:tc>
          <w:tcPr>
            <w:tcW w:w="749" w:type="dxa"/>
            <w:tcBorders>
              <w:top w:val="single" w:color="000000" w:sz="4" w:space="0"/>
              <w:left w:val="single" w:color="000000" w:sz="4" w:space="0"/>
              <w:bottom w:val="single" w:color="000000" w:sz="4" w:space="0"/>
              <w:right w:val="single" w:color="000000" w:sz="4" w:space="0"/>
            </w:tcBorders>
            <w:vAlign w:val="center"/>
          </w:tcPr>
          <w:p w14:paraId="6484B2A8">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3</w:t>
            </w:r>
          </w:p>
        </w:tc>
        <w:tc>
          <w:tcPr>
            <w:tcW w:w="1227" w:type="dxa"/>
            <w:tcBorders>
              <w:top w:val="single" w:color="000000" w:sz="4" w:space="0"/>
              <w:left w:val="single" w:color="000000" w:sz="4" w:space="0"/>
              <w:bottom w:val="single" w:color="000000" w:sz="4" w:space="0"/>
              <w:right w:val="single" w:color="000000" w:sz="4" w:space="0"/>
            </w:tcBorders>
            <w:vAlign w:val="center"/>
          </w:tcPr>
          <w:p w14:paraId="51C6CDCB">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音柱</w:t>
            </w:r>
          </w:p>
        </w:tc>
        <w:tc>
          <w:tcPr>
            <w:tcW w:w="6187" w:type="dxa"/>
            <w:gridSpan w:val="2"/>
            <w:tcBorders>
              <w:top w:val="single" w:color="000000" w:sz="4" w:space="0"/>
              <w:left w:val="single" w:color="000000" w:sz="4" w:space="0"/>
              <w:bottom w:val="single" w:color="000000" w:sz="4" w:space="0"/>
              <w:right w:val="single" w:color="000000" w:sz="4" w:space="0"/>
            </w:tcBorders>
            <w:vAlign w:val="center"/>
          </w:tcPr>
          <w:p w14:paraId="52D1BAC3">
            <w:pPr>
              <w:widowControl/>
              <w:numPr>
                <w:ilvl w:val="0"/>
                <w:numId w:val="392"/>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额定功率：</w:t>
            </w:r>
            <w:r>
              <w:rPr>
                <w:rFonts w:hint="eastAsia" w:ascii="宋体" w:hAnsi="宋体"/>
                <w:color w:val="auto"/>
                <w:szCs w:val="21"/>
                <w:highlight w:val="none"/>
              </w:rPr>
              <w:t>≥</w:t>
            </w:r>
            <w:r>
              <w:rPr>
                <w:rFonts w:hint="eastAsia" w:ascii="宋体" w:hAnsi="宋体"/>
                <w:color w:val="auto"/>
                <w:kern w:val="0"/>
                <w:szCs w:val="21"/>
                <w:highlight w:val="none"/>
                <w:lang w:bidi="ar"/>
              </w:rPr>
              <w:t>30W</w:t>
            </w:r>
          </w:p>
          <w:p w14:paraId="52F6B8C2">
            <w:pPr>
              <w:widowControl/>
              <w:numPr>
                <w:ilvl w:val="0"/>
                <w:numId w:val="392"/>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扬声器：4寸全频喇叭×2只+1高音</w:t>
            </w:r>
          </w:p>
          <w:p w14:paraId="5E1AD639">
            <w:pPr>
              <w:widowControl/>
              <w:numPr>
                <w:ilvl w:val="0"/>
                <w:numId w:val="392"/>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 xml:space="preserve">定压输入:70-100v                </w:t>
            </w:r>
          </w:p>
          <w:p w14:paraId="46992A30">
            <w:pPr>
              <w:widowControl/>
              <w:numPr>
                <w:ilvl w:val="0"/>
                <w:numId w:val="392"/>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全天候豪华音柱采用全频防水喇叭，声音清晰明亮，具有超高的灵敏度外观，坚固耐用，安装方便，对人声音，音乐都有最真实的放大与还原效果，适用于车站大厅，体育馆，操场，码头，机场等公共场合</w:t>
            </w:r>
          </w:p>
        </w:tc>
        <w:tc>
          <w:tcPr>
            <w:tcW w:w="863" w:type="dxa"/>
            <w:gridSpan w:val="4"/>
            <w:tcBorders>
              <w:top w:val="single" w:color="000000" w:sz="4" w:space="0"/>
              <w:left w:val="single" w:color="000000" w:sz="4" w:space="0"/>
              <w:bottom w:val="single" w:color="000000" w:sz="4" w:space="0"/>
              <w:right w:val="single" w:color="000000" w:sz="4" w:space="0"/>
            </w:tcBorders>
            <w:vAlign w:val="center"/>
          </w:tcPr>
          <w:p w14:paraId="7CF45956">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台</w:t>
            </w:r>
          </w:p>
        </w:tc>
        <w:tc>
          <w:tcPr>
            <w:tcW w:w="925" w:type="dxa"/>
            <w:gridSpan w:val="3"/>
            <w:tcBorders>
              <w:top w:val="single" w:color="000000" w:sz="4" w:space="0"/>
              <w:left w:val="single" w:color="000000" w:sz="4" w:space="0"/>
              <w:bottom w:val="single" w:color="000000" w:sz="4" w:space="0"/>
              <w:right w:val="single" w:color="000000" w:sz="4" w:space="0"/>
            </w:tcBorders>
            <w:vAlign w:val="center"/>
          </w:tcPr>
          <w:p w14:paraId="451439A5">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12</w:t>
            </w:r>
          </w:p>
        </w:tc>
      </w:tr>
      <w:tr w14:paraId="4557A9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7" w:type="dxa"/>
          <w:trHeight w:val="415" w:hRule="atLeast"/>
          <w:jc w:val="center"/>
        </w:trPr>
        <w:tc>
          <w:tcPr>
            <w:tcW w:w="749" w:type="dxa"/>
            <w:tcBorders>
              <w:top w:val="single" w:color="000000" w:sz="4" w:space="0"/>
              <w:left w:val="single" w:color="000000" w:sz="4" w:space="0"/>
              <w:bottom w:val="single" w:color="000000" w:sz="4" w:space="0"/>
              <w:right w:val="single" w:color="000000" w:sz="4" w:space="0"/>
            </w:tcBorders>
            <w:vAlign w:val="center"/>
          </w:tcPr>
          <w:p w14:paraId="3BD88681">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4</w:t>
            </w:r>
          </w:p>
        </w:tc>
        <w:tc>
          <w:tcPr>
            <w:tcW w:w="1227" w:type="dxa"/>
            <w:tcBorders>
              <w:top w:val="single" w:color="000000" w:sz="4" w:space="0"/>
              <w:left w:val="single" w:color="000000" w:sz="4" w:space="0"/>
              <w:bottom w:val="single" w:color="000000" w:sz="4" w:space="0"/>
              <w:right w:val="single" w:color="000000" w:sz="4" w:space="0"/>
            </w:tcBorders>
            <w:vAlign w:val="center"/>
          </w:tcPr>
          <w:p w14:paraId="7CACD2F5">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IP网络定压功放</w:t>
            </w:r>
          </w:p>
        </w:tc>
        <w:tc>
          <w:tcPr>
            <w:tcW w:w="6187" w:type="dxa"/>
            <w:gridSpan w:val="2"/>
            <w:tcBorders>
              <w:top w:val="single" w:color="000000" w:sz="4" w:space="0"/>
              <w:left w:val="single" w:color="000000" w:sz="4" w:space="0"/>
              <w:bottom w:val="single" w:color="000000" w:sz="4" w:space="0"/>
              <w:right w:val="single" w:color="000000" w:sz="4" w:space="0"/>
            </w:tcBorders>
            <w:vAlign w:val="center"/>
          </w:tcPr>
          <w:p w14:paraId="0D2607E1">
            <w:pPr>
              <w:widowControl/>
              <w:numPr>
                <w:ilvl w:val="0"/>
                <w:numId w:val="393"/>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IP功放是一款基于TCP/IP传输协议的全数字化的模数转换信号处理器，由主控系统智能控制，可播放来自主控系统的背景节目、紧急寻呼、告警信号等</w:t>
            </w:r>
          </w:p>
          <w:p w14:paraId="0708F46B">
            <w:pPr>
              <w:widowControl/>
              <w:numPr>
                <w:ilvl w:val="0"/>
                <w:numId w:val="393"/>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100V, 70V定压输出和4～16Ω定阻（平衡，不接地）输出</w:t>
            </w:r>
          </w:p>
          <w:p w14:paraId="7D9570C1">
            <w:pPr>
              <w:widowControl/>
              <w:numPr>
                <w:ilvl w:val="0"/>
                <w:numId w:val="393"/>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六分区输出，每路分区可独立控制音量</w:t>
            </w:r>
          </w:p>
          <w:p w14:paraId="69138BAE">
            <w:pPr>
              <w:widowControl/>
              <w:numPr>
                <w:ilvl w:val="0"/>
                <w:numId w:val="393"/>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铝合金拉丝面板，配有MP3播放器并具有LCD显示屏功能，可实时知道当前播放状态。</w:t>
            </w:r>
          </w:p>
          <w:p w14:paraId="2DE27DE2">
            <w:pPr>
              <w:widowControl/>
              <w:numPr>
                <w:ilvl w:val="0"/>
                <w:numId w:val="393"/>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采用工业级芯片全数字化设计，内置DSP音效处理芯片，语音传输指数高，具有高保真CD音质</w:t>
            </w:r>
          </w:p>
          <w:p w14:paraId="6504219D">
            <w:pPr>
              <w:widowControl/>
              <w:numPr>
                <w:ilvl w:val="0"/>
                <w:numId w:val="393"/>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支持最大48kHz采样率16bit数字音频流解码</w:t>
            </w:r>
          </w:p>
          <w:p w14:paraId="6A8A6E0E">
            <w:pPr>
              <w:widowControl/>
              <w:numPr>
                <w:ilvl w:val="0"/>
                <w:numId w:val="393"/>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播放模式可以在单曲播放、单曲循环、顺序播放、循环播放、随机播放之间任音选择</w:t>
            </w:r>
          </w:p>
          <w:p w14:paraId="5BAD101C">
            <w:pPr>
              <w:widowControl/>
              <w:numPr>
                <w:ilvl w:val="0"/>
                <w:numId w:val="393"/>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具有</w:t>
            </w:r>
            <w:r>
              <w:rPr>
                <w:rFonts w:hint="eastAsia" w:ascii="宋体" w:hAnsi="宋体"/>
                <w:color w:val="auto"/>
                <w:szCs w:val="21"/>
                <w:highlight w:val="none"/>
              </w:rPr>
              <w:t>≥</w:t>
            </w:r>
            <w:r>
              <w:rPr>
                <w:rFonts w:hint="eastAsia" w:ascii="宋体" w:hAnsi="宋体"/>
                <w:color w:val="auto"/>
                <w:kern w:val="0"/>
                <w:szCs w:val="21"/>
                <w:highlight w:val="none"/>
                <w:lang w:bidi="ar"/>
              </w:rPr>
              <w:t>6路辅助音频输入、</w:t>
            </w:r>
            <w:r>
              <w:rPr>
                <w:rFonts w:hint="eastAsia" w:ascii="宋体" w:hAnsi="宋体"/>
                <w:color w:val="auto"/>
                <w:szCs w:val="21"/>
                <w:highlight w:val="none"/>
              </w:rPr>
              <w:t>≥</w:t>
            </w:r>
            <w:r>
              <w:rPr>
                <w:rFonts w:hint="eastAsia" w:ascii="宋体" w:hAnsi="宋体"/>
                <w:color w:val="auto"/>
                <w:kern w:val="0"/>
                <w:szCs w:val="21"/>
                <w:highlight w:val="none"/>
                <w:lang w:bidi="ar"/>
              </w:rPr>
              <w:t>2路辅助音频输出、</w:t>
            </w:r>
            <w:r>
              <w:rPr>
                <w:rFonts w:hint="eastAsia" w:ascii="宋体" w:hAnsi="宋体"/>
                <w:color w:val="auto"/>
                <w:szCs w:val="21"/>
                <w:highlight w:val="none"/>
              </w:rPr>
              <w:t>≥</w:t>
            </w:r>
            <w:r>
              <w:rPr>
                <w:rFonts w:hint="eastAsia" w:ascii="宋体" w:hAnsi="宋体"/>
                <w:color w:val="auto"/>
                <w:kern w:val="0"/>
                <w:szCs w:val="21"/>
                <w:highlight w:val="none"/>
                <w:lang w:bidi="ar"/>
              </w:rPr>
              <w:t>2路话筒输入(话筒1有优先级最高)</w:t>
            </w:r>
          </w:p>
          <w:p w14:paraId="194FFA22">
            <w:pPr>
              <w:widowControl/>
              <w:numPr>
                <w:ilvl w:val="0"/>
                <w:numId w:val="393"/>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辅助音频输入、话筒输入带有默音调节电位器，默音电平量可调节</w:t>
            </w:r>
          </w:p>
          <w:p w14:paraId="2C3BBCC6">
            <w:pPr>
              <w:widowControl/>
              <w:numPr>
                <w:ilvl w:val="0"/>
                <w:numId w:val="393"/>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工作状态、网络状态、电源状态、功放状态LED指示</w:t>
            </w:r>
          </w:p>
          <w:p w14:paraId="0AC5CA48">
            <w:pPr>
              <w:widowControl/>
              <w:numPr>
                <w:ilvl w:val="0"/>
                <w:numId w:val="393"/>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内置看门狗功能，有效保障设备的正常运行</w:t>
            </w:r>
          </w:p>
          <w:p w14:paraId="60EDD12B">
            <w:pPr>
              <w:widowControl/>
              <w:numPr>
                <w:ilvl w:val="0"/>
                <w:numId w:val="393"/>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高可靠性设计寿命长，平均无故障时间(MTBF)&gt;10万小时</w:t>
            </w:r>
          </w:p>
          <w:p w14:paraId="1E7E547C">
            <w:pPr>
              <w:widowControl/>
              <w:numPr>
                <w:ilvl w:val="0"/>
                <w:numId w:val="393"/>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可脱机接受紧急寻呼,音量调节到80%</w:t>
            </w:r>
          </w:p>
          <w:p w14:paraId="6F7BE82B">
            <w:pPr>
              <w:widowControl/>
              <w:numPr>
                <w:ilvl w:val="0"/>
                <w:numId w:val="393"/>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软件设置IP地址，支持TCP,UDP,4G，静态IP</w:t>
            </w:r>
          </w:p>
          <w:p w14:paraId="7F86B2A0">
            <w:pPr>
              <w:widowControl/>
              <w:numPr>
                <w:ilvl w:val="0"/>
                <w:numId w:val="393"/>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支持主备服务器切换功能,当主服务器出现故障时自动切换至备用服务器（可选）</w:t>
            </w:r>
          </w:p>
          <w:p w14:paraId="6D7FB1D0">
            <w:pPr>
              <w:widowControl/>
              <w:numPr>
                <w:ilvl w:val="0"/>
                <w:numId w:val="393"/>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后结四路接线柱式接头，对接香蕉头，快插式接入</w:t>
            </w:r>
          </w:p>
          <w:p w14:paraId="56D564FC">
            <w:pPr>
              <w:widowControl/>
              <w:numPr>
                <w:ilvl w:val="0"/>
                <w:numId w:val="393"/>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内置热敏电阻及温控开关，开机静音，信号启动或升温50°后由8～12V供电，降噪风扇节能更环保</w:t>
            </w:r>
          </w:p>
          <w:p w14:paraId="538FEB17">
            <w:pPr>
              <w:widowControl/>
              <w:numPr>
                <w:ilvl w:val="0"/>
                <w:numId w:val="393"/>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功放采用H类结构，稳定高效</w:t>
            </w:r>
          </w:p>
          <w:p w14:paraId="533ABF80">
            <w:pPr>
              <w:widowControl/>
              <w:numPr>
                <w:ilvl w:val="0"/>
                <w:numId w:val="393"/>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独立电源线插头，便于机柜式工程安装调试</w:t>
            </w:r>
          </w:p>
          <w:p w14:paraId="0FD16BCB">
            <w:pPr>
              <w:widowControl/>
              <w:numPr>
                <w:ilvl w:val="0"/>
                <w:numId w:val="393"/>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功放配备备用保险丝</w:t>
            </w:r>
          </w:p>
          <w:p w14:paraId="7020F980">
            <w:pPr>
              <w:widowControl/>
              <w:numPr>
                <w:ilvl w:val="0"/>
                <w:numId w:val="393"/>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具有蓝牙、FM调频、SD卡输入功能</w:t>
            </w:r>
          </w:p>
          <w:p w14:paraId="3C108A87">
            <w:pPr>
              <w:widowControl/>
              <w:numPr>
                <w:ilvl w:val="0"/>
                <w:numId w:val="393"/>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两路话筒输入，MIC1具有优先默音功能链接消防报警信号一键切入，两路MIC音量独控旋钮</w:t>
            </w:r>
          </w:p>
          <w:p w14:paraId="619F2D97">
            <w:pPr>
              <w:widowControl/>
              <w:numPr>
                <w:ilvl w:val="0"/>
                <w:numId w:val="393"/>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功放24小时处于关机状态，接收任务执行自动触发开启，任务执行后自动关机，高效节能环保</w:t>
            </w:r>
          </w:p>
          <w:p w14:paraId="32A4DDD0">
            <w:pPr>
              <w:widowControl/>
              <w:numPr>
                <w:ilvl w:val="0"/>
                <w:numId w:val="393"/>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网络接口：标准RJ45输入</w:t>
            </w:r>
          </w:p>
          <w:p w14:paraId="79DE33E0">
            <w:pPr>
              <w:widowControl/>
              <w:numPr>
                <w:ilvl w:val="0"/>
                <w:numId w:val="393"/>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支持协议：TCP/IP、UDP、IGMP、4G，静态IP</w:t>
            </w:r>
          </w:p>
          <w:p w14:paraId="5C7904DF">
            <w:pPr>
              <w:widowControl/>
              <w:numPr>
                <w:ilvl w:val="0"/>
                <w:numId w:val="393"/>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传输速率：</w:t>
            </w:r>
            <w:r>
              <w:rPr>
                <w:rFonts w:hint="eastAsia" w:ascii="宋体" w:hAnsi="宋体"/>
                <w:color w:val="auto"/>
                <w:szCs w:val="21"/>
                <w:highlight w:val="none"/>
              </w:rPr>
              <w:t>≥</w:t>
            </w:r>
            <w:r>
              <w:rPr>
                <w:rFonts w:hint="eastAsia" w:ascii="宋体" w:hAnsi="宋体"/>
                <w:color w:val="auto"/>
                <w:kern w:val="0"/>
                <w:szCs w:val="21"/>
                <w:highlight w:val="none"/>
                <w:lang w:bidi="ar"/>
              </w:rPr>
              <w:t>100Mbps</w:t>
            </w:r>
          </w:p>
          <w:p w14:paraId="29BCB974">
            <w:pPr>
              <w:widowControl/>
              <w:numPr>
                <w:ilvl w:val="0"/>
                <w:numId w:val="393"/>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功率：</w:t>
            </w:r>
            <w:r>
              <w:rPr>
                <w:rFonts w:hint="eastAsia" w:ascii="宋体" w:hAnsi="宋体"/>
                <w:color w:val="auto"/>
                <w:szCs w:val="21"/>
                <w:highlight w:val="none"/>
              </w:rPr>
              <w:t>≥</w:t>
            </w:r>
            <w:r>
              <w:rPr>
                <w:rFonts w:hint="eastAsia" w:ascii="宋体" w:hAnsi="宋体"/>
                <w:color w:val="auto"/>
                <w:kern w:val="0"/>
                <w:szCs w:val="21"/>
                <w:highlight w:val="none"/>
                <w:lang w:bidi="ar"/>
              </w:rPr>
              <w:t>650W</w:t>
            </w:r>
          </w:p>
        </w:tc>
        <w:tc>
          <w:tcPr>
            <w:tcW w:w="863" w:type="dxa"/>
            <w:gridSpan w:val="4"/>
            <w:tcBorders>
              <w:top w:val="single" w:color="000000" w:sz="4" w:space="0"/>
              <w:left w:val="single" w:color="000000" w:sz="4" w:space="0"/>
              <w:bottom w:val="single" w:color="000000" w:sz="4" w:space="0"/>
              <w:right w:val="single" w:color="000000" w:sz="4" w:space="0"/>
            </w:tcBorders>
            <w:vAlign w:val="center"/>
          </w:tcPr>
          <w:p w14:paraId="482353D5">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台</w:t>
            </w:r>
          </w:p>
        </w:tc>
        <w:tc>
          <w:tcPr>
            <w:tcW w:w="925" w:type="dxa"/>
            <w:gridSpan w:val="3"/>
            <w:tcBorders>
              <w:top w:val="single" w:color="000000" w:sz="4" w:space="0"/>
              <w:left w:val="single" w:color="000000" w:sz="4" w:space="0"/>
              <w:bottom w:val="single" w:color="000000" w:sz="4" w:space="0"/>
              <w:right w:val="single" w:color="000000" w:sz="4" w:space="0"/>
            </w:tcBorders>
            <w:vAlign w:val="center"/>
          </w:tcPr>
          <w:p w14:paraId="0E53F12B">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5AC26A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7" w:type="dxa"/>
          <w:trHeight w:val="415" w:hRule="atLeast"/>
          <w:jc w:val="center"/>
        </w:trPr>
        <w:tc>
          <w:tcPr>
            <w:tcW w:w="749" w:type="dxa"/>
            <w:tcBorders>
              <w:top w:val="single" w:color="000000" w:sz="4" w:space="0"/>
              <w:left w:val="single" w:color="000000" w:sz="4" w:space="0"/>
              <w:bottom w:val="single" w:color="000000" w:sz="4" w:space="0"/>
              <w:right w:val="single" w:color="000000" w:sz="4" w:space="0"/>
            </w:tcBorders>
            <w:vAlign w:val="center"/>
          </w:tcPr>
          <w:p w14:paraId="4F0DA9A0">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5</w:t>
            </w:r>
          </w:p>
        </w:tc>
        <w:tc>
          <w:tcPr>
            <w:tcW w:w="1227" w:type="dxa"/>
            <w:tcBorders>
              <w:top w:val="single" w:color="000000" w:sz="4" w:space="0"/>
              <w:left w:val="single" w:color="000000" w:sz="4" w:space="0"/>
              <w:bottom w:val="single" w:color="000000" w:sz="4" w:space="0"/>
              <w:right w:val="single" w:color="000000" w:sz="4" w:space="0"/>
            </w:tcBorders>
            <w:vAlign w:val="center"/>
          </w:tcPr>
          <w:p w14:paraId="5A314613">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8口交换机</w:t>
            </w:r>
          </w:p>
        </w:tc>
        <w:tc>
          <w:tcPr>
            <w:tcW w:w="6187" w:type="dxa"/>
            <w:gridSpan w:val="2"/>
            <w:tcBorders>
              <w:top w:val="single" w:color="000000" w:sz="4" w:space="0"/>
              <w:left w:val="single" w:color="000000" w:sz="4" w:space="0"/>
              <w:bottom w:val="single" w:color="000000" w:sz="4" w:space="0"/>
              <w:right w:val="single" w:color="000000" w:sz="4" w:space="0"/>
            </w:tcBorders>
            <w:vAlign w:val="center"/>
          </w:tcPr>
          <w:p w14:paraId="2F5A36C6">
            <w:pPr>
              <w:widowControl/>
              <w:numPr>
                <w:ilvl w:val="0"/>
                <w:numId w:val="394"/>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8口交换机</w:t>
            </w:r>
          </w:p>
        </w:tc>
        <w:tc>
          <w:tcPr>
            <w:tcW w:w="863" w:type="dxa"/>
            <w:gridSpan w:val="4"/>
            <w:tcBorders>
              <w:top w:val="single" w:color="000000" w:sz="4" w:space="0"/>
              <w:left w:val="single" w:color="000000" w:sz="4" w:space="0"/>
              <w:bottom w:val="single" w:color="000000" w:sz="4" w:space="0"/>
              <w:right w:val="single" w:color="000000" w:sz="4" w:space="0"/>
            </w:tcBorders>
            <w:vAlign w:val="center"/>
          </w:tcPr>
          <w:p w14:paraId="32F404AD">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台</w:t>
            </w:r>
          </w:p>
        </w:tc>
        <w:tc>
          <w:tcPr>
            <w:tcW w:w="925" w:type="dxa"/>
            <w:gridSpan w:val="3"/>
            <w:tcBorders>
              <w:top w:val="single" w:color="000000" w:sz="4" w:space="0"/>
              <w:left w:val="single" w:color="000000" w:sz="4" w:space="0"/>
              <w:bottom w:val="single" w:color="000000" w:sz="4" w:space="0"/>
              <w:right w:val="single" w:color="000000" w:sz="4" w:space="0"/>
            </w:tcBorders>
            <w:vAlign w:val="center"/>
          </w:tcPr>
          <w:p w14:paraId="566423E8">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w:t>
            </w:r>
          </w:p>
        </w:tc>
      </w:tr>
      <w:tr w14:paraId="0AFABB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7" w:type="dxa"/>
          <w:trHeight w:val="415" w:hRule="atLeast"/>
          <w:jc w:val="center"/>
        </w:trPr>
        <w:tc>
          <w:tcPr>
            <w:tcW w:w="749" w:type="dxa"/>
            <w:tcBorders>
              <w:top w:val="single" w:color="000000" w:sz="4" w:space="0"/>
              <w:left w:val="single" w:color="000000" w:sz="4" w:space="0"/>
              <w:bottom w:val="single" w:color="000000" w:sz="4" w:space="0"/>
              <w:right w:val="single" w:color="000000" w:sz="4" w:space="0"/>
            </w:tcBorders>
            <w:vAlign w:val="center"/>
          </w:tcPr>
          <w:p w14:paraId="6F8CD24C">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6</w:t>
            </w:r>
          </w:p>
        </w:tc>
        <w:tc>
          <w:tcPr>
            <w:tcW w:w="1227" w:type="dxa"/>
            <w:tcBorders>
              <w:top w:val="single" w:color="000000" w:sz="4" w:space="0"/>
              <w:left w:val="single" w:color="000000" w:sz="4" w:space="0"/>
              <w:bottom w:val="single" w:color="000000" w:sz="4" w:space="0"/>
              <w:right w:val="single" w:color="000000" w:sz="4" w:space="0"/>
            </w:tcBorders>
            <w:vAlign w:val="center"/>
          </w:tcPr>
          <w:p w14:paraId="086CA366">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机柜</w:t>
            </w:r>
          </w:p>
        </w:tc>
        <w:tc>
          <w:tcPr>
            <w:tcW w:w="6187" w:type="dxa"/>
            <w:gridSpan w:val="2"/>
            <w:tcBorders>
              <w:top w:val="single" w:color="000000" w:sz="4" w:space="0"/>
              <w:left w:val="single" w:color="000000" w:sz="4" w:space="0"/>
              <w:bottom w:val="single" w:color="000000" w:sz="4" w:space="0"/>
              <w:right w:val="single" w:color="000000" w:sz="4" w:space="0"/>
            </w:tcBorders>
            <w:vAlign w:val="center"/>
          </w:tcPr>
          <w:p w14:paraId="4AC54836">
            <w:pPr>
              <w:widowControl/>
              <w:numPr>
                <w:ilvl w:val="0"/>
                <w:numId w:val="395"/>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 xml:space="preserve">标准：19英寸国际标准   </w:t>
            </w:r>
          </w:p>
          <w:p w14:paraId="0D701663">
            <w:pPr>
              <w:widowControl/>
              <w:numPr>
                <w:ilvl w:val="0"/>
                <w:numId w:val="395"/>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 xml:space="preserve">门及门锁：前门：钢化玻璃前门，带锁；后门：全金属后门，带锁  </w:t>
            </w:r>
          </w:p>
          <w:p w14:paraId="2017947B">
            <w:pPr>
              <w:widowControl/>
              <w:numPr>
                <w:ilvl w:val="0"/>
                <w:numId w:val="395"/>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 xml:space="preserve">材料及工艺：钢化玻璃前门和金属后门  </w:t>
            </w:r>
          </w:p>
          <w:p w14:paraId="43A7F538">
            <w:pPr>
              <w:widowControl/>
              <w:numPr>
                <w:ilvl w:val="0"/>
                <w:numId w:val="395"/>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附加功能：侧板：速装卸侧板</w:t>
            </w:r>
          </w:p>
        </w:tc>
        <w:tc>
          <w:tcPr>
            <w:tcW w:w="863" w:type="dxa"/>
            <w:gridSpan w:val="4"/>
            <w:tcBorders>
              <w:top w:val="single" w:color="000000" w:sz="4" w:space="0"/>
              <w:left w:val="single" w:color="000000" w:sz="4" w:space="0"/>
              <w:bottom w:val="single" w:color="000000" w:sz="4" w:space="0"/>
              <w:right w:val="single" w:color="000000" w:sz="4" w:space="0"/>
            </w:tcBorders>
            <w:vAlign w:val="center"/>
          </w:tcPr>
          <w:p w14:paraId="1D774A93">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台</w:t>
            </w:r>
          </w:p>
        </w:tc>
        <w:tc>
          <w:tcPr>
            <w:tcW w:w="925" w:type="dxa"/>
            <w:gridSpan w:val="3"/>
            <w:tcBorders>
              <w:top w:val="single" w:color="000000" w:sz="4" w:space="0"/>
              <w:left w:val="single" w:color="000000" w:sz="4" w:space="0"/>
              <w:bottom w:val="single" w:color="000000" w:sz="4" w:space="0"/>
              <w:right w:val="single" w:color="000000" w:sz="4" w:space="0"/>
            </w:tcBorders>
            <w:vAlign w:val="center"/>
          </w:tcPr>
          <w:p w14:paraId="0474AC18">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w:t>
            </w:r>
          </w:p>
        </w:tc>
      </w:tr>
      <w:tr w14:paraId="0F656E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7" w:type="dxa"/>
          <w:trHeight w:val="415" w:hRule="atLeast"/>
          <w:jc w:val="center"/>
        </w:trPr>
        <w:tc>
          <w:tcPr>
            <w:tcW w:w="749" w:type="dxa"/>
            <w:tcBorders>
              <w:top w:val="single" w:color="000000" w:sz="4" w:space="0"/>
              <w:left w:val="single" w:color="000000" w:sz="4" w:space="0"/>
              <w:bottom w:val="single" w:color="000000" w:sz="4" w:space="0"/>
              <w:right w:val="single" w:color="000000" w:sz="4" w:space="0"/>
            </w:tcBorders>
            <w:vAlign w:val="center"/>
          </w:tcPr>
          <w:p w14:paraId="4FEACE57">
            <w:pPr>
              <w:widowControl/>
              <w:textAlignment w:val="center"/>
              <w:rPr>
                <w:rFonts w:hint="eastAsia" w:ascii="宋体" w:hAnsi="宋体"/>
                <w:b/>
                <w:bCs/>
                <w:color w:val="auto"/>
                <w:szCs w:val="21"/>
                <w:highlight w:val="none"/>
              </w:rPr>
            </w:pPr>
            <w:r>
              <w:rPr>
                <w:rFonts w:hint="eastAsia" w:ascii="宋体" w:hAnsi="宋体"/>
                <w:b/>
                <w:bCs/>
                <w:color w:val="auto"/>
                <w:kern w:val="0"/>
                <w:szCs w:val="21"/>
                <w:highlight w:val="none"/>
                <w:lang w:bidi="ar"/>
              </w:rPr>
              <w:t>（七）</w:t>
            </w:r>
          </w:p>
        </w:tc>
        <w:tc>
          <w:tcPr>
            <w:tcW w:w="1227" w:type="dxa"/>
            <w:tcBorders>
              <w:top w:val="single" w:color="000000" w:sz="4" w:space="0"/>
              <w:left w:val="single" w:color="000000" w:sz="4" w:space="0"/>
              <w:bottom w:val="single" w:color="000000" w:sz="4" w:space="0"/>
              <w:right w:val="single" w:color="000000" w:sz="4" w:space="0"/>
            </w:tcBorders>
            <w:vAlign w:val="center"/>
          </w:tcPr>
          <w:p w14:paraId="7DFAAD27">
            <w:pPr>
              <w:widowControl/>
              <w:jc w:val="center"/>
              <w:textAlignment w:val="center"/>
              <w:rPr>
                <w:rFonts w:hint="eastAsia" w:ascii="宋体" w:hAnsi="宋体"/>
                <w:b/>
                <w:bCs/>
                <w:color w:val="auto"/>
                <w:szCs w:val="21"/>
                <w:highlight w:val="none"/>
              </w:rPr>
            </w:pPr>
            <w:r>
              <w:rPr>
                <w:rFonts w:hint="eastAsia" w:ascii="宋体" w:hAnsi="宋体"/>
                <w:b/>
                <w:bCs/>
                <w:color w:val="auto"/>
                <w:kern w:val="0"/>
                <w:szCs w:val="21"/>
                <w:highlight w:val="none"/>
                <w:lang w:bidi="ar"/>
              </w:rPr>
              <w:t>校园/操场公共区域</w:t>
            </w:r>
          </w:p>
        </w:tc>
        <w:tc>
          <w:tcPr>
            <w:tcW w:w="6187" w:type="dxa"/>
            <w:gridSpan w:val="2"/>
            <w:tcBorders>
              <w:top w:val="single" w:color="000000" w:sz="4" w:space="0"/>
              <w:left w:val="single" w:color="000000" w:sz="4" w:space="0"/>
              <w:bottom w:val="single" w:color="000000" w:sz="4" w:space="0"/>
              <w:right w:val="single" w:color="000000" w:sz="4" w:space="0"/>
            </w:tcBorders>
            <w:vAlign w:val="center"/>
          </w:tcPr>
          <w:p w14:paraId="14D1B14C">
            <w:pPr>
              <w:rPr>
                <w:rFonts w:hint="eastAsia" w:ascii="宋体" w:hAnsi="宋体"/>
                <w:b/>
                <w:bCs/>
                <w:color w:val="auto"/>
                <w:szCs w:val="21"/>
                <w:highlight w:val="none"/>
              </w:rPr>
            </w:pPr>
          </w:p>
        </w:tc>
        <w:tc>
          <w:tcPr>
            <w:tcW w:w="863" w:type="dxa"/>
            <w:gridSpan w:val="4"/>
            <w:tcBorders>
              <w:top w:val="single" w:color="000000" w:sz="4" w:space="0"/>
              <w:left w:val="single" w:color="000000" w:sz="4" w:space="0"/>
              <w:bottom w:val="single" w:color="000000" w:sz="4" w:space="0"/>
              <w:right w:val="single" w:color="000000" w:sz="4" w:space="0"/>
            </w:tcBorders>
            <w:vAlign w:val="center"/>
          </w:tcPr>
          <w:p w14:paraId="4B8B7B76">
            <w:pPr>
              <w:jc w:val="center"/>
              <w:rPr>
                <w:rFonts w:hint="eastAsia" w:ascii="宋体" w:hAnsi="宋体"/>
                <w:b/>
                <w:bCs/>
                <w:color w:val="auto"/>
                <w:szCs w:val="21"/>
                <w:highlight w:val="none"/>
              </w:rPr>
            </w:pPr>
          </w:p>
        </w:tc>
        <w:tc>
          <w:tcPr>
            <w:tcW w:w="925" w:type="dxa"/>
            <w:gridSpan w:val="3"/>
            <w:tcBorders>
              <w:top w:val="single" w:color="000000" w:sz="4" w:space="0"/>
              <w:left w:val="single" w:color="000000" w:sz="4" w:space="0"/>
              <w:bottom w:val="single" w:color="000000" w:sz="4" w:space="0"/>
              <w:right w:val="single" w:color="000000" w:sz="4" w:space="0"/>
            </w:tcBorders>
            <w:vAlign w:val="center"/>
          </w:tcPr>
          <w:p w14:paraId="410C4951">
            <w:pPr>
              <w:jc w:val="center"/>
              <w:rPr>
                <w:rFonts w:hint="eastAsia" w:ascii="宋体" w:hAnsi="宋体"/>
                <w:b/>
                <w:bCs/>
                <w:color w:val="auto"/>
                <w:szCs w:val="21"/>
                <w:highlight w:val="none"/>
              </w:rPr>
            </w:pPr>
          </w:p>
        </w:tc>
      </w:tr>
      <w:tr w14:paraId="1674B3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7" w:type="dxa"/>
          <w:trHeight w:val="415" w:hRule="atLeast"/>
          <w:jc w:val="center"/>
        </w:trPr>
        <w:tc>
          <w:tcPr>
            <w:tcW w:w="749" w:type="dxa"/>
            <w:tcBorders>
              <w:top w:val="single" w:color="000000" w:sz="4" w:space="0"/>
              <w:left w:val="single" w:color="000000" w:sz="4" w:space="0"/>
              <w:bottom w:val="single" w:color="000000" w:sz="4" w:space="0"/>
              <w:right w:val="single" w:color="000000" w:sz="4" w:space="0"/>
            </w:tcBorders>
            <w:vAlign w:val="center"/>
          </w:tcPr>
          <w:p w14:paraId="413B1F4B">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c>
          <w:tcPr>
            <w:tcW w:w="1227" w:type="dxa"/>
            <w:tcBorders>
              <w:top w:val="single" w:color="000000" w:sz="4" w:space="0"/>
              <w:left w:val="single" w:color="000000" w:sz="4" w:space="0"/>
              <w:bottom w:val="single" w:color="000000" w:sz="4" w:space="0"/>
              <w:right w:val="single" w:color="000000" w:sz="4" w:space="0"/>
            </w:tcBorders>
            <w:vAlign w:val="center"/>
          </w:tcPr>
          <w:p w14:paraId="142C59CA">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音柱</w:t>
            </w:r>
          </w:p>
        </w:tc>
        <w:tc>
          <w:tcPr>
            <w:tcW w:w="6187" w:type="dxa"/>
            <w:gridSpan w:val="2"/>
            <w:tcBorders>
              <w:top w:val="single" w:color="000000" w:sz="4" w:space="0"/>
              <w:left w:val="single" w:color="000000" w:sz="4" w:space="0"/>
              <w:bottom w:val="single" w:color="000000" w:sz="4" w:space="0"/>
              <w:right w:val="single" w:color="000000" w:sz="4" w:space="0"/>
            </w:tcBorders>
            <w:vAlign w:val="center"/>
          </w:tcPr>
          <w:p w14:paraId="047D502F">
            <w:pPr>
              <w:widowControl/>
              <w:numPr>
                <w:ilvl w:val="0"/>
                <w:numId w:val="396"/>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额定功率：</w:t>
            </w:r>
            <w:r>
              <w:rPr>
                <w:rFonts w:hint="eastAsia" w:ascii="宋体" w:hAnsi="宋体"/>
                <w:color w:val="auto"/>
                <w:szCs w:val="21"/>
                <w:highlight w:val="none"/>
              </w:rPr>
              <w:t>≥</w:t>
            </w:r>
            <w:r>
              <w:rPr>
                <w:rFonts w:hint="eastAsia" w:ascii="宋体" w:hAnsi="宋体"/>
                <w:color w:val="auto"/>
                <w:kern w:val="0"/>
                <w:szCs w:val="21"/>
                <w:highlight w:val="none"/>
                <w:lang w:bidi="ar"/>
              </w:rPr>
              <w:t>40W</w:t>
            </w:r>
          </w:p>
          <w:p w14:paraId="5679DE95">
            <w:pPr>
              <w:widowControl/>
              <w:numPr>
                <w:ilvl w:val="0"/>
                <w:numId w:val="396"/>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扬声器：4寸全频喇叭×5只+1高音</w:t>
            </w:r>
          </w:p>
          <w:p w14:paraId="1C5CED39">
            <w:pPr>
              <w:widowControl/>
              <w:numPr>
                <w:ilvl w:val="0"/>
                <w:numId w:val="396"/>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 xml:space="preserve">定压输入:70-100v </w:t>
            </w:r>
          </w:p>
        </w:tc>
        <w:tc>
          <w:tcPr>
            <w:tcW w:w="863" w:type="dxa"/>
            <w:gridSpan w:val="4"/>
            <w:tcBorders>
              <w:top w:val="single" w:color="000000" w:sz="4" w:space="0"/>
              <w:left w:val="single" w:color="000000" w:sz="4" w:space="0"/>
              <w:bottom w:val="single" w:color="000000" w:sz="4" w:space="0"/>
              <w:right w:val="single" w:color="000000" w:sz="4" w:space="0"/>
            </w:tcBorders>
            <w:vAlign w:val="center"/>
          </w:tcPr>
          <w:p w14:paraId="3405572F">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台</w:t>
            </w:r>
          </w:p>
        </w:tc>
        <w:tc>
          <w:tcPr>
            <w:tcW w:w="925" w:type="dxa"/>
            <w:gridSpan w:val="3"/>
            <w:tcBorders>
              <w:top w:val="single" w:color="000000" w:sz="4" w:space="0"/>
              <w:left w:val="single" w:color="000000" w:sz="4" w:space="0"/>
              <w:bottom w:val="single" w:color="000000" w:sz="4" w:space="0"/>
              <w:right w:val="single" w:color="000000" w:sz="4" w:space="0"/>
            </w:tcBorders>
            <w:vAlign w:val="center"/>
          </w:tcPr>
          <w:p w14:paraId="4BEE77BF">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25</w:t>
            </w:r>
          </w:p>
        </w:tc>
      </w:tr>
      <w:tr w14:paraId="217DAA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7" w:type="dxa"/>
          <w:trHeight w:val="415" w:hRule="atLeast"/>
          <w:jc w:val="center"/>
        </w:trPr>
        <w:tc>
          <w:tcPr>
            <w:tcW w:w="749" w:type="dxa"/>
            <w:tcBorders>
              <w:top w:val="single" w:color="000000" w:sz="4" w:space="0"/>
              <w:left w:val="single" w:color="000000" w:sz="4" w:space="0"/>
              <w:bottom w:val="single" w:color="000000" w:sz="4" w:space="0"/>
              <w:right w:val="single" w:color="000000" w:sz="4" w:space="0"/>
            </w:tcBorders>
            <w:vAlign w:val="center"/>
          </w:tcPr>
          <w:p w14:paraId="1621A785">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w:t>
            </w:r>
          </w:p>
        </w:tc>
        <w:tc>
          <w:tcPr>
            <w:tcW w:w="1227" w:type="dxa"/>
            <w:tcBorders>
              <w:top w:val="single" w:color="000000" w:sz="4" w:space="0"/>
              <w:left w:val="single" w:color="000000" w:sz="4" w:space="0"/>
              <w:bottom w:val="single" w:color="000000" w:sz="4" w:space="0"/>
              <w:right w:val="single" w:color="000000" w:sz="4" w:space="0"/>
            </w:tcBorders>
            <w:vAlign w:val="center"/>
          </w:tcPr>
          <w:p w14:paraId="24246512">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音柱</w:t>
            </w:r>
          </w:p>
        </w:tc>
        <w:tc>
          <w:tcPr>
            <w:tcW w:w="6187" w:type="dxa"/>
            <w:gridSpan w:val="2"/>
            <w:tcBorders>
              <w:top w:val="single" w:color="000000" w:sz="4" w:space="0"/>
              <w:left w:val="single" w:color="000000" w:sz="4" w:space="0"/>
              <w:bottom w:val="single" w:color="000000" w:sz="4" w:space="0"/>
              <w:right w:val="single" w:color="000000" w:sz="4" w:space="0"/>
            </w:tcBorders>
            <w:vAlign w:val="center"/>
          </w:tcPr>
          <w:p w14:paraId="23462F85">
            <w:pPr>
              <w:widowControl/>
              <w:numPr>
                <w:ilvl w:val="0"/>
                <w:numId w:val="397"/>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内置扬声器：6.5寸*4只+1钕磁高音，</w:t>
            </w:r>
          </w:p>
          <w:p w14:paraId="5699BBD6">
            <w:pPr>
              <w:widowControl/>
              <w:numPr>
                <w:ilvl w:val="0"/>
                <w:numId w:val="397"/>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功率：</w:t>
            </w:r>
            <w:r>
              <w:rPr>
                <w:rFonts w:hint="eastAsia" w:ascii="宋体" w:hAnsi="宋体"/>
                <w:color w:val="auto"/>
                <w:szCs w:val="21"/>
                <w:highlight w:val="none"/>
              </w:rPr>
              <w:t>≥</w:t>
            </w:r>
            <w:r>
              <w:rPr>
                <w:rFonts w:hint="eastAsia" w:ascii="宋体" w:hAnsi="宋体"/>
                <w:color w:val="auto"/>
                <w:kern w:val="0"/>
                <w:szCs w:val="21"/>
                <w:highlight w:val="none"/>
                <w:lang w:bidi="ar"/>
              </w:rPr>
              <w:t>120W</w:t>
            </w:r>
          </w:p>
          <w:p w14:paraId="62C7D542">
            <w:pPr>
              <w:widowControl/>
              <w:numPr>
                <w:ilvl w:val="0"/>
                <w:numId w:val="397"/>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 xml:space="preserve">定压输入:70-100v </w:t>
            </w:r>
          </w:p>
        </w:tc>
        <w:tc>
          <w:tcPr>
            <w:tcW w:w="863" w:type="dxa"/>
            <w:gridSpan w:val="4"/>
            <w:tcBorders>
              <w:top w:val="single" w:color="000000" w:sz="4" w:space="0"/>
              <w:left w:val="single" w:color="000000" w:sz="4" w:space="0"/>
              <w:bottom w:val="single" w:color="000000" w:sz="4" w:space="0"/>
              <w:right w:val="single" w:color="000000" w:sz="4" w:space="0"/>
            </w:tcBorders>
            <w:vAlign w:val="center"/>
          </w:tcPr>
          <w:p w14:paraId="274D40FC">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台</w:t>
            </w:r>
          </w:p>
        </w:tc>
        <w:tc>
          <w:tcPr>
            <w:tcW w:w="925" w:type="dxa"/>
            <w:gridSpan w:val="3"/>
            <w:tcBorders>
              <w:top w:val="single" w:color="000000" w:sz="4" w:space="0"/>
              <w:left w:val="single" w:color="000000" w:sz="4" w:space="0"/>
              <w:bottom w:val="single" w:color="000000" w:sz="4" w:space="0"/>
              <w:right w:val="single" w:color="000000" w:sz="4" w:space="0"/>
            </w:tcBorders>
            <w:vAlign w:val="center"/>
          </w:tcPr>
          <w:p w14:paraId="59C2CEA0">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8</w:t>
            </w:r>
          </w:p>
        </w:tc>
      </w:tr>
      <w:tr w14:paraId="402B71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7" w:type="dxa"/>
          <w:trHeight w:val="415" w:hRule="atLeast"/>
          <w:jc w:val="center"/>
        </w:trPr>
        <w:tc>
          <w:tcPr>
            <w:tcW w:w="749" w:type="dxa"/>
            <w:tcBorders>
              <w:top w:val="single" w:color="000000" w:sz="4" w:space="0"/>
              <w:left w:val="single" w:color="000000" w:sz="4" w:space="0"/>
              <w:bottom w:val="single" w:color="000000" w:sz="4" w:space="0"/>
              <w:right w:val="single" w:color="000000" w:sz="4" w:space="0"/>
            </w:tcBorders>
            <w:vAlign w:val="center"/>
          </w:tcPr>
          <w:p w14:paraId="6CF3FA24">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3</w:t>
            </w:r>
          </w:p>
        </w:tc>
        <w:tc>
          <w:tcPr>
            <w:tcW w:w="1227" w:type="dxa"/>
            <w:tcBorders>
              <w:top w:val="single" w:color="000000" w:sz="4" w:space="0"/>
              <w:left w:val="single" w:color="000000" w:sz="4" w:space="0"/>
              <w:bottom w:val="single" w:color="000000" w:sz="4" w:space="0"/>
              <w:right w:val="single" w:color="000000" w:sz="4" w:space="0"/>
            </w:tcBorders>
            <w:vAlign w:val="center"/>
          </w:tcPr>
          <w:p w14:paraId="66D02E96">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IP网络机柜式终端</w:t>
            </w:r>
          </w:p>
        </w:tc>
        <w:tc>
          <w:tcPr>
            <w:tcW w:w="6187" w:type="dxa"/>
            <w:gridSpan w:val="2"/>
            <w:tcBorders>
              <w:top w:val="single" w:color="000000" w:sz="4" w:space="0"/>
              <w:left w:val="single" w:color="000000" w:sz="4" w:space="0"/>
              <w:bottom w:val="single" w:color="000000" w:sz="4" w:space="0"/>
              <w:right w:val="single" w:color="000000" w:sz="4" w:space="0"/>
            </w:tcBorders>
            <w:vAlign w:val="center"/>
          </w:tcPr>
          <w:p w14:paraId="5B9825E7">
            <w:pPr>
              <w:widowControl/>
              <w:numPr>
                <w:ilvl w:val="0"/>
                <w:numId w:val="398"/>
              </w:numPr>
              <w:jc w:val="left"/>
              <w:textAlignment w:val="center"/>
              <w:rPr>
                <w:rFonts w:hint="eastAsia" w:ascii="宋体" w:hAnsi="宋体"/>
                <w:color w:val="auto"/>
                <w:kern w:val="0"/>
                <w:szCs w:val="21"/>
                <w:highlight w:val="none"/>
                <w:lang w:bidi="ar"/>
              </w:rPr>
            </w:pPr>
            <w:r>
              <w:rPr>
                <w:rFonts w:hint="eastAsia" w:ascii="宋体" w:hAnsi="宋体"/>
                <w:color w:val="auto"/>
                <w:szCs w:val="21"/>
                <w:highlight w:val="none"/>
              </w:rPr>
              <w:t>≥</w:t>
            </w:r>
            <w:r>
              <w:rPr>
                <w:rFonts w:hint="eastAsia" w:ascii="宋体" w:hAnsi="宋体"/>
                <w:color w:val="auto"/>
                <w:kern w:val="0"/>
                <w:szCs w:val="21"/>
                <w:highlight w:val="none"/>
                <w:lang w:bidi="ar"/>
              </w:rPr>
              <w:t>1路LAN网络接口，</w:t>
            </w:r>
            <w:r>
              <w:rPr>
                <w:rFonts w:hint="eastAsia" w:ascii="宋体" w:hAnsi="宋体"/>
                <w:color w:val="auto"/>
                <w:szCs w:val="21"/>
                <w:highlight w:val="none"/>
              </w:rPr>
              <w:t>≥</w:t>
            </w:r>
            <w:r>
              <w:rPr>
                <w:rFonts w:hint="eastAsia" w:ascii="宋体" w:hAnsi="宋体"/>
                <w:color w:val="auto"/>
                <w:kern w:val="0"/>
                <w:szCs w:val="21"/>
                <w:highlight w:val="none"/>
                <w:lang w:bidi="ar"/>
              </w:rPr>
              <w:t>1路外部AUX输入，</w:t>
            </w:r>
            <w:r>
              <w:rPr>
                <w:rFonts w:hint="eastAsia" w:ascii="宋体" w:hAnsi="宋体"/>
                <w:color w:val="auto"/>
                <w:szCs w:val="21"/>
                <w:highlight w:val="none"/>
              </w:rPr>
              <w:t>≥</w:t>
            </w:r>
            <w:r>
              <w:rPr>
                <w:rFonts w:hint="eastAsia" w:ascii="宋体" w:hAnsi="宋体"/>
                <w:color w:val="auto"/>
                <w:kern w:val="0"/>
                <w:szCs w:val="21"/>
                <w:highlight w:val="none"/>
                <w:lang w:bidi="ar"/>
              </w:rPr>
              <w:t>1路AUX本地输出，</w:t>
            </w:r>
            <w:r>
              <w:rPr>
                <w:rFonts w:hint="eastAsia" w:ascii="宋体" w:hAnsi="宋体"/>
                <w:color w:val="auto"/>
                <w:szCs w:val="21"/>
                <w:highlight w:val="none"/>
              </w:rPr>
              <w:t>≥</w:t>
            </w:r>
            <w:r>
              <w:rPr>
                <w:rFonts w:hint="eastAsia" w:ascii="宋体" w:hAnsi="宋体"/>
                <w:color w:val="auto"/>
                <w:kern w:val="0"/>
                <w:szCs w:val="21"/>
                <w:highlight w:val="none"/>
                <w:lang w:bidi="ar"/>
              </w:rPr>
              <w:t>2路MIC本地输入；</w:t>
            </w:r>
          </w:p>
          <w:p w14:paraId="76F300F5">
            <w:pPr>
              <w:widowControl/>
              <w:numPr>
                <w:ilvl w:val="0"/>
                <w:numId w:val="398"/>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USB接口，可以插U盘播放到网络；</w:t>
            </w:r>
          </w:p>
          <w:p w14:paraId="6378A260">
            <w:pPr>
              <w:widowControl/>
              <w:numPr>
                <w:ilvl w:val="0"/>
                <w:numId w:val="398"/>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网络音频，AUX，话筒单独音量调节；</w:t>
            </w:r>
          </w:p>
          <w:p w14:paraId="25FA21F5">
            <w:pPr>
              <w:widowControl/>
              <w:numPr>
                <w:ilvl w:val="0"/>
                <w:numId w:val="398"/>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MIC话筒具有自动开启自动关闭网络广播功能，只要打开插入的话筒，不需任何操作即可广播讲话（定制功能，下单需注明）；</w:t>
            </w:r>
          </w:p>
          <w:p w14:paraId="07F568C2">
            <w:pPr>
              <w:widowControl/>
              <w:numPr>
                <w:ilvl w:val="0"/>
                <w:numId w:val="398"/>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可采播外部音频输入信号，也可以定时采播播放到别的终端；</w:t>
            </w:r>
          </w:p>
          <w:p w14:paraId="6CC08928">
            <w:pPr>
              <w:widowControl/>
              <w:numPr>
                <w:ilvl w:val="0"/>
                <w:numId w:val="398"/>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支持高低音调节；</w:t>
            </w:r>
          </w:p>
          <w:p w14:paraId="315AA397">
            <w:pPr>
              <w:widowControl/>
              <w:numPr>
                <w:ilvl w:val="0"/>
                <w:numId w:val="398"/>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具有定压备份功能，在网络不通的情况下可以用模拟信号保证正常播放；（选配附加功能）</w:t>
            </w:r>
          </w:p>
          <w:p w14:paraId="7D42AC99">
            <w:pPr>
              <w:widowControl/>
              <w:numPr>
                <w:ilvl w:val="0"/>
                <w:numId w:val="398"/>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服务器定时任务可下载到本地终端，服务器关闭时可以定时打铃；（选配附加功能）</w:t>
            </w:r>
          </w:p>
          <w:p w14:paraId="01E45422">
            <w:pPr>
              <w:widowControl/>
              <w:numPr>
                <w:ilvl w:val="0"/>
                <w:numId w:val="398"/>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带10A继电器，带1路三插电源座插口，播放音乐时自动打开；</w:t>
            </w:r>
          </w:p>
          <w:p w14:paraId="2F7C5B38">
            <w:pPr>
              <w:widowControl/>
              <w:numPr>
                <w:ilvl w:val="0"/>
                <w:numId w:val="398"/>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可以使用U盘配置终端本地的IP地址等配置信息；</w:t>
            </w:r>
          </w:p>
          <w:p w14:paraId="50C43608">
            <w:pPr>
              <w:widowControl/>
              <w:numPr>
                <w:ilvl w:val="0"/>
                <w:numId w:val="398"/>
              </w:numPr>
              <w:jc w:val="left"/>
              <w:textAlignment w:val="center"/>
              <w:rPr>
                <w:rFonts w:hint="eastAsia" w:ascii="宋体" w:hAnsi="宋体"/>
                <w:color w:val="auto"/>
                <w:kern w:val="0"/>
                <w:szCs w:val="21"/>
                <w:highlight w:val="none"/>
                <w:lang w:bidi="ar"/>
              </w:rPr>
            </w:pPr>
            <w:r>
              <w:rPr>
                <w:rFonts w:hint="eastAsia" w:ascii="宋体" w:hAnsi="宋体"/>
                <w:color w:val="auto"/>
                <w:szCs w:val="21"/>
                <w:highlight w:val="none"/>
              </w:rPr>
              <w:t>≥</w:t>
            </w:r>
            <w:r>
              <w:rPr>
                <w:rFonts w:hint="eastAsia" w:ascii="宋体" w:hAnsi="宋体"/>
                <w:color w:val="auto"/>
                <w:kern w:val="0"/>
                <w:szCs w:val="21"/>
                <w:highlight w:val="none"/>
                <w:lang w:bidi="ar"/>
              </w:rPr>
              <w:t>3路音频信号LED灯1单元指示，有信号时点亮；</w:t>
            </w:r>
          </w:p>
          <w:p w14:paraId="1259B4B7">
            <w:pPr>
              <w:widowControl/>
              <w:numPr>
                <w:ilvl w:val="0"/>
                <w:numId w:val="398"/>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标准TCP、IP网络协议，支持夸网段，网桥等连接；</w:t>
            </w:r>
          </w:p>
          <w:p w14:paraId="167681DC">
            <w:pPr>
              <w:widowControl/>
              <w:numPr>
                <w:ilvl w:val="0"/>
                <w:numId w:val="398"/>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铝合金面板，金属机身。</w:t>
            </w:r>
          </w:p>
        </w:tc>
        <w:tc>
          <w:tcPr>
            <w:tcW w:w="863" w:type="dxa"/>
            <w:gridSpan w:val="4"/>
            <w:tcBorders>
              <w:top w:val="single" w:color="000000" w:sz="4" w:space="0"/>
              <w:left w:val="single" w:color="000000" w:sz="4" w:space="0"/>
              <w:bottom w:val="single" w:color="000000" w:sz="4" w:space="0"/>
              <w:right w:val="single" w:color="000000" w:sz="4" w:space="0"/>
            </w:tcBorders>
            <w:vAlign w:val="center"/>
          </w:tcPr>
          <w:p w14:paraId="5B60A34C">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台</w:t>
            </w:r>
          </w:p>
        </w:tc>
        <w:tc>
          <w:tcPr>
            <w:tcW w:w="925" w:type="dxa"/>
            <w:gridSpan w:val="3"/>
            <w:tcBorders>
              <w:top w:val="single" w:color="000000" w:sz="4" w:space="0"/>
              <w:left w:val="single" w:color="000000" w:sz="4" w:space="0"/>
              <w:bottom w:val="single" w:color="000000" w:sz="4" w:space="0"/>
              <w:right w:val="single" w:color="000000" w:sz="4" w:space="0"/>
            </w:tcBorders>
            <w:vAlign w:val="center"/>
          </w:tcPr>
          <w:p w14:paraId="2565744D">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w:t>
            </w:r>
          </w:p>
        </w:tc>
      </w:tr>
      <w:tr w14:paraId="38F576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7" w:type="dxa"/>
          <w:trHeight w:val="415" w:hRule="atLeast"/>
          <w:jc w:val="center"/>
        </w:trPr>
        <w:tc>
          <w:tcPr>
            <w:tcW w:w="749" w:type="dxa"/>
            <w:tcBorders>
              <w:top w:val="single" w:color="000000" w:sz="4" w:space="0"/>
              <w:left w:val="single" w:color="000000" w:sz="4" w:space="0"/>
              <w:bottom w:val="single" w:color="000000" w:sz="4" w:space="0"/>
              <w:right w:val="single" w:color="000000" w:sz="4" w:space="0"/>
            </w:tcBorders>
            <w:vAlign w:val="center"/>
          </w:tcPr>
          <w:p w14:paraId="5DB60E62">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4</w:t>
            </w:r>
          </w:p>
        </w:tc>
        <w:tc>
          <w:tcPr>
            <w:tcW w:w="1227" w:type="dxa"/>
            <w:tcBorders>
              <w:top w:val="single" w:color="000000" w:sz="4" w:space="0"/>
              <w:left w:val="single" w:color="000000" w:sz="4" w:space="0"/>
              <w:bottom w:val="single" w:color="000000" w:sz="4" w:space="0"/>
              <w:right w:val="single" w:color="000000" w:sz="4" w:space="0"/>
            </w:tcBorders>
            <w:vAlign w:val="center"/>
          </w:tcPr>
          <w:p w14:paraId="2C52B971">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纯后级功放</w:t>
            </w:r>
          </w:p>
        </w:tc>
        <w:tc>
          <w:tcPr>
            <w:tcW w:w="6187" w:type="dxa"/>
            <w:gridSpan w:val="2"/>
            <w:tcBorders>
              <w:top w:val="single" w:color="000000" w:sz="4" w:space="0"/>
              <w:left w:val="single" w:color="000000" w:sz="4" w:space="0"/>
              <w:bottom w:val="single" w:color="000000" w:sz="4" w:space="0"/>
              <w:right w:val="single" w:color="000000" w:sz="4" w:space="0"/>
            </w:tcBorders>
            <w:vAlign w:val="center"/>
          </w:tcPr>
          <w:p w14:paraId="7CA0F6D8">
            <w:pPr>
              <w:widowControl/>
              <w:numPr>
                <w:ilvl w:val="0"/>
                <w:numId w:val="399"/>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额定功率：</w:t>
            </w:r>
            <w:r>
              <w:rPr>
                <w:rFonts w:hint="eastAsia" w:ascii="宋体" w:hAnsi="宋体"/>
                <w:color w:val="auto"/>
                <w:szCs w:val="21"/>
                <w:highlight w:val="none"/>
              </w:rPr>
              <w:t>≥</w:t>
            </w:r>
            <w:r>
              <w:rPr>
                <w:rFonts w:hint="eastAsia" w:ascii="宋体" w:hAnsi="宋体"/>
                <w:color w:val="auto"/>
                <w:kern w:val="0"/>
                <w:szCs w:val="21"/>
                <w:highlight w:val="none"/>
                <w:lang w:bidi="ar"/>
              </w:rPr>
              <w:t>2000W</w:t>
            </w:r>
          </w:p>
          <w:p w14:paraId="462AB1A8">
            <w:pPr>
              <w:widowControl/>
              <w:numPr>
                <w:ilvl w:val="0"/>
                <w:numId w:val="399"/>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输出形式：120V/240V  监听输出4V</w:t>
            </w:r>
          </w:p>
          <w:p w14:paraId="6EEE572A">
            <w:pPr>
              <w:widowControl/>
              <w:numPr>
                <w:ilvl w:val="0"/>
                <w:numId w:val="399"/>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频率响应：40Hz-16KHz＜1dB</w:t>
            </w:r>
          </w:p>
          <w:p w14:paraId="4892DDFE">
            <w:pPr>
              <w:widowControl/>
              <w:numPr>
                <w:ilvl w:val="0"/>
                <w:numId w:val="399"/>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总谐波失真：＜0.2%</w:t>
            </w:r>
          </w:p>
          <w:p w14:paraId="455B3D4D">
            <w:pPr>
              <w:widowControl/>
              <w:numPr>
                <w:ilvl w:val="0"/>
                <w:numId w:val="399"/>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电源电压：AC220V±10%   50Hz-60Hz</w:t>
            </w:r>
          </w:p>
          <w:p w14:paraId="584B9F9E">
            <w:pPr>
              <w:widowControl/>
              <w:numPr>
                <w:ilvl w:val="0"/>
                <w:numId w:val="399"/>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信噪比：折合至话筒输入端：≥84dBdB</w:t>
            </w:r>
          </w:p>
          <w:p w14:paraId="683758C5">
            <w:pPr>
              <w:widowControl/>
              <w:numPr>
                <w:ilvl w:val="0"/>
                <w:numId w:val="399"/>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 xml:space="preserve">双声道输入。       </w:t>
            </w:r>
          </w:p>
          <w:p w14:paraId="2E557EBF">
            <w:pPr>
              <w:widowControl/>
              <w:numPr>
                <w:ilvl w:val="0"/>
                <w:numId w:val="399"/>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4单元LED电平指示。</w:t>
            </w:r>
          </w:p>
          <w:p w14:paraId="20EC1E8F">
            <w:pPr>
              <w:widowControl/>
              <w:numPr>
                <w:ilvl w:val="0"/>
                <w:numId w:val="399"/>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RCA插口和XLR插口供方便地连接</w:t>
            </w:r>
          </w:p>
          <w:p w14:paraId="1D5D1E21">
            <w:pPr>
              <w:widowControl/>
              <w:numPr>
                <w:ilvl w:val="0"/>
                <w:numId w:val="399"/>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有输出短路、过载、过热、抗雷击和饱和失真报警保护装置</w:t>
            </w:r>
          </w:p>
        </w:tc>
        <w:tc>
          <w:tcPr>
            <w:tcW w:w="863" w:type="dxa"/>
            <w:gridSpan w:val="4"/>
            <w:tcBorders>
              <w:top w:val="single" w:color="000000" w:sz="4" w:space="0"/>
              <w:left w:val="single" w:color="000000" w:sz="4" w:space="0"/>
              <w:bottom w:val="single" w:color="000000" w:sz="4" w:space="0"/>
              <w:right w:val="single" w:color="000000" w:sz="4" w:space="0"/>
            </w:tcBorders>
            <w:vAlign w:val="center"/>
          </w:tcPr>
          <w:p w14:paraId="1859AB16">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台</w:t>
            </w:r>
          </w:p>
        </w:tc>
        <w:tc>
          <w:tcPr>
            <w:tcW w:w="925" w:type="dxa"/>
            <w:gridSpan w:val="3"/>
            <w:tcBorders>
              <w:top w:val="single" w:color="000000" w:sz="4" w:space="0"/>
              <w:left w:val="single" w:color="000000" w:sz="4" w:space="0"/>
              <w:bottom w:val="single" w:color="000000" w:sz="4" w:space="0"/>
              <w:right w:val="single" w:color="000000" w:sz="4" w:space="0"/>
            </w:tcBorders>
            <w:vAlign w:val="center"/>
          </w:tcPr>
          <w:p w14:paraId="43052F54">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w:t>
            </w:r>
          </w:p>
        </w:tc>
      </w:tr>
      <w:tr w14:paraId="7C2719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7" w:type="dxa"/>
          <w:trHeight w:val="415" w:hRule="atLeast"/>
          <w:jc w:val="center"/>
        </w:trPr>
        <w:tc>
          <w:tcPr>
            <w:tcW w:w="749" w:type="dxa"/>
            <w:tcBorders>
              <w:top w:val="single" w:color="000000" w:sz="4" w:space="0"/>
              <w:left w:val="single" w:color="000000" w:sz="4" w:space="0"/>
              <w:bottom w:val="single" w:color="000000" w:sz="4" w:space="0"/>
              <w:right w:val="single" w:color="000000" w:sz="4" w:space="0"/>
            </w:tcBorders>
            <w:vAlign w:val="center"/>
          </w:tcPr>
          <w:p w14:paraId="3BC3227E">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5</w:t>
            </w:r>
          </w:p>
        </w:tc>
        <w:tc>
          <w:tcPr>
            <w:tcW w:w="1227" w:type="dxa"/>
            <w:tcBorders>
              <w:top w:val="single" w:color="000000" w:sz="4" w:space="0"/>
              <w:left w:val="single" w:color="000000" w:sz="4" w:space="0"/>
              <w:bottom w:val="single" w:color="000000" w:sz="4" w:space="0"/>
              <w:right w:val="single" w:color="000000" w:sz="4" w:space="0"/>
            </w:tcBorders>
            <w:vAlign w:val="center"/>
          </w:tcPr>
          <w:p w14:paraId="480F1191">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前置放大器</w:t>
            </w:r>
          </w:p>
        </w:tc>
        <w:tc>
          <w:tcPr>
            <w:tcW w:w="6187" w:type="dxa"/>
            <w:gridSpan w:val="2"/>
            <w:tcBorders>
              <w:top w:val="single" w:color="000000" w:sz="4" w:space="0"/>
              <w:left w:val="single" w:color="000000" w:sz="4" w:space="0"/>
              <w:bottom w:val="single" w:color="000000" w:sz="4" w:space="0"/>
              <w:right w:val="single" w:color="000000" w:sz="4" w:space="0"/>
            </w:tcBorders>
            <w:vAlign w:val="center"/>
          </w:tcPr>
          <w:p w14:paraId="0521C0B2">
            <w:pPr>
              <w:widowControl/>
              <w:numPr>
                <w:ilvl w:val="0"/>
                <w:numId w:val="400"/>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 xml:space="preserve">输入输出方式：6路输入、4路输出 </w:t>
            </w:r>
          </w:p>
          <w:p w14:paraId="7AEA180B">
            <w:pPr>
              <w:widowControl/>
              <w:numPr>
                <w:ilvl w:val="0"/>
                <w:numId w:val="400"/>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话筒输入：600ohms（Ω），10mV（-54dBV），不平衡</w:t>
            </w:r>
          </w:p>
          <w:p w14:paraId="01A964B9">
            <w:pPr>
              <w:widowControl/>
              <w:numPr>
                <w:ilvl w:val="0"/>
                <w:numId w:val="400"/>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 xml:space="preserve">频率响应：60Hz-18KHz </w:t>
            </w:r>
          </w:p>
          <w:p w14:paraId="5A89B119">
            <w:pPr>
              <w:widowControl/>
              <w:numPr>
                <w:ilvl w:val="0"/>
                <w:numId w:val="400"/>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信噪比：话筒65dB，线路85dB</w:t>
            </w:r>
          </w:p>
          <w:p w14:paraId="6F5BE625">
            <w:pPr>
              <w:widowControl/>
              <w:numPr>
                <w:ilvl w:val="0"/>
                <w:numId w:val="400"/>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总谐波失真：＜0.2%（额定输出功率时）</w:t>
            </w:r>
          </w:p>
          <w:p w14:paraId="33990B7C">
            <w:pPr>
              <w:widowControl/>
              <w:numPr>
                <w:ilvl w:val="0"/>
                <w:numId w:val="400"/>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设有8路通道独立输入，每一路通道均可独立放大可调校音量</w:t>
            </w:r>
          </w:p>
          <w:p w14:paraId="115A5935">
            <w:pPr>
              <w:widowControl/>
              <w:numPr>
                <w:ilvl w:val="0"/>
                <w:numId w:val="400"/>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1组话筒输入，任意选择8组输出</w:t>
            </w:r>
          </w:p>
          <w:p w14:paraId="521D12D4">
            <w:pPr>
              <w:widowControl/>
              <w:numPr>
                <w:ilvl w:val="0"/>
                <w:numId w:val="400"/>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高音、低音独立调节</w:t>
            </w:r>
          </w:p>
          <w:p w14:paraId="40684148">
            <w:pPr>
              <w:widowControl/>
              <w:numPr>
                <w:ilvl w:val="0"/>
                <w:numId w:val="400"/>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具有8通道（区）任意组合，进行寻呼功能</w:t>
            </w:r>
          </w:p>
          <w:p w14:paraId="7A9D4111">
            <w:pPr>
              <w:widowControl/>
              <w:numPr>
                <w:ilvl w:val="0"/>
                <w:numId w:val="400"/>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话筒输入具有最高优先，强行切入优先功能</w:t>
            </w:r>
          </w:p>
          <w:p w14:paraId="7DD6282D">
            <w:pPr>
              <w:widowControl/>
              <w:numPr>
                <w:ilvl w:val="0"/>
                <w:numId w:val="400"/>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紧急音频信号输入无音量调节，自动默音至-30dB</w:t>
            </w:r>
          </w:p>
        </w:tc>
        <w:tc>
          <w:tcPr>
            <w:tcW w:w="863" w:type="dxa"/>
            <w:gridSpan w:val="4"/>
            <w:tcBorders>
              <w:top w:val="single" w:color="000000" w:sz="4" w:space="0"/>
              <w:left w:val="single" w:color="000000" w:sz="4" w:space="0"/>
              <w:bottom w:val="single" w:color="000000" w:sz="4" w:space="0"/>
              <w:right w:val="single" w:color="000000" w:sz="4" w:space="0"/>
            </w:tcBorders>
            <w:vAlign w:val="center"/>
          </w:tcPr>
          <w:p w14:paraId="1BD0420F">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台</w:t>
            </w:r>
          </w:p>
        </w:tc>
        <w:tc>
          <w:tcPr>
            <w:tcW w:w="925" w:type="dxa"/>
            <w:gridSpan w:val="3"/>
            <w:tcBorders>
              <w:top w:val="single" w:color="000000" w:sz="4" w:space="0"/>
              <w:left w:val="single" w:color="000000" w:sz="4" w:space="0"/>
              <w:bottom w:val="single" w:color="000000" w:sz="4" w:space="0"/>
              <w:right w:val="single" w:color="000000" w:sz="4" w:space="0"/>
            </w:tcBorders>
            <w:vAlign w:val="center"/>
          </w:tcPr>
          <w:p w14:paraId="1F82E8BB">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w:t>
            </w:r>
          </w:p>
        </w:tc>
      </w:tr>
      <w:tr w14:paraId="1BEEC0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7" w:type="dxa"/>
          <w:trHeight w:val="415" w:hRule="atLeast"/>
          <w:jc w:val="center"/>
        </w:trPr>
        <w:tc>
          <w:tcPr>
            <w:tcW w:w="749" w:type="dxa"/>
            <w:tcBorders>
              <w:top w:val="single" w:color="000000" w:sz="4" w:space="0"/>
              <w:left w:val="single" w:color="000000" w:sz="4" w:space="0"/>
              <w:bottom w:val="single" w:color="000000" w:sz="4" w:space="0"/>
              <w:right w:val="single" w:color="000000" w:sz="4" w:space="0"/>
            </w:tcBorders>
            <w:vAlign w:val="center"/>
          </w:tcPr>
          <w:p w14:paraId="02F76215">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6</w:t>
            </w:r>
          </w:p>
        </w:tc>
        <w:tc>
          <w:tcPr>
            <w:tcW w:w="1227" w:type="dxa"/>
            <w:tcBorders>
              <w:top w:val="single" w:color="000000" w:sz="4" w:space="0"/>
              <w:left w:val="single" w:color="000000" w:sz="4" w:space="0"/>
              <w:bottom w:val="single" w:color="000000" w:sz="4" w:space="0"/>
              <w:right w:val="single" w:color="000000" w:sz="4" w:space="0"/>
            </w:tcBorders>
            <w:vAlign w:val="center"/>
          </w:tcPr>
          <w:p w14:paraId="677A78F2">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8口交换机</w:t>
            </w:r>
          </w:p>
        </w:tc>
        <w:tc>
          <w:tcPr>
            <w:tcW w:w="6187" w:type="dxa"/>
            <w:gridSpan w:val="2"/>
            <w:tcBorders>
              <w:top w:val="single" w:color="000000" w:sz="4" w:space="0"/>
              <w:left w:val="single" w:color="000000" w:sz="4" w:space="0"/>
              <w:bottom w:val="single" w:color="000000" w:sz="4" w:space="0"/>
              <w:right w:val="single" w:color="000000" w:sz="4" w:space="0"/>
            </w:tcBorders>
            <w:vAlign w:val="center"/>
          </w:tcPr>
          <w:p w14:paraId="607EDA65">
            <w:pPr>
              <w:widowControl/>
              <w:numPr>
                <w:ilvl w:val="0"/>
                <w:numId w:val="401"/>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8口交换机</w:t>
            </w:r>
          </w:p>
        </w:tc>
        <w:tc>
          <w:tcPr>
            <w:tcW w:w="863" w:type="dxa"/>
            <w:gridSpan w:val="4"/>
            <w:tcBorders>
              <w:top w:val="single" w:color="000000" w:sz="4" w:space="0"/>
              <w:left w:val="single" w:color="000000" w:sz="4" w:space="0"/>
              <w:bottom w:val="single" w:color="000000" w:sz="4" w:space="0"/>
              <w:right w:val="single" w:color="000000" w:sz="4" w:space="0"/>
            </w:tcBorders>
            <w:vAlign w:val="center"/>
          </w:tcPr>
          <w:p w14:paraId="7D8D368B">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台</w:t>
            </w:r>
          </w:p>
        </w:tc>
        <w:tc>
          <w:tcPr>
            <w:tcW w:w="925" w:type="dxa"/>
            <w:gridSpan w:val="3"/>
            <w:tcBorders>
              <w:top w:val="single" w:color="000000" w:sz="4" w:space="0"/>
              <w:left w:val="single" w:color="000000" w:sz="4" w:space="0"/>
              <w:bottom w:val="single" w:color="000000" w:sz="4" w:space="0"/>
              <w:right w:val="single" w:color="000000" w:sz="4" w:space="0"/>
            </w:tcBorders>
            <w:vAlign w:val="center"/>
          </w:tcPr>
          <w:p w14:paraId="2D727B3E">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w:t>
            </w:r>
          </w:p>
        </w:tc>
      </w:tr>
      <w:tr w14:paraId="4C5C3D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7" w:type="dxa"/>
          <w:trHeight w:val="415" w:hRule="atLeast"/>
          <w:jc w:val="center"/>
        </w:trPr>
        <w:tc>
          <w:tcPr>
            <w:tcW w:w="749" w:type="dxa"/>
            <w:tcBorders>
              <w:top w:val="single" w:color="000000" w:sz="4" w:space="0"/>
              <w:left w:val="single" w:color="000000" w:sz="4" w:space="0"/>
              <w:bottom w:val="single" w:color="000000" w:sz="4" w:space="0"/>
              <w:right w:val="single" w:color="000000" w:sz="4" w:space="0"/>
            </w:tcBorders>
            <w:vAlign w:val="center"/>
          </w:tcPr>
          <w:p w14:paraId="3149C9D3">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7</w:t>
            </w:r>
          </w:p>
        </w:tc>
        <w:tc>
          <w:tcPr>
            <w:tcW w:w="1227" w:type="dxa"/>
            <w:tcBorders>
              <w:top w:val="single" w:color="000000" w:sz="4" w:space="0"/>
              <w:left w:val="single" w:color="000000" w:sz="4" w:space="0"/>
              <w:bottom w:val="single" w:color="000000" w:sz="4" w:space="0"/>
              <w:right w:val="single" w:color="000000" w:sz="4" w:space="0"/>
            </w:tcBorders>
            <w:vAlign w:val="center"/>
          </w:tcPr>
          <w:p w14:paraId="76D0721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无线远距离麦克风</w:t>
            </w:r>
          </w:p>
        </w:tc>
        <w:tc>
          <w:tcPr>
            <w:tcW w:w="6187" w:type="dxa"/>
            <w:gridSpan w:val="2"/>
            <w:tcBorders>
              <w:top w:val="single" w:color="000000" w:sz="4" w:space="0"/>
              <w:left w:val="single" w:color="000000" w:sz="4" w:space="0"/>
              <w:bottom w:val="single" w:color="000000" w:sz="4" w:space="0"/>
              <w:right w:val="single" w:color="000000" w:sz="4" w:space="0"/>
            </w:tcBorders>
            <w:vAlign w:val="center"/>
          </w:tcPr>
          <w:p w14:paraId="35B6301B">
            <w:pPr>
              <w:widowControl/>
              <w:numPr>
                <w:ilvl w:val="2"/>
                <w:numId w:val="402"/>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采用高灵敏真分集选讯电路，每支话筒的信号都有双重电路接收. 能有效降低使用范围内断频现象的发生,提升了使用距离</w:t>
            </w:r>
          </w:p>
          <w:p w14:paraId="29603B93">
            <w:pPr>
              <w:widowControl/>
              <w:numPr>
                <w:ilvl w:val="2"/>
                <w:numId w:val="402"/>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专为学校操场/大中型体育馆/等需要远距离讲话而设计.系统单机版在最优使用环境下可以达到 1000 米的有效使用距离.无需安装任何放大器.</w:t>
            </w:r>
          </w:p>
          <w:p w14:paraId="6BDA3FFB">
            <w:pPr>
              <w:widowControl/>
              <w:numPr>
                <w:ilvl w:val="2"/>
                <w:numId w:val="402"/>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最多同时允许叠加 2 套系统同时使用. 发射器规格：</w:t>
            </w:r>
          </w:p>
          <w:p w14:paraId="2ED56843">
            <w:pPr>
              <w:widowControl/>
              <w:numPr>
                <w:ilvl w:val="2"/>
                <w:numId w:val="402"/>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管身材质：全锌合金管体,表面电镀黑镍加硬处理. 振荡模式：PLL 相位锁定频率合成</w:t>
            </w:r>
          </w:p>
          <w:p w14:paraId="4C0D915B">
            <w:pPr>
              <w:widowControl/>
              <w:numPr>
                <w:ilvl w:val="2"/>
                <w:numId w:val="402"/>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工作频段: 640-673MHZ</w:t>
            </w:r>
          </w:p>
          <w:p w14:paraId="3F8E20AF">
            <w:pPr>
              <w:widowControl/>
              <w:numPr>
                <w:ilvl w:val="2"/>
                <w:numId w:val="402"/>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频率调整：红外调频/手动调节射频功率：约 40mW</w:t>
            </w:r>
          </w:p>
          <w:p w14:paraId="4A889E22">
            <w:pPr>
              <w:widowControl/>
              <w:numPr>
                <w:ilvl w:val="2"/>
                <w:numId w:val="402"/>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拾音头：动圈式</w:t>
            </w:r>
          </w:p>
          <w:p w14:paraId="76275FE8">
            <w:pPr>
              <w:widowControl/>
              <w:numPr>
                <w:ilvl w:val="2"/>
                <w:numId w:val="402"/>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使用电池：5 号电池两只</w:t>
            </w:r>
          </w:p>
          <w:p w14:paraId="5F973427">
            <w:pPr>
              <w:widowControl/>
              <w:numPr>
                <w:ilvl w:val="2"/>
                <w:numId w:val="402"/>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接收机规格：</w:t>
            </w:r>
          </w:p>
          <w:p w14:paraId="46B89329">
            <w:pPr>
              <w:widowControl/>
              <w:numPr>
                <w:ilvl w:val="2"/>
                <w:numId w:val="402"/>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振荡模式：PLL  相位锁定频率合成射频稳定度：±0.005%（-10~50℃）</w:t>
            </w:r>
          </w:p>
          <w:p w14:paraId="31F26150">
            <w:pPr>
              <w:widowControl/>
              <w:numPr>
                <w:ilvl w:val="2"/>
                <w:numId w:val="402"/>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工作频段: 左边 CHA: 640-648MHZ 右边 CHB: 665-673MHZ</w:t>
            </w:r>
          </w:p>
          <w:p w14:paraId="3A8C1699">
            <w:pPr>
              <w:widowControl/>
              <w:numPr>
                <w:ilvl w:val="2"/>
                <w:numId w:val="402"/>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通道间隔: 250KHz</w:t>
            </w:r>
          </w:p>
          <w:p w14:paraId="2B4BD1F0">
            <w:pPr>
              <w:widowControl/>
              <w:numPr>
                <w:ilvl w:val="2"/>
                <w:numId w:val="402"/>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灵敏度：在偏移度等于 25KHz。输入–95dBm 时，S/N＞80Db 最大偏移度：±48KHz</w:t>
            </w:r>
          </w:p>
          <w:p w14:paraId="16C19C50">
            <w:pPr>
              <w:widowControl/>
              <w:numPr>
                <w:ilvl w:val="2"/>
                <w:numId w:val="402"/>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综合 S/N 比：＞102Db</w:t>
            </w:r>
          </w:p>
          <w:p w14:paraId="1C965E6A">
            <w:pPr>
              <w:widowControl/>
              <w:numPr>
                <w:ilvl w:val="2"/>
                <w:numId w:val="402"/>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综合 T.H.D：＜0.5%@1KHz</w:t>
            </w:r>
          </w:p>
          <w:p w14:paraId="4FB0C892">
            <w:pPr>
              <w:widowControl/>
              <w:numPr>
                <w:ilvl w:val="2"/>
                <w:numId w:val="402"/>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频率响应：60Hz~15KHz</w:t>
            </w:r>
          </w:p>
          <w:p w14:paraId="4C0B6E7E">
            <w:pPr>
              <w:widowControl/>
              <w:numPr>
                <w:ilvl w:val="2"/>
                <w:numId w:val="402"/>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最大输出电压：0dbV@45KHz</w:t>
            </w:r>
          </w:p>
          <w:p w14:paraId="6D9AAF5D">
            <w:pPr>
              <w:widowControl/>
              <w:numPr>
                <w:ilvl w:val="2"/>
                <w:numId w:val="402"/>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输出插座：XLR 平衡式及 6.3 不平衡式音量输出调整：电位器式</w:t>
            </w:r>
          </w:p>
          <w:p w14:paraId="62466996">
            <w:pPr>
              <w:widowControl/>
              <w:numPr>
                <w:ilvl w:val="2"/>
                <w:numId w:val="402"/>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静音控制模式：音码及杂讯双重静音控制电源供应：DC12~15V/1000mA</w:t>
            </w:r>
          </w:p>
        </w:tc>
        <w:tc>
          <w:tcPr>
            <w:tcW w:w="863" w:type="dxa"/>
            <w:gridSpan w:val="4"/>
            <w:tcBorders>
              <w:top w:val="single" w:color="000000" w:sz="4" w:space="0"/>
              <w:left w:val="single" w:color="000000" w:sz="4" w:space="0"/>
              <w:bottom w:val="single" w:color="000000" w:sz="4" w:space="0"/>
              <w:right w:val="single" w:color="000000" w:sz="4" w:space="0"/>
            </w:tcBorders>
            <w:vAlign w:val="center"/>
          </w:tcPr>
          <w:p w14:paraId="424D816C">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台</w:t>
            </w:r>
          </w:p>
        </w:tc>
        <w:tc>
          <w:tcPr>
            <w:tcW w:w="925" w:type="dxa"/>
            <w:gridSpan w:val="3"/>
            <w:tcBorders>
              <w:top w:val="single" w:color="000000" w:sz="4" w:space="0"/>
              <w:left w:val="single" w:color="000000" w:sz="4" w:space="0"/>
              <w:bottom w:val="single" w:color="000000" w:sz="4" w:space="0"/>
              <w:right w:val="single" w:color="000000" w:sz="4" w:space="0"/>
            </w:tcBorders>
            <w:vAlign w:val="center"/>
          </w:tcPr>
          <w:p w14:paraId="326AF596">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728D8D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7" w:type="dxa"/>
          <w:trHeight w:val="415" w:hRule="atLeast"/>
          <w:jc w:val="center"/>
        </w:trPr>
        <w:tc>
          <w:tcPr>
            <w:tcW w:w="749" w:type="dxa"/>
            <w:tcBorders>
              <w:top w:val="single" w:color="000000" w:sz="4" w:space="0"/>
              <w:left w:val="single" w:color="000000" w:sz="4" w:space="0"/>
              <w:bottom w:val="single" w:color="000000" w:sz="4" w:space="0"/>
              <w:right w:val="single" w:color="000000" w:sz="4" w:space="0"/>
            </w:tcBorders>
            <w:vAlign w:val="center"/>
          </w:tcPr>
          <w:p w14:paraId="09BBD82A">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8</w:t>
            </w:r>
          </w:p>
        </w:tc>
        <w:tc>
          <w:tcPr>
            <w:tcW w:w="1227" w:type="dxa"/>
            <w:tcBorders>
              <w:top w:val="single" w:color="000000" w:sz="4" w:space="0"/>
              <w:left w:val="single" w:color="000000" w:sz="4" w:space="0"/>
              <w:bottom w:val="single" w:color="000000" w:sz="4" w:space="0"/>
              <w:right w:val="single" w:color="000000" w:sz="4" w:space="0"/>
            </w:tcBorders>
            <w:vAlign w:val="center"/>
          </w:tcPr>
          <w:p w14:paraId="06606BF3">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话筒天线放大器</w:t>
            </w:r>
          </w:p>
        </w:tc>
        <w:tc>
          <w:tcPr>
            <w:tcW w:w="6187" w:type="dxa"/>
            <w:gridSpan w:val="2"/>
            <w:tcBorders>
              <w:top w:val="single" w:color="000000" w:sz="4" w:space="0"/>
              <w:left w:val="single" w:color="000000" w:sz="4" w:space="0"/>
              <w:bottom w:val="single" w:color="000000" w:sz="4" w:space="0"/>
              <w:right w:val="single" w:color="000000" w:sz="4" w:space="0"/>
            </w:tcBorders>
            <w:vAlign w:val="center"/>
          </w:tcPr>
          <w:p w14:paraId="3C19EE98">
            <w:pPr>
              <w:widowControl/>
              <w:numPr>
                <w:ilvl w:val="0"/>
                <w:numId w:val="403"/>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特高频天线分配及频谱管理系统，由无线麦克风专用频段设计的扫频式频谱仪系统和双天线信号接收回路的射频信号放大分配系统组成</w:t>
            </w:r>
          </w:p>
          <w:p w14:paraId="49E3023A">
            <w:pPr>
              <w:widowControl/>
              <w:numPr>
                <w:ilvl w:val="0"/>
                <w:numId w:val="403"/>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频谱扫描系统采用液晶显示屏监测界面，通过扫描能发现相近频段的同类无线麦克风、LED墙发出的噪声、对讲机及电视台无线电话基站信号等各种已经存的信号</w:t>
            </w:r>
          </w:p>
          <w:p w14:paraId="24D95013">
            <w:pPr>
              <w:widowControl/>
              <w:numPr>
                <w:ilvl w:val="0"/>
                <w:numId w:val="403"/>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射频天线放大分配系统具有带通滤波功能，通频带内的信号低损耗通过，频带以外的干扰信号过滤及衰减，对经滤波后的有用射频信号进行放大及拆分为多路输出，从而补偿插入损失。分配系统允许四台接收机使用，同时还配有向每个接收机供电的电源插头，另外还配备一路射频信号级联端口，能够连接到第五个接收机或第二套天线分配系统的天线输入端口。</w:t>
            </w:r>
          </w:p>
          <w:p w14:paraId="3FE1BD0C">
            <w:pPr>
              <w:widowControl/>
              <w:numPr>
                <w:ilvl w:val="0"/>
                <w:numId w:val="403"/>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兼容所有UHF频段无线麦克风接收机使用！</w:t>
            </w:r>
          </w:p>
          <w:p w14:paraId="521E4E86">
            <w:pPr>
              <w:widowControl/>
              <w:numPr>
                <w:ilvl w:val="0"/>
                <w:numId w:val="403"/>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现场无线电频谱扫描监测功能，为射频频点分配及管理提供依据</w:t>
            </w:r>
          </w:p>
          <w:p w14:paraId="6FB74A5C">
            <w:pPr>
              <w:widowControl/>
              <w:numPr>
                <w:ilvl w:val="0"/>
                <w:numId w:val="403"/>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定向、全向、壁挂式等多种类型及性能不同的天线提供选择</w:t>
            </w:r>
          </w:p>
          <w:p w14:paraId="65ACA9E6">
            <w:pPr>
              <w:widowControl/>
              <w:numPr>
                <w:ilvl w:val="0"/>
                <w:numId w:val="403"/>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高频信号带通滤波功能，过滤带宽以外的信号对系统造成干扰!</w:t>
            </w:r>
          </w:p>
          <w:p w14:paraId="2BFECDC6">
            <w:pPr>
              <w:widowControl/>
              <w:numPr>
                <w:ilvl w:val="0"/>
                <w:numId w:val="403"/>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采用高性能材料及电路确保最大的信号灵敏度和端口串扰隔离能力，</w:t>
            </w:r>
          </w:p>
          <w:p w14:paraId="6928EA03">
            <w:pPr>
              <w:widowControl/>
              <w:numPr>
                <w:ilvl w:val="0"/>
                <w:numId w:val="403"/>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能够为众多无线接收机提供稳定的无线电信号。</w:t>
            </w:r>
          </w:p>
          <w:p w14:paraId="61A6610F">
            <w:pPr>
              <w:widowControl/>
              <w:numPr>
                <w:ilvl w:val="0"/>
                <w:numId w:val="403"/>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两个50欧姆BNC型天线级联端口，能够额外连接一个分配主机或第五台无线接收机。</w:t>
            </w:r>
          </w:p>
          <w:p w14:paraId="46E672D6">
            <w:pPr>
              <w:widowControl/>
              <w:numPr>
                <w:ilvl w:val="0"/>
                <w:numId w:val="403"/>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每台分配主机提供4路DC12V/500mA 电源输出供电能力！</w:t>
            </w:r>
          </w:p>
          <w:p w14:paraId="11D05549">
            <w:pPr>
              <w:widowControl/>
              <w:numPr>
                <w:ilvl w:val="0"/>
                <w:numId w:val="403"/>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包装附带有安装天线所需的支架硬件以及高频连接电缆。</w:t>
            </w:r>
          </w:p>
          <w:p w14:paraId="00648752">
            <w:pPr>
              <w:widowControl/>
              <w:numPr>
                <w:ilvl w:val="0"/>
                <w:numId w:val="403"/>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技术参数</w:t>
            </w:r>
          </w:p>
          <w:p w14:paraId="2BA8184D">
            <w:pPr>
              <w:widowControl/>
              <w:numPr>
                <w:ilvl w:val="0"/>
                <w:numId w:val="403"/>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射频波段： 470-960MHz</w:t>
            </w:r>
          </w:p>
          <w:p w14:paraId="6AB90EB3">
            <w:pPr>
              <w:widowControl/>
              <w:numPr>
                <w:ilvl w:val="0"/>
                <w:numId w:val="403"/>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三阶滤波 ：24dBm交截斜度</w:t>
            </w:r>
          </w:p>
          <w:p w14:paraId="5875D140">
            <w:pPr>
              <w:widowControl/>
              <w:numPr>
                <w:ilvl w:val="0"/>
                <w:numId w:val="403"/>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增益 ： (分配端口5dB)   (级连端口 2dB)</w:t>
            </w:r>
          </w:p>
          <w:p w14:paraId="3AE9777E">
            <w:pPr>
              <w:widowControl/>
              <w:numPr>
                <w:ilvl w:val="0"/>
                <w:numId w:val="403"/>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阻抗： 50</w:t>
            </w:r>
            <w:r>
              <w:rPr>
                <w:rFonts w:ascii="Cambria Math" w:hAnsi="Cambria Math" w:cs="Cambria Math"/>
                <w:color w:val="auto"/>
                <w:kern w:val="0"/>
                <w:szCs w:val="21"/>
                <w:highlight w:val="none"/>
                <w:lang w:bidi="ar"/>
              </w:rPr>
              <w:t>Ω</w:t>
            </w:r>
          </w:p>
          <w:p w14:paraId="2999DE30">
            <w:pPr>
              <w:widowControl/>
              <w:numPr>
                <w:ilvl w:val="0"/>
                <w:numId w:val="403"/>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射频端口：BNC</w:t>
            </w:r>
          </w:p>
          <w:p w14:paraId="0EEDA0DF">
            <w:pPr>
              <w:widowControl/>
              <w:numPr>
                <w:ilvl w:val="0"/>
                <w:numId w:val="403"/>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天线馈电：12V 150mA</w:t>
            </w:r>
          </w:p>
        </w:tc>
        <w:tc>
          <w:tcPr>
            <w:tcW w:w="863" w:type="dxa"/>
            <w:gridSpan w:val="4"/>
            <w:tcBorders>
              <w:top w:val="single" w:color="000000" w:sz="4" w:space="0"/>
              <w:left w:val="single" w:color="000000" w:sz="4" w:space="0"/>
              <w:bottom w:val="single" w:color="000000" w:sz="4" w:space="0"/>
              <w:right w:val="single" w:color="000000" w:sz="4" w:space="0"/>
            </w:tcBorders>
            <w:vAlign w:val="center"/>
          </w:tcPr>
          <w:p w14:paraId="4D413EC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台</w:t>
            </w:r>
          </w:p>
        </w:tc>
        <w:tc>
          <w:tcPr>
            <w:tcW w:w="925" w:type="dxa"/>
            <w:gridSpan w:val="3"/>
            <w:tcBorders>
              <w:top w:val="single" w:color="000000" w:sz="4" w:space="0"/>
              <w:left w:val="single" w:color="000000" w:sz="4" w:space="0"/>
              <w:bottom w:val="single" w:color="000000" w:sz="4" w:space="0"/>
              <w:right w:val="single" w:color="000000" w:sz="4" w:space="0"/>
            </w:tcBorders>
            <w:vAlign w:val="center"/>
          </w:tcPr>
          <w:p w14:paraId="5B129290">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4EB520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7" w:type="dxa"/>
          <w:trHeight w:val="415" w:hRule="atLeast"/>
          <w:jc w:val="center"/>
        </w:trPr>
        <w:tc>
          <w:tcPr>
            <w:tcW w:w="749" w:type="dxa"/>
            <w:tcBorders>
              <w:top w:val="single" w:color="000000" w:sz="4" w:space="0"/>
              <w:left w:val="single" w:color="000000" w:sz="4" w:space="0"/>
              <w:bottom w:val="single" w:color="000000" w:sz="4" w:space="0"/>
              <w:right w:val="single" w:color="000000" w:sz="4" w:space="0"/>
            </w:tcBorders>
            <w:vAlign w:val="center"/>
          </w:tcPr>
          <w:p w14:paraId="3B7D5CDA">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9</w:t>
            </w:r>
          </w:p>
        </w:tc>
        <w:tc>
          <w:tcPr>
            <w:tcW w:w="1227" w:type="dxa"/>
            <w:tcBorders>
              <w:top w:val="single" w:color="000000" w:sz="4" w:space="0"/>
              <w:left w:val="single" w:color="000000" w:sz="4" w:space="0"/>
              <w:bottom w:val="single" w:color="000000" w:sz="4" w:space="0"/>
              <w:right w:val="single" w:color="000000" w:sz="4" w:space="0"/>
            </w:tcBorders>
            <w:vAlign w:val="center"/>
          </w:tcPr>
          <w:p w14:paraId="535FFB3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天线延长线</w:t>
            </w:r>
          </w:p>
        </w:tc>
        <w:tc>
          <w:tcPr>
            <w:tcW w:w="6187" w:type="dxa"/>
            <w:gridSpan w:val="2"/>
            <w:tcBorders>
              <w:top w:val="single" w:color="000000" w:sz="4" w:space="0"/>
              <w:left w:val="single" w:color="000000" w:sz="4" w:space="0"/>
              <w:bottom w:val="single" w:color="000000" w:sz="4" w:space="0"/>
              <w:right w:val="single" w:color="000000" w:sz="4" w:space="0"/>
            </w:tcBorders>
            <w:vAlign w:val="center"/>
          </w:tcPr>
          <w:p w14:paraId="2435A65B">
            <w:pPr>
              <w:widowControl/>
              <w:numPr>
                <w:ilvl w:val="0"/>
                <w:numId w:val="404"/>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国标</w:t>
            </w:r>
          </w:p>
        </w:tc>
        <w:tc>
          <w:tcPr>
            <w:tcW w:w="863" w:type="dxa"/>
            <w:gridSpan w:val="4"/>
            <w:tcBorders>
              <w:top w:val="single" w:color="000000" w:sz="4" w:space="0"/>
              <w:left w:val="single" w:color="000000" w:sz="4" w:space="0"/>
              <w:bottom w:val="single" w:color="000000" w:sz="4" w:space="0"/>
              <w:right w:val="single" w:color="000000" w:sz="4" w:space="0"/>
            </w:tcBorders>
            <w:vAlign w:val="center"/>
          </w:tcPr>
          <w:p w14:paraId="393BB312">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条</w:t>
            </w:r>
          </w:p>
        </w:tc>
        <w:tc>
          <w:tcPr>
            <w:tcW w:w="925" w:type="dxa"/>
            <w:gridSpan w:val="3"/>
            <w:tcBorders>
              <w:top w:val="single" w:color="000000" w:sz="4" w:space="0"/>
              <w:left w:val="single" w:color="000000" w:sz="4" w:space="0"/>
              <w:bottom w:val="single" w:color="000000" w:sz="4" w:space="0"/>
              <w:right w:val="single" w:color="000000" w:sz="4" w:space="0"/>
            </w:tcBorders>
            <w:vAlign w:val="center"/>
          </w:tcPr>
          <w:p w14:paraId="4251945A">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w:t>
            </w:r>
          </w:p>
        </w:tc>
      </w:tr>
      <w:tr w14:paraId="4ECFD3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7" w:type="dxa"/>
          <w:trHeight w:val="415" w:hRule="atLeast"/>
          <w:jc w:val="center"/>
        </w:trPr>
        <w:tc>
          <w:tcPr>
            <w:tcW w:w="749" w:type="dxa"/>
            <w:tcBorders>
              <w:top w:val="single" w:color="000000" w:sz="4" w:space="0"/>
              <w:left w:val="single" w:color="000000" w:sz="4" w:space="0"/>
              <w:bottom w:val="single" w:color="000000" w:sz="4" w:space="0"/>
              <w:right w:val="single" w:color="000000" w:sz="4" w:space="0"/>
            </w:tcBorders>
            <w:vAlign w:val="center"/>
          </w:tcPr>
          <w:p w14:paraId="15A2419E">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10</w:t>
            </w:r>
          </w:p>
        </w:tc>
        <w:tc>
          <w:tcPr>
            <w:tcW w:w="1227" w:type="dxa"/>
            <w:tcBorders>
              <w:top w:val="single" w:color="000000" w:sz="4" w:space="0"/>
              <w:left w:val="single" w:color="000000" w:sz="4" w:space="0"/>
              <w:bottom w:val="single" w:color="000000" w:sz="4" w:space="0"/>
              <w:right w:val="single" w:color="000000" w:sz="4" w:space="0"/>
            </w:tcBorders>
            <w:vAlign w:val="center"/>
          </w:tcPr>
          <w:p w14:paraId="0CBBF722">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机柜</w:t>
            </w:r>
          </w:p>
        </w:tc>
        <w:tc>
          <w:tcPr>
            <w:tcW w:w="6187" w:type="dxa"/>
            <w:gridSpan w:val="2"/>
            <w:tcBorders>
              <w:top w:val="single" w:color="000000" w:sz="4" w:space="0"/>
              <w:left w:val="single" w:color="000000" w:sz="4" w:space="0"/>
              <w:bottom w:val="single" w:color="000000" w:sz="4" w:space="0"/>
              <w:right w:val="single" w:color="000000" w:sz="4" w:space="0"/>
            </w:tcBorders>
            <w:vAlign w:val="center"/>
          </w:tcPr>
          <w:p w14:paraId="220497B0">
            <w:pPr>
              <w:widowControl/>
              <w:numPr>
                <w:ilvl w:val="0"/>
                <w:numId w:val="405"/>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 xml:space="preserve">标准：19英寸国际标准   </w:t>
            </w:r>
          </w:p>
          <w:p w14:paraId="253C0797">
            <w:pPr>
              <w:widowControl/>
              <w:numPr>
                <w:ilvl w:val="0"/>
                <w:numId w:val="405"/>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 xml:space="preserve">门及门锁：前门：钢化玻璃前门，带锁；后门：全金属后门，带锁  </w:t>
            </w:r>
          </w:p>
          <w:p w14:paraId="0AFBFEBB">
            <w:pPr>
              <w:widowControl/>
              <w:numPr>
                <w:ilvl w:val="0"/>
                <w:numId w:val="405"/>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 xml:space="preserve">材料及工艺：钢化玻璃前门和金属后门  </w:t>
            </w:r>
          </w:p>
          <w:p w14:paraId="0067FB5E">
            <w:pPr>
              <w:widowControl/>
              <w:numPr>
                <w:ilvl w:val="0"/>
                <w:numId w:val="405"/>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附加功能：侧板：速装卸侧板</w:t>
            </w:r>
          </w:p>
          <w:p w14:paraId="3022F7CD">
            <w:pPr>
              <w:widowControl/>
              <w:numPr>
                <w:ilvl w:val="0"/>
                <w:numId w:val="405"/>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底座：四重载轮和四调节脚</w:t>
            </w:r>
          </w:p>
          <w:p w14:paraId="48894538">
            <w:pPr>
              <w:widowControl/>
              <w:numPr>
                <w:ilvl w:val="0"/>
                <w:numId w:val="405"/>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顶盖：侧通风顶盖</w:t>
            </w:r>
          </w:p>
        </w:tc>
        <w:tc>
          <w:tcPr>
            <w:tcW w:w="863" w:type="dxa"/>
            <w:gridSpan w:val="4"/>
            <w:tcBorders>
              <w:top w:val="single" w:color="000000" w:sz="4" w:space="0"/>
              <w:left w:val="single" w:color="000000" w:sz="4" w:space="0"/>
              <w:bottom w:val="single" w:color="000000" w:sz="4" w:space="0"/>
              <w:right w:val="single" w:color="000000" w:sz="4" w:space="0"/>
            </w:tcBorders>
            <w:vAlign w:val="center"/>
          </w:tcPr>
          <w:p w14:paraId="55316416">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台</w:t>
            </w:r>
          </w:p>
        </w:tc>
        <w:tc>
          <w:tcPr>
            <w:tcW w:w="925" w:type="dxa"/>
            <w:gridSpan w:val="3"/>
            <w:tcBorders>
              <w:top w:val="single" w:color="000000" w:sz="4" w:space="0"/>
              <w:left w:val="single" w:color="000000" w:sz="4" w:space="0"/>
              <w:bottom w:val="single" w:color="000000" w:sz="4" w:space="0"/>
              <w:right w:val="single" w:color="000000" w:sz="4" w:space="0"/>
            </w:tcBorders>
            <w:vAlign w:val="center"/>
          </w:tcPr>
          <w:p w14:paraId="62D98BAA">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w:t>
            </w:r>
          </w:p>
        </w:tc>
      </w:tr>
      <w:tr w14:paraId="6272AA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7" w:type="dxa"/>
          <w:trHeight w:val="415" w:hRule="atLeast"/>
          <w:jc w:val="center"/>
        </w:trPr>
        <w:tc>
          <w:tcPr>
            <w:tcW w:w="74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E8E818">
            <w:pPr>
              <w:widowControl/>
              <w:textAlignment w:val="center"/>
              <w:rPr>
                <w:rFonts w:hint="eastAsia" w:ascii="宋体" w:hAnsi="宋体"/>
                <w:b/>
                <w:bCs/>
                <w:color w:val="auto"/>
                <w:szCs w:val="21"/>
                <w:highlight w:val="none"/>
              </w:rPr>
            </w:pPr>
            <w:r>
              <w:rPr>
                <w:rFonts w:hint="eastAsia" w:ascii="宋体" w:hAnsi="宋体"/>
                <w:b/>
                <w:bCs/>
                <w:color w:val="auto"/>
                <w:kern w:val="0"/>
                <w:szCs w:val="21"/>
                <w:highlight w:val="none"/>
                <w:lang w:bidi="ar"/>
              </w:rPr>
              <w:t>（八）</w:t>
            </w:r>
          </w:p>
        </w:tc>
        <w:tc>
          <w:tcPr>
            <w:tcW w:w="12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1C9505">
            <w:pPr>
              <w:widowControl/>
              <w:jc w:val="center"/>
              <w:textAlignment w:val="center"/>
              <w:rPr>
                <w:rFonts w:hint="eastAsia" w:ascii="宋体" w:hAnsi="宋体"/>
                <w:b/>
                <w:bCs/>
                <w:color w:val="auto"/>
                <w:szCs w:val="21"/>
                <w:highlight w:val="none"/>
              </w:rPr>
            </w:pPr>
            <w:r>
              <w:rPr>
                <w:rFonts w:hint="eastAsia" w:ascii="宋体" w:hAnsi="宋体"/>
                <w:b/>
                <w:bCs/>
                <w:color w:val="auto"/>
                <w:kern w:val="0"/>
                <w:szCs w:val="21"/>
                <w:highlight w:val="none"/>
                <w:lang w:bidi="ar"/>
              </w:rPr>
              <w:t>辅材</w:t>
            </w:r>
          </w:p>
        </w:tc>
        <w:tc>
          <w:tcPr>
            <w:tcW w:w="6187"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1A8DB26A">
            <w:pPr>
              <w:jc w:val="center"/>
              <w:rPr>
                <w:rFonts w:hint="eastAsia" w:ascii="宋体" w:hAnsi="宋体"/>
                <w:b/>
                <w:bCs/>
                <w:color w:val="auto"/>
                <w:szCs w:val="21"/>
                <w:highlight w:val="none"/>
              </w:rPr>
            </w:pPr>
          </w:p>
        </w:tc>
        <w:tc>
          <w:tcPr>
            <w:tcW w:w="863"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14:paraId="49025EEE">
            <w:pPr>
              <w:jc w:val="center"/>
              <w:rPr>
                <w:rFonts w:hint="eastAsia" w:ascii="宋体" w:hAnsi="宋体"/>
                <w:b/>
                <w:bCs/>
                <w:color w:val="auto"/>
                <w:szCs w:val="21"/>
                <w:highlight w:val="none"/>
              </w:rPr>
            </w:pPr>
          </w:p>
        </w:tc>
        <w:tc>
          <w:tcPr>
            <w:tcW w:w="925" w:type="dxa"/>
            <w:gridSpan w:val="3"/>
            <w:tcBorders>
              <w:top w:val="single" w:color="000000" w:sz="4" w:space="0"/>
              <w:left w:val="single" w:color="000000" w:sz="4" w:space="0"/>
              <w:bottom w:val="single" w:color="000000" w:sz="4" w:space="0"/>
              <w:right w:val="single" w:color="000000" w:sz="4" w:space="0"/>
            </w:tcBorders>
            <w:shd w:val="clear" w:color="auto" w:fill="FFFFFF"/>
            <w:vAlign w:val="center"/>
          </w:tcPr>
          <w:p w14:paraId="7B00A2CE">
            <w:pPr>
              <w:jc w:val="center"/>
              <w:rPr>
                <w:rFonts w:hint="eastAsia" w:ascii="宋体" w:hAnsi="宋体"/>
                <w:b/>
                <w:bCs/>
                <w:color w:val="auto"/>
                <w:szCs w:val="21"/>
                <w:highlight w:val="none"/>
              </w:rPr>
            </w:pPr>
          </w:p>
        </w:tc>
      </w:tr>
      <w:tr w14:paraId="4DFF4C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7" w:type="dxa"/>
          <w:trHeight w:val="415" w:hRule="atLeast"/>
          <w:jc w:val="center"/>
        </w:trPr>
        <w:tc>
          <w:tcPr>
            <w:tcW w:w="749" w:type="dxa"/>
            <w:tcBorders>
              <w:top w:val="single" w:color="000000" w:sz="4" w:space="0"/>
              <w:left w:val="single" w:color="000000" w:sz="4" w:space="0"/>
              <w:bottom w:val="single" w:color="000000" w:sz="4" w:space="0"/>
              <w:right w:val="single" w:color="000000" w:sz="4" w:space="0"/>
            </w:tcBorders>
            <w:vAlign w:val="center"/>
          </w:tcPr>
          <w:p w14:paraId="6406BF6A">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c>
          <w:tcPr>
            <w:tcW w:w="1227" w:type="dxa"/>
            <w:tcBorders>
              <w:top w:val="single" w:color="000000" w:sz="4" w:space="0"/>
              <w:left w:val="single" w:color="000000" w:sz="4" w:space="0"/>
              <w:bottom w:val="single" w:color="000000" w:sz="4" w:space="0"/>
              <w:right w:val="single" w:color="000000" w:sz="4" w:space="0"/>
            </w:tcBorders>
            <w:vAlign w:val="center"/>
          </w:tcPr>
          <w:p w14:paraId="71EA2291">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辅料</w:t>
            </w:r>
          </w:p>
        </w:tc>
        <w:tc>
          <w:tcPr>
            <w:tcW w:w="6187" w:type="dxa"/>
            <w:gridSpan w:val="2"/>
            <w:tcBorders>
              <w:top w:val="single" w:color="000000" w:sz="4" w:space="0"/>
              <w:left w:val="single" w:color="000000" w:sz="4" w:space="0"/>
              <w:bottom w:val="single" w:color="000000" w:sz="4" w:space="0"/>
              <w:right w:val="single" w:color="000000" w:sz="4" w:space="0"/>
            </w:tcBorders>
            <w:vAlign w:val="center"/>
          </w:tcPr>
          <w:p w14:paraId="3E3D0571">
            <w:pPr>
              <w:widowControl/>
              <w:numPr>
                <w:ilvl w:val="0"/>
                <w:numId w:val="406"/>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音箱线、电源线、线管、水晶头，支架，穿线管，扎带，管卡，膨胀丝，HDMI线，插排等</w:t>
            </w:r>
          </w:p>
        </w:tc>
        <w:tc>
          <w:tcPr>
            <w:tcW w:w="863" w:type="dxa"/>
            <w:gridSpan w:val="4"/>
            <w:tcBorders>
              <w:top w:val="single" w:color="000000" w:sz="4" w:space="0"/>
              <w:left w:val="single" w:color="000000" w:sz="4" w:space="0"/>
              <w:bottom w:val="single" w:color="000000" w:sz="4" w:space="0"/>
              <w:right w:val="single" w:color="000000" w:sz="4" w:space="0"/>
            </w:tcBorders>
            <w:vAlign w:val="center"/>
          </w:tcPr>
          <w:p w14:paraId="4606A820">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批</w:t>
            </w:r>
          </w:p>
        </w:tc>
        <w:tc>
          <w:tcPr>
            <w:tcW w:w="925" w:type="dxa"/>
            <w:gridSpan w:val="3"/>
            <w:tcBorders>
              <w:top w:val="single" w:color="000000" w:sz="4" w:space="0"/>
              <w:left w:val="single" w:color="000000" w:sz="4" w:space="0"/>
              <w:bottom w:val="single" w:color="000000" w:sz="4" w:space="0"/>
              <w:right w:val="single" w:color="000000" w:sz="4" w:space="0"/>
            </w:tcBorders>
            <w:vAlign w:val="center"/>
          </w:tcPr>
          <w:p w14:paraId="086CB8EF">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3B407A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7" w:type="dxa"/>
          <w:trHeight w:val="415" w:hRule="atLeast"/>
          <w:jc w:val="center"/>
        </w:trPr>
        <w:tc>
          <w:tcPr>
            <w:tcW w:w="749" w:type="dxa"/>
            <w:tcBorders>
              <w:top w:val="single" w:color="000000" w:sz="4" w:space="0"/>
              <w:left w:val="single" w:color="000000" w:sz="4" w:space="0"/>
              <w:bottom w:val="single" w:color="000000" w:sz="4" w:space="0"/>
              <w:right w:val="single" w:color="000000" w:sz="4" w:space="0"/>
            </w:tcBorders>
            <w:vAlign w:val="center"/>
          </w:tcPr>
          <w:p w14:paraId="5617E394">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w:t>
            </w:r>
          </w:p>
        </w:tc>
        <w:tc>
          <w:tcPr>
            <w:tcW w:w="1227" w:type="dxa"/>
            <w:tcBorders>
              <w:top w:val="single" w:color="000000" w:sz="4" w:space="0"/>
              <w:left w:val="single" w:color="000000" w:sz="4" w:space="0"/>
              <w:bottom w:val="single" w:color="000000" w:sz="4" w:space="0"/>
              <w:right w:val="single" w:color="000000" w:sz="4" w:space="0"/>
            </w:tcBorders>
            <w:vAlign w:val="center"/>
          </w:tcPr>
          <w:p w14:paraId="6D8285F2">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其它</w:t>
            </w:r>
          </w:p>
        </w:tc>
        <w:tc>
          <w:tcPr>
            <w:tcW w:w="6187" w:type="dxa"/>
            <w:gridSpan w:val="2"/>
            <w:tcBorders>
              <w:top w:val="single" w:color="000000" w:sz="4" w:space="0"/>
              <w:left w:val="single" w:color="000000" w:sz="4" w:space="0"/>
              <w:bottom w:val="single" w:color="000000" w:sz="4" w:space="0"/>
              <w:right w:val="single" w:color="000000" w:sz="4" w:space="0"/>
            </w:tcBorders>
            <w:vAlign w:val="center"/>
          </w:tcPr>
          <w:p w14:paraId="4359854E">
            <w:pPr>
              <w:widowControl/>
              <w:numPr>
                <w:ilvl w:val="0"/>
                <w:numId w:val="407"/>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设备的安装调试</w:t>
            </w:r>
          </w:p>
        </w:tc>
        <w:tc>
          <w:tcPr>
            <w:tcW w:w="863" w:type="dxa"/>
            <w:gridSpan w:val="4"/>
            <w:tcBorders>
              <w:top w:val="single" w:color="000000" w:sz="4" w:space="0"/>
              <w:left w:val="single" w:color="000000" w:sz="4" w:space="0"/>
              <w:bottom w:val="single" w:color="000000" w:sz="4" w:space="0"/>
              <w:right w:val="single" w:color="000000" w:sz="4" w:space="0"/>
            </w:tcBorders>
            <w:vAlign w:val="center"/>
          </w:tcPr>
          <w:p w14:paraId="5C5BECDB">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项</w:t>
            </w:r>
          </w:p>
        </w:tc>
        <w:tc>
          <w:tcPr>
            <w:tcW w:w="925" w:type="dxa"/>
            <w:gridSpan w:val="3"/>
            <w:tcBorders>
              <w:top w:val="single" w:color="000000" w:sz="4" w:space="0"/>
              <w:left w:val="single" w:color="000000" w:sz="4" w:space="0"/>
              <w:bottom w:val="single" w:color="000000" w:sz="4" w:space="0"/>
              <w:right w:val="single" w:color="000000" w:sz="4" w:space="0"/>
            </w:tcBorders>
            <w:vAlign w:val="center"/>
          </w:tcPr>
          <w:p w14:paraId="4D9A8080">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4CE7E4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27" w:type="dxa"/>
          <w:trHeight w:val="700" w:hRule="atLeast"/>
          <w:jc w:val="center"/>
        </w:trPr>
        <w:tc>
          <w:tcPr>
            <w:tcW w:w="9951" w:type="dxa"/>
            <w:gridSpan w:val="11"/>
            <w:tcBorders>
              <w:tl2br w:val="nil"/>
              <w:tr2bl w:val="nil"/>
            </w:tcBorders>
            <w:noWrap/>
            <w:vAlign w:val="center"/>
          </w:tcPr>
          <w:p w14:paraId="33A49B55">
            <w:pPr>
              <w:widowControl/>
              <w:jc w:val="center"/>
              <w:textAlignment w:val="center"/>
              <w:rPr>
                <w:rFonts w:hint="eastAsia" w:ascii="宋体" w:hAnsi="宋体"/>
                <w:b/>
                <w:bCs/>
                <w:color w:val="auto"/>
                <w:szCs w:val="21"/>
                <w:highlight w:val="none"/>
              </w:rPr>
            </w:pPr>
            <w:r>
              <w:rPr>
                <w:rFonts w:hint="eastAsia" w:ascii="宋体" w:hAnsi="宋体"/>
                <w:b/>
                <w:bCs/>
                <w:color w:val="auto"/>
                <w:kern w:val="0"/>
                <w:szCs w:val="21"/>
                <w:highlight w:val="none"/>
                <w:lang w:bidi="ar"/>
              </w:rPr>
              <w:t>十七、无线网络</w:t>
            </w:r>
          </w:p>
        </w:tc>
      </w:tr>
      <w:tr w14:paraId="47ADBF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27" w:type="dxa"/>
          <w:trHeight w:val="700" w:hRule="atLeast"/>
          <w:jc w:val="center"/>
        </w:trPr>
        <w:tc>
          <w:tcPr>
            <w:tcW w:w="749" w:type="dxa"/>
            <w:tcBorders>
              <w:tl2br w:val="nil"/>
              <w:tr2bl w:val="nil"/>
            </w:tcBorders>
            <w:noWrap/>
            <w:vAlign w:val="center"/>
          </w:tcPr>
          <w:p w14:paraId="77369795">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c>
          <w:tcPr>
            <w:tcW w:w="1227" w:type="dxa"/>
            <w:tcBorders>
              <w:tl2br w:val="nil"/>
              <w:tr2bl w:val="nil"/>
            </w:tcBorders>
            <w:noWrap/>
            <w:vAlign w:val="center"/>
          </w:tcPr>
          <w:p w14:paraId="0462241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bdr w:val="single" w:color="000000" w:sz="4" w:space="0"/>
                <w:lang w:bidi="ar"/>
              </w:rPr>
              <w:drawing>
                <wp:anchor distT="0" distB="0" distL="114300" distR="114300" simplePos="0" relativeHeight="251771904" behindDoc="0" locked="0" layoutInCell="1" allowOverlap="1">
                  <wp:simplePos x="0" y="0"/>
                  <wp:positionH relativeFrom="column">
                    <wp:posOffset>0</wp:posOffset>
                  </wp:positionH>
                  <wp:positionV relativeFrom="paragraph">
                    <wp:posOffset>0</wp:posOffset>
                  </wp:positionV>
                  <wp:extent cx="17145" cy="15240"/>
                  <wp:effectExtent l="0" t="0" r="0" b="0"/>
                  <wp:wrapNone/>
                  <wp:docPr id="325" name="Picture_1"/>
                  <wp:cNvGraphicFramePr/>
                  <a:graphic xmlns:a="http://schemas.openxmlformats.org/drawingml/2006/main">
                    <a:graphicData uri="http://schemas.openxmlformats.org/drawingml/2006/picture">
                      <pic:pic xmlns:pic="http://schemas.openxmlformats.org/drawingml/2006/picture">
                        <pic:nvPicPr>
                          <pic:cNvPr id="325" name="Picture_1"/>
                          <pic:cNvPicPr/>
                        </pic:nvPicPr>
                        <pic:blipFill>
                          <a:blip r:embed="rId7"/>
                          <a:stretch>
                            <a:fillRect/>
                          </a:stretch>
                        </pic:blipFill>
                        <pic:spPr>
                          <a:xfrm>
                            <a:off x="0" y="0"/>
                            <a:ext cx="17145" cy="15240"/>
                          </a:xfrm>
                          <a:prstGeom prst="rect">
                            <a:avLst/>
                          </a:prstGeom>
                          <a:noFill/>
                          <a:ln>
                            <a:noFill/>
                          </a:ln>
                        </pic:spPr>
                      </pic:pic>
                    </a:graphicData>
                  </a:graphic>
                </wp:anchor>
              </w:drawing>
            </w:r>
            <w:r>
              <w:rPr>
                <w:rFonts w:hint="eastAsia" w:ascii="宋体" w:hAnsi="宋体"/>
                <w:color w:val="auto"/>
                <w:kern w:val="0"/>
                <w:szCs w:val="21"/>
                <w:highlight w:val="none"/>
                <w:bdr w:val="single" w:color="000000" w:sz="4" w:space="0"/>
                <w:lang w:bidi="ar"/>
              </w:rPr>
              <w:drawing>
                <wp:anchor distT="0" distB="0" distL="114300" distR="114300" simplePos="0" relativeHeight="251772928" behindDoc="0" locked="0" layoutInCell="1" allowOverlap="1">
                  <wp:simplePos x="0" y="0"/>
                  <wp:positionH relativeFrom="column">
                    <wp:posOffset>0</wp:posOffset>
                  </wp:positionH>
                  <wp:positionV relativeFrom="paragraph">
                    <wp:posOffset>0</wp:posOffset>
                  </wp:positionV>
                  <wp:extent cx="18415" cy="17145"/>
                  <wp:effectExtent l="0" t="0" r="0" b="0"/>
                  <wp:wrapNone/>
                  <wp:docPr id="326" name="Picture_11"/>
                  <wp:cNvGraphicFramePr/>
                  <a:graphic xmlns:a="http://schemas.openxmlformats.org/drawingml/2006/main">
                    <a:graphicData uri="http://schemas.openxmlformats.org/drawingml/2006/picture">
                      <pic:pic xmlns:pic="http://schemas.openxmlformats.org/drawingml/2006/picture">
                        <pic:nvPicPr>
                          <pic:cNvPr id="326" name="Picture_11"/>
                          <pic:cNvPicPr/>
                        </pic:nvPicPr>
                        <pic:blipFill>
                          <a:blip r:embed="rId8"/>
                          <a:stretch>
                            <a:fillRect/>
                          </a:stretch>
                        </pic:blipFill>
                        <pic:spPr>
                          <a:xfrm>
                            <a:off x="0" y="0"/>
                            <a:ext cx="18415" cy="17145"/>
                          </a:xfrm>
                          <a:prstGeom prst="rect">
                            <a:avLst/>
                          </a:prstGeom>
                          <a:noFill/>
                          <a:ln>
                            <a:noFill/>
                          </a:ln>
                        </pic:spPr>
                      </pic:pic>
                    </a:graphicData>
                  </a:graphic>
                </wp:anchor>
              </w:drawing>
            </w:r>
            <w:r>
              <w:rPr>
                <w:rFonts w:hint="eastAsia" w:ascii="宋体" w:hAnsi="宋体"/>
                <w:color w:val="auto"/>
                <w:kern w:val="0"/>
                <w:szCs w:val="21"/>
                <w:highlight w:val="none"/>
                <w:bdr w:val="single" w:color="000000" w:sz="4" w:space="0"/>
                <w:lang w:bidi="ar"/>
              </w:rPr>
              <w:drawing>
                <wp:anchor distT="0" distB="0" distL="114300" distR="114300" simplePos="0" relativeHeight="251773952" behindDoc="0" locked="0" layoutInCell="1" allowOverlap="1">
                  <wp:simplePos x="0" y="0"/>
                  <wp:positionH relativeFrom="column">
                    <wp:posOffset>0</wp:posOffset>
                  </wp:positionH>
                  <wp:positionV relativeFrom="paragraph">
                    <wp:posOffset>0</wp:posOffset>
                  </wp:positionV>
                  <wp:extent cx="17145" cy="15240"/>
                  <wp:effectExtent l="0" t="0" r="0" b="0"/>
                  <wp:wrapNone/>
                  <wp:docPr id="327" name="Picture_1_SpCnt_1"/>
                  <wp:cNvGraphicFramePr/>
                  <a:graphic xmlns:a="http://schemas.openxmlformats.org/drawingml/2006/main">
                    <a:graphicData uri="http://schemas.openxmlformats.org/drawingml/2006/picture">
                      <pic:pic xmlns:pic="http://schemas.openxmlformats.org/drawingml/2006/picture">
                        <pic:nvPicPr>
                          <pic:cNvPr id="327" name="Picture_1_SpCnt_1"/>
                          <pic:cNvPicPr/>
                        </pic:nvPicPr>
                        <pic:blipFill>
                          <a:blip r:embed="rId7"/>
                          <a:stretch>
                            <a:fillRect/>
                          </a:stretch>
                        </pic:blipFill>
                        <pic:spPr>
                          <a:xfrm>
                            <a:off x="0" y="0"/>
                            <a:ext cx="17145" cy="15240"/>
                          </a:xfrm>
                          <a:prstGeom prst="rect">
                            <a:avLst/>
                          </a:prstGeom>
                          <a:noFill/>
                          <a:ln>
                            <a:noFill/>
                          </a:ln>
                        </pic:spPr>
                      </pic:pic>
                    </a:graphicData>
                  </a:graphic>
                </wp:anchor>
              </w:drawing>
            </w:r>
            <w:r>
              <w:rPr>
                <w:rFonts w:hint="eastAsia" w:ascii="宋体" w:hAnsi="宋体"/>
                <w:color w:val="auto"/>
                <w:kern w:val="0"/>
                <w:szCs w:val="21"/>
                <w:highlight w:val="none"/>
                <w:bdr w:val="single" w:color="000000" w:sz="4" w:space="0"/>
                <w:lang w:bidi="ar"/>
              </w:rPr>
              <w:drawing>
                <wp:anchor distT="0" distB="0" distL="114300" distR="114300" simplePos="0" relativeHeight="251774976" behindDoc="0" locked="0" layoutInCell="1" allowOverlap="1">
                  <wp:simplePos x="0" y="0"/>
                  <wp:positionH relativeFrom="column">
                    <wp:posOffset>0</wp:posOffset>
                  </wp:positionH>
                  <wp:positionV relativeFrom="paragraph">
                    <wp:posOffset>0</wp:posOffset>
                  </wp:positionV>
                  <wp:extent cx="18415" cy="17145"/>
                  <wp:effectExtent l="0" t="0" r="0" b="0"/>
                  <wp:wrapNone/>
                  <wp:docPr id="328" name="Picture_11_SpCnt_1"/>
                  <wp:cNvGraphicFramePr/>
                  <a:graphic xmlns:a="http://schemas.openxmlformats.org/drawingml/2006/main">
                    <a:graphicData uri="http://schemas.openxmlformats.org/drawingml/2006/picture">
                      <pic:pic xmlns:pic="http://schemas.openxmlformats.org/drawingml/2006/picture">
                        <pic:nvPicPr>
                          <pic:cNvPr id="328" name="Picture_11_SpCnt_1"/>
                          <pic:cNvPicPr/>
                        </pic:nvPicPr>
                        <pic:blipFill>
                          <a:blip r:embed="rId9"/>
                          <a:stretch>
                            <a:fillRect/>
                          </a:stretch>
                        </pic:blipFill>
                        <pic:spPr>
                          <a:xfrm>
                            <a:off x="0" y="0"/>
                            <a:ext cx="18415" cy="17145"/>
                          </a:xfrm>
                          <a:prstGeom prst="rect">
                            <a:avLst/>
                          </a:prstGeom>
                          <a:noFill/>
                          <a:ln>
                            <a:noFill/>
                          </a:ln>
                        </pic:spPr>
                      </pic:pic>
                    </a:graphicData>
                  </a:graphic>
                </wp:anchor>
              </w:drawing>
            </w:r>
            <w:r>
              <w:rPr>
                <w:rFonts w:hint="eastAsia" w:ascii="宋体" w:hAnsi="宋体"/>
                <w:color w:val="auto"/>
                <w:kern w:val="0"/>
                <w:szCs w:val="21"/>
                <w:highlight w:val="none"/>
                <w:bdr w:val="single" w:color="000000" w:sz="4" w:space="0"/>
                <w:lang w:bidi="ar"/>
              </w:rPr>
              <w:drawing>
                <wp:anchor distT="0" distB="0" distL="114300" distR="114300" simplePos="0" relativeHeight="251776000" behindDoc="0" locked="0" layoutInCell="1" allowOverlap="1">
                  <wp:simplePos x="0" y="0"/>
                  <wp:positionH relativeFrom="column">
                    <wp:posOffset>0</wp:posOffset>
                  </wp:positionH>
                  <wp:positionV relativeFrom="paragraph">
                    <wp:posOffset>0</wp:posOffset>
                  </wp:positionV>
                  <wp:extent cx="17145" cy="15240"/>
                  <wp:effectExtent l="0" t="0" r="0" b="0"/>
                  <wp:wrapNone/>
                  <wp:docPr id="329" name="Picture_1_SpCnt_2"/>
                  <wp:cNvGraphicFramePr/>
                  <a:graphic xmlns:a="http://schemas.openxmlformats.org/drawingml/2006/main">
                    <a:graphicData uri="http://schemas.openxmlformats.org/drawingml/2006/picture">
                      <pic:pic xmlns:pic="http://schemas.openxmlformats.org/drawingml/2006/picture">
                        <pic:nvPicPr>
                          <pic:cNvPr id="329" name="Picture_1_SpCnt_2"/>
                          <pic:cNvPicPr/>
                        </pic:nvPicPr>
                        <pic:blipFill>
                          <a:blip r:embed="rId7"/>
                          <a:stretch>
                            <a:fillRect/>
                          </a:stretch>
                        </pic:blipFill>
                        <pic:spPr>
                          <a:xfrm>
                            <a:off x="0" y="0"/>
                            <a:ext cx="17145" cy="15240"/>
                          </a:xfrm>
                          <a:prstGeom prst="rect">
                            <a:avLst/>
                          </a:prstGeom>
                          <a:noFill/>
                          <a:ln>
                            <a:noFill/>
                          </a:ln>
                        </pic:spPr>
                      </pic:pic>
                    </a:graphicData>
                  </a:graphic>
                </wp:anchor>
              </w:drawing>
            </w:r>
            <w:r>
              <w:rPr>
                <w:rFonts w:hint="eastAsia" w:ascii="宋体" w:hAnsi="宋体"/>
                <w:color w:val="auto"/>
                <w:kern w:val="0"/>
                <w:szCs w:val="21"/>
                <w:highlight w:val="none"/>
                <w:bdr w:val="single" w:color="000000" w:sz="4" w:space="0"/>
                <w:lang w:bidi="ar"/>
              </w:rPr>
              <w:drawing>
                <wp:anchor distT="0" distB="0" distL="114300" distR="114300" simplePos="0" relativeHeight="251777024" behindDoc="0" locked="0" layoutInCell="1" allowOverlap="1">
                  <wp:simplePos x="0" y="0"/>
                  <wp:positionH relativeFrom="column">
                    <wp:posOffset>0</wp:posOffset>
                  </wp:positionH>
                  <wp:positionV relativeFrom="paragraph">
                    <wp:posOffset>0</wp:posOffset>
                  </wp:positionV>
                  <wp:extent cx="16510" cy="15240"/>
                  <wp:effectExtent l="0" t="0" r="0" b="0"/>
                  <wp:wrapNone/>
                  <wp:docPr id="330" name="Picture_13"/>
                  <wp:cNvGraphicFramePr/>
                  <a:graphic xmlns:a="http://schemas.openxmlformats.org/drawingml/2006/main">
                    <a:graphicData uri="http://schemas.openxmlformats.org/drawingml/2006/picture">
                      <pic:pic xmlns:pic="http://schemas.openxmlformats.org/drawingml/2006/picture">
                        <pic:nvPicPr>
                          <pic:cNvPr id="330" name="Picture_13"/>
                          <pic:cNvPicPr/>
                        </pic:nvPicPr>
                        <pic:blipFill>
                          <a:blip r:embed="rId11"/>
                          <a:stretch>
                            <a:fillRect/>
                          </a:stretch>
                        </pic:blipFill>
                        <pic:spPr>
                          <a:xfrm>
                            <a:off x="0" y="0"/>
                            <a:ext cx="16510" cy="15240"/>
                          </a:xfrm>
                          <a:prstGeom prst="rect">
                            <a:avLst/>
                          </a:prstGeom>
                          <a:noFill/>
                          <a:ln>
                            <a:noFill/>
                          </a:ln>
                        </pic:spPr>
                      </pic:pic>
                    </a:graphicData>
                  </a:graphic>
                </wp:anchor>
              </w:drawing>
            </w:r>
            <w:r>
              <w:rPr>
                <w:rFonts w:hint="eastAsia" w:ascii="宋体" w:hAnsi="宋体"/>
                <w:color w:val="auto"/>
                <w:kern w:val="0"/>
                <w:szCs w:val="21"/>
                <w:highlight w:val="none"/>
                <w:bdr w:val="single" w:color="000000" w:sz="4" w:space="0"/>
                <w:lang w:bidi="ar"/>
              </w:rPr>
              <w:drawing>
                <wp:anchor distT="0" distB="0" distL="114300" distR="114300" simplePos="0" relativeHeight="251778048" behindDoc="0" locked="0" layoutInCell="1" allowOverlap="1">
                  <wp:simplePos x="0" y="0"/>
                  <wp:positionH relativeFrom="column">
                    <wp:posOffset>0</wp:posOffset>
                  </wp:positionH>
                  <wp:positionV relativeFrom="paragraph">
                    <wp:posOffset>0</wp:posOffset>
                  </wp:positionV>
                  <wp:extent cx="18415" cy="19050"/>
                  <wp:effectExtent l="0" t="0" r="12065" b="3810"/>
                  <wp:wrapNone/>
                  <wp:docPr id="331" name="Picture_13_SpCnt_1"/>
                  <wp:cNvGraphicFramePr/>
                  <a:graphic xmlns:a="http://schemas.openxmlformats.org/drawingml/2006/main">
                    <a:graphicData uri="http://schemas.openxmlformats.org/drawingml/2006/picture">
                      <pic:pic xmlns:pic="http://schemas.openxmlformats.org/drawingml/2006/picture">
                        <pic:nvPicPr>
                          <pic:cNvPr id="331" name="Picture_13_SpCnt_1"/>
                          <pic:cNvPicPr/>
                        </pic:nvPicPr>
                        <pic:blipFill>
                          <a:blip r:embed="rId13"/>
                          <a:stretch>
                            <a:fillRect/>
                          </a:stretch>
                        </pic:blipFill>
                        <pic:spPr>
                          <a:xfrm>
                            <a:off x="0" y="0"/>
                            <a:ext cx="18415" cy="19050"/>
                          </a:xfrm>
                          <a:prstGeom prst="rect">
                            <a:avLst/>
                          </a:prstGeom>
                          <a:noFill/>
                          <a:ln>
                            <a:noFill/>
                          </a:ln>
                        </pic:spPr>
                      </pic:pic>
                    </a:graphicData>
                  </a:graphic>
                </wp:anchor>
              </w:drawing>
            </w:r>
            <w:r>
              <w:rPr>
                <w:rFonts w:hint="eastAsia" w:ascii="宋体" w:hAnsi="宋体"/>
                <w:color w:val="auto"/>
                <w:kern w:val="0"/>
                <w:szCs w:val="21"/>
                <w:highlight w:val="none"/>
                <w:bdr w:val="single" w:color="000000" w:sz="4" w:space="0"/>
                <w:lang w:bidi="ar"/>
              </w:rPr>
              <w:drawing>
                <wp:anchor distT="0" distB="0" distL="114300" distR="114300" simplePos="0" relativeHeight="251779072" behindDoc="0" locked="0" layoutInCell="1" allowOverlap="1">
                  <wp:simplePos x="0" y="0"/>
                  <wp:positionH relativeFrom="column">
                    <wp:posOffset>0</wp:posOffset>
                  </wp:positionH>
                  <wp:positionV relativeFrom="paragraph">
                    <wp:posOffset>0</wp:posOffset>
                  </wp:positionV>
                  <wp:extent cx="18415" cy="15240"/>
                  <wp:effectExtent l="0" t="0" r="0" b="0"/>
                  <wp:wrapNone/>
                  <wp:docPr id="332" name="Picture_13_SpCnt_2"/>
                  <wp:cNvGraphicFramePr/>
                  <a:graphic xmlns:a="http://schemas.openxmlformats.org/drawingml/2006/main">
                    <a:graphicData uri="http://schemas.openxmlformats.org/drawingml/2006/picture">
                      <pic:pic xmlns:pic="http://schemas.openxmlformats.org/drawingml/2006/picture">
                        <pic:nvPicPr>
                          <pic:cNvPr id="332" name="Picture_13_SpCnt_2"/>
                          <pic:cNvPicPr/>
                        </pic:nvPicPr>
                        <pic:blipFill>
                          <a:blip r:embed="rId7"/>
                          <a:stretch>
                            <a:fillRect/>
                          </a:stretch>
                        </pic:blipFill>
                        <pic:spPr>
                          <a:xfrm>
                            <a:off x="0" y="0"/>
                            <a:ext cx="18415" cy="15240"/>
                          </a:xfrm>
                          <a:prstGeom prst="rect">
                            <a:avLst/>
                          </a:prstGeom>
                          <a:noFill/>
                          <a:ln>
                            <a:noFill/>
                          </a:ln>
                        </pic:spPr>
                      </pic:pic>
                    </a:graphicData>
                  </a:graphic>
                </wp:anchor>
              </w:drawing>
            </w:r>
            <w:r>
              <w:rPr>
                <w:rFonts w:hint="eastAsia" w:ascii="宋体" w:hAnsi="宋体"/>
                <w:color w:val="auto"/>
                <w:kern w:val="0"/>
                <w:szCs w:val="21"/>
                <w:highlight w:val="none"/>
                <w:bdr w:val="single" w:color="000000" w:sz="4" w:space="0"/>
                <w:lang w:bidi="ar"/>
              </w:rPr>
              <w:drawing>
                <wp:anchor distT="0" distB="0" distL="114300" distR="114300" simplePos="0" relativeHeight="251780096" behindDoc="0" locked="0" layoutInCell="1" allowOverlap="1">
                  <wp:simplePos x="0" y="0"/>
                  <wp:positionH relativeFrom="column">
                    <wp:posOffset>0</wp:posOffset>
                  </wp:positionH>
                  <wp:positionV relativeFrom="paragraph">
                    <wp:posOffset>0</wp:posOffset>
                  </wp:positionV>
                  <wp:extent cx="18415" cy="17145"/>
                  <wp:effectExtent l="0" t="0" r="0" b="0"/>
                  <wp:wrapNone/>
                  <wp:docPr id="333" name="Picture_11_SpCnt_2"/>
                  <wp:cNvGraphicFramePr/>
                  <a:graphic xmlns:a="http://schemas.openxmlformats.org/drawingml/2006/main">
                    <a:graphicData uri="http://schemas.openxmlformats.org/drawingml/2006/picture">
                      <pic:pic xmlns:pic="http://schemas.openxmlformats.org/drawingml/2006/picture">
                        <pic:nvPicPr>
                          <pic:cNvPr id="333" name="Picture_11_SpCnt_2"/>
                          <pic:cNvPicPr/>
                        </pic:nvPicPr>
                        <pic:blipFill>
                          <a:blip r:embed="rId9"/>
                          <a:stretch>
                            <a:fillRect/>
                          </a:stretch>
                        </pic:blipFill>
                        <pic:spPr>
                          <a:xfrm>
                            <a:off x="0" y="0"/>
                            <a:ext cx="18415" cy="17145"/>
                          </a:xfrm>
                          <a:prstGeom prst="rect">
                            <a:avLst/>
                          </a:prstGeom>
                          <a:noFill/>
                          <a:ln>
                            <a:noFill/>
                          </a:ln>
                        </pic:spPr>
                      </pic:pic>
                    </a:graphicData>
                  </a:graphic>
                </wp:anchor>
              </w:drawing>
            </w:r>
            <w:r>
              <w:rPr>
                <w:rFonts w:hint="eastAsia" w:ascii="宋体" w:hAnsi="宋体"/>
                <w:color w:val="auto"/>
                <w:kern w:val="0"/>
                <w:szCs w:val="21"/>
                <w:highlight w:val="none"/>
                <w:bdr w:val="single" w:color="000000" w:sz="4" w:space="0"/>
                <w:lang w:bidi="ar"/>
              </w:rPr>
              <w:drawing>
                <wp:anchor distT="0" distB="0" distL="114300" distR="114300" simplePos="0" relativeHeight="251781120" behindDoc="0" locked="0" layoutInCell="1" allowOverlap="1">
                  <wp:simplePos x="0" y="0"/>
                  <wp:positionH relativeFrom="column">
                    <wp:posOffset>0</wp:posOffset>
                  </wp:positionH>
                  <wp:positionV relativeFrom="paragraph">
                    <wp:posOffset>0</wp:posOffset>
                  </wp:positionV>
                  <wp:extent cx="16510" cy="15240"/>
                  <wp:effectExtent l="0" t="0" r="0" b="0"/>
                  <wp:wrapNone/>
                  <wp:docPr id="334" name="Picture_13_SpCnt_3"/>
                  <wp:cNvGraphicFramePr/>
                  <a:graphic xmlns:a="http://schemas.openxmlformats.org/drawingml/2006/main">
                    <a:graphicData uri="http://schemas.openxmlformats.org/drawingml/2006/picture">
                      <pic:pic xmlns:pic="http://schemas.openxmlformats.org/drawingml/2006/picture">
                        <pic:nvPicPr>
                          <pic:cNvPr id="334" name="Picture_13_SpCnt_3"/>
                          <pic:cNvPicPr/>
                        </pic:nvPicPr>
                        <pic:blipFill>
                          <a:blip r:embed="rId11"/>
                          <a:stretch>
                            <a:fillRect/>
                          </a:stretch>
                        </pic:blipFill>
                        <pic:spPr>
                          <a:xfrm>
                            <a:off x="0" y="0"/>
                            <a:ext cx="16510" cy="15240"/>
                          </a:xfrm>
                          <a:prstGeom prst="rect">
                            <a:avLst/>
                          </a:prstGeom>
                          <a:noFill/>
                          <a:ln>
                            <a:noFill/>
                          </a:ln>
                        </pic:spPr>
                      </pic:pic>
                    </a:graphicData>
                  </a:graphic>
                </wp:anchor>
              </w:drawing>
            </w:r>
            <w:r>
              <w:rPr>
                <w:rFonts w:hint="eastAsia" w:ascii="宋体" w:hAnsi="宋体"/>
                <w:color w:val="auto"/>
                <w:kern w:val="0"/>
                <w:szCs w:val="21"/>
                <w:highlight w:val="none"/>
                <w:bdr w:val="single" w:color="000000" w:sz="4" w:space="0"/>
                <w:lang w:bidi="ar"/>
              </w:rPr>
              <w:drawing>
                <wp:anchor distT="0" distB="0" distL="114300" distR="114300" simplePos="0" relativeHeight="251782144" behindDoc="0" locked="0" layoutInCell="1" allowOverlap="1">
                  <wp:simplePos x="0" y="0"/>
                  <wp:positionH relativeFrom="column">
                    <wp:posOffset>0</wp:posOffset>
                  </wp:positionH>
                  <wp:positionV relativeFrom="paragraph">
                    <wp:posOffset>0</wp:posOffset>
                  </wp:positionV>
                  <wp:extent cx="15240" cy="15240"/>
                  <wp:effectExtent l="0" t="0" r="0" b="0"/>
                  <wp:wrapNone/>
                  <wp:docPr id="335" name="Picture_2"/>
                  <wp:cNvGraphicFramePr/>
                  <a:graphic xmlns:a="http://schemas.openxmlformats.org/drawingml/2006/main">
                    <a:graphicData uri="http://schemas.openxmlformats.org/drawingml/2006/picture">
                      <pic:pic xmlns:pic="http://schemas.openxmlformats.org/drawingml/2006/picture">
                        <pic:nvPicPr>
                          <pic:cNvPr id="335" name="Picture_2"/>
                          <pic:cNvPicPr/>
                        </pic:nvPicPr>
                        <pic:blipFill>
                          <a:blip r:embed="rId10"/>
                          <a:stretch>
                            <a:fillRect/>
                          </a:stretch>
                        </pic:blipFill>
                        <pic:spPr>
                          <a:xfrm>
                            <a:off x="0" y="0"/>
                            <a:ext cx="15240" cy="15240"/>
                          </a:xfrm>
                          <a:prstGeom prst="rect">
                            <a:avLst/>
                          </a:prstGeom>
                          <a:noFill/>
                          <a:ln>
                            <a:noFill/>
                          </a:ln>
                        </pic:spPr>
                      </pic:pic>
                    </a:graphicData>
                  </a:graphic>
                </wp:anchor>
              </w:drawing>
            </w:r>
            <w:r>
              <w:rPr>
                <w:rFonts w:hint="eastAsia" w:ascii="宋体" w:hAnsi="宋体"/>
                <w:color w:val="auto"/>
                <w:kern w:val="0"/>
                <w:szCs w:val="21"/>
                <w:highlight w:val="none"/>
                <w:bdr w:val="single" w:color="000000" w:sz="4" w:space="0"/>
                <w:lang w:bidi="ar"/>
              </w:rPr>
              <w:drawing>
                <wp:anchor distT="0" distB="0" distL="114300" distR="114300" simplePos="0" relativeHeight="251783168" behindDoc="0" locked="0" layoutInCell="1" allowOverlap="1">
                  <wp:simplePos x="0" y="0"/>
                  <wp:positionH relativeFrom="column">
                    <wp:posOffset>0</wp:posOffset>
                  </wp:positionH>
                  <wp:positionV relativeFrom="paragraph">
                    <wp:posOffset>0</wp:posOffset>
                  </wp:positionV>
                  <wp:extent cx="18415" cy="19050"/>
                  <wp:effectExtent l="0" t="0" r="12065" b="3810"/>
                  <wp:wrapNone/>
                  <wp:docPr id="336" name="Picture_13_SpCnt_4"/>
                  <wp:cNvGraphicFramePr/>
                  <a:graphic xmlns:a="http://schemas.openxmlformats.org/drawingml/2006/main">
                    <a:graphicData uri="http://schemas.openxmlformats.org/drawingml/2006/picture">
                      <pic:pic xmlns:pic="http://schemas.openxmlformats.org/drawingml/2006/picture">
                        <pic:nvPicPr>
                          <pic:cNvPr id="336" name="Picture_13_SpCnt_4"/>
                          <pic:cNvPicPr/>
                        </pic:nvPicPr>
                        <pic:blipFill>
                          <a:blip r:embed="rId13"/>
                          <a:stretch>
                            <a:fillRect/>
                          </a:stretch>
                        </pic:blipFill>
                        <pic:spPr>
                          <a:xfrm>
                            <a:off x="0" y="0"/>
                            <a:ext cx="18415" cy="19050"/>
                          </a:xfrm>
                          <a:prstGeom prst="rect">
                            <a:avLst/>
                          </a:prstGeom>
                          <a:noFill/>
                          <a:ln>
                            <a:noFill/>
                          </a:ln>
                        </pic:spPr>
                      </pic:pic>
                    </a:graphicData>
                  </a:graphic>
                </wp:anchor>
              </w:drawing>
            </w:r>
            <w:r>
              <w:rPr>
                <w:rFonts w:hint="eastAsia" w:ascii="宋体" w:hAnsi="宋体"/>
                <w:color w:val="auto"/>
                <w:kern w:val="0"/>
                <w:szCs w:val="21"/>
                <w:highlight w:val="none"/>
                <w:bdr w:val="single" w:color="000000" w:sz="4" w:space="0"/>
                <w:lang w:bidi="ar"/>
              </w:rPr>
              <w:drawing>
                <wp:anchor distT="0" distB="0" distL="114300" distR="114300" simplePos="0" relativeHeight="251784192" behindDoc="0" locked="0" layoutInCell="1" allowOverlap="1">
                  <wp:simplePos x="0" y="0"/>
                  <wp:positionH relativeFrom="column">
                    <wp:posOffset>0</wp:posOffset>
                  </wp:positionH>
                  <wp:positionV relativeFrom="paragraph">
                    <wp:posOffset>0</wp:posOffset>
                  </wp:positionV>
                  <wp:extent cx="18415" cy="15240"/>
                  <wp:effectExtent l="0" t="0" r="0" b="0"/>
                  <wp:wrapNone/>
                  <wp:docPr id="337" name="Picture_13_SpCnt_5"/>
                  <wp:cNvGraphicFramePr/>
                  <a:graphic xmlns:a="http://schemas.openxmlformats.org/drawingml/2006/main">
                    <a:graphicData uri="http://schemas.openxmlformats.org/drawingml/2006/picture">
                      <pic:pic xmlns:pic="http://schemas.openxmlformats.org/drawingml/2006/picture">
                        <pic:nvPicPr>
                          <pic:cNvPr id="337" name="Picture_13_SpCnt_5"/>
                          <pic:cNvPicPr/>
                        </pic:nvPicPr>
                        <pic:blipFill>
                          <a:blip r:embed="rId7"/>
                          <a:stretch>
                            <a:fillRect/>
                          </a:stretch>
                        </pic:blipFill>
                        <pic:spPr>
                          <a:xfrm>
                            <a:off x="0" y="0"/>
                            <a:ext cx="18415" cy="15240"/>
                          </a:xfrm>
                          <a:prstGeom prst="rect">
                            <a:avLst/>
                          </a:prstGeom>
                          <a:noFill/>
                          <a:ln>
                            <a:noFill/>
                          </a:ln>
                        </pic:spPr>
                      </pic:pic>
                    </a:graphicData>
                  </a:graphic>
                </wp:anchor>
              </w:drawing>
            </w:r>
            <w:r>
              <w:rPr>
                <w:rFonts w:hint="eastAsia" w:ascii="宋体" w:hAnsi="宋体"/>
                <w:color w:val="auto"/>
                <w:kern w:val="0"/>
                <w:szCs w:val="21"/>
                <w:highlight w:val="none"/>
                <w:bdr w:val="single" w:color="000000" w:sz="4" w:space="0"/>
                <w:lang w:bidi="ar"/>
              </w:rPr>
              <w:drawing>
                <wp:anchor distT="0" distB="0" distL="114300" distR="114300" simplePos="0" relativeHeight="251785216" behindDoc="0" locked="0" layoutInCell="1" allowOverlap="1">
                  <wp:simplePos x="0" y="0"/>
                  <wp:positionH relativeFrom="column">
                    <wp:posOffset>0</wp:posOffset>
                  </wp:positionH>
                  <wp:positionV relativeFrom="paragraph">
                    <wp:posOffset>0</wp:posOffset>
                  </wp:positionV>
                  <wp:extent cx="18415" cy="17145"/>
                  <wp:effectExtent l="0" t="0" r="0" b="0"/>
                  <wp:wrapNone/>
                  <wp:docPr id="338" name="Picture_11_SpCnt_3"/>
                  <wp:cNvGraphicFramePr/>
                  <a:graphic xmlns:a="http://schemas.openxmlformats.org/drawingml/2006/main">
                    <a:graphicData uri="http://schemas.openxmlformats.org/drawingml/2006/picture">
                      <pic:pic xmlns:pic="http://schemas.openxmlformats.org/drawingml/2006/picture">
                        <pic:nvPicPr>
                          <pic:cNvPr id="338" name="Picture_11_SpCnt_3"/>
                          <pic:cNvPicPr/>
                        </pic:nvPicPr>
                        <pic:blipFill>
                          <a:blip r:embed="rId9"/>
                          <a:stretch>
                            <a:fillRect/>
                          </a:stretch>
                        </pic:blipFill>
                        <pic:spPr>
                          <a:xfrm>
                            <a:off x="0" y="0"/>
                            <a:ext cx="18415" cy="17145"/>
                          </a:xfrm>
                          <a:prstGeom prst="rect">
                            <a:avLst/>
                          </a:prstGeom>
                          <a:noFill/>
                          <a:ln>
                            <a:noFill/>
                          </a:ln>
                        </pic:spPr>
                      </pic:pic>
                    </a:graphicData>
                  </a:graphic>
                </wp:anchor>
              </w:drawing>
            </w:r>
            <w:r>
              <w:rPr>
                <w:rFonts w:hint="eastAsia" w:ascii="宋体" w:hAnsi="宋体"/>
                <w:color w:val="auto"/>
                <w:kern w:val="0"/>
                <w:szCs w:val="21"/>
                <w:highlight w:val="none"/>
                <w:bdr w:val="single" w:color="000000" w:sz="4" w:space="0"/>
                <w:lang w:bidi="ar"/>
              </w:rPr>
              <w:drawing>
                <wp:anchor distT="0" distB="0" distL="114300" distR="114300" simplePos="0" relativeHeight="251786240" behindDoc="0" locked="0" layoutInCell="1" allowOverlap="1">
                  <wp:simplePos x="0" y="0"/>
                  <wp:positionH relativeFrom="column">
                    <wp:posOffset>0</wp:posOffset>
                  </wp:positionH>
                  <wp:positionV relativeFrom="paragraph">
                    <wp:posOffset>0</wp:posOffset>
                  </wp:positionV>
                  <wp:extent cx="15240" cy="15240"/>
                  <wp:effectExtent l="0" t="0" r="0" b="0"/>
                  <wp:wrapNone/>
                  <wp:docPr id="339" name="Picture_2_SpCnt_1"/>
                  <wp:cNvGraphicFramePr/>
                  <a:graphic xmlns:a="http://schemas.openxmlformats.org/drawingml/2006/main">
                    <a:graphicData uri="http://schemas.openxmlformats.org/drawingml/2006/picture">
                      <pic:pic xmlns:pic="http://schemas.openxmlformats.org/drawingml/2006/picture">
                        <pic:nvPicPr>
                          <pic:cNvPr id="339" name="Picture_2_SpCnt_1"/>
                          <pic:cNvPicPr/>
                        </pic:nvPicPr>
                        <pic:blipFill>
                          <a:blip r:embed="rId10"/>
                          <a:stretch>
                            <a:fillRect/>
                          </a:stretch>
                        </pic:blipFill>
                        <pic:spPr>
                          <a:xfrm>
                            <a:off x="0" y="0"/>
                            <a:ext cx="15240" cy="15240"/>
                          </a:xfrm>
                          <a:prstGeom prst="rect">
                            <a:avLst/>
                          </a:prstGeom>
                          <a:noFill/>
                          <a:ln>
                            <a:noFill/>
                          </a:ln>
                        </pic:spPr>
                      </pic:pic>
                    </a:graphicData>
                  </a:graphic>
                </wp:anchor>
              </w:drawing>
            </w:r>
            <w:r>
              <w:rPr>
                <w:rFonts w:hint="eastAsia" w:ascii="宋体" w:hAnsi="宋体"/>
                <w:color w:val="auto"/>
                <w:kern w:val="0"/>
                <w:szCs w:val="21"/>
                <w:highlight w:val="none"/>
                <w:bdr w:val="single" w:color="000000" w:sz="4" w:space="0"/>
                <w:lang w:bidi="ar"/>
              </w:rPr>
              <w:drawing>
                <wp:anchor distT="0" distB="0" distL="114300" distR="114300" simplePos="0" relativeHeight="251787264" behindDoc="0" locked="0" layoutInCell="1" allowOverlap="1">
                  <wp:simplePos x="0" y="0"/>
                  <wp:positionH relativeFrom="column">
                    <wp:posOffset>0</wp:posOffset>
                  </wp:positionH>
                  <wp:positionV relativeFrom="paragraph">
                    <wp:posOffset>0</wp:posOffset>
                  </wp:positionV>
                  <wp:extent cx="17145" cy="15240"/>
                  <wp:effectExtent l="0" t="0" r="0" b="0"/>
                  <wp:wrapNone/>
                  <wp:docPr id="340" name="Picture_1_SpCnt_3"/>
                  <wp:cNvGraphicFramePr/>
                  <a:graphic xmlns:a="http://schemas.openxmlformats.org/drawingml/2006/main">
                    <a:graphicData uri="http://schemas.openxmlformats.org/drawingml/2006/picture">
                      <pic:pic xmlns:pic="http://schemas.openxmlformats.org/drawingml/2006/picture">
                        <pic:nvPicPr>
                          <pic:cNvPr id="340" name="Picture_1_SpCnt_3"/>
                          <pic:cNvPicPr/>
                        </pic:nvPicPr>
                        <pic:blipFill>
                          <a:blip r:embed="rId7"/>
                          <a:stretch>
                            <a:fillRect/>
                          </a:stretch>
                        </pic:blipFill>
                        <pic:spPr>
                          <a:xfrm>
                            <a:off x="0" y="0"/>
                            <a:ext cx="17145" cy="15240"/>
                          </a:xfrm>
                          <a:prstGeom prst="rect">
                            <a:avLst/>
                          </a:prstGeom>
                          <a:noFill/>
                          <a:ln>
                            <a:noFill/>
                          </a:ln>
                        </pic:spPr>
                      </pic:pic>
                    </a:graphicData>
                  </a:graphic>
                </wp:anchor>
              </w:drawing>
            </w:r>
            <w:r>
              <w:rPr>
                <w:rFonts w:hint="eastAsia" w:ascii="宋体" w:hAnsi="宋体"/>
                <w:color w:val="auto"/>
                <w:kern w:val="0"/>
                <w:szCs w:val="21"/>
                <w:highlight w:val="none"/>
                <w:bdr w:val="single" w:color="000000" w:sz="4" w:space="0"/>
                <w:lang w:bidi="ar"/>
              </w:rPr>
              <w:drawing>
                <wp:anchor distT="0" distB="0" distL="114300" distR="114300" simplePos="0" relativeHeight="251788288" behindDoc="0" locked="0" layoutInCell="1" allowOverlap="1">
                  <wp:simplePos x="0" y="0"/>
                  <wp:positionH relativeFrom="column">
                    <wp:posOffset>0</wp:posOffset>
                  </wp:positionH>
                  <wp:positionV relativeFrom="paragraph">
                    <wp:posOffset>0</wp:posOffset>
                  </wp:positionV>
                  <wp:extent cx="16510" cy="15240"/>
                  <wp:effectExtent l="0" t="0" r="0" b="0"/>
                  <wp:wrapNone/>
                  <wp:docPr id="341" name="Picture_13_SpCnt_6"/>
                  <wp:cNvGraphicFramePr/>
                  <a:graphic xmlns:a="http://schemas.openxmlformats.org/drawingml/2006/main">
                    <a:graphicData uri="http://schemas.openxmlformats.org/drawingml/2006/picture">
                      <pic:pic xmlns:pic="http://schemas.openxmlformats.org/drawingml/2006/picture">
                        <pic:nvPicPr>
                          <pic:cNvPr id="341" name="Picture_13_SpCnt_6"/>
                          <pic:cNvPicPr/>
                        </pic:nvPicPr>
                        <pic:blipFill>
                          <a:blip r:embed="rId11"/>
                          <a:stretch>
                            <a:fillRect/>
                          </a:stretch>
                        </pic:blipFill>
                        <pic:spPr>
                          <a:xfrm>
                            <a:off x="0" y="0"/>
                            <a:ext cx="16510" cy="15240"/>
                          </a:xfrm>
                          <a:prstGeom prst="rect">
                            <a:avLst/>
                          </a:prstGeom>
                          <a:noFill/>
                          <a:ln>
                            <a:noFill/>
                          </a:ln>
                        </pic:spPr>
                      </pic:pic>
                    </a:graphicData>
                  </a:graphic>
                </wp:anchor>
              </w:drawing>
            </w:r>
            <w:r>
              <w:rPr>
                <w:rFonts w:hint="eastAsia" w:ascii="宋体" w:hAnsi="宋体"/>
                <w:color w:val="auto"/>
                <w:kern w:val="0"/>
                <w:szCs w:val="21"/>
                <w:highlight w:val="none"/>
                <w:bdr w:val="single" w:color="000000" w:sz="4" w:space="0"/>
                <w:lang w:bidi="ar"/>
              </w:rPr>
              <w:drawing>
                <wp:anchor distT="0" distB="0" distL="114300" distR="114300" simplePos="0" relativeHeight="251789312" behindDoc="0" locked="0" layoutInCell="1" allowOverlap="1">
                  <wp:simplePos x="0" y="0"/>
                  <wp:positionH relativeFrom="column">
                    <wp:posOffset>0</wp:posOffset>
                  </wp:positionH>
                  <wp:positionV relativeFrom="paragraph">
                    <wp:posOffset>0</wp:posOffset>
                  </wp:positionV>
                  <wp:extent cx="18415" cy="19050"/>
                  <wp:effectExtent l="0" t="0" r="12065" b="3810"/>
                  <wp:wrapNone/>
                  <wp:docPr id="342" name="Picture_13_SpCnt_7"/>
                  <wp:cNvGraphicFramePr/>
                  <a:graphic xmlns:a="http://schemas.openxmlformats.org/drawingml/2006/main">
                    <a:graphicData uri="http://schemas.openxmlformats.org/drawingml/2006/picture">
                      <pic:pic xmlns:pic="http://schemas.openxmlformats.org/drawingml/2006/picture">
                        <pic:nvPicPr>
                          <pic:cNvPr id="342" name="Picture_13_SpCnt_7"/>
                          <pic:cNvPicPr/>
                        </pic:nvPicPr>
                        <pic:blipFill>
                          <a:blip r:embed="rId13"/>
                          <a:stretch>
                            <a:fillRect/>
                          </a:stretch>
                        </pic:blipFill>
                        <pic:spPr>
                          <a:xfrm>
                            <a:off x="0" y="0"/>
                            <a:ext cx="18415" cy="19050"/>
                          </a:xfrm>
                          <a:prstGeom prst="rect">
                            <a:avLst/>
                          </a:prstGeom>
                          <a:noFill/>
                          <a:ln>
                            <a:noFill/>
                          </a:ln>
                        </pic:spPr>
                      </pic:pic>
                    </a:graphicData>
                  </a:graphic>
                </wp:anchor>
              </w:drawing>
            </w:r>
            <w:r>
              <w:rPr>
                <w:rFonts w:hint="eastAsia" w:ascii="宋体" w:hAnsi="宋体"/>
                <w:color w:val="auto"/>
                <w:kern w:val="0"/>
                <w:szCs w:val="21"/>
                <w:highlight w:val="none"/>
                <w:bdr w:val="single" w:color="000000" w:sz="4" w:space="0"/>
                <w:lang w:bidi="ar"/>
              </w:rPr>
              <w:drawing>
                <wp:anchor distT="0" distB="0" distL="114300" distR="114300" simplePos="0" relativeHeight="251790336" behindDoc="0" locked="0" layoutInCell="1" allowOverlap="1">
                  <wp:simplePos x="0" y="0"/>
                  <wp:positionH relativeFrom="column">
                    <wp:posOffset>0</wp:posOffset>
                  </wp:positionH>
                  <wp:positionV relativeFrom="paragraph">
                    <wp:posOffset>0</wp:posOffset>
                  </wp:positionV>
                  <wp:extent cx="18415" cy="15240"/>
                  <wp:effectExtent l="0" t="0" r="0" b="0"/>
                  <wp:wrapNone/>
                  <wp:docPr id="343" name="Picture_13_SpCnt_8"/>
                  <wp:cNvGraphicFramePr/>
                  <a:graphic xmlns:a="http://schemas.openxmlformats.org/drawingml/2006/main">
                    <a:graphicData uri="http://schemas.openxmlformats.org/drawingml/2006/picture">
                      <pic:pic xmlns:pic="http://schemas.openxmlformats.org/drawingml/2006/picture">
                        <pic:nvPicPr>
                          <pic:cNvPr id="343" name="Picture_13_SpCnt_8"/>
                          <pic:cNvPicPr/>
                        </pic:nvPicPr>
                        <pic:blipFill>
                          <a:blip r:embed="rId7"/>
                          <a:stretch>
                            <a:fillRect/>
                          </a:stretch>
                        </pic:blipFill>
                        <pic:spPr>
                          <a:xfrm>
                            <a:off x="0" y="0"/>
                            <a:ext cx="18415" cy="15240"/>
                          </a:xfrm>
                          <a:prstGeom prst="rect">
                            <a:avLst/>
                          </a:prstGeom>
                          <a:noFill/>
                          <a:ln>
                            <a:noFill/>
                          </a:ln>
                        </pic:spPr>
                      </pic:pic>
                    </a:graphicData>
                  </a:graphic>
                </wp:anchor>
              </w:drawing>
            </w:r>
            <w:r>
              <w:rPr>
                <w:rFonts w:hint="eastAsia" w:ascii="宋体" w:hAnsi="宋体"/>
                <w:color w:val="auto"/>
                <w:kern w:val="0"/>
                <w:szCs w:val="21"/>
                <w:highlight w:val="none"/>
                <w:bdr w:val="single" w:color="000000" w:sz="4" w:space="0"/>
                <w:lang w:bidi="ar"/>
              </w:rPr>
              <w:drawing>
                <wp:anchor distT="0" distB="0" distL="114300" distR="114300" simplePos="0" relativeHeight="251791360" behindDoc="0" locked="0" layoutInCell="1" allowOverlap="1">
                  <wp:simplePos x="0" y="0"/>
                  <wp:positionH relativeFrom="column">
                    <wp:posOffset>0</wp:posOffset>
                  </wp:positionH>
                  <wp:positionV relativeFrom="paragraph">
                    <wp:posOffset>0</wp:posOffset>
                  </wp:positionV>
                  <wp:extent cx="18415" cy="17145"/>
                  <wp:effectExtent l="0" t="0" r="0" b="0"/>
                  <wp:wrapNone/>
                  <wp:docPr id="344" name="Picture_11_SpCnt_4"/>
                  <wp:cNvGraphicFramePr/>
                  <a:graphic xmlns:a="http://schemas.openxmlformats.org/drawingml/2006/main">
                    <a:graphicData uri="http://schemas.openxmlformats.org/drawingml/2006/picture">
                      <pic:pic xmlns:pic="http://schemas.openxmlformats.org/drawingml/2006/picture">
                        <pic:nvPicPr>
                          <pic:cNvPr id="344" name="Picture_11_SpCnt_4"/>
                          <pic:cNvPicPr/>
                        </pic:nvPicPr>
                        <pic:blipFill>
                          <a:blip r:embed="rId9"/>
                          <a:stretch>
                            <a:fillRect/>
                          </a:stretch>
                        </pic:blipFill>
                        <pic:spPr>
                          <a:xfrm>
                            <a:off x="0" y="0"/>
                            <a:ext cx="18415" cy="17145"/>
                          </a:xfrm>
                          <a:prstGeom prst="rect">
                            <a:avLst/>
                          </a:prstGeom>
                          <a:noFill/>
                          <a:ln>
                            <a:noFill/>
                          </a:ln>
                        </pic:spPr>
                      </pic:pic>
                    </a:graphicData>
                  </a:graphic>
                </wp:anchor>
              </w:drawing>
            </w:r>
            <w:r>
              <w:rPr>
                <w:rFonts w:hint="eastAsia" w:ascii="宋体" w:hAnsi="宋体"/>
                <w:color w:val="auto"/>
                <w:kern w:val="0"/>
                <w:szCs w:val="21"/>
                <w:highlight w:val="none"/>
                <w:bdr w:val="single" w:color="000000" w:sz="4" w:space="0"/>
                <w:lang w:bidi="ar"/>
              </w:rPr>
              <w:drawing>
                <wp:anchor distT="0" distB="0" distL="114300" distR="114300" simplePos="0" relativeHeight="251792384" behindDoc="0" locked="0" layoutInCell="1" allowOverlap="1">
                  <wp:simplePos x="0" y="0"/>
                  <wp:positionH relativeFrom="column">
                    <wp:posOffset>0</wp:posOffset>
                  </wp:positionH>
                  <wp:positionV relativeFrom="paragraph">
                    <wp:posOffset>0</wp:posOffset>
                  </wp:positionV>
                  <wp:extent cx="15240" cy="15240"/>
                  <wp:effectExtent l="0" t="0" r="0" b="0"/>
                  <wp:wrapNone/>
                  <wp:docPr id="345" name="Picture_2_SpCnt_2"/>
                  <wp:cNvGraphicFramePr/>
                  <a:graphic xmlns:a="http://schemas.openxmlformats.org/drawingml/2006/main">
                    <a:graphicData uri="http://schemas.openxmlformats.org/drawingml/2006/picture">
                      <pic:pic xmlns:pic="http://schemas.openxmlformats.org/drawingml/2006/picture">
                        <pic:nvPicPr>
                          <pic:cNvPr id="345" name="Picture_2_SpCnt_2"/>
                          <pic:cNvPicPr/>
                        </pic:nvPicPr>
                        <pic:blipFill>
                          <a:blip r:embed="rId10"/>
                          <a:stretch>
                            <a:fillRect/>
                          </a:stretch>
                        </pic:blipFill>
                        <pic:spPr>
                          <a:xfrm>
                            <a:off x="0" y="0"/>
                            <a:ext cx="15240" cy="15240"/>
                          </a:xfrm>
                          <a:prstGeom prst="rect">
                            <a:avLst/>
                          </a:prstGeom>
                          <a:noFill/>
                          <a:ln>
                            <a:noFill/>
                          </a:ln>
                        </pic:spPr>
                      </pic:pic>
                    </a:graphicData>
                  </a:graphic>
                </wp:anchor>
              </w:drawing>
            </w:r>
            <w:r>
              <w:rPr>
                <w:rFonts w:hint="eastAsia" w:ascii="宋体" w:hAnsi="宋体"/>
                <w:color w:val="auto"/>
                <w:kern w:val="0"/>
                <w:szCs w:val="21"/>
                <w:highlight w:val="none"/>
                <w:bdr w:val="single" w:color="000000" w:sz="4" w:space="0"/>
                <w:lang w:bidi="ar"/>
              </w:rPr>
              <w:drawing>
                <wp:anchor distT="0" distB="0" distL="114300" distR="114300" simplePos="0" relativeHeight="251793408" behindDoc="0" locked="0" layoutInCell="1" allowOverlap="1">
                  <wp:simplePos x="0" y="0"/>
                  <wp:positionH relativeFrom="column">
                    <wp:posOffset>0</wp:posOffset>
                  </wp:positionH>
                  <wp:positionV relativeFrom="paragraph">
                    <wp:posOffset>0</wp:posOffset>
                  </wp:positionV>
                  <wp:extent cx="17145" cy="15240"/>
                  <wp:effectExtent l="0" t="0" r="0" b="0"/>
                  <wp:wrapNone/>
                  <wp:docPr id="346" name="Picture_1_SpCnt_4"/>
                  <wp:cNvGraphicFramePr/>
                  <a:graphic xmlns:a="http://schemas.openxmlformats.org/drawingml/2006/main">
                    <a:graphicData uri="http://schemas.openxmlformats.org/drawingml/2006/picture">
                      <pic:pic xmlns:pic="http://schemas.openxmlformats.org/drawingml/2006/picture">
                        <pic:nvPicPr>
                          <pic:cNvPr id="346" name="Picture_1_SpCnt_4"/>
                          <pic:cNvPicPr/>
                        </pic:nvPicPr>
                        <pic:blipFill>
                          <a:blip r:embed="rId7"/>
                          <a:stretch>
                            <a:fillRect/>
                          </a:stretch>
                        </pic:blipFill>
                        <pic:spPr>
                          <a:xfrm>
                            <a:off x="0" y="0"/>
                            <a:ext cx="17145" cy="15240"/>
                          </a:xfrm>
                          <a:prstGeom prst="rect">
                            <a:avLst/>
                          </a:prstGeom>
                          <a:noFill/>
                          <a:ln>
                            <a:noFill/>
                          </a:ln>
                        </pic:spPr>
                      </pic:pic>
                    </a:graphicData>
                  </a:graphic>
                </wp:anchor>
              </w:drawing>
            </w:r>
            <w:r>
              <w:rPr>
                <w:rFonts w:hint="eastAsia" w:ascii="宋体" w:hAnsi="宋体"/>
                <w:color w:val="auto"/>
                <w:kern w:val="0"/>
                <w:szCs w:val="21"/>
                <w:highlight w:val="none"/>
                <w:bdr w:val="single" w:color="000000" w:sz="4" w:space="0"/>
                <w:lang w:bidi="ar"/>
              </w:rPr>
              <w:drawing>
                <wp:anchor distT="0" distB="0" distL="114300" distR="114300" simplePos="0" relativeHeight="251794432" behindDoc="0" locked="0" layoutInCell="1" allowOverlap="1">
                  <wp:simplePos x="0" y="0"/>
                  <wp:positionH relativeFrom="column">
                    <wp:posOffset>0</wp:posOffset>
                  </wp:positionH>
                  <wp:positionV relativeFrom="paragraph">
                    <wp:posOffset>0</wp:posOffset>
                  </wp:positionV>
                  <wp:extent cx="16510" cy="15240"/>
                  <wp:effectExtent l="0" t="0" r="0" b="0"/>
                  <wp:wrapNone/>
                  <wp:docPr id="347" name="Picture_13_SpCnt_9"/>
                  <wp:cNvGraphicFramePr/>
                  <a:graphic xmlns:a="http://schemas.openxmlformats.org/drawingml/2006/main">
                    <a:graphicData uri="http://schemas.openxmlformats.org/drawingml/2006/picture">
                      <pic:pic xmlns:pic="http://schemas.openxmlformats.org/drawingml/2006/picture">
                        <pic:nvPicPr>
                          <pic:cNvPr id="347" name="Picture_13_SpCnt_9"/>
                          <pic:cNvPicPr/>
                        </pic:nvPicPr>
                        <pic:blipFill>
                          <a:blip r:embed="rId11"/>
                          <a:stretch>
                            <a:fillRect/>
                          </a:stretch>
                        </pic:blipFill>
                        <pic:spPr>
                          <a:xfrm>
                            <a:off x="0" y="0"/>
                            <a:ext cx="16510" cy="15240"/>
                          </a:xfrm>
                          <a:prstGeom prst="rect">
                            <a:avLst/>
                          </a:prstGeom>
                          <a:noFill/>
                          <a:ln>
                            <a:noFill/>
                          </a:ln>
                        </pic:spPr>
                      </pic:pic>
                    </a:graphicData>
                  </a:graphic>
                </wp:anchor>
              </w:drawing>
            </w:r>
            <w:r>
              <w:rPr>
                <w:rFonts w:hint="eastAsia" w:ascii="宋体" w:hAnsi="宋体"/>
                <w:color w:val="auto"/>
                <w:kern w:val="0"/>
                <w:szCs w:val="21"/>
                <w:highlight w:val="none"/>
                <w:bdr w:val="single" w:color="000000" w:sz="4" w:space="0"/>
                <w:lang w:bidi="ar"/>
              </w:rPr>
              <w:drawing>
                <wp:anchor distT="0" distB="0" distL="114300" distR="114300" simplePos="0" relativeHeight="251795456" behindDoc="0" locked="0" layoutInCell="1" allowOverlap="1">
                  <wp:simplePos x="0" y="0"/>
                  <wp:positionH relativeFrom="column">
                    <wp:posOffset>0</wp:posOffset>
                  </wp:positionH>
                  <wp:positionV relativeFrom="paragraph">
                    <wp:posOffset>0</wp:posOffset>
                  </wp:positionV>
                  <wp:extent cx="18415" cy="19050"/>
                  <wp:effectExtent l="0" t="0" r="12065" b="3810"/>
                  <wp:wrapNone/>
                  <wp:docPr id="348" name="Picture_13_SpCnt_10"/>
                  <wp:cNvGraphicFramePr/>
                  <a:graphic xmlns:a="http://schemas.openxmlformats.org/drawingml/2006/main">
                    <a:graphicData uri="http://schemas.openxmlformats.org/drawingml/2006/picture">
                      <pic:pic xmlns:pic="http://schemas.openxmlformats.org/drawingml/2006/picture">
                        <pic:nvPicPr>
                          <pic:cNvPr id="348" name="Picture_13_SpCnt_10"/>
                          <pic:cNvPicPr/>
                        </pic:nvPicPr>
                        <pic:blipFill>
                          <a:blip r:embed="rId12"/>
                          <a:stretch>
                            <a:fillRect/>
                          </a:stretch>
                        </pic:blipFill>
                        <pic:spPr>
                          <a:xfrm>
                            <a:off x="0" y="0"/>
                            <a:ext cx="18415" cy="19050"/>
                          </a:xfrm>
                          <a:prstGeom prst="rect">
                            <a:avLst/>
                          </a:prstGeom>
                          <a:noFill/>
                          <a:ln>
                            <a:noFill/>
                          </a:ln>
                        </pic:spPr>
                      </pic:pic>
                    </a:graphicData>
                  </a:graphic>
                </wp:anchor>
              </w:drawing>
            </w:r>
            <w:r>
              <w:rPr>
                <w:rFonts w:hint="eastAsia" w:ascii="宋体" w:hAnsi="宋体"/>
                <w:color w:val="auto"/>
                <w:kern w:val="0"/>
                <w:szCs w:val="21"/>
                <w:highlight w:val="none"/>
                <w:bdr w:val="single" w:color="000000" w:sz="4" w:space="0"/>
                <w:lang w:bidi="ar"/>
              </w:rPr>
              <w:drawing>
                <wp:anchor distT="0" distB="0" distL="114300" distR="114300" simplePos="0" relativeHeight="251796480" behindDoc="0" locked="0" layoutInCell="1" allowOverlap="1">
                  <wp:simplePos x="0" y="0"/>
                  <wp:positionH relativeFrom="column">
                    <wp:posOffset>0</wp:posOffset>
                  </wp:positionH>
                  <wp:positionV relativeFrom="paragraph">
                    <wp:posOffset>0</wp:posOffset>
                  </wp:positionV>
                  <wp:extent cx="15240" cy="15240"/>
                  <wp:effectExtent l="0" t="0" r="0" b="0"/>
                  <wp:wrapNone/>
                  <wp:docPr id="349" name="Picture_2_SpCnt_3"/>
                  <wp:cNvGraphicFramePr/>
                  <a:graphic xmlns:a="http://schemas.openxmlformats.org/drawingml/2006/main">
                    <a:graphicData uri="http://schemas.openxmlformats.org/drawingml/2006/picture">
                      <pic:pic xmlns:pic="http://schemas.openxmlformats.org/drawingml/2006/picture">
                        <pic:nvPicPr>
                          <pic:cNvPr id="349" name="Picture_2_SpCnt_3"/>
                          <pic:cNvPicPr/>
                        </pic:nvPicPr>
                        <pic:blipFill>
                          <a:blip r:embed="rId10"/>
                          <a:stretch>
                            <a:fillRect/>
                          </a:stretch>
                        </pic:blipFill>
                        <pic:spPr>
                          <a:xfrm>
                            <a:off x="0" y="0"/>
                            <a:ext cx="15240" cy="15240"/>
                          </a:xfrm>
                          <a:prstGeom prst="rect">
                            <a:avLst/>
                          </a:prstGeom>
                          <a:noFill/>
                          <a:ln>
                            <a:noFill/>
                          </a:ln>
                        </pic:spPr>
                      </pic:pic>
                    </a:graphicData>
                  </a:graphic>
                </wp:anchor>
              </w:drawing>
            </w:r>
            <w:r>
              <w:rPr>
                <w:rFonts w:hint="eastAsia" w:ascii="宋体" w:hAnsi="宋体"/>
                <w:color w:val="auto"/>
                <w:kern w:val="0"/>
                <w:szCs w:val="21"/>
                <w:highlight w:val="none"/>
                <w:bdr w:val="single" w:color="000000" w:sz="4" w:space="0"/>
                <w:lang w:bidi="ar"/>
              </w:rPr>
              <w:drawing>
                <wp:anchor distT="0" distB="0" distL="114300" distR="114300" simplePos="0" relativeHeight="251797504" behindDoc="0" locked="0" layoutInCell="1" allowOverlap="1">
                  <wp:simplePos x="0" y="0"/>
                  <wp:positionH relativeFrom="column">
                    <wp:posOffset>0</wp:posOffset>
                  </wp:positionH>
                  <wp:positionV relativeFrom="paragraph">
                    <wp:posOffset>0</wp:posOffset>
                  </wp:positionV>
                  <wp:extent cx="18415" cy="15240"/>
                  <wp:effectExtent l="0" t="0" r="0" b="0"/>
                  <wp:wrapNone/>
                  <wp:docPr id="350" name="Picture_13_SpCnt_11"/>
                  <wp:cNvGraphicFramePr/>
                  <a:graphic xmlns:a="http://schemas.openxmlformats.org/drawingml/2006/main">
                    <a:graphicData uri="http://schemas.openxmlformats.org/drawingml/2006/picture">
                      <pic:pic xmlns:pic="http://schemas.openxmlformats.org/drawingml/2006/picture">
                        <pic:nvPicPr>
                          <pic:cNvPr id="350" name="Picture_13_SpCnt_11"/>
                          <pic:cNvPicPr/>
                        </pic:nvPicPr>
                        <pic:blipFill>
                          <a:blip r:embed="rId7"/>
                          <a:stretch>
                            <a:fillRect/>
                          </a:stretch>
                        </pic:blipFill>
                        <pic:spPr>
                          <a:xfrm>
                            <a:off x="0" y="0"/>
                            <a:ext cx="18415" cy="15240"/>
                          </a:xfrm>
                          <a:prstGeom prst="rect">
                            <a:avLst/>
                          </a:prstGeom>
                          <a:noFill/>
                          <a:ln>
                            <a:noFill/>
                          </a:ln>
                        </pic:spPr>
                      </pic:pic>
                    </a:graphicData>
                  </a:graphic>
                </wp:anchor>
              </w:drawing>
            </w:r>
            <w:r>
              <w:rPr>
                <w:rFonts w:hint="eastAsia" w:ascii="宋体" w:hAnsi="宋体"/>
                <w:color w:val="auto"/>
                <w:kern w:val="0"/>
                <w:szCs w:val="21"/>
                <w:highlight w:val="none"/>
                <w:bdr w:val="single" w:color="000000" w:sz="4" w:space="0"/>
                <w:lang w:bidi="ar"/>
              </w:rPr>
              <w:drawing>
                <wp:anchor distT="0" distB="0" distL="114300" distR="114300" simplePos="0" relativeHeight="251798528" behindDoc="0" locked="0" layoutInCell="1" allowOverlap="1">
                  <wp:simplePos x="0" y="0"/>
                  <wp:positionH relativeFrom="column">
                    <wp:posOffset>0</wp:posOffset>
                  </wp:positionH>
                  <wp:positionV relativeFrom="paragraph">
                    <wp:posOffset>0</wp:posOffset>
                  </wp:positionV>
                  <wp:extent cx="17145" cy="15240"/>
                  <wp:effectExtent l="0" t="0" r="0" b="0"/>
                  <wp:wrapNone/>
                  <wp:docPr id="351" name="Picture_1_SpCnt_5"/>
                  <wp:cNvGraphicFramePr/>
                  <a:graphic xmlns:a="http://schemas.openxmlformats.org/drawingml/2006/main">
                    <a:graphicData uri="http://schemas.openxmlformats.org/drawingml/2006/picture">
                      <pic:pic xmlns:pic="http://schemas.openxmlformats.org/drawingml/2006/picture">
                        <pic:nvPicPr>
                          <pic:cNvPr id="351" name="Picture_1_SpCnt_5"/>
                          <pic:cNvPicPr/>
                        </pic:nvPicPr>
                        <pic:blipFill>
                          <a:blip r:embed="rId7"/>
                          <a:stretch>
                            <a:fillRect/>
                          </a:stretch>
                        </pic:blipFill>
                        <pic:spPr>
                          <a:xfrm>
                            <a:off x="0" y="0"/>
                            <a:ext cx="17145" cy="15240"/>
                          </a:xfrm>
                          <a:prstGeom prst="rect">
                            <a:avLst/>
                          </a:prstGeom>
                          <a:noFill/>
                          <a:ln>
                            <a:noFill/>
                          </a:ln>
                        </pic:spPr>
                      </pic:pic>
                    </a:graphicData>
                  </a:graphic>
                </wp:anchor>
              </w:drawing>
            </w:r>
            <w:r>
              <w:rPr>
                <w:rFonts w:hint="eastAsia" w:ascii="宋体" w:hAnsi="宋体"/>
                <w:color w:val="auto"/>
                <w:kern w:val="0"/>
                <w:szCs w:val="21"/>
                <w:highlight w:val="none"/>
                <w:bdr w:val="single" w:color="000000" w:sz="4" w:space="0"/>
                <w:lang w:bidi="ar"/>
              </w:rPr>
              <w:drawing>
                <wp:anchor distT="0" distB="0" distL="114300" distR="114300" simplePos="0" relativeHeight="251799552" behindDoc="0" locked="0" layoutInCell="1" allowOverlap="1">
                  <wp:simplePos x="0" y="0"/>
                  <wp:positionH relativeFrom="column">
                    <wp:posOffset>0</wp:posOffset>
                  </wp:positionH>
                  <wp:positionV relativeFrom="paragraph">
                    <wp:posOffset>0</wp:posOffset>
                  </wp:positionV>
                  <wp:extent cx="16510" cy="15240"/>
                  <wp:effectExtent l="0" t="0" r="0" b="0"/>
                  <wp:wrapNone/>
                  <wp:docPr id="352" name="Picture_13_SpCnt_12"/>
                  <wp:cNvGraphicFramePr/>
                  <a:graphic xmlns:a="http://schemas.openxmlformats.org/drawingml/2006/main">
                    <a:graphicData uri="http://schemas.openxmlformats.org/drawingml/2006/picture">
                      <pic:pic xmlns:pic="http://schemas.openxmlformats.org/drawingml/2006/picture">
                        <pic:nvPicPr>
                          <pic:cNvPr id="352" name="Picture_13_SpCnt_12"/>
                          <pic:cNvPicPr/>
                        </pic:nvPicPr>
                        <pic:blipFill>
                          <a:blip r:embed="rId11"/>
                          <a:stretch>
                            <a:fillRect/>
                          </a:stretch>
                        </pic:blipFill>
                        <pic:spPr>
                          <a:xfrm>
                            <a:off x="0" y="0"/>
                            <a:ext cx="16510" cy="15240"/>
                          </a:xfrm>
                          <a:prstGeom prst="rect">
                            <a:avLst/>
                          </a:prstGeom>
                          <a:noFill/>
                          <a:ln>
                            <a:noFill/>
                          </a:ln>
                        </pic:spPr>
                      </pic:pic>
                    </a:graphicData>
                  </a:graphic>
                </wp:anchor>
              </w:drawing>
            </w:r>
            <w:r>
              <w:rPr>
                <w:rFonts w:hint="eastAsia" w:ascii="宋体" w:hAnsi="宋体"/>
                <w:color w:val="auto"/>
                <w:kern w:val="0"/>
                <w:szCs w:val="21"/>
                <w:highlight w:val="none"/>
                <w:bdr w:val="single" w:color="000000" w:sz="4" w:space="0"/>
                <w:lang w:bidi="ar"/>
              </w:rPr>
              <w:drawing>
                <wp:anchor distT="0" distB="0" distL="114300" distR="114300" simplePos="0" relativeHeight="251800576" behindDoc="0" locked="0" layoutInCell="1" allowOverlap="1">
                  <wp:simplePos x="0" y="0"/>
                  <wp:positionH relativeFrom="column">
                    <wp:posOffset>0</wp:posOffset>
                  </wp:positionH>
                  <wp:positionV relativeFrom="paragraph">
                    <wp:posOffset>0</wp:posOffset>
                  </wp:positionV>
                  <wp:extent cx="18415" cy="19050"/>
                  <wp:effectExtent l="0" t="0" r="12065" b="3810"/>
                  <wp:wrapNone/>
                  <wp:docPr id="353" name="Picture_13_SpCnt_13"/>
                  <wp:cNvGraphicFramePr/>
                  <a:graphic xmlns:a="http://schemas.openxmlformats.org/drawingml/2006/main">
                    <a:graphicData uri="http://schemas.openxmlformats.org/drawingml/2006/picture">
                      <pic:pic xmlns:pic="http://schemas.openxmlformats.org/drawingml/2006/picture">
                        <pic:nvPicPr>
                          <pic:cNvPr id="353" name="Picture_13_SpCnt_13"/>
                          <pic:cNvPicPr/>
                        </pic:nvPicPr>
                        <pic:blipFill>
                          <a:blip r:embed="rId12"/>
                          <a:stretch>
                            <a:fillRect/>
                          </a:stretch>
                        </pic:blipFill>
                        <pic:spPr>
                          <a:xfrm>
                            <a:off x="0" y="0"/>
                            <a:ext cx="18415" cy="19050"/>
                          </a:xfrm>
                          <a:prstGeom prst="rect">
                            <a:avLst/>
                          </a:prstGeom>
                          <a:noFill/>
                          <a:ln>
                            <a:noFill/>
                          </a:ln>
                        </pic:spPr>
                      </pic:pic>
                    </a:graphicData>
                  </a:graphic>
                </wp:anchor>
              </w:drawing>
            </w:r>
            <w:r>
              <w:rPr>
                <w:rFonts w:hint="eastAsia" w:ascii="宋体" w:hAnsi="宋体"/>
                <w:color w:val="auto"/>
                <w:kern w:val="0"/>
                <w:szCs w:val="21"/>
                <w:highlight w:val="none"/>
                <w:bdr w:val="single" w:color="000000" w:sz="4" w:space="0"/>
                <w:lang w:bidi="ar"/>
              </w:rPr>
              <w:drawing>
                <wp:anchor distT="0" distB="0" distL="114300" distR="114300" simplePos="0" relativeHeight="251801600" behindDoc="0" locked="0" layoutInCell="1" allowOverlap="1">
                  <wp:simplePos x="0" y="0"/>
                  <wp:positionH relativeFrom="column">
                    <wp:posOffset>0</wp:posOffset>
                  </wp:positionH>
                  <wp:positionV relativeFrom="paragraph">
                    <wp:posOffset>0</wp:posOffset>
                  </wp:positionV>
                  <wp:extent cx="18415" cy="15240"/>
                  <wp:effectExtent l="0" t="0" r="0" b="0"/>
                  <wp:wrapNone/>
                  <wp:docPr id="354" name="Picture_13_SpCnt_14"/>
                  <wp:cNvGraphicFramePr/>
                  <a:graphic xmlns:a="http://schemas.openxmlformats.org/drawingml/2006/main">
                    <a:graphicData uri="http://schemas.openxmlformats.org/drawingml/2006/picture">
                      <pic:pic xmlns:pic="http://schemas.openxmlformats.org/drawingml/2006/picture">
                        <pic:nvPicPr>
                          <pic:cNvPr id="354" name="Picture_13_SpCnt_14"/>
                          <pic:cNvPicPr/>
                        </pic:nvPicPr>
                        <pic:blipFill>
                          <a:blip r:embed="rId7"/>
                          <a:stretch>
                            <a:fillRect/>
                          </a:stretch>
                        </pic:blipFill>
                        <pic:spPr>
                          <a:xfrm>
                            <a:off x="0" y="0"/>
                            <a:ext cx="18415" cy="15240"/>
                          </a:xfrm>
                          <a:prstGeom prst="rect">
                            <a:avLst/>
                          </a:prstGeom>
                          <a:noFill/>
                          <a:ln>
                            <a:noFill/>
                          </a:ln>
                        </pic:spPr>
                      </pic:pic>
                    </a:graphicData>
                  </a:graphic>
                </wp:anchor>
              </w:drawing>
            </w:r>
            <w:r>
              <w:rPr>
                <w:rFonts w:hint="eastAsia" w:ascii="宋体" w:hAnsi="宋体"/>
                <w:color w:val="auto"/>
                <w:kern w:val="0"/>
                <w:szCs w:val="21"/>
                <w:highlight w:val="none"/>
                <w:bdr w:val="single" w:color="000000" w:sz="4" w:space="0"/>
                <w:lang w:bidi="ar"/>
              </w:rPr>
              <w:drawing>
                <wp:anchor distT="0" distB="0" distL="114300" distR="114300" simplePos="0" relativeHeight="251802624" behindDoc="0" locked="0" layoutInCell="1" allowOverlap="1">
                  <wp:simplePos x="0" y="0"/>
                  <wp:positionH relativeFrom="column">
                    <wp:posOffset>0</wp:posOffset>
                  </wp:positionH>
                  <wp:positionV relativeFrom="paragraph">
                    <wp:posOffset>0</wp:posOffset>
                  </wp:positionV>
                  <wp:extent cx="18415" cy="17145"/>
                  <wp:effectExtent l="0" t="0" r="0" b="0"/>
                  <wp:wrapNone/>
                  <wp:docPr id="355" name="Picture_11_SpCnt_5"/>
                  <wp:cNvGraphicFramePr/>
                  <a:graphic xmlns:a="http://schemas.openxmlformats.org/drawingml/2006/main">
                    <a:graphicData uri="http://schemas.openxmlformats.org/drawingml/2006/picture">
                      <pic:pic xmlns:pic="http://schemas.openxmlformats.org/drawingml/2006/picture">
                        <pic:nvPicPr>
                          <pic:cNvPr id="355" name="Picture_11_SpCnt_5"/>
                          <pic:cNvPicPr/>
                        </pic:nvPicPr>
                        <pic:blipFill>
                          <a:blip r:embed="rId8"/>
                          <a:stretch>
                            <a:fillRect/>
                          </a:stretch>
                        </pic:blipFill>
                        <pic:spPr>
                          <a:xfrm>
                            <a:off x="0" y="0"/>
                            <a:ext cx="18415" cy="17145"/>
                          </a:xfrm>
                          <a:prstGeom prst="rect">
                            <a:avLst/>
                          </a:prstGeom>
                          <a:noFill/>
                          <a:ln>
                            <a:noFill/>
                          </a:ln>
                        </pic:spPr>
                      </pic:pic>
                    </a:graphicData>
                  </a:graphic>
                </wp:anchor>
              </w:drawing>
            </w:r>
            <w:r>
              <w:rPr>
                <w:rFonts w:hint="eastAsia" w:ascii="宋体" w:hAnsi="宋体"/>
                <w:color w:val="auto"/>
                <w:kern w:val="0"/>
                <w:szCs w:val="21"/>
                <w:highlight w:val="none"/>
                <w:bdr w:val="single" w:color="000000" w:sz="4" w:space="0"/>
                <w:lang w:bidi="ar"/>
              </w:rPr>
              <w:drawing>
                <wp:anchor distT="0" distB="0" distL="114300" distR="114300" simplePos="0" relativeHeight="251803648" behindDoc="0" locked="0" layoutInCell="1" allowOverlap="1">
                  <wp:simplePos x="0" y="0"/>
                  <wp:positionH relativeFrom="column">
                    <wp:posOffset>0</wp:posOffset>
                  </wp:positionH>
                  <wp:positionV relativeFrom="paragraph">
                    <wp:posOffset>0</wp:posOffset>
                  </wp:positionV>
                  <wp:extent cx="16510" cy="15240"/>
                  <wp:effectExtent l="0" t="0" r="0" b="0"/>
                  <wp:wrapNone/>
                  <wp:docPr id="356" name="Picture_13_SpCnt_15"/>
                  <wp:cNvGraphicFramePr/>
                  <a:graphic xmlns:a="http://schemas.openxmlformats.org/drawingml/2006/main">
                    <a:graphicData uri="http://schemas.openxmlformats.org/drawingml/2006/picture">
                      <pic:pic xmlns:pic="http://schemas.openxmlformats.org/drawingml/2006/picture">
                        <pic:nvPicPr>
                          <pic:cNvPr id="356" name="Picture_13_SpCnt_15"/>
                          <pic:cNvPicPr/>
                        </pic:nvPicPr>
                        <pic:blipFill>
                          <a:blip r:embed="rId11"/>
                          <a:stretch>
                            <a:fillRect/>
                          </a:stretch>
                        </pic:blipFill>
                        <pic:spPr>
                          <a:xfrm>
                            <a:off x="0" y="0"/>
                            <a:ext cx="16510" cy="15240"/>
                          </a:xfrm>
                          <a:prstGeom prst="rect">
                            <a:avLst/>
                          </a:prstGeom>
                          <a:noFill/>
                          <a:ln>
                            <a:noFill/>
                          </a:ln>
                        </pic:spPr>
                      </pic:pic>
                    </a:graphicData>
                  </a:graphic>
                </wp:anchor>
              </w:drawing>
            </w:r>
            <w:r>
              <w:rPr>
                <w:rFonts w:hint="eastAsia" w:ascii="宋体" w:hAnsi="宋体"/>
                <w:color w:val="auto"/>
                <w:kern w:val="0"/>
                <w:szCs w:val="21"/>
                <w:highlight w:val="none"/>
                <w:bdr w:val="single" w:color="000000" w:sz="4" w:space="0"/>
                <w:lang w:bidi="ar"/>
              </w:rPr>
              <w:drawing>
                <wp:anchor distT="0" distB="0" distL="114300" distR="114300" simplePos="0" relativeHeight="251804672" behindDoc="0" locked="0" layoutInCell="1" allowOverlap="1">
                  <wp:simplePos x="0" y="0"/>
                  <wp:positionH relativeFrom="column">
                    <wp:posOffset>0</wp:posOffset>
                  </wp:positionH>
                  <wp:positionV relativeFrom="paragraph">
                    <wp:posOffset>0</wp:posOffset>
                  </wp:positionV>
                  <wp:extent cx="15240" cy="15240"/>
                  <wp:effectExtent l="0" t="0" r="0" b="0"/>
                  <wp:wrapNone/>
                  <wp:docPr id="357" name="Picture_2_SpCnt_4"/>
                  <wp:cNvGraphicFramePr/>
                  <a:graphic xmlns:a="http://schemas.openxmlformats.org/drawingml/2006/main">
                    <a:graphicData uri="http://schemas.openxmlformats.org/drawingml/2006/picture">
                      <pic:pic xmlns:pic="http://schemas.openxmlformats.org/drawingml/2006/picture">
                        <pic:nvPicPr>
                          <pic:cNvPr id="357" name="Picture_2_SpCnt_4"/>
                          <pic:cNvPicPr/>
                        </pic:nvPicPr>
                        <pic:blipFill>
                          <a:blip r:embed="rId10"/>
                          <a:stretch>
                            <a:fillRect/>
                          </a:stretch>
                        </pic:blipFill>
                        <pic:spPr>
                          <a:xfrm>
                            <a:off x="0" y="0"/>
                            <a:ext cx="15240" cy="15240"/>
                          </a:xfrm>
                          <a:prstGeom prst="rect">
                            <a:avLst/>
                          </a:prstGeom>
                          <a:noFill/>
                          <a:ln>
                            <a:noFill/>
                          </a:ln>
                        </pic:spPr>
                      </pic:pic>
                    </a:graphicData>
                  </a:graphic>
                </wp:anchor>
              </w:drawing>
            </w:r>
            <w:r>
              <w:rPr>
                <w:rFonts w:hint="eastAsia" w:ascii="宋体" w:hAnsi="宋体"/>
                <w:color w:val="auto"/>
                <w:kern w:val="0"/>
                <w:szCs w:val="21"/>
                <w:highlight w:val="none"/>
                <w:bdr w:val="single" w:color="000000" w:sz="4" w:space="0"/>
                <w:lang w:bidi="ar"/>
              </w:rPr>
              <w:drawing>
                <wp:anchor distT="0" distB="0" distL="114300" distR="114300" simplePos="0" relativeHeight="251805696" behindDoc="0" locked="0" layoutInCell="1" allowOverlap="1">
                  <wp:simplePos x="0" y="0"/>
                  <wp:positionH relativeFrom="column">
                    <wp:posOffset>0</wp:posOffset>
                  </wp:positionH>
                  <wp:positionV relativeFrom="paragraph">
                    <wp:posOffset>0</wp:posOffset>
                  </wp:positionV>
                  <wp:extent cx="18415" cy="19050"/>
                  <wp:effectExtent l="0" t="0" r="12065" b="3810"/>
                  <wp:wrapNone/>
                  <wp:docPr id="358" name="Picture_13_SpCnt_16"/>
                  <wp:cNvGraphicFramePr/>
                  <a:graphic xmlns:a="http://schemas.openxmlformats.org/drawingml/2006/main">
                    <a:graphicData uri="http://schemas.openxmlformats.org/drawingml/2006/picture">
                      <pic:pic xmlns:pic="http://schemas.openxmlformats.org/drawingml/2006/picture">
                        <pic:nvPicPr>
                          <pic:cNvPr id="358" name="Picture_13_SpCnt_16"/>
                          <pic:cNvPicPr/>
                        </pic:nvPicPr>
                        <pic:blipFill>
                          <a:blip r:embed="rId12"/>
                          <a:stretch>
                            <a:fillRect/>
                          </a:stretch>
                        </pic:blipFill>
                        <pic:spPr>
                          <a:xfrm>
                            <a:off x="0" y="0"/>
                            <a:ext cx="18415" cy="19050"/>
                          </a:xfrm>
                          <a:prstGeom prst="rect">
                            <a:avLst/>
                          </a:prstGeom>
                          <a:noFill/>
                          <a:ln>
                            <a:noFill/>
                          </a:ln>
                        </pic:spPr>
                      </pic:pic>
                    </a:graphicData>
                  </a:graphic>
                </wp:anchor>
              </w:drawing>
            </w:r>
            <w:r>
              <w:rPr>
                <w:rFonts w:hint="eastAsia" w:ascii="宋体" w:hAnsi="宋体"/>
                <w:color w:val="auto"/>
                <w:kern w:val="0"/>
                <w:szCs w:val="21"/>
                <w:highlight w:val="none"/>
                <w:bdr w:val="single" w:color="000000" w:sz="4" w:space="0"/>
                <w:lang w:bidi="ar"/>
              </w:rPr>
              <w:drawing>
                <wp:anchor distT="0" distB="0" distL="114300" distR="114300" simplePos="0" relativeHeight="251806720" behindDoc="0" locked="0" layoutInCell="1" allowOverlap="1">
                  <wp:simplePos x="0" y="0"/>
                  <wp:positionH relativeFrom="column">
                    <wp:posOffset>0</wp:posOffset>
                  </wp:positionH>
                  <wp:positionV relativeFrom="paragraph">
                    <wp:posOffset>0</wp:posOffset>
                  </wp:positionV>
                  <wp:extent cx="15240" cy="15240"/>
                  <wp:effectExtent l="0" t="0" r="0" b="0"/>
                  <wp:wrapNone/>
                  <wp:docPr id="359" name="Picture_2_SpCnt_5"/>
                  <wp:cNvGraphicFramePr/>
                  <a:graphic xmlns:a="http://schemas.openxmlformats.org/drawingml/2006/main">
                    <a:graphicData uri="http://schemas.openxmlformats.org/drawingml/2006/picture">
                      <pic:pic xmlns:pic="http://schemas.openxmlformats.org/drawingml/2006/picture">
                        <pic:nvPicPr>
                          <pic:cNvPr id="359" name="Picture_2_SpCnt_5"/>
                          <pic:cNvPicPr/>
                        </pic:nvPicPr>
                        <pic:blipFill>
                          <a:blip r:embed="rId10"/>
                          <a:stretch>
                            <a:fillRect/>
                          </a:stretch>
                        </pic:blipFill>
                        <pic:spPr>
                          <a:xfrm>
                            <a:off x="0" y="0"/>
                            <a:ext cx="15240" cy="15240"/>
                          </a:xfrm>
                          <a:prstGeom prst="rect">
                            <a:avLst/>
                          </a:prstGeom>
                          <a:noFill/>
                          <a:ln>
                            <a:noFill/>
                          </a:ln>
                        </pic:spPr>
                      </pic:pic>
                    </a:graphicData>
                  </a:graphic>
                </wp:anchor>
              </w:drawing>
            </w:r>
            <w:r>
              <w:rPr>
                <w:rFonts w:hint="eastAsia" w:ascii="宋体" w:hAnsi="宋体"/>
                <w:color w:val="auto"/>
                <w:kern w:val="0"/>
                <w:szCs w:val="21"/>
                <w:highlight w:val="none"/>
                <w:bdr w:val="single" w:color="000000" w:sz="4" w:space="0"/>
                <w:lang w:bidi="ar"/>
              </w:rPr>
              <w:drawing>
                <wp:anchor distT="0" distB="0" distL="114300" distR="114300" simplePos="0" relativeHeight="251807744" behindDoc="0" locked="0" layoutInCell="1" allowOverlap="1">
                  <wp:simplePos x="0" y="0"/>
                  <wp:positionH relativeFrom="column">
                    <wp:posOffset>0</wp:posOffset>
                  </wp:positionH>
                  <wp:positionV relativeFrom="paragraph">
                    <wp:posOffset>0</wp:posOffset>
                  </wp:positionV>
                  <wp:extent cx="18415" cy="15240"/>
                  <wp:effectExtent l="0" t="0" r="0" b="0"/>
                  <wp:wrapNone/>
                  <wp:docPr id="360" name="Picture_13_SpCnt_17"/>
                  <wp:cNvGraphicFramePr/>
                  <a:graphic xmlns:a="http://schemas.openxmlformats.org/drawingml/2006/main">
                    <a:graphicData uri="http://schemas.openxmlformats.org/drawingml/2006/picture">
                      <pic:pic xmlns:pic="http://schemas.openxmlformats.org/drawingml/2006/picture">
                        <pic:nvPicPr>
                          <pic:cNvPr id="360" name="Picture_13_SpCnt_17"/>
                          <pic:cNvPicPr/>
                        </pic:nvPicPr>
                        <pic:blipFill>
                          <a:blip r:embed="rId7"/>
                          <a:stretch>
                            <a:fillRect/>
                          </a:stretch>
                        </pic:blipFill>
                        <pic:spPr>
                          <a:xfrm>
                            <a:off x="0" y="0"/>
                            <a:ext cx="18415" cy="15240"/>
                          </a:xfrm>
                          <a:prstGeom prst="rect">
                            <a:avLst/>
                          </a:prstGeom>
                          <a:noFill/>
                          <a:ln>
                            <a:noFill/>
                          </a:ln>
                        </pic:spPr>
                      </pic:pic>
                    </a:graphicData>
                  </a:graphic>
                </wp:anchor>
              </w:drawing>
            </w:r>
            <w:r>
              <w:rPr>
                <w:rFonts w:hint="eastAsia" w:ascii="宋体" w:hAnsi="宋体"/>
                <w:color w:val="auto"/>
                <w:kern w:val="0"/>
                <w:szCs w:val="21"/>
                <w:highlight w:val="none"/>
                <w:lang w:bidi="ar"/>
              </w:rPr>
              <w:t>无线控制器</w:t>
            </w:r>
          </w:p>
        </w:tc>
        <w:tc>
          <w:tcPr>
            <w:tcW w:w="6187" w:type="dxa"/>
            <w:gridSpan w:val="2"/>
            <w:tcBorders>
              <w:tl2br w:val="nil"/>
              <w:tr2bl w:val="nil"/>
            </w:tcBorders>
            <w:noWrap/>
            <w:vAlign w:val="center"/>
          </w:tcPr>
          <w:p w14:paraId="440F7506">
            <w:pPr>
              <w:widowControl/>
              <w:numPr>
                <w:ilvl w:val="0"/>
                <w:numId w:val="408"/>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标准1U机架式结构。</w:t>
            </w:r>
          </w:p>
          <w:p w14:paraId="20094BE3">
            <w:pPr>
              <w:widowControl/>
              <w:numPr>
                <w:ilvl w:val="0"/>
                <w:numId w:val="408"/>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内部实配硬盘插槽，且实配硬盘容量≥1T。</w:t>
            </w:r>
          </w:p>
          <w:p w14:paraId="1FB0FBBD">
            <w:pPr>
              <w:widowControl/>
              <w:numPr>
                <w:ilvl w:val="0"/>
                <w:numId w:val="408"/>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固化千兆电口≥8个，固化千兆光口≥1个，设备固化万兆光口≥1个。</w:t>
            </w:r>
          </w:p>
          <w:p w14:paraId="63B644F2">
            <w:pPr>
              <w:widowControl/>
              <w:numPr>
                <w:ilvl w:val="0"/>
                <w:numId w:val="408"/>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支持内存≥4G。</w:t>
            </w:r>
          </w:p>
          <w:p w14:paraId="627FD619">
            <w:pPr>
              <w:widowControl/>
              <w:numPr>
                <w:ilvl w:val="0"/>
                <w:numId w:val="408"/>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★为保障设备受到外部机械碰撞仍可以保持结构完整、功能完备，要求所投无线控制器符合国标GB/T 20138-2006即《电器设备外壳对外界机械碰撞的防护等级（IK代码）》标准，至少达到防护等级IK07，提供第三方机构测试报告。</w:t>
            </w:r>
          </w:p>
          <w:p w14:paraId="5D456348">
            <w:pPr>
              <w:widowControl/>
              <w:numPr>
                <w:ilvl w:val="0"/>
                <w:numId w:val="408"/>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最大AP可管理数≥1000个，实配AP授权≥180个。</w:t>
            </w:r>
          </w:p>
          <w:p w14:paraId="49FEB811">
            <w:pPr>
              <w:widowControl/>
              <w:numPr>
                <w:ilvl w:val="0"/>
                <w:numId w:val="408"/>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支持实时频谱防护，可视化射频干扰源对无线局域网的性能的影响。</w:t>
            </w:r>
          </w:p>
          <w:p w14:paraId="4BE84821">
            <w:pPr>
              <w:widowControl/>
              <w:numPr>
                <w:ilvl w:val="0"/>
                <w:numId w:val="408"/>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保障网络中的哑终端在迁移时无需配置，无线控制器能够对哑终端提供策略随行。</w:t>
            </w:r>
          </w:p>
          <w:p w14:paraId="2923FFAB">
            <w:pPr>
              <w:widowControl/>
              <w:numPr>
                <w:ilvl w:val="0"/>
                <w:numId w:val="408"/>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为便于网络资产管理快速定位哑终端的网络位置，无线控制器能够对哑终端进行位置识别。</w:t>
            </w:r>
          </w:p>
          <w:p w14:paraId="65140941">
            <w:pPr>
              <w:widowControl/>
              <w:numPr>
                <w:ilvl w:val="0"/>
                <w:numId w:val="408"/>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为方便终端在不同网段之间移动办公，无线控制器能够对终端进行MAC/DHCP地址段绑定，实现用户终端的策略随行，IP地址不变、策略不变。</w:t>
            </w:r>
          </w:p>
          <w:p w14:paraId="4CB3DD0D">
            <w:pPr>
              <w:widowControl/>
              <w:numPr>
                <w:ilvl w:val="0"/>
                <w:numId w:val="408"/>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为方便终端在有线无线网络之间切换，无线控制器能够支持有线无线一体化功能，实现同一个用户组获取相同网段的IP地址，用户迁移可以保障IP地址不变更，策略保持一致。</w:t>
            </w:r>
          </w:p>
          <w:p w14:paraId="2B341EC8">
            <w:pPr>
              <w:widowControl/>
              <w:numPr>
                <w:ilvl w:val="0"/>
                <w:numId w:val="408"/>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支持短信认证、固定账号认证、访客二维码、微信认证多种方式认证页面合一，由用户选择自己想要的认证方式进行认证上网；支持中移动portal2.0认证。</w:t>
            </w:r>
          </w:p>
          <w:p w14:paraId="098D9715">
            <w:pPr>
              <w:widowControl/>
              <w:numPr>
                <w:ilvl w:val="0"/>
                <w:numId w:val="408"/>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支持对用户的管理，可对用户信息进行编辑；支持终端MAC黑白名单，过滤非法终端。</w:t>
            </w:r>
          </w:p>
          <w:p w14:paraId="17E9AB7E">
            <w:pPr>
              <w:widowControl/>
              <w:numPr>
                <w:ilvl w:val="0"/>
                <w:numId w:val="408"/>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支持审计设备IP、用户IP、用户名、发件人、收件人、邮件主题、邮件大小、访问时间、附件。</w:t>
            </w:r>
          </w:p>
          <w:p w14:paraId="7A64B05A">
            <w:pPr>
              <w:widowControl/>
              <w:numPr>
                <w:ilvl w:val="0"/>
                <w:numId w:val="408"/>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支持DPI、DFI应用识别。</w:t>
            </w:r>
          </w:p>
          <w:p w14:paraId="03CE53A7">
            <w:pPr>
              <w:widowControl/>
              <w:numPr>
                <w:ilvl w:val="0"/>
                <w:numId w:val="408"/>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支持流量审计、流量控制。</w:t>
            </w:r>
          </w:p>
          <w:p w14:paraId="1D6BD0F6">
            <w:pPr>
              <w:widowControl/>
              <w:numPr>
                <w:ilvl w:val="0"/>
                <w:numId w:val="408"/>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支持MAC认证、WEB认证、802.1X认证、WAPI认证 ，认证后能实现IP、MAC、WLAN等元素的绑定信息，保证只有合法的用户才能进入网络，保留测试权利。</w:t>
            </w:r>
          </w:p>
          <w:p w14:paraId="4C3C360C">
            <w:pPr>
              <w:widowControl/>
              <w:numPr>
                <w:ilvl w:val="0"/>
                <w:numId w:val="408"/>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支持对非法无线接入点进行探测，并对非法AP进行屏蔽。</w:t>
            </w:r>
          </w:p>
          <w:p w14:paraId="3CF24B8B">
            <w:pPr>
              <w:widowControl/>
              <w:numPr>
                <w:ilvl w:val="0"/>
                <w:numId w:val="408"/>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支持根据用户需求定制化设计认证页面及用户自定义设计，保留测试权利 。</w:t>
            </w:r>
          </w:p>
          <w:p w14:paraId="3648DD87">
            <w:pPr>
              <w:widowControl/>
              <w:numPr>
                <w:ilvl w:val="0"/>
                <w:numId w:val="408"/>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支持访客通过二维码授权的方式接入无线网络 ，保留测试权利。</w:t>
            </w:r>
          </w:p>
          <w:p w14:paraId="24674934">
            <w:pPr>
              <w:widowControl/>
              <w:numPr>
                <w:ilvl w:val="0"/>
                <w:numId w:val="408"/>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支持NAT、支持负载均衡。</w:t>
            </w:r>
          </w:p>
          <w:p w14:paraId="29701C78">
            <w:pPr>
              <w:widowControl/>
              <w:numPr>
                <w:ilvl w:val="0"/>
                <w:numId w:val="408"/>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支持PPTP、L2TP、Ipsec vpn。</w:t>
            </w:r>
          </w:p>
          <w:p w14:paraId="4D00F37F">
            <w:pPr>
              <w:widowControl/>
              <w:numPr>
                <w:ilvl w:val="0"/>
                <w:numId w:val="408"/>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满足相关单位要求留存各个类型日志，有NAT日志、NAT44日志、 URL日志、IM日志、BBS日志、邮件日志、搜索引擎等日志。</w:t>
            </w:r>
          </w:p>
          <w:p w14:paraId="388A290D">
            <w:pPr>
              <w:widowControl/>
              <w:numPr>
                <w:ilvl w:val="0"/>
                <w:numId w:val="408"/>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支持设备24小时流量趋势图展示；支持24小时用户流量TOP10排行；支持设备、源IP、应用的总流量、流量趋势图、流量明细的查询。</w:t>
            </w:r>
          </w:p>
          <w:p w14:paraId="2755B05D">
            <w:pPr>
              <w:widowControl/>
              <w:numPr>
                <w:ilvl w:val="0"/>
                <w:numId w:val="408"/>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满足《中华人民共和国网络安全法》至少存储6个月网络日志的要求。</w:t>
            </w:r>
          </w:p>
          <w:p w14:paraId="1D5BB50E">
            <w:pPr>
              <w:widowControl/>
              <w:numPr>
                <w:ilvl w:val="0"/>
                <w:numId w:val="408"/>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与网管平台联动，有线无线网络统一集中管理，集群化管理。</w:t>
            </w:r>
          </w:p>
        </w:tc>
        <w:tc>
          <w:tcPr>
            <w:tcW w:w="863" w:type="dxa"/>
            <w:gridSpan w:val="4"/>
            <w:tcBorders>
              <w:tl2br w:val="nil"/>
              <w:tr2bl w:val="nil"/>
            </w:tcBorders>
            <w:vAlign w:val="center"/>
          </w:tcPr>
          <w:p w14:paraId="623DA8AF">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台</w:t>
            </w:r>
          </w:p>
        </w:tc>
        <w:tc>
          <w:tcPr>
            <w:tcW w:w="925" w:type="dxa"/>
            <w:gridSpan w:val="3"/>
            <w:tcBorders>
              <w:tl2br w:val="nil"/>
              <w:tr2bl w:val="nil"/>
            </w:tcBorders>
            <w:vAlign w:val="center"/>
          </w:tcPr>
          <w:p w14:paraId="727D302A">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0CD307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27" w:type="dxa"/>
          <w:trHeight w:val="700" w:hRule="atLeast"/>
          <w:jc w:val="center"/>
        </w:trPr>
        <w:tc>
          <w:tcPr>
            <w:tcW w:w="749" w:type="dxa"/>
            <w:vAlign w:val="center"/>
          </w:tcPr>
          <w:p w14:paraId="6F92E8E3">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w:t>
            </w:r>
          </w:p>
        </w:tc>
        <w:tc>
          <w:tcPr>
            <w:tcW w:w="1227" w:type="dxa"/>
            <w:vAlign w:val="center"/>
          </w:tcPr>
          <w:p w14:paraId="71FD3CB4">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POE交换机</w:t>
            </w:r>
          </w:p>
        </w:tc>
        <w:tc>
          <w:tcPr>
            <w:tcW w:w="6187" w:type="dxa"/>
            <w:gridSpan w:val="2"/>
            <w:vAlign w:val="center"/>
          </w:tcPr>
          <w:p w14:paraId="1B0EC97E">
            <w:pPr>
              <w:widowControl/>
              <w:numPr>
                <w:ilvl w:val="0"/>
                <w:numId w:val="409"/>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交换容量≥598Gbps，转发性能≥126Mpps。</w:t>
            </w:r>
          </w:p>
          <w:p w14:paraId="2154A33E">
            <w:pPr>
              <w:widowControl/>
              <w:numPr>
                <w:ilvl w:val="0"/>
                <w:numId w:val="409"/>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固化10/100/1000M以太网端口≥24个，SFP非复用口≥4个。</w:t>
            </w:r>
          </w:p>
          <w:p w14:paraId="47074B67">
            <w:pPr>
              <w:widowControl/>
              <w:numPr>
                <w:ilvl w:val="0"/>
                <w:numId w:val="409"/>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要求所投设备MAC地址≥16K。</w:t>
            </w:r>
          </w:p>
          <w:p w14:paraId="7DE48C00">
            <w:pPr>
              <w:widowControl/>
              <w:numPr>
                <w:ilvl w:val="0"/>
                <w:numId w:val="409"/>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≥24个电口支持POE和POE+远程供电，整机POE功率输出≥370W。</w:t>
            </w:r>
          </w:p>
          <w:p w14:paraId="43DBD72F">
            <w:pPr>
              <w:widowControl/>
              <w:numPr>
                <w:ilvl w:val="0"/>
                <w:numId w:val="409"/>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投标产品面板自带一键查看PoE供电状态功能的PoE按钮，轻按即可查看设备当前的通信状态和供电状态，提供所投产品官网截图。</w:t>
            </w:r>
          </w:p>
          <w:p w14:paraId="63DAF13A">
            <w:pPr>
              <w:widowControl/>
              <w:numPr>
                <w:ilvl w:val="0"/>
                <w:numId w:val="409"/>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支持IPv4和IPv6的静态路由、RIP/RIPng、OSPFv2/OSPFv3等三层路由协议。</w:t>
            </w:r>
          </w:p>
          <w:p w14:paraId="61651F07">
            <w:pPr>
              <w:widowControl/>
              <w:numPr>
                <w:ilvl w:val="0"/>
                <w:numId w:val="409"/>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要求所投设备支持1对1、1对多、多对1和基于流的本地、远程镜像；且支持RSPAN和ERSPAN。</w:t>
            </w:r>
          </w:p>
          <w:p w14:paraId="7F642B07">
            <w:pPr>
              <w:widowControl/>
              <w:numPr>
                <w:ilvl w:val="0"/>
                <w:numId w:val="409"/>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支持CPU保护功能，能够针对发往CPU处理的各种报文进行流区分和优先级队列分级处理，保护交换机在各种环境下稳定工作。</w:t>
            </w:r>
          </w:p>
          <w:p w14:paraId="40D3A36E">
            <w:pPr>
              <w:widowControl/>
              <w:numPr>
                <w:ilvl w:val="0"/>
                <w:numId w:val="409"/>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支持专门基础网络保护机制，能够限制用户向网络中发送数据包的速率，对有攻击行为的用户进行隔离，保证设备和整网的安全稳定运行。</w:t>
            </w:r>
          </w:p>
        </w:tc>
        <w:tc>
          <w:tcPr>
            <w:tcW w:w="863" w:type="dxa"/>
            <w:gridSpan w:val="4"/>
            <w:vAlign w:val="center"/>
          </w:tcPr>
          <w:p w14:paraId="12317E6B">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台</w:t>
            </w:r>
          </w:p>
        </w:tc>
        <w:tc>
          <w:tcPr>
            <w:tcW w:w="925" w:type="dxa"/>
            <w:gridSpan w:val="3"/>
            <w:vAlign w:val="center"/>
          </w:tcPr>
          <w:p w14:paraId="0FCB7EFA">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29</w:t>
            </w:r>
          </w:p>
        </w:tc>
      </w:tr>
      <w:tr w14:paraId="32130E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27" w:type="dxa"/>
          <w:trHeight w:val="700" w:hRule="atLeast"/>
          <w:jc w:val="center"/>
        </w:trPr>
        <w:tc>
          <w:tcPr>
            <w:tcW w:w="749" w:type="dxa"/>
            <w:vAlign w:val="center"/>
          </w:tcPr>
          <w:p w14:paraId="16DFFCAD">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3</w:t>
            </w:r>
          </w:p>
        </w:tc>
        <w:tc>
          <w:tcPr>
            <w:tcW w:w="1227" w:type="dxa"/>
            <w:vAlign w:val="center"/>
          </w:tcPr>
          <w:p w14:paraId="29ED3637">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无线AP</w:t>
            </w:r>
          </w:p>
        </w:tc>
        <w:tc>
          <w:tcPr>
            <w:tcW w:w="6187" w:type="dxa"/>
            <w:gridSpan w:val="2"/>
            <w:vAlign w:val="center"/>
          </w:tcPr>
          <w:p w14:paraId="0C45ACC2">
            <w:pPr>
              <w:widowControl/>
              <w:numPr>
                <w:ilvl w:val="0"/>
                <w:numId w:val="410"/>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支持802.11ax协议；整机支持≥4条空间流；整机最大无线速率≥2.97Gbps。</w:t>
            </w:r>
          </w:p>
          <w:p w14:paraId="68013A9B">
            <w:pPr>
              <w:widowControl/>
              <w:numPr>
                <w:ilvl w:val="0"/>
                <w:numId w:val="410"/>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支持≥1个1000M自适应以太网端口；支持≥1个2.5G SFP光口；提供官网截图。</w:t>
            </w:r>
          </w:p>
          <w:p w14:paraId="12324BFD">
            <w:pPr>
              <w:widowControl/>
              <w:numPr>
                <w:ilvl w:val="0"/>
                <w:numId w:val="410"/>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内置蓝牙5.1。提供官网截图。</w:t>
            </w:r>
          </w:p>
          <w:p w14:paraId="2E99F02B">
            <w:pPr>
              <w:widowControl/>
              <w:numPr>
                <w:ilvl w:val="0"/>
                <w:numId w:val="410"/>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★由于放装AP部署在高空环境，难以时常清洁，为保障设备堆积灰尘仍可以正常运行，要求所投无线接入点符合国标GB/T 4208-2017即《外壳防护等级（IP代码）》，防尘防水等级至少达到IP51。提供第三方测试报告复印件证明。</w:t>
            </w:r>
          </w:p>
          <w:p w14:paraId="629F717E">
            <w:pPr>
              <w:widowControl/>
              <w:numPr>
                <w:ilvl w:val="0"/>
                <w:numId w:val="410"/>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为快速建立高度隔离的安全网络，设备应支持实现AP虚拟化功能，实现一台AP虚拟为多台AP，分别受不同AC设备独立管理，互不影响。不同虚拟AP之间数据隔离，虚拟AP在AC上不占用AP License。</w:t>
            </w:r>
          </w:p>
          <w:p w14:paraId="19D1E0BE">
            <w:pPr>
              <w:widowControl/>
              <w:numPr>
                <w:ilvl w:val="0"/>
                <w:numId w:val="410"/>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为避免无线网络中私接非法AP，所投AP应支持非法AP检测及反制功能。具有非法AP的精确反制和模糊反制功能，能够主动识别非法设备并令非法设备不能使用。</w:t>
            </w:r>
          </w:p>
          <w:p w14:paraId="23A79711">
            <w:pPr>
              <w:widowControl/>
              <w:numPr>
                <w:ilvl w:val="0"/>
                <w:numId w:val="410"/>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为避免无线网络中私接非法AP的影响，设备应支持802.11w防御Deauth攻击功能，保证终端正常关联使用。</w:t>
            </w:r>
          </w:p>
          <w:p w14:paraId="6F5B29EF">
            <w:pPr>
              <w:widowControl/>
              <w:numPr>
                <w:ilvl w:val="0"/>
                <w:numId w:val="410"/>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支持PSK认证、Web认证、微信认证、二维码访客认证、短信认证、无感知认证等认证方式。</w:t>
            </w:r>
          </w:p>
          <w:p w14:paraId="1764AFF6">
            <w:pPr>
              <w:widowControl/>
              <w:numPr>
                <w:ilvl w:val="0"/>
                <w:numId w:val="410"/>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数据加密支持WPA（TKIP）、WPA-PSK、WPA2（AES）、WPA3、WEP（64/128位）。</w:t>
            </w:r>
          </w:p>
          <w:p w14:paraId="0CBF26D8">
            <w:pPr>
              <w:widowControl/>
              <w:numPr>
                <w:ilvl w:val="0"/>
                <w:numId w:val="410"/>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数据帧过滤支持白名单、静态黑名单、动态黑名单。</w:t>
            </w:r>
          </w:p>
          <w:p w14:paraId="1C41E1F8">
            <w:pPr>
              <w:widowControl/>
              <w:numPr>
                <w:ilvl w:val="0"/>
                <w:numId w:val="410"/>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支持用户隔离。</w:t>
            </w:r>
          </w:p>
          <w:p w14:paraId="2686B519">
            <w:pPr>
              <w:widowControl/>
              <w:numPr>
                <w:ilvl w:val="0"/>
                <w:numId w:val="410"/>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支持动态ACL下发。</w:t>
            </w:r>
          </w:p>
          <w:p w14:paraId="18DE36EF">
            <w:pPr>
              <w:widowControl/>
              <w:numPr>
                <w:ilvl w:val="0"/>
                <w:numId w:val="410"/>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支持IPv6。支持IPv6终端接入认证。</w:t>
            </w:r>
          </w:p>
        </w:tc>
        <w:tc>
          <w:tcPr>
            <w:tcW w:w="863" w:type="dxa"/>
            <w:gridSpan w:val="4"/>
            <w:vAlign w:val="center"/>
          </w:tcPr>
          <w:p w14:paraId="1FEE20CE">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台</w:t>
            </w:r>
          </w:p>
        </w:tc>
        <w:tc>
          <w:tcPr>
            <w:tcW w:w="925" w:type="dxa"/>
            <w:gridSpan w:val="3"/>
            <w:vAlign w:val="center"/>
          </w:tcPr>
          <w:p w14:paraId="0D6D383C">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40</w:t>
            </w:r>
          </w:p>
        </w:tc>
      </w:tr>
      <w:tr w14:paraId="6A4E23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27" w:type="dxa"/>
          <w:trHeight w:val="700" w:hRule="atLeast"/>
          <w:jc w:val="center"/>
        </w:trPr>
        <w:tc>
          <w:tcPr>
            <w:tcW w:w="749" w:type="dxa"/>
            <w:vAlign w:val="center"/>
          </w:tcPr>
          <w:p w14:paraId="2020CB0D">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4</w:t>
            </w:r>
          </w:p>
        </w:tc>
        <w:tc>
          <w:tcPr>
            <w:tcW w:w="1227" w:type="dxa"/>
            <w:vAlign w:val="center"/>
          </w:tcPr>
          <w:p w14:paraId="251A772F">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面板AP</w:t>
            </w:r>
          </w:p>
        </w:tc>
        <w:tc>
          <w:tcPr>
            <w:tcW w:w="6187" w:type="dxa"/>
            <w:gridSpan w:val="2"/>
            <w:vAlign w:val="center"/>
          </w:tcPr>
          <w:p w14:paraId="035B082A">
            <w:pPr>
              <w:widowControl/>
              <w:numPr>
                <w:ilvl w:val="0"/>
                <w:numId w:val="411"/>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支持802.11ax标准，采用双射频设计，整机空间流≥4条，整机最大接入速率≥2.975Gbps。</w:t>
            </w:r>
          </w:p>
          <w:p w14:paraId="5654EEAD">
            <w:pPr>
              <w:widowControl/>
              <w:numPr>
                <w:ilvl w:val="0"/>
                <w:numId w:val="411"/>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支持嵌入86面板安装方式。</w:t>
            </w:r>
          </w:p>
          <w:p w14:paraId="13553E43">
            <w:pPr>
              <w:widowControl/>
              <w:numPr>
                <w:ilvl w:val="0"/>
                <w:numId w:val="411"/>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至少支持≥1个1G以太网口上联，≥4个1G以太网口下联。</w:t>
            </w:r>
          </w:p>
          <w:p w14:paraId="48425AE5">
            <w:pPr>
              <w:widowControl/>
              <w:numPr>
                <w:ilvl w:val="0"/>
                <w:numId w:val="411"/>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整机功耗小于10W。</w:t>
            </w:r>
          </w:p>
          <w:p w14:paraId="34A5D2C4">
            <w:pPr>
              <w:widowControl/>
              <w:numPr>
                <w:ilvl w:val="0"/>
                <w:numId w:val="411"/>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为快速建立高度隔离的安全网络，设备应支持实现AP虚拟化功能，实现一台AP虚拟为多台AP，分别受不同AC设备独立管理，互不影响。不同虚拟 AP之间数据隔离，虚拟AP在AC上不占用AP License。提供官网截图。</w:t>
            </w:r>
          </w:p>
          <w:p w14:paraId="58937F4B">
            <w:pPr>
              <w:widowControl/>
              <w:numPr>
                <w:ilvl w:val="0"/>
                <w:numId w:val="411"/>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支持SSID隐藏，每个SSID可配置单独的认证方式、加密机制，VLAN属性。</w:t>
            </w:r>
          </w:p>
          <w:p w14:paraId="2D875523">
            <w:pPr>
              <w:widowControl/>
              <w:numPr>
                <w:ilvl w:val="0"/>
                <w:numId w:val="411"/>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支持基于SSID、射频卡的用户数限制。</w:t>
            </w:r>
          </w:p>
          <w:p w14:paraId="3BD9E0FA">
            <w:pPr>
              <w:widowControl/>
              <w:numPr>
                <w:ilvl w:val="0"/>
                <w:numId w:val="411"/>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支持基于终端数或流量的智能负载均衡。</w:t>
            </w:r>
          </w:p>
          <w:p w14:paraId="3098B8AE">
            <w:pPr>
              <w:widowControl/>
              <w:numPr>
                <w:ilvl w:val="0"/>
                <w:numId w:val="411"/>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支持带宽限制，支持基于STA/SSID/AP的限速。</w:t>
            </w:r>
          </w:p>
          <w:p w14:paraId="6DF1A73A">
            <w:pPr>
              <w:widowControl/>
              <w:numPr>
                <w:ilvl w:val="0"/>
                <w:numId w:val="411"/>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支持Fat/Fit模式切换。当工作在Fit（瘦）模式时，可通过AC系列无线控制器切换为Fat模式；当工作在Fat（胖）模式时，可通过本地控制口、Telnet方式切换为Fit模式。</w:t>
            </w:r>
          </w:p>
          <w:p w14:paraId="6AA948DD">
            <w:pPr>
              <w:widowControl/>
              <w:numPr>
                <w:ilvl w:val="0"/>
                <w:numId w:val="411"/>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支持用户隔离。</w:t>
            </w:r>
          </w:p>
          <w:p w14:paraId="7B5D3C98">
            <w:pPr>
              <w:widowControl/>
              <w:numPr>
                <w:ilvl w:val="0"/>
                <w:numId w:val="411"/>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支持非法AP检测及反制。支持数据帧过滤功能，支持白名单、静态黑名单、动态黑名单。</w:t>
            </w:r>
          </w:p>
          <w:p w14:paraId="42EA8C27">
            <w:pPr>
              <w:widowControl/>
              <w:numPr>
                <w:ilvl w:val="0"/>
                <w:numId w:val="411"/>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支持Wi-Fi终端定位，支持实时人流量统计和分析，显示场所人流量热力图。</w:t>
            </w:r>
          </w:p>
          <w:p w14:paraId="3B0F949A">
            <w:pPr>
              <w:widowControl/>
              <w:numPr>
                <w:ilvl w:val="0"/>
                <w:numId w:val="411"/>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支持无线营销功能，可提供多级广告呈现平台，配置灵活的广告推送规则，可以根据不同的SSID来推送不同的广告，可实时统计不同店铺、不同区域的来访顾客的各项数据信息。</w:t>
            </w:r>
          </w:p>
        </w:tc>
        <w:tc>
          <w:tcPr>
            <w:tcW w:w="863" w:type="dxa"/>
            <w:gridSpan w:val="4"/>
            <w:vAlign w:val="center"/>
          </w:tcPr>
          <w:p w14:paraId="5FC4A904">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台</w:t>
            </w:r>
          </w:p>
        </w:tc>
        <w:tc>
          <w:tcPr>
            <w:tcW w:w="925" w:type="dxa"/>
            <w:gridSpan w:val="3"/>
            <w:vAlign w:val="center"/>
          </w:tcPr>
          <w:p w14:paraId="1694ECD3">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210</w:t>
            </w:r>
          </w:p>
        </w:tc>
      </w:tr>
      <w:tr w14:paraId="629427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27" w:type="dxa"/>
          <w:trHeight w:val="700" w:hRule="atLeast"/>
          <w:jc w:val="center"/>
        </w:trPr>
        <w:tc>
          <w:tcPr>
            <w:tcW w:w="749" w:type="dxa"/>
            <w:vAlign w:val="center"/>
          </w:tcPr>
          <w:p w14:paraId="52B414CD">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5</w:t>
            </w:r>
          </w:p>
        </w:tc>
        <w:tc>
          <w:tcPr>
            <w:tcW w:w="1227" w:type="dxa"/>
            <w:vAlign w:val="center"/>
          </w:tcPr>
          <w:p w14:paraId="618EE49F">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网络准入系统</w:t>
            </w:r>
          </w:p>
        </w:tc>
        <w:tc>
          <w:tcPr>
            <w:tcW w:w="6187" w:type="dxa"/>
            <w:gridSpan w:val="2"/>
            <w:vAlign w:val="center"/>
          </w:tcPr>
          <w:p w14:paraId="41E59409">
            <w:pPr>
              <w:widowControl/>
              <w:numPr>
                <w:ilvl w:val="0"/>
                <w:numId w:val="412"/>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1U高度硬件化产品</w:t>
            </w:r>
          </w:p>
          <w:p w14:paraId="1F6CE2CE">
            <w:pPr>
              <w:widowControl/>
              <w:numPr>
                <w:ilvl w:val="0"/>
                <w:numId w:val="412"/>
              </w:numPr>
              <w:jc w:val="left"/>
              <w:textAlignment w:val="center"/>
              <w:rPr>
                <w:rFonts w:hint="eastAsia" w:ascii="宋体" w:hAnsi="宋体"/>
                <w:color w:val="auto"/>
                <w:kern w:val="0"/>
                <w:szCs w:val="21"/>
                <w:highlight w:val="none"/>
                <w:lang w:bidi="ar"/>
              </w:rPr>
            </w:pPr>
            <w:r>
              <w:rPr>
                <w:rFonts w:hint="eastAsia" w:ascii="宋体" w:hAnsi="宋体"/>
                <w:color w:val="auto"/>
                <w:szCs w:val="21"/>
                <w:highlight w:val="none"/>
              </w:rPr>
              <w:t>≥</w:t>
            </w:r>
            <w:r>
              <w:rPr>
                <w:rFonts w:hint="eastAsia" w:ascii="宋体" w:hAnsi="宋体"/>
                <w:color w:val="auto"/>
                <w:kern w:val="0"/>
                <w:szCs w:val="21"/>
                <w:highlight w:val="none"/>
                <w:lang w:bidi="ar"/>
              </w:rPr>
              <w:t>6个GE电口，</w:t>
            </w:r>
            <w:r>
              <w:rPr>
                <w:rFonts w:hint="eastAsia" w:ascii="宋体" w:hAnsi="宋体"/>
                <w:color w:val="auto"/>
                <w:szCs w:val="21"/>
                <w:highlight w:val="none"/>
              </w:rPr>
              <w:t>≥</w:t>
            </w:r>
            <w:r>
              <w:rPr>
                <w:rFonts w:hint="eastAsia" w:ascii="宋体" w:hAnsi="宋体"/>
                <w:color w:val="auto"/>
                <w:kern w:val="0"/>
                <w:szCs w:val="21"/>
                <w:highlight w:val="none"/>
                <w:lang w:bidi="ar"/>
              </w:rPr>
              <w:t>1个RJ-45配置口，USB口≥2个，硬盘≥1T，DDR2内存≥2G，支持Linux操作平台，支持PostgreSQL数据库。</w:t>
            </w:r>
          </w:p>
          <w:p w14:paraId="2F45C1E4">
            <w:pPr>
              <w:widowControl/>
              <w:numPr>
                <w:ilvl w:val="0"/>
                <w:numId w:val="412"/>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为满足多种应用场景，准入方式应支持有线的用户名密码认证（EAP-MD5）、无线的用户名密码认证 （PEAP-MSCHAPV2） 和USB-KEY CA证书认证（EAP-TLS）。</w:t>
            </w:r>
          </w:p>
          <w:p w14:paraId="222C257E">
            <w:pPr>
              <w:widowControl/>
              <w:numPr>
                <w:ilvl w:val="0"/>
                <w:numId w:val="412"/>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支持已认证的用户使用自己的智能手机为访客终端扫描二维码进行访客入网接入认证授权，支持只有授权指定的用户组才能为访客做二维码授权，且在认证系统后台有访客与授权访客开户的用户账号绑定。</w:t>
            </w:r>
          </w:p>
          <w:p w14:paraId="12A70833">
            <w:pPr>
              <w:widowControl/>
              <w:numPr>
                <w:ilvl w:val="0"/>
                <w:numId w:val="412"/>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认证页面合并：普通用户、短信、二维码、微信web认证合并。</w:t>
            </w:r>
          </w:p>
          <w:p w14:paraId="2CF25390">
            <w:pPr>
              <w:widowControl/>
              <w:numPr>
                <w:ilvl w:val="0"/>
                <w:numId w:val="412"/>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支持与第三方Radius联动，将认证信息转发给第三方Radius服务器进行认证，即实现统一身份源。提供功能截图。</w:t>
            </w:r>
          </w:p>
          <w:p w14:paraId="677C7647">
            <w:pPr>
              <w:widowControl/>
              <w:numPr>
                <w:ilvl w:val="0"/>
                <w:numId w:val="412"/>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支持与数据库SQL SERVER、MySQL、ORACLE、DB2、PostgreSQL对接。</w:t>
            </w:r>
          </w:p>
          <w:p w14:paraId="2CD28020">
            <w:pPr>
              <w:widowControl/>
              <w:numPr>
                <w:ilvl w:val="0"/>
                <w:numId w:val="412"/>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支持开户、销户、分组管理用户；支持定制用户信息包含的字段，例如部门、年龄等；支持由已认证用户通过自助平台建立短时间临时用户账号，供访客使用；支持违反规定的用户放入黑名单，一段时间内禁止登陆；支持设置账号的使用期限，到期自动销户，并提前通知用户。</w:t>
            </w:r>
          </w:p>
          <w:p w14:paraId="228A088B">
            <w:pPr>
              <w:widowControl/>
              <w:numPr>
                <w:ilvl w:val="0"/>
                <w:numId w:val="412"/>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首次登陆账号激活，并强制修改密码。·首次进行认证时，强制要求用户设置密保：手机号、邮箱账号、私密问答作为密保凭据任选其一。提供功能界面截图。</w:t>
            </w:r>
          </w:p>
          <w:p w14:paraId="247689D3">
            <w:pPr>
              <w:widowControl/>
              <w:numPr>
                <w:ilvl w:val="0"/>
                <w:numId w:val="412"/>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支持对在线用户进行管理，可下发实时和离线短消息、查看在线用户、下发实时和离线修复程序、强制在线用户下线以及重认证、实时进程信息获取以及远程协助的功能。</w:t>
            </w:r>
          </w:p>
          <w:p w14:paraId="72922882">
            <w:pPr>
              <w:widowControl/>
              <w:numPr>
                <w:ilvl w:val="0"/>
                <w:numId w:val="412"/>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支持禁止已认证用户给未认证用户提供代理服务；禁止已认证用户启用拨号服务，进行非法外连；支持设置用户密码输错的次数上限，防暴力破解。</w:t>
            </w:r>
          </w:p>
          <w:p w14:paraId="6C2900A7">
            <w:pPr>
              <w:widowControl/>
              <w:numPr>
                <w:ilvl w:val="0"/>
                <w:numId w:val="412"/>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支持安装程序的检测和修复，对必须安装的软件强制下载和安装，禁止安装的软件提示卸载；支持进程运行、注册表项、Windows服务项的检查和修复；支持对外连接口进行管理，可禁止使用USB、光驱等外连接口；支持Windows补丁的强制或非强制更新；支持基于交换机ACL、交换机VLAN、主机ACL实现的隔离区。</w:t>
            </w:r>
          </w:p>
          <w:p w14:paraId="7C0B0990">
            <w:pPr>
              <w:widowControl/>
              <w:numPr>
                <w:ilvl w:val="0"/>
                <w:numId w:val="412"/>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配置要求：认证并发授权≥1000个。</w:t>
            </w:r>
          </w:p>
        </w:tc>
        <w:tc>
          <w:tcPr>
            <w:tcW w:w="863" w:type="dxa"/>
            <w:gridSpan w:val="4"/>
            <w:vAlign w:val="center"/>
          </w:tcPr>
          <w:p w14:paraId="4E7AE61A">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套</w:t>
            </w:r>
          </w:p>
        </w:tc>
        <w:tc>
          <w:tcPr>
            <w:tcW w:w="925" w:type="dxa"/>
            <w:gridSpan w:val="3"/>
            <w:vAlign w:val="center"/>
          </w:tcPr>
          <w:p w14:paraId="5BDA58F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065336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27" w:type="dxa"/>
          <w:trHeight w:val="700" w:hRule="atLeast"/>
          <w:jc w:val="center"/>
        </w:trPr>
        <w:tc>
          <w:tcPr>
            <w:tcW w:w="749" w:type="dxa"/>
            <w:vAlign w:val="center"/>
          </w:tcPr>
          <w:p w14:paraId="68A9A722">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6</w:t>
            </w:r>
          </w:p>
        </w:tc>
        <w:tc>
          <w:tcPr>
            <w:tcW w:w="1227" w:type="dxa"/>
            <w:vAlign w:val="center"/>
          </w:tcPr>
          <w:p w14:paraId="4F7DA5A8">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无线网络优化系统</w:t>
            </w:r>
          </w:p>
        </w:tc>
        <w:tc>
          <w:tcPr>
            <w:tcW w:w="6187" w:type="dxa"/>
            <w:gridSpan w:val="2"/>
            <w:vAlign w:val="center"/>
          </w:tcPr>
          <w:p w14:paraId="224903DC">
            <w:pPr>
              <w:widowControl/>
              <w:numPr>
                <w:ilvl w:val="0"/>
                <w:numId w:val="413"/>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为保证无线网络运行稳定，需要提供网优工具分析网络运行情况。网优工具支持设备稳定度、信号覆盖度、关联稳定度、在线体验、网络饱和度、用户活跃度查询功能。</w:t>
            </w:r>
          </w:p>
          <w:p w14:paraId="6625E2FD">
            <w:pPr>
              <w:widowControl/>
              <w:numPr>
                <w:ilvl w:val="0"/>
                <w:numId w:val="413"/>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支持网络体验度量和可视化。可以查看体验概况，显示网络的整体使用体验。可以从区域分析、干扰、覆盖、接入、认证等维度度量网络状态，帮助分析定位体验问题。具体包括分析问题区域、信道率利用率高的AP，覆盖不足的AP、接入失败问题分类、认证失败导致的占比趋势等。</w:t>
            </w:r>
          </w:p>
          <w:p w14:paraId="5681FC78">
            <w:pPr>
              <w:widowControl/>
              <w:numPr>
                <w:ilvl w:val="0"/>
                <w:numId w:val="413"/>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支持AP体验分析，统计不同AP的所有终端的上下线失败次数，平均信号强度、平均丢包率、平均时延参数，支持排序方便定位问题。</w:t>
            </w:r>
          </w:p>
          <w:p w14:paraId="53BF6B66">
            <w:pPr>
              <w:widowControl/>
              <w:numPr>
                <w:ilvl w:val="0"/>
                <w:numId w:val="413"/>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支持AP负载分析，支持终端平均在线时长、终端平均流量、忙时在线人数、峰值在线人数、峰值时刻综合评估设备的利用情况，支持排序方便定位问题。提供产品功能截图。</w:t>
            </w:r>
          </w:p>
          <w:p w14:paraId="7187FFCB">
            <w:pPr>
              <w:widowControl/>
              <w:numPr>
                <w:ilvl w:val="0"/>
                <w:numId w:val="413"/>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支持重点（VIP）用户监控告警功能，支重点用户终端的体验指标进行监控告警追踪，分析出终端问题出现原因和出现的地点，提供解决方案建议；告警阈值可自定义，包括包括信道利用率、异常掉线、丢包率、时延、来回漫游、反复关联等指标的阈值设置，告警记录可查，需要保存至少5天的终端问题分析和历史连接记录。</w:t>
            </w:r>
          </w:p>
          <w:p w14:paraId="096D037D">
            <w:pPr>
              <w:widowControl/>
              <w:numPr>
                <w:ilvl w:val="0"/>
                <w:numId w:val="413"/>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支持协议分析管理功能。可以诊断出终端接入失败原因。支持可视化方式呈现接入过程的问题，识别出正常、异常、未接入状态。支持协议报文级的交互呈现和精细化问题诊断，可以呈现协议交互阶段结果与耗时，并提供认证失败、DHCP获取IP失败等接入失败的根因与排障建议。</w:t>
            </w:r>
          </w:p>
          <w:p w14:paraId="362B85E3">
            <w:pPr>
              <w:widowControl/>
              <w:numPr>
                <w:ilvl w:val="0"/>
                <w:numId w:val="413"/>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提供用户终端全局体验图，可基于时段进行体验覆盖评估，以终端无线参数指标来评估终端的业务体验，分为：优质，良好，有点卡，上线难四类，该评估非应用识别，而是通过机器学习的算法计算当前网络状况是否适合这类应用，提供产品功能截图。</w:t>
            </w:r>
          </w:p>
          <w:p w14:paraId="3EBC2723">
            <w:pPr>
              <w:widowControl/>
              <w:numPr>
                <w:ilvl w:val="0"/>
                <w:numId w:val="413"/>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要求所投产品可根据AP和终端的综合指标（非无线覆盖热图）来生成全网覆盖情况报告，包括良好覆盖区、注意覆盖区、问题覆盖区，提供产品真实使用界面截图。</w:t>
            </w:r>
          </w:p>
          <w:p w14:paraId="5336431A">
            <w:pPr>
              <w:widowControl/>
              <w:numPr>
                <w:ilvl w:val="0"/>
                <w:numId w:val="413"/>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基线分析功能，支持记录配置、版本、新增AP、配置规划下发、网优操作导入的变化，并能跟踪变化前后的在线终端数、终端流量、接入异常数、平均丢包率、平均时延等网络KPI变化。</w:t>
            </w:r>
          </w:p>
          <w:p w14:paraId="63B93108">
            <w:pPr>
              <w:widowControl/>
              <w:numPr>
                <w:ilvl w:val="0"/>
                <w:numId w:val="413"/>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支持一键生成项目体检报告功能。可以快速生成网络总体运行情况报告，包含体验、设备、用户等多维度的网络状况。</w:t>
            </w:r>
          </w:p>
          <w:p w14:paraId="529AF205">
            <w:pPr>
              <w:widowControl/>
              <w:numPr>
                <w:ilvl w:val="0"/>
                <w:numId w:val="413"/>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支持时间胶囊功能，分析设备版本及配置变更历史，便于故障回溯；能够对比配置的差异点。要求提供产品功能截图。</w:t>
            </w:r>
          </w:p>
        </w:tc>
        <w:tc>
          <w:tcPr>
            <w:tcW w:w="863" w:type="dxa"/>
            <w:gridSpan w:val="4"/>
            <w:vAlign w:val="center"/>
          </w:tcPr>
          <w:p w14:paraId="1D439C29">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套</w:t>
            </w:r>
          </w:p>
        </w:tc>
        <w:tc>
          <w:tcPr>
            <w:tcW w:w="925" w:type="dxa"/>
            <w:gridSpan w:val="3"/>
            <w:vAlign w:val="center"/>
          </w:tcPr>
          <w:p w14:paraId="45CA8B6A">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1E9C71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27" w:type="dxa"/>
          <w:trHeight w:val="700" w:hRule="atLeast"/>
          <w:jc w:val="center"/>
        </w:trPr>
        <w:tc>
          <w:tcPr>
            <w:tcW w:w="749" w:type="dxa"/>
            <w:vAlign w:val="center"/>
          </w:tcPr>
          <w:p w14:paraId="414C8030">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7</w:t>
            </w:r>
          </w:p>
        </w:tc>
        <w:tc>
          <w:tcPr>
            <w:tcW w:w="1227" w:type="dxa"/>
            <w:vAlign w:val="center"/>
          </w:tcPr>
          <w:p w14:paraId="2EDE7C84">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辅材</w:t>
            </w:r>
          </w:p>
        </w:tc>
        <w:tc>
          <w:tcPr>
            <w:tcW w:w="6187" w:type="dxa"/>
            <w:gridSpan w:val="2"/>
            <w:vAlign w:val="center"/>
          </w:tcPr>
          <w:p w14:paraId="285BADF2">
            <w:pPr>
              <w:widowControl/>
              <w:numPr>
                <w:ilvl w:val="0"/>
                <w:numId w:val="414"/>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项目所需要的六类网线、光缆、电源线等；</w:t>
            </w:r>
          </w:p>
          <w:p w14:paraId="602CD628">
            <w:pPr>
              <w:widowControl/>
              <w:numPr>
                <w:ilvl w:val="0"/>
                <w:numId w:val="414"/>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项目所需要的配线架、ODF架、光缆终端盒、理线架、网络跳线、光纤跳线等；</w:t>
            </w:r>
          </w:p>
          <w:p w14:paraId="3320B40B">
            <w:pPr>
              <w:widowControl/>
              <w:numPr>
                <w:ilvl w:val="0"/>
                <w:numId w:val="414"/>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项目所需要的光模块、机柜、PDU等；</w:t>
            </w:r>
          </w:p>
          <w:p w14:paraId="08A7D8F9">
            <w:pPr>
              <w:widowControl/>
              <w:numPr>
                <w:ilvl w:val="0"/>
                <w:numId w:val="414"/>
              </w:numPr>
              <w:jc w:val="left"/>
              <w:textAlignment w:val="center"/>
              <w:rPr>
                <w:rFonts w:hint="eastAsia" w:ascii="宋体" w:hAnsi="宋体"/>
                <w:color w:val="auto"/>
                <w:kern w:val="0"/>
                <w:szCs w:val="21"/>
                <w:highlight w:val="none"/>
                <w:lang w:bidi="ar"/>
              </w:rPr>
            </w:pPr>
            <w:r>
              <w:rPr>
                <w:rFonts w:hint="eastAsia" w:ascii="宋体" w:hAnsi="宋体"/>
                <w:color w:val="auto"/>
                <w:kern w:val="0"/>
                <w:szCs w:val="21"/>
                <w:highlight w:val="none"/>
                <w:lang w:bidi="ar"/>
              </w:rPr>
              <w:t>满足本项目施工所需要的其他全部材料。</w:t>
            </w:r>
          </w:p>
        </w:tc>
        <w:tc>
          <w:tcPr>
            <w:tcW w:w="863" w:type="dxa"/>
            <w:gridSpan w:val="4"/>
            <w:vAlign w:val="center"/>
          </w:tcPr>
          <w:p w14:paraId="2A3B8D2B">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批</w:t>
            </w:r>
          </w:p>
        </w:tc>
        <w:tc>
          <w:tcPr>
            <w:tcW w:w="925" w:type="dxa"/>
            <w:gridSpan w:val="3"/>
            <w:vAlign w:val="center"/>
          </w:tcPr>
          <w:p w14:paraId="49A373C0">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r w14:paraId="1BDF23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gridAfter w:val="1"/>
          <w:wAfter w:w="27" w:type="dxa"/>
          <w:trHeight w:val="700" w:hRule="atLeast"/>
          <w:jc w:val="center"/>
        </w:trPr>
        <w:tc>
          <w:tcPr>
            <w:tcW w:w="749" w:type="dxa"/>
            <w:vAlign w:val="center"/>
          </w:tcPr>
          <w:p w14:paraId="72B66DE7">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8</w:t>
            </w:r>
          </w:p>
        </w:tc>
        <w:tc>
          <w:tcPr>
            <w:tcW w:w="1227" w:type="dxa"/>
            <w:vAlign w:val="center"/>
          </w:tcPr>
          <w:p w14:paraId="5BA324B0">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施工安装调试</w:t>
            </w:r>
          </w:p>
        </w:tc>
        <w:tc>
          <w:tcPr>
            <w:tcW w:w="6187" w:type="dxa"/>
            <w:gridSpan w:val="2"/>
            <w:vAlign w:val="center"/>
          </w:tcPr>
          <w:p w14:paraId="1CC351D3">
            <w:pPr>
              <w:widowControl/>
              <w:numPr>
                <w:ilvl w:val="0"/>
                <w:numId w:val="415"/>
              </w:numPr>
              <w:jc w:val="left"/>
              <w:textAlignment w:val="center"/>
              <w:rPr>
                <w:rFonts w:hint="eastAsia" w:ascii="宋体" w:hAnsi="宋体"/>
                <w:color w:val="auto"/>
                <w:szCs w:val="21"/>
                <w:highlight w:val="none"/>
              </w:rPr>
            </w:pPr>
            <w:r>
              <w:rPr>
                <w:rFonts w:hint="eastAsia" w:ascii="宋体" w:hAnsi="宋体"/>
                <w:color w:val="auto"/>
                <w:kern w:val="0"/>
                <w:szCs w:val="21"/>
                <w:highlight w:val="none"/>
                <w:lang w:bidi="ar"/>
              </w:rPr>
              <w:t>包含项目施工、调试、验收搬运等所有费用。</w:t>
            </w:r>
          </w:p>
        </w:tc>
        <w:tc>
          <w:tcPr>
            <w:tcW w:w="863" w:type="dxa"/>
            <w:gridSpan w:val="4"/>
            <w:vAlign w:val="center"/>
          </w:tcPr>
          <w:p w14:paraId="0C26D5FC">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项</w:t>
            </w:r>
          </w:p>
        </w:tc>
        <w:tc>
          <w:tcPr>
            <w:tcW w:w="925" w:type="dxa"/>
            <w:gridSpan w:val="3"/>
            <w:vAlign w:val="center"/>
          </w:tcPr>
          <w:p w14:paraId="48EBDF37">
            <w:pPr>
              <w:widowControl/>
              <w:jc w:val="center"/>
              <w:textAlignment w:val="center"/>
              <w:rPr>
                <w:rFonts w:hint="eastAsia" w:ascii="宋体" w:hAnsi="宋体"/>
                <w:color w:val="auto"/>
                <w:szCs w:val="21"/>
                <w:highlight w:val="none"/>
              </w:rPr>
            </w:pPr>
            <w:r>
              <w:rPr>
                <w:rFonts w:hint="eastAsia" w:ascii="宋体" w:hAnsi="宋体"/>
                <w:color w:val="auto"/>
                <w:kern w:val="0"/>
                <w:szCs w:val="21"/>
                <w:highlight w:val="none"/>
                <w:lang w:bidi="ar"/>
              </w:rPr>
              <w:t>1</w:t>
            </w:r>
          </w:p>
        </w:tc>
      </w:tr>
    </w:tbl>
    <w:p w14:paraId="5A5F4D16">
      <w:pPr>
        <w:rPr>
          <w:rFonts w:hint="eastAsia" w:ascii="宋体" w:hAnsi="宋体"/>
          <w:b/>
          <w:bCs/>
          <w:color w:val="auto"/>
          <w:szCs w:val="21"/>
          <w:highlight w:val="none"/>
        </w:rPr>
      </w:pPr>
      <w:r>
        <w:rPr>
          <w:rFonts w:ascii="宋体" w:hAnsi="宋体"/>
          <w:b/>
          <w:bCs/>
          <w:color w:val="auto"/>
          <w:szCs w:val="21"/>
          <w:highlight w:val="none"/>
        </w:rPr>
        <w:br w:type="page"/>
      </w:r>
    </w:p>
    <w:p w14:paraId="151D3730">
      <w:pPr>
        <w:spacing w:line="360" w:lineRule="auto"/>
        <w:rPr>
          <w:rFonts w:hint="eastAsia" w:ascii="宋体" w:hAnsi="宋体"/>
          <w:b/>
          <w:bCs/>
          <w:color w:val="auto"/>
          <w:szCs w:val="21"/>
          <w:highlight w:val="none"/>
        </w:rPr>
      </w:pPr>
      <w:r>
        <w:rPr>
          <w:rFonts w:hint="eastAsia" w:ascii="宋体" w:hAnsi="宋体"/>
          <w:b/>
          <w:bCs/>
          <w:color w:val="auto"/>
          <w:szCs w:val="21"/>
          <w:highlight w:val="none"/>
        </w:rPr>
        <w:t>3.</w:t>
      </w:r>
      <w:bookmarkStart w:id="3" w:name="_GoBack"/>
      <w:r>
        <w:rPr>
          <w:rFonts w:hint="eastAsia" w:ascii="宋体" w:hAnsi="宋体"/>
          <w:b/>
          <w:bCs/>
          <w:color w:val="auto"/>
          <w:szCs w:val="21"/>
          <w:highlight w:val="none"/>
        </w:rPr>
        <w:t>三标段</w:t>
      </w:r>
      <w:bookmarkEnd w:id="3"/>
      <w:r>
        <w:rPr>
          <w:rFonts w:hint="eastAsia" w:ascii="宋体" w:hAnsi="宋体"/>
          <w:b/>
          <w:bCs/>
          <w:color w:val="auto"/>
          <w:szCs w:val="21"/>
          <w:highlight w:val="none"/>
        </w:rPr>
        <w:t xml:space="preserve"> </w:t>
      </w:r>
    </w:p>
    <w:p w14:paraId="1CDAD906">
      <w:pPr>
        <w:spacing w:line="360" w:lineRule="auto"/>
        <w:rPr>
          <w:rFonts w:hint="eastAsia" w:ascii="宋体" w:hAnsi="宋体"/>
          <w:b/>
          <w:bCs/>
          <w:color w:val="auto"/>
          <w:szCs w:val="21"/>
          <w:highlight w:val="none"/>
        </w:rPr>
      </w:pPr>
    </w:p>
    <w:tbl>
      <w:tblPr>
        <w:tblStyle w:val="24"/>
        <w:tblW w:w="8904" w:type="dxa"/>
        <w:tblInd w:w="96" w:type="dxa"/>
        <w:tblLayout w:type="fixed"/>
        <w:tblCellMar>
          <w:top w:w="0" w:type="dxa"/>
          <w:left w:w="108" w:type="dxa"/>
          <w:bottom w:w="0" w:type="dxa"/>
          <w:right w:w="108" w:type="dxa"/>
        </w:tblCellMar>
      </w:tblPr>
      <w:tblGrid>
        <w:gridCol w:w="693"/>
        <w:gridCol w:w="1371"/>
        <w:gridCol w:w="5493"/>
        <w:gridCol w:w="640"/>
        <w:gridCol w:w="707"/>
      </w:tblGrid>
      <w:tr w14:paraId="643DF7E3">
        <w:tblPrEx>
          <w:tblCellMar>
            <w:top w:w="0" w:type="dxa"/>
            <w:left w:w="108" w:type="dxa"/>
            <w:bottom w:w="0" w:type="dxa"/>
            <w:right w:w="108" w:type="dxa"/>
          </w:tblCellMar>
        </w:tblPrEx>
        <w:trPr>
          <w:trHeight w:val="823" w:hRule="atLeast"/>
        </w:trPr>
        <w:tc>
          <w:tcPr>
            <w:tcW w:w="693" w:type="dxa"/>
            <w:tcBorders>
              <w:top w:val="single" w:color="000000" w:sz="4" w:space="0"/>
              <w:left w:val="single" w:color="000000" w:sz="4" w:space="0"/>
              <w:bottom w:val="single" w:color="000000" w:sz="4" w:space="0"/>
              <w:right w:val="single" w:color="000000" w:sz="4" w:space="0"/>
            </w:tcBorders>
            <w:noWrap/>
            <w:vAlign w:val="center"/>
          </w:tcPr>
          <w:p w14:paraId="12C47195">
            <w:pPr>
              <w:widowControl/>
              <w:jc w:val="center"/>
              <w:textAlignment w:val="center"/>
              <w:rPr>
                <w:rFonts w:hint="eastAsia" w:ascii="宋体" w:hAnsi="宋体"/>
                <w:b/>
                <w:bCs/>
                <w:color w:val="auto"/>
                <w:sz w:val="22"/>
                <w:szCs w:val="22"/>
                <w:highlight w:val="none"/>
              </w:rPr>
            </w:pPr>
            <w:bookmarkStart w:id="2" w:name="_Toc26005"/>
            <w:r>
              <w:rPr>
                <w:rFonts w:hint="eastAsia" w:ascii="宋体" w:hAnsi="宋体"/>
                <w:b/>
                <w:bCs/>
                <w:color w:val="auto"/>
                <w:kern w:val="0"/>
                <w:sz w:val="22"/>
                <w:szCs w:val="22"/>
                <w:highlight w:val="none"/>
                <w:lang w:bidi="ar"/>
              </w:rPr>
              <w:t>序号</w:t>
            </w:r>
          </w:p>
        </w:tc>
        <w:tc>
          <w:tcPr>
            <w:tcW w:w="1371" w:type="dxa"/>
            <w:tcBorders>
              <w:top w:val="single" w:color="000000" w:sz="4" w:space="0"/>
              <w:left w:val="single" w:color="000000" w:sz="4" w:space="0"/>
              <w:bottom w:val="single" w:color="000000" w:sz="4" w:space="0"/>
              <w:right w:val="single" w:color="000000" w:sz="4" w:space="0"/>
            </w:tcBorders>
            <w:noWrap/>
            <w:vAlign w:val="center"/>
          </w:tcPr>
          <w:p w14:paraId="15460FAA">
            <w:pPr>
              <w:widowControl/>
              <w:jc w:val="center"/>
              <w:textAlignment w:val="center"/>
              <w:rPr>
                <w:rFonts w:hint="eastAsia" w:ascii="宋体" w:hAnsi="宋体"/>
                <w:b/>
                <w:bCs/>
                <w:color w:val="auto"/>
                <w:sz w:val="22"/>
                <w:szCs w:val="22"/>
                <w:highlight w:val="none"/>
              </w:rPr>
            </w:pPr>
            <w:r>
              <w:rPr>
                <w:rFonts w:hint="eastAsia" w:ascii="宋体" w:hAnsi="宋体"/>
                <w:b/>
                <w:bCs/>
                <w:color w:val="auto"/>
                <w:kern w:val="0"/>
                <w:sz w:val="22"/>
                <w:szCs w:val="22"/>
                <w:highlight w:val="none"/>
                <w:lang w:bidi="ar"/>
              </w:rPr>
              <w:t>名称</w:t>
            </w:r>
          </w:p>
        </w:tc>
        <w:tc>
          <w:tcPr>
            <w:tcW w:w="5493" w:type="dxa"/>
            <w:tcBorders>
              <w:top w:val="single" w:color="000000" w:sz="4" w:space="0"/>
              <w:left w:val="single" w:color="000000" w:sz="4" w:space="0"/>
              <w:bottom w:val="single" w:color="000000" w:sz="4" w:space="0"/>
              <w:right w:val="single" w:color="000000" w:sz="4" w:space="0"/>
            </w:tcBorders>
            <w:noWrap/>
            <w:vAlign w:val="center"/>
          </w:tcPr>
          <w:p w14:paraId="3BD39884">
            <w:pPr>
              <w:widowControl/>
              <w:jc w:val="center"/>
              <w:textAlignment w:val="center"/>
              <w:rPr>
                <w:rFonts w:hint="eastAsia" w:ascii="宋体" w:hAnsi="宋体"/>
                <w:b/>
                <w:bCs/>
                <w:color w:val="auto"/>
                <w:sz w:val="22"/>
                <w:szCs w:val="22"/>
                <w:highlight w:val="none"/>
              </w:rPr>
            </w:pPr>
            <w:r>
              <w:rPr>
                <w:rFonts w:hint="eastAsia" w:ascii="宋体" w:hAnsi="宋体"/>
                <w:b/>
                <w:bCs/>
                <w:color w:val="auto"/>
                <w:kern w:val="0"/>
                <w:sz w:val="22"/>
                <w:szCs w:val="22"/>
                <w:highlight w:val="none"/>
                <w:lang w:bidi="ar"/>
              </w:rPr>
              <w:t>规格要求</w:t>
            </w:r>
          </w:p>
        </w:tc>
        <w:tc>
          <w:tcPr>
            <w:tcW w:w="640" w:type="dxa"/>
            <w:tcBorders>
              <w:top w:val="single" w:color="000000" w:sz="4" w:space="0"/>
              <w:left w:val="single" w:color="000000" w:sz="4" w:space="0"/>
              <w:right w:val="single" w:color="auto" w:sz="4" w:space="0"/>
            </w:tcBorders>
            <w:noWrap/>
            <w:vAlign w:val="center"/>
          </w:tcPr>
          <w:p w14:paraId="3F8EDCCA">
            <w:pPr>
              <w:widowControl/>
              <w:jc w:val="center"/>
              <w:textAlignment w:val="center"/>
              <w:rPr>
                <w:rFonts w:hint="eastAsia" w:ascii="宋体" w:hAnsi="宋体"/>
                <w:b/>
                <w:bCs/>
                <w:color w:val="auto"/>
                <w:sz w:val="22"/>
                <w:szCs w:val="22"/>
                <w:highlight w:val="none"/>
              </w:rPr>
            </w:pPr>
            <w:r>
              <w:rPr>
                <w:rFonts w:hint="eastAsia" w:ascii="宋体" w:hAnsi="宋体"/>
                <w:b/>
                <w:bCs/>
                <w:color w:val="auto"/>
                <w:kern w:val="0"/>
                <w:sz w:val="22"/>
                <w:szCs w:val="22"/>
                <w:highlight w:val="none"/>
                <w:lang w:bidi="ar"/>
              </w:rPr>
              <w:t>单位</w:t>
            </w:r>
          </w:p>
        </w:tc>
        <w:tc>
          <w:tcPr>
            <w:tcW w:w="707" w:type="dxa"/>
            <w:tcBorders>
              <w:top w:val="single" w:color="000000" w:sz="4" w:space="0"/>
              <w:left w:val="single" w:color="auto" w:sz="4" w:space="0"/>
              <w:bottom w:val="nil"/>
              <w:right w:val="single" w:color="000000" w:sz="4" w:space="0"/>
            </w:tcBorders>
            <w:noWrap/>
            <w:vAlign w:val="center"/>
          </w:tcPr>
          <w:p w14:paraId="66B90D3E">
            <w:pPr>
              <w:widowControl/>
              <w:jc w:val="center"/>
              <w:textAlignment w:val="center"/>
              <w:rPr>
                <w:rFonts w:hint="eastAsia" w:ascii="宋体" w:hAnsi="宋体"/>
                <w:b/>
                <w:bCs/>
                <w:color w:val="auto"/>
                <w:sz w:val="22"/>
                <w:szCs w:val="22"/>
                <w:highlight w:val="none"/>
              </w:rPr>
            </w:pPr>
            <w:r>
              <w:rPr>
                <w:rFonts w:hint="eastAsia" w:ascii="宋体" w:hAnsi="宋体"/>
                <w:b/>
                <w:bCs/>
                <w:color w:val="auto"/>
                <w:kern w:val="0"/>
                <w:sz w:val="22"/>
                <w:szCs w:val="22"/>
                <w:highlight w:val="none"/>
                <w:lang w:bidi="ar"/>
              </w:rPr>
              <w:t>数量</w:t>
            </w:r>
          </w:p>
        </w:tc>
      </w:tr>
      <w:tr w14:paraId="09BECCE1">
        <w:tblPrEx>
          <w:tblCellMar>
            <w:top w:w="0" w:type="dxa"/>
            <w:left w:w="108" w:type="dxa"/>
            <w:bottom w:w="0" w:type="dxa"/>
            <w:right w:w="108" w:type="dxa"/>
          </w:tblCellMar>
        </w:tblPrEx>
        <w:trPr>
          <w:trHeight w:val="580" w:hRule="atLeast"/>
        </w:trPr>
        <w:tc>
          <w:tcPr>
            <w:tcW w:w="693" w:type="dxa"/>
            <w:tcBorders>
              <w:top w:val="single" w:color="000000" w:sz="4" w:space="0"/>
              <w:left w:val="single" w:color="000000" w:sz="4" w:space="0"/>
              <w:bottom w:val="single" w:color="000000" w:sz="4" w:space="0"/>
              <w:right w:val="single" w:color="000000" w:sz="4" w:space="0"/>
            </w:tcBorders>
            <w:vAlign w:val="center"/>
          </w:tcPr>
          <w:p w14:paraId="385B9CAD">
            <w:pPr>
              <w:widowControl/>
              <w:jc w:val="center"/>
              <w:textAlignment w:val="center"/>
              <w:rPr>
                <w:rFonts w:hint="eastAsia" w:ascii="宋体" w:hAnsi="宋体"/>
                <w:b/>
                <w:bCs/>
                <w:color w:val="auto"/>
                <w:sz w:val="22"/>
                <w:szCs w:val="22"/>
                <w:highlight w:val="none"/>
              </w:rPr>
            </w:pPr>
            <w:r>
              <w:rPr>
                <w:rFonts w:hint="eastAsia" w:ascii="宋体" w:hAnsi="宋体"/>
                <w:b/>
                <w:bCs/>
                <w:color w:val="auto"/>
                <w:kern w:val="0"/>
                <w:sz w:val="22"/>
                <w:szCs w:val="22"/>
                <w:highlight w:val="none"/>
                <w:lang w:bidi="ar"/>
              </w:rPr>
              <w:t>一</w:t>
            </w:r>
          </w:p>
        </w:tc>
        <w:tc>
          <w:tcPr>
            <w:tcW w:w="1371" w:type="dxa"/>
            <w:tcBorders>
              <w:top w:val="single" w:color="000000" w:sz="4" w:space="0"/>
              <w:left w:val="single" w:color="000000" w:sz="4" w:space="0"/>
              <w:bottom w:val="single" w:color="000000" w:sz="4" w:space="0"/>
              <w:right w:val="single" w:color="000000" w:sz="4" w:space="0"/>
            </w:tcBorders>
            <w:vAlign w:val="center"/>
          </w:tcPr>
          <w:p w14:paraId="2D967131">
            <w:pPr>
              <w:widowControl/>
              <w:jc w:val="center"/>
              <w:textAlignment w:val="center"/>
              <w:rPr>
                <w:rFonts w:hint="eastAsia" w:ascii="宋体" w:hAnsi="宋体"/>
                <w:b/>
                <w:bCs/>
                <w:color w:val="auto"/>
                <w:sz w:val="22"/>
                <w:szCs w:val="22"/>
                <w:highlight w:val="none"/>
              </w:rPr>
            </w:pPr>
            <w:r>
              <w:rPr>
                <w:rFonts w:hint="eastAsia" w:ascii="宋体" w:hAnsi="宋体"/>
                <w:b/>
                <w:bCs/>
                <w:color w:val="auto"/>
                <w:kern w:val="0"/>
                <w:sz w:val="22"/>
                <w:szCs w:val="22"/>
                <w:highlight w:val="none"/>
                <w:lang w:bidi="ar"/>
              </w:rPr>
              <w:t>餐厅设备</w:t>
            </w:r>
          </w:p>
        </w:tc>
        <w:tc>
          <w:tcPr>
            <w:tcW w:w="5493" w:type="dxa"/>
            <w:tcBorders>
              <w:top w:val="single" w:color="000000" w:sz="4" w:space="0"/>
              <w:left w:val="single" w:color="000000" w:sz="4" w:space="0"/>
              <w:bottom w:val="single" w:color="000000" w:sz="4" w:space="0"/>
              <w:right w:val="single" w:color="000000" w:sz="4" w:space="0"/>
            </w:tcBorders>
            <w:vAlign w:val="center"/>
          </w:tcPr>
          <w:p w14:paraId="7F811E31">
            <w:pPr>
              <w:jc w:val="left"/>
              <w:rPr>
                <w:rFonts w:hint="eastAsia" w:ascii="宋体" w:hAnsi="宋体"/>
                <w:color w:val="auto"/>
                <w:sz w:val="22"/>
                <w:szCs w:val="22"/>
                <w:highlight w:val="none"/>
              </w:rPr>
            </w:pPr>
          </w:p>
        </w:tc>
        <w:tc>
          <w:tcPr>
            <w:tcW w:w="640" w:type="dxa"/>
            <w:tcBorders>
              <w:top w:val="single" w:color="000000" w:sz="4" w:space="0"/>
              <w:left w:val="single" w:color="000000" w:sz="4" w:space="0"/>
              <w:bottom w:val="single" w:color="000000" w:sz="4" w:space="0"/>
              <w:right w:val="single" w:color="000000" w:sz="4" w:space="0"/>
            </w:tcBorders>
            <w:vAlign w:val="center"/>
          </w:tcPr>
          <w:p w14:paraId="17704340">
            <w:pPr>
              <w:jc w:val="center"/>
              <w:rPr>
                <w:rFonts w:hint="eastAsia" w:ascii="宋体" w:hAnsi="宋体"/>
                <w:color w:val="auto"/>
                <w:sz w:val="22"/>
                <w:szCs w:val="22"/>
                <w:highlight w:val="none"/>
              </w:rPr>
            </w:pPr>
          </w:p>
        </w:tc>
        <w:tc>
          <w:tcPr>
            <w:tcW w:w="707" w:type="dxa"/>
            <w:tcBorders>
              <w:top w:val="single" w:color="000000" w:sz="4" w:space="0"/>
              <w:left w:val="single" w:color="000000" w:sz="4" w:space="0"/>
              <w:bottom w:val="single" w:color="000000" w:sz="4" w:space="0"/>
              <w:right w:val="single" w:color="000000" w:sz="4" w:space="0"/>
            </w:tcBorders>
            <w:noWrap/>
            <w:vAlign w:val="center"/>
          </w:tcPr>
          <w:p w14:paraId="48D0B50F">
            <w:pPr>
              <w:jc w:val="center"/>
              <w:rPr>
                <w:rFonts w:hint="eastAsia" w:ascii="宋体" w:hAnsi="宋体"/>
                <w:b/>
                <w:bCs/>
                <w:color w:val="auto"/>
                <w:sz w:val="22"/>
                <w:szCs w:val="22"/>
                <w:highlight w:val="none"/>
              </w:rPr>
            </w:pPr>
          </w:p>
        </w:tc>
      </w:tr>
      <w:tr w14:paraId="085ABE3C">
        <w:tblPrEx>
          <w:tblCellMar>
            <w:top w:w="0" w:type="dxa"/>
            <w:left w:w="108" w:type="dxa"/>
            <w:bottom w:w="0" w:type="dxa"/>
            <w:right w:w="108" w:type="dxa"/>
          </w:tblCellMar>
        </w:tblPrEx>
        <w:trPr>
          <w:trHeight w:val="580" w:hRule="atLeast"/>
        </w:trPr>
        <w:tc>
          <w:tcPr>
            <w:tcW w:w="693" w:type="dxa"/>
            <w:tcBorders>
              <w:top w:val="single" w:color="000000" w:sz="4" w:space="0"/>
              <w:left w:val="single" w:color="000000" w:sz="4" w:space="0"/>
              <w:bottom w:val="single" w:color="000000" w:sz="4" w:space="0"/>
              <w:right w:val="single" w:color="000000" w:sz="4" w:space="0"/>
            </w:tcBorders>
            <w:vAlign w:val="center"/>
          </w:tcPr>
          <w:p w14:paraId="77C691B3">
            <w:pPr>
              <w:jc w:val="center"/>
              <w:rPr>
                <w:rFonts w:hint="eastAsia" w:ascii="宋体" w:hAnsi="宋体"/>
                <w:color w:val="auto"/>
                <w:sz w:val="22"/>
                <w:szCs w:val="22"/>
                <w:highlight w:val="none"/>
              </w:rPr>
            </w:pPr>
          </w:p>
        </w:tc>
        <w:tc>
          <w:tcPr>
            <w:tcW w:w="1371" w:type="dxa"/>
            <w:tcBorders>
              <w:top w:val="single" w:color="000000" w:sz="4" w:space="0"/>
              <w:left w:val="single" w:color="000000" w:sz="4" w:space="0"/>
              <w:bottom w:val="single" w:color="000000" w:sz="4" w:space="0"/>
              <w:right w:val="single" w:color="000000" w:sz="4" w:space="0"/>
            </w:tcBorders>
            <w:vAlign w:val="center"/>
          </w:tcPr>
          <w:p w14:paraId="17D0888D">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冷库</w:t>
            </w:r>
          </w:p>
        </w:tc>
        <w:tc>
          <w:tcPr>
            <w:tcW w:w="5493" w:type="dxa"/>
            <w:tcBorders>
              <w:top w:val="single" w:color="000000" w:sz="4" w:space="0"/>
              <w:left w:val="single" w:color="000000" w:sz="4" w:space="0"/>
              <w:bottom w:val="single" w:color="000000" w:sz="4" w:space="0"/>
              <w:right w:val="single" w:color="000000" w:sz="4" w:space="0"/>
            </w:tcBorders>
            <w:vAlign w:val="center"/>
          </w:tcPr>
          <w:p w14:paraId="36133AE7">
            <w:pPr>
              <w:jc w:val="left"/>
              <w:rPr>
                <w:rFonts w:hint="eastAsia" w:ascii="宋体" w:hAnsi="宋体"/>
                <w:color w:val="auto"/>
                <w:sz w:val="22"/>
                <w:szCs w:val="22"/>
                <w:highlight w:val="none"/>
              </w:rPr>
            </w:pPr>
          </w:p>
        </w:tc>
        <w:tc>
          <w:tcPr>
            <w:tcW w:w="640" w:type="dxa"/>
            <w:tcBorders>
              <w:top w:val="single" w:color="000000" w:sz="4" w:space="0"/>
              <w:left w:val="single" w:color="000000" w:sz="4" w:space="0"/>
              <w:bottom w:val="single" w:color="000000" w:sz="4" w:space="0"/>
              <w:right w:val="single" w:color="000000" w:sz="4" w:space="0"/>
            </w:tcBorders>
            <w:vAlign w:val="center"/>
          </w:tcPr>
          <w:p w14:paraId="1AC773CE">
            <w:pPr>
              <w:jc w:val="center"/>
              <w:rPr>
                <w:rFonts w:hint="eastAsia" w:ascii="宋体" w:hAnsi="宋体"/>
                <w:color w:val="auto"/>
                <w:sz w:val="22"/>
                <w:szCs w:val="22"/>
                <w:highlight w:val="none"/>
              </w:rPr>
            </w:pPr>
          </w:p>
        </w:tc>
        <w:tc>
          <w:tcPr>
            <w:tcW w:w="707" w:type="dxa"/>
            <w:tcBorders>
              <w:top w:val="single" w:color="000000" w:sz="4" w:space="0"/>
              <w:left w:val="single" w:color="000000" w:sz="4" w:space="0"/>
              <w:bottom w:val="single" w:color="000000" w:sz="4" w:space="0"/>
              <w:right w:val="single" w:color="000000" w:sz="4" w:space="0"/>
            </w:tcBorders>
            <w:noWrap/>
            <w:vAlign w:val="center"/>
          </w:tcPr>
          <w:p w14:paraId="70B26F0A">
            <w:pPr>
              <w:jc w:val="center"/>
              <w:rPr>
                <w:rFonts w:hint="eastAsia" w:ascii="宋体" w:hAnsi="宋体"/>
                <w:b/>
                <w:bCs/>
                <w:color w:val="auto"/>
                <w:sz w:val="22"/>
                <w:szCs w:val="22"/>
                <w:highlight w:val="none"/>
              </w:rPr>
            </w:pPr>
          </w:p>
        </w:tc>
      </w:tr>
      <w:tr w14:paraId="10297E90">
        <w:tblPrEx>
          <w:tblCellMar>
            <w:top w:w="0" w:type="dxa"/>
            <w:left w:w="108" w:type="dxa"/>
            <w:bottom w:w="0" w:type="dxa"/>
            <w:right w:w="108" w:type="dxa"/>
          </w:tblCellMar>
        </w:tblPrEx>
        <w:trPr>
          <w:trHeight w:val="580" w:hRule="atLeast"/>
        </w:trPr>
        <w:tc>
          <w:tcPr>
            <w:tcW w:w="693" w:type="dxa"/>
            <w:tcBorders>
              <w:top w:val="single" w:color="000000" w:sz="4" w:space="0"/>
              <w:left w:val="single" w:color="000000" w:sz="4" w:space="0"/>
              <w:bottom w:val="single" w:color="000000" w:sz="4" w:space="0"/>
              <w:right w:val="single" w:color="000000" w:sz="4" w:space="0"/>
            </w:tcBorders>
            <w:vAlign w:val="center"/>
          </w:tcPr>
          <w:p w14:paraId="1C40B0FB">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1</w:t>
            </w:r>
          </w:p>
        </w:tc>
        <w:tc>
          <w:tcPr>
            <w:tcW w:w="1371" w:type="dxa"/>
            <w:tcBorders>
              <w:top w:val="single" w:color="000000" w:sz="4" w:space="0"/>
              <w:left w:val="single" w:color="000000" w:sz="4" w:space="0"/>
              <w:bottom w:val="single" w:color="000000" w:sz="4" w:space="0"/>
              <w:right w:val="single" w:color="000000" w:sz="4" w:space="0"/>
            </w:tcBorders>
            <w:noWrap/>
            <w:vAlign w:val="center"/>
          </w:tcPr>
          <w:p w14:paraId="78D254F6">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双温冷冻冷藏库</w:t>
            </w:r>
          </w:p>
        </w:tc>
        <w:tc>
          <w:tcPr>
            <w:tcW w:w="5493" w:type="dxa"/>
            <w:tcBorders>
              <w:top w:val="single" w:color="000000" w:sz="4" w:space="0"/>
              <w:left w:val="single" w:color="000000" w:sz="4" w:space="0"/>
              <w:bottom w:val="single" w:color="000000" w:sz="4" w:space="0"/>
              <w:right w:val="single" w:color="000000" w:sz="4" w:space="0"/>
            </w:tcBorders>
            <w:vAlign w:val="center"/>
          </w:tcPr>
          <w:p w14:paraId="38126205">
            <w:pPr>
              <w:widowControl/>
              <w:jc w:val="left"/>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规格：≤6400*2600*2600mm，聚氨酯10公分挂钩板，聚酯氨豪华库门，全封闭机组，DD40节能冷风机，双温双控自动配电箱，以现场实际摆放为准</w:t>
            </w:r>
          </w:p>
        </w:tc>
        <w:tc>
          <w:tcPr>
            <w:tcW w:w="640" w:type="dxa"/>
            <w:tcBorders>
              <w:top w:val="single" w:color="000000" w:sz="4" w:space="0"/>
              <w:left w:val="single" w:color="000000" w:sz="4" w:space="0"/>
              <w:bottom w:val="single" w:color="000000" w:sz="4" w:space="0"/>
              <w:right w:val="single" w:color="000000" w:sz="4" w:space="0"/>
            </w:tcBorders>
            <w:noWrap/>
            <w:vAlign w:val="center"/>
          </w:tcPr>
          <w:p w14:paraId="34472F03">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套</w:t>
            </w:r>
          </w:p>
        </w:tc>
        <w:tc>
          <w:tcPr>
            <w:tcW w:w="707" w:type="dxa"/>
            <w:tcBorders>
              <w:top w:val="single" w:color="000000" w:sz="4" w:space="0"/>
              <w:left w:val="single" w:color="000000" w:sz="4" w:space="0"/>
              <w:bottom w:val="single" w:color="000000" w:sz="4" w:space="0"/>
              <w:right w:val="single" w:color="000000" w:sz="4" w:space="0"/>
            </w:tcBorders>
            <w:noWrap/>
            <w:vAlign w:val="center"/>
          </w:tcPr>
          <w:p w14:paraId="29E34DB9">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2</w:t>
            </w:r>
          </w:p>
        </w:tc>
      </w:tr>
      <w:tr w14:paraId="4950599D">
        <w:tblPrEx>
          <w:tblCellMar>
            <w:top w:w="0" w:type="dxa"/>
            <w:left w:w="108" w:type="dxa"/>
            <w:bottom w:w="0" w:type="dxa"/>
            <w:right w:w="108" w:type="dxa"/>
          </w:tblCellMar>
        </w:tblPrEx>
        <w:trPr>
          <w:trHeight w:val="580" w:hRule="atLeast"/>
        </w:trPr>
        <w:tc>
          <w:tcPr>
            <w:tcW w:w="693" w:type="dxa"/>
            <w:tcBorders>
              <w:top w:val="single" w:color="000000" w:sz="4" w:space="0"/>
              <w:left w:val="single" w:color="000000" w:sz="4" w:space="0"/>
              <w:bottom w:val="single" w:color="000000" w:sz="4" w:space="0"/>
              <w:right w:val="single" w:color="000000" w:sz="4" w:space="0"/>
            </w:tcBorders>
            <w:vAlign w:val="center"/>
          </w:tcPr>
          <w:p w14:paraId="22E91150">
            <w:pPr>
              <w:jc w:val="center"/>
              <w:rPr>
                <w:rFonts w:hint="eastAsia" w:ascii="宋体" w:hAnsi="宋体"/>
                <w:color w:val="auto"/>
                <w:sz w:val="22"/>
                <w:szCs w:val="22"/>
                <w:highlight w:val="none"/>
              </w:rPr>
            </w:pPr>
          </w:p>
        </w:tc>
        <w:tc>
          <w:tcPr>
            <w:tcW w:w="1371" w:type="dxa"/>
            <w:tcBorders>
              <w:top w:val="single" w:color="000000" w:sz="4" w:space="0"/>
              <w:left w:val="single" w:color="000000" w:sz="4" w:space="0"/>
              <w:bottom w:val="single" w:color="000000" w:sz="4" w:space="0"/>
              <w:right w:val="single" w:color="000000" w:sz="4" w:space="0"/>
            </w:tcBorders>
            <w:vAlign w:val="center"/>
          </w:tcPr>
          <w:p w14:paraId="6249E9F9">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毛菜加工间</w:t>
            </w:r>
          </w:p>
        </w:tc>
        <w:tc>
          <w:tcPr>
            <w:tcW w:w="5493" w:type="dxa"/>
            <w:tcBorders>
              <w:top w:val="single" w:color="000000" w:sz="4" w:space="0"/>
              <w:left w:val="single" w:color="000000" w:sz="4" w:space="0"/>
              <w:bottom w:val="single" w:color="000000" w:sz="4" w:space="0"/>
              <w:right w:val="single" w:color="000000" w:sz="4" w:space="0"/>
            </w:tcBorders>
            <w:vAlign w:val="center"/>
          </w:tcPr>
          <w:p w14:paraId="48A1F356">
            <w:pPr>
              <w:jc w:val="left"/>
              <w:rPr>
                <w:rFonts w:hint="eastAsia" w:ascii="宋体" w:hAnsi="宋体"/>
                <w:color w:val="auto"/>
                <w:sz w:val="22"/>
                <w:szCs w:val="22"/>
                <w:highlight w:val="none"/>
              </w:rPr>
            </w:pPr>
          </w:p>
        </w:tc>
        <w:tc>
          <w:tcPr>
            <w:tcW w:w="640" w:type="dxa"/>
            <w:tcBorders>
              <w:top w:val="single" w:color="000000" w:sz="4" w:space="0"/>
              <w:left w:val="single" w:color="000000" w:sz="4" w:space="0"/>
              <w:bottom w:val="single" w:color="000000" w:sz="4" w:space="0"/>
              <w:right w:val="single" w:color="000000" w:sz="4" w:space="0"/>
            </w:tcBorders>
            <w:vAlign w:val="center"/>
          </w:tcPr>
          <w:p w14:paraId="08010A14">
            <w:pPr>
              <w:jc w:val="center"/>
              <w:rPr>
                <w:rFonts w:hint="eastAsia" w:ascii="宋体" w:hAnsi="宋体"/>
                <w:color w:val="auto"/>
                <w:sz w:val="22"/>
                <w:szCs w:val="22"/>
                <w:highlight w:val="none"/>
              </w:rPr>
            </w:pPr>
          </w:p>
        </w:tc>
        <w:tc>
          <w:tcPr>
            <w:tcW w:w="707" w:type="dxa"/>
            <w:tcBorders>
              <w:top w:val="single" w:color="000000" w:sz="4" w:space="0"/>
              <w:left w:val="single" w:color="000000" w:sz="4" w:space="0"/>
              <w:bottom w:val="single" w:color="000000" w:sz="4" w:space="0"/>
              <w:right w:val="single" w:color="000000" w:sz="4" w:space="0"/>
            </w:tcBorders>
            <w:noWrap/>
            <w:vAlign w:val="center"/>
          </w:tcPr>
          <w:p w14:paraId="2AEC60F5">
            <w:pPr>
              <w:jc w:val="center"/>
              <w:rPr>
                <w:rFonts w:hint="eastAsia" w:ascii="宋体" w:hAnsi="宋体"/>
                <w:color w:val="auto"/>
                <w:sz w:val="22"/>
                <w:szCs w:val="22"/>
                <w:highlight w:val="none"/>
              </w:rPr>
            </w:pPr>
          </w:p>
        </w:tc>
      </w:tr>
      <w:tr w14:paraId="6574DD75">
        <w:tblPrEx>
          <w:tblCellMar>
            <w:top w:w="0" w:type="dxa"/>
            <w:left w:w="108" w:type="dxa"/>
            <w:bottom w:w="0" w:type="dxa"/>
            <w:right w:w="108" w:type="dxa"/>
          </w:tblCellMar>
        </w:tblPrEx>
        <w:trPr>
          <w:trHeight w:val="580" w:hRule="atLeast"/>
        </w:trPr>
        <w:tc>
          <w:tcPr>
            <w:tcW w:w="693" w:type="dxa"/>
            <w:tcBorders>
              <w:top w:val="single" w:color="000000" w:sz="4" w:space="0"/>
              <w:left w:val="single" w:color="000000" w:sz="4" w:space="0"/>
              <w:bottom w:val="single" w:color="000000" w:sz="4" w:space="0"/>
              <w:right w:val="single" w:color="000000" w:sz="4" w:space="0"/>
            </w:tcBorders>
            <w:noWrap/>
            <w:vAlign w:val="center"/>
          </w:tcPr>
          <w:p w14:paraId="2A8AC83C">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2</w:t>
            </w:r>
          </w:p>
        </w:tc>
        <w:tc>
          <w:tcPr>
            <w:tcW w:w="1371" w:type="dxa"/>
            <w:tcBorders>
              <w:top w:val="single" w:color="000000" w:sz="4" w:space="0"/>
              <w:left w:val="single" w:color="000000" w:sz="4" w:space="0"/>
              <w:bottom w:val="single" w:color="000000" w:sz="4" w:space="0"/>
              <w:right w:val="single" w:color="000000" w:sz="4" w:space="0"/>
            </w:tcBorders>
            <w:vAlign w:val="center"/>
          </w:tcPr>
          <w:p w14:paraId="2930645D">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毛刷式脱皮机</w:t>
            </w:r>
          </w:p>
        </w:tc>
        <w:tc>
          <w:tcPr>
            <w:tcW w:w="5493" w:type="dxa"/>
            <w:tcBorders>
              <w:top w:val="single" w:color="000000" w:sz="4" w:space="0"/>
              <w:left w:val="single" w:color="000000" w:sz="4" w:space="0"/>
              <w:bottom w:val="single" w:color="000000" w:sz="4" w:space="0"/>
              <w:right w:val="single" w:color="000000" w:sz="4" w:space="0"/>
            </w:tcBorders>
            <w:vAlign w:val="center"/>
          </w:tcPr>
          <w:p w14:paraId="408710F6">
            <w:pPr>
              <w:widowControl/>
              <w:jc w:val="left"/>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规格：≤1135*700*900mm，效率370，功率1.1KW，功能用于根茎类果蔬清洗，适用于胡萝卜、红薯、土豆、苹果、梨等，可连续出料也可间歇出料，以现场实际摆放为准</w:t>
            </w:r>
          </w:p>
        </w:tc>
        <w:tc>
          <w:tcPr>
            <w:tcW w:w="640" w:type="dxa"/>
            <w:tcBorders>
              <w:top w:val="single" w:color="000000" w:sz="4" w:space="0"/>
              <w:left w:val="single" w:color="000000" w:sz="4" w:space="0"/>
              <w:bottom w:val="single" w:color="000000" w:sz="4" w:space="0"/>
              <w:right w:val="single" w:color="000000" w:sz="4" w:space="0"/>
            </w:tcBorders>
            <w:noWrap/>
            <w:vAlign w:val="center"/>
          </w:tcPr>
          <w:p w14:paraId="18A28AA8">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台</w:t>
            </w:r>
          </w:p>
        </w:tc>
        <w:tc>
          <w:tcPr>
            <w:tcW w:w="707" w:type="dxa"/>
            <w:tcBorders>
              <w:top w:val="single" w:color="000000" w:sz="4" w:space="0"/>
              <w:left w:val="single" w:color="000000" w:sz="4" w:space="0"/>
              <w:bottom w:val="single" w:color="000000" w:sz="4" w:space="0"/>
              <w:right w:val="single" w:color="000000" w:sz="4" w:space="0"/>
            </w:tcBorders>
            <w:noWrap/>
            <w:vAlign w:val="center"/>
          </w:tcPr>
          <w:p w14:paraId="2EAE07FA">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2</w:t>
            </w:r>
          </w:p>
        </w:tc>
      </w:tr>
      <w:tr w14:paraId="5B74CF75">
        <w:tblPrEx>
          <w:tblCellMar>
            <w:top w:w="0" w:type="dxa"/>
            <w:left w:w="108" w:type="dxa"/>
            <w:bottom w:w="0" w:type="dxa"/>
            <w:right w:w="108" w:type="dxa"/>
          </w:tblCellMar>
        </w:tblPrEx>
        <w:trPr>
          <w:trHeight w:val="580" w:hRule="atLeast"/>
        </w:trPr>
        <w:tc>
          <w:tcPr>
            <w:tcW w:w="693" w:type="dxa"/>
            <w:tcBorders>
              <w:top w:val="single" w:color="000000" w:sz="4" w:space="0"/>
              <w:left w:val="single" w:color="000000" w:sz="4" w:space="0"/>
              <w:bottom w:val="single" w:color="000000" w:sz="4" w:space="0"/>
              <w:right w:val="single" w:color="000000" w:sz="4" w:space="0"/>
            </w:tcBorders>
            <w:noWrap/>
            <w:vAlign w:val="center"/>
          </w:tcPr>
          <w:p w14:paraId="4F60B0F6">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3</w:t>
            </w:r>
          </w:p>
        </w:tc>
        <w:tc>
          <w:tcPr>
            <w:tcW w:w="1371" w:type="dxa"/>
            <w:tcBorders>
              <w:top w:val="single" w:color="000000" w:sz="4" w:space="0"/>
              <w:left w:val="single" w:color="000000" w:sz="4" w:space="0"/>
              <w:bottom w:val="single" w:color="000000" w:sz="4" w:space="0"/>
              <w:right w:val="single" w:color="000000" w:sz="4" w:space="0"/>
            </w:tcBorders>
            <w:vAlign w:val="center"/>
          </w:tcPr>
          <w:p w14:paraId="4B71B6F1">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不锈钢简易收糠台</w:t>
            </w:r>
          </w:p>
        </w:tc>
        <w:tc>
          <w:tcPr>
            <w:tcW w:w="5493" w:type="dxa"/>
            <w:tcBorders>
              <w:top w:val="single" w:color="000000" w:sz="4" w:space="0"/>
              <w:left w:val="single" w:color="000000" w:sz="4" w:space="0"/>
              <w:bottom w:val="single" w:color="000000" w:sz="4" w:space="0"/>
              <w:right w:val="single" w:color="000000" w:sz="4" w:space="0"/>
            </w:tcBorders>
            <w:vAlign w:val="center"/>
          </w:tcPr>
          <w:p w14:paraId="648412C4">
            <w:pPr>
              <w:widowControl/>
              <w:jc w:val="left"/>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规格：≤1300*700*800mm，不锈钢304面板，不锈钢厚度约1.2MM,一次性冲空约150MM,便于食残收集，下配垃圾桶，配不锈钢调节脚，以现场实际摆放为准</w:t>
            </w:r>
          </w:p>
        </w:tc>
        <w:tc>
          <w:tcPr>
            <w:tcW w:w="640" w:type="dxa"/>
            <w:tcBorders>
              <w:top w:val="single" w:color="000000" w:sz="4" w:space="0"/>
              <w:left w:val="single" w:color="000000" w:sz="4" w:space="0"/>
              <w:bottom w:val="single" w:color="000000" w:sz="4" w:space="0"/>
              <w:right w:val="single" w:color="000000" w:sz="4" w:space="0"/>
            </w:tcBorders>
            <w:noWrap/>
            <w:vAlign w:val="center"/>
          </w:tcPr>
          <w:p w14:paraId="39D0D387">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台</w:t>
            </w:r>
          </w:p>
        </w:tc>
        <w:tc>
          <w:tcPr>
            <w:tcW w:w="707" w:type="dxa"/>
            <w:tcBorders>
              <w:top w:val="single" w:color="000000" w:sz="4" w:space="0"/>
              <w:left w:val="single" w:color="000000" w:sz="4" w:space="0"/>
              <w:bottom w:val="single" w:color="000000" w:sz="4" w:space="0"/>
              <w:right w:val="single" w:color="000000" w:sz="4" w:space="0"/>
            </w:tcBorders>
            <w:noWrap/>
            <w:vAlign w:val="center"/>
          </w:tcPr>
          <w:p w14:paraId="1B4FB238">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3</w:t>
            </w:r>
          </w:p>
        </w:tc>
      </w:tr>
      <w:tr w14:paraId="5F1C05A5">
        <w:tblPrEx>
          <w:tblCellMar>
            <w:top w:w="0" w:type="dxa"/>
            <w:left w:w="108" w:type="dxa"/>
            <w:bottom w:w="0" w:type="dxa"/>
            <w:right w:w="108" w:type="dxa"/>
          </w:tblCellMar>
        </w:tblPrEx>
        <w:trPr>
          <w:trHeight w:val="580" w:hRule="atLeast"/>
        </w:trPr>
        <w:tc>
          <w:tcPr>
            <w:tcW w:w="693" w:type="dxa"/>
            <w:tcBorders>
              <w:top w:val="single" w:color="000000" w:sz="4" w:space="0"/>
              <w:left w:val="single" w:color="000000" w:sz="4" w:space="0"/>
              <w:bottom w:val="single" w:color="000000" w:sz="4" w:space="0"/>
              <w:right w:val="single" w:color="000000" w:sz="4" w:space="0"/>
            </w:tcBorders>
            <w:noWrap/>
            <w:vAlign w:val="center"/>
          </w:tcPr>
          <w:p w14:paraId="2B478F6D">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4</w:t>
            </w:r>
          </w:p>
        </w:tc>
        <w:tc>
          <w:tcPr>
            <w:tcW w:w="1371" w:type="dxa"/>
            <w:tcBorders>
              <w:top w:val="single" w:color="000000" w:sz="4" w:space="0"/>
              <w:left w:val="single" w:color="000000" w:sz="4" w:space="0"/>
              <w:bottom w:val="single" w:color="000000" w:sz="4" w:space="0"/>
              <w:right w:val="single" w:color="000000" w:sz="4" w:space="0"/>
            </w:tcBorders>
            <w:vAlign w:val="center"/>
          </w:tcPr>
          <w:p w14:paraId="73560CDB">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不锈钢三星水池</w:t>
            </w:r>
          </w:p>
        </w:tc>
        <w:tc>
          <w:tcPr>
            <w:tcW w:w="5493" w:type="dxa"/>
            <w:tcBorders>
              <w:top w:val="single" w:color="000000" w:sz="4" w:space="0"/>
              <w:left w:val="single" w:color="000000" w:sz="4" w:space="0"/>
              <w:bottom w:val="single" w:color="000000" w:sz="4" w:space="0"/>
              <w:right w:val="single" w:color="000000" w:sz="4" w:space="0"/>
            </w:tcBorders>
            <w:vAlign w:val="center"/>
          </w:tcPr>
          <w:p w14:paraId="4738199B">
            <w:pPr>
              <w:widowControl/>
              <w:jc w:val="left"/>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规格：≤1800*700*800mm，不锈钢304#，池内为圆角，不易藏污易打扫，以现场实际摆放为准</w:t>
            </w:r>
          </w:p>
        </w:tc>
        <w:tc>
          <w:tcPr>
            <w:tcW w:w="640" w:type="dxa"/>
            <w:tcBorders>
              <w:top w:val="single" w:color="000000" w:sz="4" w:space="0"/>
              <w:left w:val="single" w:color="000000" w:sz="4" w:space="0"/>
              <w:bottom w:val="single" w:color="000000" w:sz="4" w:space="0"/>
              <w:right w:val="single" w:color="000000" w:sz="4" w:space="0"/>
            </w:tcBorders>
            <w:noWrap/>
            <w:vAlign w:val="center"/>
          </w:tcPr>
          <w:p w14:paraId="4E3B2673">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台</w:t>
            </w:r>
          </w:p>
        </w:tc>
        <w:tc>
          <w:tcPr>
            <w:tcW w:w="707" w:type="dxa"/>
            <w:tcBorders>
              <w:top w:val="single" w:color="000000" w:sz="4" w:space="0"/>
              <w:left w:val="single" w:color="000000" w:sz="4" w:space="0"/>
              <w:bottom w:val="single" w:color="000000" w:sz="4" w:space="0"/>
              <w:right w:val="single" w:color="000000" w:sz="4" w:space="0"/>
            </w:tcBorders>
            <w:noWrap/>
            <w:vAlign w:val="center"/>
          </w:tcPr>
          <w:p w14:paraId="4E3EED22">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8</w:t>
            </w:r>
          </w:p>
        </w:tc>
      </w:tr>
      <w:tr w14:paraId="071D649B">
        <w:tblPrEx>
          <w:tblCellMar>
            <w:top w:w="0" w:type="dxa"/>
            <w:left w:w="108" w:type="dxa"/>
            <w:bottom w:w="0" w:type="dxa"/>
            <w:right w:w="108" w:type="dxa"/>
          </w:tblCellMar>
        </w:tblPrEx>
        <w:trPr>
          <w:trHeight w:val="580" w:hRule="atLeast"/>
        </w:trPr>
        <w:tc>
          <w:tcPr>
            <w:tcW w:w="693" w:type="dxa"/>
            <w:tcBorders>
              <w:top w:val="single" w:color="000000" w:sz="4" w:space="0"/>
              <w:left w:val="single" w:color="000000" w:sz="4" w:space="0"/>
              <w:bottom w:val="single" w:color="000000" w:sz="4" w:space="0"/>
              <w:right w:val="single" w:color="000000" w:sz="4" w:space="0"/>
            </w:tcBorders>
            <w:noWrap/>
            <w:vAlign w:val="center"/>
          </w:tcPr>
          <w:p w14:paraId="5111720B">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5</w:t>
            </w:r>
          </w:p>
        </w:tc>
        <w:tc>
          <w:tcPr>
            <w:tcW w:w="1371" w:type="dxa"/>
            <w:tcBorders>
              <w:top w:val="single" w:color="000000" w:sz="4" w:space="0"/>
              <w:left w:val="single" w:color="000000" w:sz="4" w:space="0"/>
              <w:bottom w:val="single" w:color="000000" w:sz="4" w:space="0"/>
              <w:right w:val="single" w:color="000000" w:sz="4" w:space="0"/>
            </w:tcBorders>
            <w:vAlign w:val="center"/>
          </w:tcPr>
          <w:p w14:paraId="2550E770">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全自动洗涮热水器</w:t>
            </w:r>
          </w:p>
        </w:tc>
        <w:tc>
          <w:tcPr>
            <w:tcW w:w="5493" w:type="dxa"/>
            <w:tcBorders>
              <w:top w:val="single" w:color="000000" w:sz="4" w:space="0"/>
              <w:left w:val="single" w:color="000000" w:sz="4" w:space="0"/>
              <w:bottom w:val="single" w:color="000000" w:sz="4" w:space="0"/>
              <w:right w:val="single" w:color="000000" w:sz="4" w:space="0"/>
            </w:tcBorders>
            <w:vAlign w:val="center"/>
          </w:tcPr>
          <w:p w14:paraId="2BCB8C8E">
            <w:pPr>
              <w:widowControl/>
              <w:jc w:val="left"/>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规格：≤480*670mm，功率220-2.2KW,全铜全发泡大容量，供洗漱适用，以现场实际摆放为准</w:t>
            </w:r>
          </w:p>
        </w:tc>
        <w:tc>
          <w:tcPr>
            <w:tcW w:w="640" w:type="dxa"/>
            <w:tcBorders>
              <w:top w:val="single" w:color="000000" w:sz="4" w:space="0"/>
              <w:left w:val="single" w:color="000000" w:sz="4" w:space="0"/>
              <w:bottom w:val="single" w:color="000000" w:sz="4" w:space="0"/>
              <w:right w:val="single" w:color="000000" w:sz="4" w:space="0"/>
            </w:tcBorders>
            <w:noWrap/>
            <w:vAlign w:val="center"/>
          </w:tcPr>
          <w:p w14:paraId="3ADBE766">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台</w:t>
            </w:r>
          </w:p>
        </w:tc>
        <w:tc>
          <w:tcPr>
            <w:tcW w:w="707" w:type="dxa"/>
            <w:tcBorders>
              <w:top w:val="single" w:color="000000" w:sz="4" w:space="0"/>
              <w:left w:val="single" w:color="000000" w:sz="4" w:space="0"/>
              <w:bottom w:val="single" w:color="000000" w:sz="4" w:space="0"/>
              <w:right w:val="single" w:color="000000" w:sz="4" w:space="0"/>
            </w:tcBorders>
            <w:noWrap/>
            <w:vAlign w:val="center"/>
          </w:tcPr>
          <w:p w14:paraId="2148F64B">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6</w:t>
            </w:r>
          </w:p>
        </w:tc>
      </w:tr>
      <w:tr w14:paraId="636E3569">
        <w:tblPrEx>
          <w:tblCellMar>
            <w:top w:w="0" w:type="dxa"/>
            <w:left w:w="108" w:type="dxa"/>
            <w:bottom w:w="0" w:type="dxa"/>
            <w:right w:w="108" w:type="dxa"/>
          </w:tblCellMar>
        </w:tblPrEx>
        <w:trPr>
          <w:trHeight w:val="580" w:hRule="atLeast"/>
        </w:trPr>
        <w:tc>
          <w:tcPr>
            <w:tcW w:w="693" w:type="dxa"/>
            <w:tcBorders>
              <w:top w:val="single" w:color="000000" w:sz="4" w:space="0"/>
              <w:left w:val="single" w:color="000000" w:sz="4" w:space="0"/>
              <w:bottom w:val="single" w:color="000000" w:sz="4" w:space="0"/>
              <w:right w:val="single" w:color="000000" w:sz="4" w:space="0"/>
            </w:tcBorders>
            <w:noWrap/>
            <w:vAlign w:val="center"/>
          </w:tcPr>
          <w:p w14:paraId="0DA93B1E">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6</w:t>
            </w:r>
          </w:p>
        </w:tc>
        <w:tc>
          <w:tcPr>
            <w:tcW w:w="1371" w:type="dxa"/>
            <w:tcBorders>
              <w:top w:val="single" w:color="000000" w:sz="4" w:space="0"/>
              <w:left w:val="single" w:color="000000" w:sz="4" w:space="0"/>
              <w:bottom w:val="single" w:color="000000" w:sz="4" w:space="0"/>
              <w:right w:val="single" w:color="000000" w:sz="4" w:space="0"/>
            </w:tcBorders>
            <w:vAlign w:val="center"/>
          </w:tcPr>
          <w:p w14:paraId="304DB934">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不锈钢沥水置物架</w:t>
            </w:r>
          </w:p>
        </w:tc>
        <w:tc>
          <w:tcPr>
            <w:tcW w:w="5493" w:type="dxa"/>
            <w:tcBorders>
              <w:top w:val="single" w:color="000000" w:sz="4" w:space="0"/>
              <w:left w:val="single" w:color="000000" w:sz="4" w:space="0"/>
              <w:bottom w:val="single" w:color="000000" w:sz="4" w:space="0"/>
              <w:right w:val="single" w:color="000000" w:sz="4" w:space="0"/>
            </w:tcBorders>
            <w:vAlign w:val="center"/>
          </w:tcPr>
          <w:p w14:paraId="30C6C86C">
            <w:pPr>
              <w:widowControl/>
              <w:jc w:val="left"/>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规格：≤1500*500*1550mm，不锈钢304面板，不锈钢厚度约1.2MM,上次平板，下层沥水，便于蔬菜控水、置物，配不锈钢调节脚，以现场实际摆放为准</w:t>
            </w:r>
          </w:p>
        </w:tc>
        <w:tc>
          <w:tcPr>
            <w:tcW w:w="640" w:type="dxa"/>
            <w:tcBorders>
              <w:top w:val="single" w:color="000000" w:sz="4" w:space="0"/>
              <w:left w:val="single" w:color="000000" w:sz="4" w:space="0"/>
              <w:bottom w:val="single" w:color="000000" w:sz="4" w:space="0"/>
              <w:right w:val="single" w:color="000000" w:sz="4" w:space="0"/>
            </w:tcBorders>
            <w:noWrap/>
            <w:vAlign w:val="center"/>
          </w:tcPr>
          <w:p w14:paraId="5503AA7B">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台</w:t>
            </w:r>
          </w:p>
        </w:tc>
        <w:tc>
          <w:tcPr>
            <w:tcW w:w="707" w:type="dxa"/>
            <w:tcBorders>
              <w:top w:val="single" w:color="000000" w:sz="4" w:space="0"/>
              <w:left w:val="single" w:color="000000" w:sz="4" w:space="0"/>
              <w:bottom w:val="single" w:color="000000" w:sz="4" w:space="0"/>
              <w:right w:val="single" w:color="000000" w:sz="4" w:space="0"/>
            </w:tcBorders>
            <w:noWrap/>
            <w:vAlign w:val="center"/>
          </w:tcPr>
          <w:p w14:paraId="08B002F5">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8</w:t>
            </w:r>
          </w:p>
        </w:tc>
      </w:tr>
      <w:tr w14:paraId="7F712B29">
        <w:tblPrEx>
          <w:tblCellMar>
            <w:top w:w="0" w:type="dxa"/>
            <w:left w:w="108" w:type="dxa"/>
            <w:bottom w:w="0" w:type="dxa"/>
            <w:right w:w="108" w:type="dxa"/>
          </w:tblCellMar>
        </w:tblPrEx>
        <w:trPr>
          <w:trHeight w:val="580" w:hRule="atLeast"/>
        </w:trPr>
        <w:tc>
          <w:tcPr>
            <w:tcW w:w="693" w:type="dxa"/>
            <w:tcBorders>
              <w:top w:val="single" w:color="000000" w:sz="4" w:space="0"/>
              <w:left w:val="single" w:color="000000" w:sz="4" w:space="0"/>
              <w:bottom w:val="single" w:color="000000" w:sz="4" w:space="0"/>
              <w:right w:val="single" w:color="000000" w:sz="4" w:space="0"/>
            </w:tcBorders>
            <w:noWrap/>
            <w:vAlign w:val="center"/>
          </w:tcPr>
          <w:p w14:paraId="1603F721">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7</w:t>
            </w:r>
          </w:p>
        </w:tc>
        <w:tc>
          <w:tcPr>
            <w:tcW w:w="1371" w:type="dxa"/>
            <w:tcBorders>
              <w:top w:val="single" w:color="000000" w:sz="4" w:space="0"/>
              <w:left w:val="single" w:color="000000" w:sz="4" w:space="0"/>
              <w:bottom w:val="single" w:color="000000" w:sz="4" w:space="0"/>
              <w:right w:val="single" w:color="000000" w:sz="4" w:space="0"/>
            </w:tcBorders>
            <w:vAlign w:val="center"/>
          </w:tcPr>
          <w:p w14:paraId="312C7BBD">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专用推拉垃圾分类桶</w:t>
            </w:r>
          </w:p>
        </w:tc>
        <w:tc>
          <w:tcPr>
            <w:tcW w:w="5493" w:type="dxa"/>
            <w:tcBorders>
              <w:top w:val="single" w:color="000000" w:sz="4" w:space="0"/>
              <w:left w:val="single" w:color="000000" w:sz="4" w:space="0"/>
              <w:bottom w:val="single" w:color="000000" w:sz="4" w:space="0"/>
              <w:right w:val="single" w:color="000000" w:sz="4" w:space="0"/>
            </w:tcBorders>
            <w:vAlign w:val="center"/>
          </w:tcPr>
          <w:p w14:paraId="1293D7D5">
            <w:pPr>
              <w:widowControl/>
              <w:jc w:val="left"/>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规格：≤730*575*1070mm，环保聚乙烯材质，坚固耐用，符合EN840标准要求，加大加厚塑胶轮胎，保障承载运输能力和延长使用寿命，以现场实际摆放为准</w:t>
            </w:r>
          </w:p>
        </w:tc>
        <w:tc>
          <w:tcPr>
            <w:tcW w:w="640" w:type="dxa"/>
            <w:tcBorders>
              <w:top w:val="single" w:color="000000" w:sz="4" w:space="0"/>
              <w:left w:val="single" w:color="000000" w:sz="4" w:space="0"/>
              <w:bottom w:val="single" w:color="000000" w:sz="4" w:space="0"/>
              <w:right w:val="single" w:color="000000" w:sz="4" w:space="0"/>
            </w:tcBorders>
            <w:noWrap/>
            <w:vAlign w:val="center"/>
          </w:tcPr>
          <w:p w14:paraId="4CCBB582">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台</w:t>
            </w:r>
          </w:p>
        </w:tc>
        <w:tc>
          <w:tcPr>
            <w:tcW w:w="707" w:type="dxa"/>
            <w:tcBorders>
              <w:top w:val="single" w:color="000000" w:sz="4" w:space="0"/>
              <w:left w:val="single" w:color="000000" w:sz="4" w:space="0"/>
              <w:bottom w:val="single" w:color="000000" w:sz="4" w:space="0"/>
              <w:right w:val="single" w:color="000000" w:sz="4" w:space="0"/>
            </w:tcBorders>
            <w:noWrap/>
            <w:vAlign w:val="center"/>
          </w:tcPr>
          <w:p w14:paraId="3DFF1FBB">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16</w:t>
            </w:r>
          </w:p>
        </w:tc>
      </w:tr>
      <w:tr w14:paraId="25E0E167">
        <w:tblPrEx>
          <w:tblCellMar>
            <w:top w:w="0" w:type="dxa"/>
            <w:left w:w="108" w:type="dxa"/>
            <w:bottom w:w="0" w:type="dxa"/>
            <w:right w:w="108" w:type="dxa"/>
          </w:tblCellMar>
        </w:tblPrEx>
        <w:trPr>
          <w:trHeight w:val="580" w:hRule="atLeast"/>
        </w:trPr>
        <w:tc>
          <w:tcPr>
            <w:tcW w:w="693" w:type="dxa"/>
            <w:tcBorders>
              <w:top w:val="single" w:color="000000" w:sz="4" w:space="0"/>
              <w:left w:val="single" w:color="000000" w:sz="4" w:space="0"/>
              <w:bottom w:val="single" w:color="000000" w:sz="4" w:space="0"/>
              <w:right w:val="single" w:color="000000" w:sz="4" w:space="0"/>
            </w:tcBorders>
            <w:noWrap/>
            <w:vAlign w:val="center"/>
          </w:tcPr>
          <w:p w14:paraId="3391C91E">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8</w:t>
            </w:r>
          </w:p>
        </w:tc>
        <w:tc>
          <w:tcPr>
            <w:tcW w:w="1371" w:type="dxa"/>
            <w:tcBorders>
              <w:top w:val="single" w:color="000000" w:sz="4" w:space="0"/>
              <w:left w:val="single" w:color="000000" w:sz="4" w:space="0"/>
              <w:bottom w:val="single" w:color="000000" w:sz="4" w:space="0"/>
              <w:right w:val="single" w:color="000000" w:sz="4" w:space="0"/>
            </w:tcBorders>
            <w:vAlign w:val="center"/>
          </w:tcPr>
          <w:p w14:paraId="7ADD5C3C">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防爆应急灯</w:t>
            </w:r>
          </w:p>
        </w:tc>
        <w:tc>
          <w:tcPr>
            <w:tcW w:w="5493" w:type="dxa"/>
            <w:tcBorders>
              <w:top w:val="single" w:color="000000" w:sz="4" w:space="0"/>
              <w:left w:val="single" w:color="000000" w:sz="4" w:space="0"/>
              <w:bottom w:val="single" w:color="000000" w:sz="4" w:space="0"/>
              <w:right w:val="single" w:color="000000" w:sz="4" w:space="0"/>
            </w:tcBorders>
            <w:vAlign w:val="center"/>
          </w:tcPr>
          <w:p w14:paraId="19286FEC">
            <w:pPr>
              <w:widowControl/>
              <w:jc w:val="left"/>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铸铁材质，双头LED灯亮度增加，经久耐用</w:t>
            </w:r>
          </w:p>
        </w:tc>
        <w:tc>
          <w:tcPr>
            <w:tcW w:w="640" w:type="dxa"/>
            <w:tcBorders>
              <w:top w:val="single" w:color="000000" w:sz="4" w:space="0"/>
              <w:left w:val="single" w:color="000000" w:sz="4" w:space="0"/>
              <w:bottom w:val="single" w:color="000000" w:sz="4" w:space="0"/>
              <w:right w:val="single" w:color="000000" w:sz="4" w:space="0"/>
            </w:tcBorders>
            <w:noWrap/>
            <w:vAlign w:val="center"/>
          </w:tcPr>
          <w:p w14:paraId="3F5A699B">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台</w:t>
            </w:r>
          </w:p>
        </w:tc>
        <w:tc>
          <w:tcPr>
            <w:tcW w:w="707" w:type="dxa"/>
            <w:tcBorders>
              <w:top w:val="single" w:color="000000" w:sz="4" w:space="0"/>
              <w:left w:val="single" w:color="000000" w:sz="4" w:space="0"/>
              <w:bottom w:val="single" w:color="000000" w:sz="4" w:space="0"/>
              <w:right w:val="single" w:color="000000" w:sz="4" w:space="0"/>
            </w:tcBorders>
            <w:noWrap/>
            <w:vAlign w:val="center"/>
          </w:tcPr>
          <w:p w14:paraId="0A9233FB">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20</w:t>
            </w:r>
          </w:p>
        </w:tc>
      </w:tr>
      <w:tr w14:paraId="4557FBD5">
        <w:tblPrEx>
          <w:tblCellMar>
            <w:top w:w="0" w:type="dxa"/>
            <w:left w:w="108" w:type="dxa"/>
            <w:bottom w:w="0" w:type="dxa"/>
            <w:right w:w="108" w:type="dxa"/>
          </w:tblCellMar>
        </w:tblPrEx>
        <w:trPr>
          <w:trHeight w:val="580" w:hRule="atLeast"/>
        </w:trPr>
        <w:tc>
          <w:tcPr>
            <w:tcW w:w="693" w:type="dxa"/>
            <w:tcBorders>
              <w:top w:val="single" w:color="000000" w:sz="4" w:space="0"/>
              <w:left w:val="single" w:color="000000" w:sz="4" w:space="0"/>
              <w:bottom w:val="single" w:color="000000" w:sz="4" w:space="0"/>
              <w:right w:val="single" w:color="000000" w:sz="4" w:space="0"/>
            </w:tcBorders>
            <w:noWrap/>
            <w:vAlign w:val="center"/>
          </w:tcPr>
          <w:p w14:paraId="3F33EF41">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9</w:t>
            </w:r>
          </w:p>
        </w:tc>
        <w:tc>
          <w:tcPr>
            <w:tcW w:w="1371" w:type="dxa"/>
            <w:tcBorders>
              <w:top w:val="single" w:color="000000" w:sz="4" w:space="0"/>
              <w:left w:val="single" w:color="000000" w:sz="4" w:space="0"/>
              <w:bottom w:val="single" w:color="000000" w:sz="4" w:space="0"/>
              <w:right w:val="single" w:color="000000" w:sz="4" w:space="0"/>
            </w:tcBorders>
            <w:vAlign w:val="center"/>
          </w:tcPr>
          <w:p w14:paraId="466E6B5A">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灭蚊灯</w:t>
            </w:r>
          </w:p>
        </w:tc>
        <w:tc>
          <w:tcPr>
            <w:tcW w:w="5493" w:type="dxa"/>
            <w:tcBorders>
              <w:top w:val="single" w:color="000000" w:sz="4" w:space="0"/>
              <w:left w:val="single" w:color="000000" w:sz="4" w:space="0"/>
              <w:bottom w:val="single" w:color="000000" w:sz="4" w:space="0"/>
              <w:right w:val="single" w:color="000000" w:sz="4" w:space="0"/>
            </w:tcBorders>
            <w:vAlign w:val="center"/>
          </w:tcPr>
          <w:p w14:paraId="15193443">
            <w:pPr>
              <w:widowControl/>
              <w:jc w:val="left"/>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特制UV光学技术透光管，诱蚊效果持久稳定，使用LED灯珠，寿命长</w:t>
            </w:r>
          </w:p>
        </w:tc>
        <w:tc>
          <w:tcPr>
            <w:tcW w:w="640" w:type="dxa"/>
            <w:tcBorders>
              <w:top w:val="single" w:color="000000" w:sz="4" w:space="0"/>
              <w:left w:val="single" w:color="000000" w:sz="4" w:space="0"/>
              <w:bottom w:val="single" w:color="000000" w:sz="4" w:space="0"/>
              <w:right w:val="single" w:color="000000" w:sz="4" w:space="0"/>
            </w:tcBorders>
            <w:noWrap/>
            <w:vAlign w:val="center"/>
          </w:tcPr>
          <w:p w14:paraId="02F6BCA5">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台</w:t>
            </w:r>
          </w:p>
        </w:tc>
        <w:tc>
          <w:tcPr>
            <w:tcW w:w="707" w:type="dxa"/>
            <w:tcBorders>
              <w:top w:val="single" w:color="000000" w:sz="4" w:space="0"/>
              <w:left w:val="single" w:color="000000" w:sz="4" w:space="0"/>
              <w:bottom w:val="single" w:color="000000" w:sz="4" w:space="0"/>
              <w:right w:val="single" w:color="000000" w:sz="4" w:space="0"/>
            </w:tcBorders>
            <w:noWrap/>
            <w:vAlign w:val="center"/>
          </w:tcPr>
          <w:p w14:paraId="4EAFB24C">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10</w:t>
            </w:r>
          </w:p>
        </w:tc>
      </w:tr>
      <w:tr w14:paraId="58E378C4">
        <w:tblPrEx>
          <w:tblCellMar>
            <w:top w:w="0" w:type="dxa"/>
            <w:left w:w="108" w:type="dxa"/>
            <w:bottom w:w="0" w:type="dxa"/>
            <w:right w:w="108" w:type="dxa"/>
          </w:tblCellMar>
        </w:tblPrEx>
        <w:trPr>
          <w:trHeight w:val="580" w:hRule="atLeast"/>
        </w:trPr>
        <w:tc>
          <w:tcPr>
            <w:tcW w:w="693" w:type="dxa"/>
            <w:tcBorders>
              <w:top w:val="single" w:color="000000" w:sz="4" w:space="0"/>
              <w:left w:val="single" w:color="000000" w:sz="4" w:space="0"/>
              <w:bottom w:val="single" w:color="000000" w:sz="4" w:space="0"/>
              <w:right w:val="single" w:color="000000" w:sz="4" w:space="0"/>
            </w:tcBorders>
            <w:noWrap/>
            <w:vAlign w:val="center"/>
          </w:tcPr>
          <w:p w14:paraId="5B64EC46">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10</w:t>
            </w:r>
          </w:p>
        </w:tc>
        <w:tc>
          <w:tcPr>
            <w:tcW w:w="1371" w:type="dxa"/>
            <w:tcBorders>
              <w:top w:val="single" w:color="000000" w:sz="4" w:space="0"/>
              <w:left w:val="single" w:color="000000" w:sz="4" w:space="0"/>
              <w:bottom w:val="single" w:color="000000" w:sz="4" w:space="0"/>
              <w:right w:val="single" w:color="000000" w:sz="4" w:space="0"/>
            </w:tcBorders>
            <w:vAlign w:val="center"/>
          </w:tcPr>
          <w:p w14:paraId="49C927B9">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消毒灯</w:t>
            </w:r>
          </w:p>
        </w:tc>
        <w:tc>
          <w:tcPr>
            <w:tcW w:w="5493" w:type="dxa"/>
            <w:tcBorders>
              <w:top w:val="single" w:color="000000" w:sz="4" w:space="0"/>
              <w:left w:val="single" w:color="000000" w:sz="4" w:space="0"/>
              <w:bottom w:val="single" w:color="000000" w:sz="4" w:space="0"/>
              <w:right w:val="single" w:color="000000" w:sz="4" w:space="0"/>
            </w:tcBorders>
            <w:vAlign w:val="center"/>
          </w:tcPr>
          <w:p w14:paraId="4505CC6F">
            <w:pPr>
              <w:widowControl/>
              <w:jc w:val="left"/>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特制UV光学技术透光管，紫外线消杀灯管，寿命长</w:t>
            </w:r>
          </w:p>
        </w:tc>
        <w:tc>
          <w:tcPr>
            <w:tcW w:w="640" w:type="dxa"/>
            <w:tcBorders>
              <w:top w:val="single" w:color="000000" w:sz="4" w:space="0"/>
              <w:left w:val="single" w:color="000000" w:sz="4" w:space="0"/>
              <w:bottom w:val="single" w:color="000000" w:sz="4" w:space="0"/>
              <w:right w:val="single" w:color="000000" w:sz="4" w:space="0"/>
            </w:tcBorders>
            <w:noWrap/>
            <w:vAlign w:val="center"/>
          </w:tcPr>
          <w:p w14:paraId="0A808B34">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台</w:t>
            </w:r>
          </w:p>
        </w:tc>
        <w:tc>
          <w:tcPr>
            <w:tcW w:w="707" w:type="dxa"/>
            <w:tcBorders>
              <w:top w:val="single" w:color="000000" w:sz="4" w:space="0"/>
              <w:left w:val="single" w:color="000000" w:sz="4" w:space="0"/>
              <w:bottom w:val="single" w:color="000000" w:sz="4" w:space="0"/>
              <w:right w:val="single" w:color="000000" w:sz="4" w:space="0"/>
            </w:tcBorders>
            <w:noWrap/>
            <w:vAlign w:val="center"/>
          </w:tcPr>
          <w:p w14:paraId="00690B4F">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10</w:t>
            </w:r>
          </w:p>
        </w:tc>
      </w:tr>
      <w:tr w14:paraId="09CD4B21">
        <w:tblPrEx>
          <w:tblCellMar>
            <w:top w:w="0" w:type="dxa"/>
            <w:left w:w="108" w:type="dxa"/>
            <w:bottom w:w="0" w:type="dxa"/>
            <w:right w:w="108" w:type="dxa"/>
          </w:tblCellMar>
        </w:tblPrEx>
        <w:trPr>
          <w:trHeight w:val="580" w:hRule="atLeast"/>
        </w:trPr>
        <w:tc>
          <w:tcPr>
            <w:tcW w:w="693" w:type="dxa"/>
            <w:tcBorders>
              <w:top w:val="single" w:color="000000" w:sz="4" w:space="0"/>
              <w:left w:val="single" w:color="000000" w:sz="4" w:space="0"/>
              <w:bottom w:val="single" w:color="000000" w:sz="4" w:space="0"/>
              <w:right w:val="single" w:color="000000" w:sz="4" w:space="0"/>
            </w:tcBorders>
            <w:noWrap/>
            <w:vAlign w:val="center"/>
          </w:tcPr>
          <w:p w14:paraId="299CD158">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11</w:t>
            </w:r>
          </w:p>
        </w:tc>
        <w:tc>
          <w:tcPr>
            <w:tcW w:w="1371" w:type="dxa"/>
            <w:tcBorders>
              <w:top w:val="single" w:color="000000" w:sz="4" w:space="0"/>
              <w:left w:val="single" w:color="000000" w:sz="4" w:space="0"/>
              <w:bottom w:val="single" w:color="000000" w:sz="4" w:space="0"/>
              <w:right w:val="single" w:color="000000" w:sz="4" w:space="0"/>
            </w:tcBorders>
            <w:vAlign w:val="center"/>
          </w:tcPr>
          <w:p w14:paraId="0017F28B">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防鼠板</w:t>
            </w:r>
          </w:p>
        </w:tc>
        <w:tc>
          <w:tcPr>
            <w:tcW w:w="5493" w:type="dxa"/>
            <w:tcBorders>
              <w:top w:val="single" w:color="000000" w:sz="4" w:space="0"/>
              <w:left w:val="single" w:color="000000" w:sz="4" w:space="0"/>
              <w:bottom w:val="single" w:color="000000" w:sz="4" w:space="0"/>
              <w:right w:val="single" w:color="000000" w:sz="4" w:space="0"/>
            </w:tcBorders>
            <w:vAlign w:val="center"/>
          </w:tcPr>
          <w:p w14:paraId="31C05C3E">
            <w:pPr>
              <w:widowControl/>
              <w:jc w:val="left"/>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铝型材质，轻便易拿，光滑防鼠</w:t>
            </w:r>
          </w:p>
        </w:tc>
        <w:tc>
          <w:tcPr>
            <w:tcW w:w="640" w:type="dxa"/>
            <w:tcBorders>
              <w:top w:val="single" w:color="000000" w:sz="4" w:space="0"/>
              <w:left w:val="single" w:color="000000" w:sz="4" w:space="0"/>
              <w:bottom w:val="single" w:color="000000" w:sz="4" w:space="0"/>
              <w:right w:val="single" w:color="000000" w:sz="4" w:space="0"/>
            </w:tcBorders>
            <w:noWrap/>
            <w:vAlign w:val="center"/>
          </w:tcPr>
          <w:p w14:paraId="3B9F94A3">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套</w:t>
            </w:r>
          </w:p>
        </w:tc>
        <w:tc>
          <w:tcPr>
            <w:tcW w:w="707" w:type="dxa"/>
            <w:tcBorders>
              <w:top w:val="single" w:color="000000" w:sz="4" w:space="0"/>
              <w:left w:val="single" w:color="000000" w:sz="4" w:space="0"/>
              <w:bottom w:val="single" w:color="000000" w:sz="4" w:space="0"/>
              <w:right w:val="single" w:color="000000" w:sz="4" w:space="0"/>
            </w:tcBorders>
            <w:noWrap/>
            <w:vAlign w:val="center"/>
          </w:tcPr>
          <w:p w14:paraId="7415F7B8">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12</w:t>
            </w:r>
          </w:p>
        </w:tc>
      </w:tr>
      <w:tr w14:paraId="4C5C2165">
        <w:tblPrEx>
          <w:tblCellMar>
            <w:top w:w="0" w:type="dxa"/>
            <w:left w:w="108" w:type="dxa"/>
            <w:bottom w:w="0" w:type="dxa"/>
            <w:right w:w="108" w:type="dxa"/>
          </w:tblCellMar>
        </w:tblPrEx>
        <w:trPr>
          <w:trHeight w:val="580" w:hRule="atLeast"/>
        </w:trPr>
        <w:tc>
          <w:tcPr>
            <w:tcW w:w="693" w:type="dxa"/>
            <w:tcBorders>
              <w:top w:val="single" w:color="000000" w:sz="4" w:space="0"/>
              <w:left w:val="single" w:color="000000" w:sz="4" w:space="0"/>
              <w:bottom w:val="single" w:color="000000" w:sz="4" w:space="0"/>
              <w:right w:val="single" w:color="000000" w:sz="4" w:space="0"/>
            </w:tcBorders>
            <w:vAlign w:val="center"/>
          </w:tcPr>
          <w:p w14:paraId="23C7D914">
            <w:pPr>
              <w:jc w:val="center"/>
              <w:rPr>
                <w:rFonts w:hint="eastAsia" w:ascii="宋体" w:hAnsi="宋体"/>
                <w:color w:val="auto"/>
                <w:sz w:val="22"/>
                <w:szCs w:val="22"/>
                <w:highlight w:val="none"/>
              </w:rPr>
            </w:pPr>
          </w:p>
        </w:tc>
        <w:tc>
          <w:tcPr>
            <w:tcW w:w="1371" w:type="dxa"/>
            <w:tcBorders>
              <w:top w:val="single" w:color="000000" w:sz="4" w:space="0"/>
              <w:left w:val="single" w:color="000000" w:sz="4" w:space="0"/>
              <w:bottom w:val="single" w:color="000000" w:sz="4" w:space="0"/>
              <w:right w:val="single" w:color="000000" w:sz="4" w:space="0"/>
            </w:tcBorders>
            <w:vAlign w:val="center"/>
          </w:tcPr>
          <w:p w14:paraId="44DF8E8F">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副食库</w:t>
            </w:r>
          </w:p>
        </w:tc>
        <w:tc>
          <w:tcPr>
            <w:tcW w:w="5493" w:type="dxa"/>
            <w:tcBorders>
              <w:top w:val="single" w:color="000000" w:sz="4" w:space="0"/>
              <w:left w:val="single" w:color="000000" w:sz="4" w:space="0"/>
              <w:bottom w:val="single" w:color="000000" w:sz="4" w:space="0"/>
              <w:right w:val="single" w:color="000000" w:sz="4" w:space="0"/>
            </w:tcBorders>
            <w:vAlign w:val="center"/>
          </w:tcPr>
          <w:p w14:paraId="4F6CE9ED">
            <w:pPr>
              <w:jc w:val="left"/>
              <w:rPr>
                <w:rFonts w:hint="eastAsia" w:ascii="宋体" w:hAnsi="宋体"/>
                <w:color w:val="auto"/>
                <w:sz w:val="22"/>
                <w:szCs w:val="22"/>
                <w:highlight w:val="none"/>
              </w:rPr>
            </w:pPr>
          </w:p>
        </w:tc>
        <w:tc>
          <w:tcPr>
            <w:tcW w:w="640" w:type="dxa"/>
            <w:tcBorders>
              <w:top w:val="single" w:color="000000" w:sz="4" w:space="0"/>
              <w:left w:val="single" w:color="000000" w:sz="4" w:space="0"/>
              <w:bottom w:val="single" w:color="000000" w:sz="4" w:space="0"/>
              <w:right w:val="single" w:color="000000" w:sz="4" w:space="0"/>
            </w:tcBorders>
            <w:vAlign w:val="center"/>
          </w:tcPr>
          <w:p w14:paraId="20570B1B">
            <w:pPr>
              <w:jc w:val="center"/>
              <w:rPr>
                <w:rFonts w:hint="eastAsia" w:ascii="宋体" w:hAnsi="宋体"/>
                <w:color w:val="auto"/>
                <w:sz w:val="22"/>
                <w:szCs w:val="22"/>
                <w:highlight w:val="none"/>
              </w:rPr>
            </w:pPr>
          </w:p>
        </w:tc>
        <w:tc>
          <w:tcPr>
            <w:tcW w:w="707" w:type="dxa"/>
            <w:tcBorders>
              <w:top w:val="single" w:color="000000" w:sz="4" w:space="0"/>
              <w:left w:val="single" w:color="000000" w:sz="4" w:space="0"/>
              <w:bottom w:val="single" w:color="000000" w:sz="4" w:space="0"/>
              <w:right w:val="single" w:color="000000" w:sz="4" w:space="0"/>
            </w:tcBorders>
            <w:noWrap/>
            <w:vAlign w:val="center"/>
          </w:tcPr>
          <w:p w14:paraId="4651D4C3">
            <w:pPr>
              <w:jc w:val="center"/>
              <w:rPr>
                <w:rFonts w:hint="eastAsia" w:ascii="宋体" w:hAnsi="宋体"/>
                <w:color w:val="auto"/>
                <w:sz w:val="22"/>
                <w:szCs w:val="22"/>
                <w:highlight w:val="none"/>
              </w:rPr>
            </w:pPr>
          </w:p>
        </w:tc>
      </w:tr>
      <w:tr w14:paraId="2441B512">
        <w:tblPrEx>
          <w:tblCellMar>
            <w:top w:w="0" w:type="dxa"/>
            <w:left w:w="108" w:type="dxa"/>
            <w:bottom w:w="0" w:type="dxa"/>
            <w:right w:w="108" w:type="dxa"/>
          </w:tblCellMar>
        </w:tblPrEx>
        <w:trPr>
          <w:trHeight w:val="580" w:hRule="atLeast"/>
        </w:trPr>
        <w:tc>
          <w:tcPr>
            <w:tcW w:w="693" w:type="dxa"/>
            <w:tcBorders>
              <w:top w:val="single" w:color="000000" w:sz="4" w:space="0"/>
              <w:left w:val="single" w:color="000000" w:sz="4" w:space="0"/>
              <w:bottom w:val="single" w:color="000000" w:sz="4" w:space="0"/>
              <w:right w:val="single" w:color="000000" w:sz="4" w:space="0"/>
            </w:tcBorders>
            <w:noWrap/>
            <w:vAlign w:val="center"/>
          </w:tcPr>
          <w:p w14:paraId="0579F065">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12</w:t>
            </w:r>
          </w:p>
        </w:tc>
        <w:tc>
          <w:tcPr>
            <w:tcW w:w="1371" w:type="dxa"/>
            <w:tcBorders>
              <w:top w:val="single" w:color="000000" w:sz="4" w:space="0"/>
              <w:left w:val="single" w:color="000000" w:sz="4" w:space="0"/>
              <w:bottom w:val="single" w:color="000000" w:sz="4" w:space="0"/>
              <w:right w:val="single" w:color="000000" w:sz="4" w:space="0"/>
            </w:tcBorders>
            <w:vAlign w:val="center"/>
          </w:tcPr>
          <w:p w14:paraId="3207F7DB">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台账桌、椅子</w:t>
            </w:r>
          </w:p>
        </w:tc>
        <w:tc>
          <w:tcPr>
            <w:tcW w:w="5493" w:type="dxa"/>
            <w:tcBorders>
              <w:top w:val="single" w:color="000000" w:sz="4" w:space="0"/>
              <w:left w:val="single" w:color="000000" w:sz="4" w:space="0"/>
              <w:bottom w:val="single" w:color="000000" w:sz="4" w:space="0"/>
              <w:right w:val="single" w:color="000000" w:sz="4" w:space="0"/>
            </w:tcBorders>
            <w:vAlign w:val="center"/>
          </w:tcPr>
          <w:p w14:paraId="76BC69FE">
            <w:pPr>
              <w:widowControl/>
              <w:jc w:val="left"/>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1、规格：≤1200×600×760mm；</w:t>
            </w:r>
            <w:r>
              <w:rPr>
                <w:rFonts w:hint="eastAsia" w:ascii="宋体" w:hAnsi="宋体"/>
                <w:color w:val="auto"/>
                <w:kern w:val="0"/>
                <w:sz w:val="22"/>
                <w:szCs w:val="22"/>
                <w:highlight w:val="none"/>
                <w:lang w:bidi="ar"/>
              </w:rPr>
              <w:br w:type="textWrapping"/>
            </w:r>
            <w:r>
              <w:rPr>
                <w:rFonts w:hint="eastAsia" w:ascii="宋体" w:hAnsi="宋体"/>
                <w:color w:val="auto"/>
                <w:kern w:val="0"/>
                <w:sz w:val="22"/>
                <w:szCs w:val="22"/>
                <w:highlight w:val="none"/>
                <w:lang w:bidi="ar"/>
              </w:rPr>
              <w:t>2、台面：基材约25mm厚中密度板上贴防火板，后成型为前鸭嘴，后1/2圆弧两端封约1.5mm厚PVC边。</w:t>
            </w:r>
            <w:r>
              <w:rPr>
                <w:rFonts w:hint="eastAsia" w:ascii="宋体" w:hAnsi="宋体"/>
                <w:color w:val="auto"/>
                <w:kern w:val="0"/>
                <w:sz w:val="22"/>
                <w:szCs w:val="22"/>
                <w:highlight w:val="none"/>
                <w:lang w:bidi="ar"/>
              </w:rPr>
              <w:br w:type="textWrapping"/>
            </w:r>
            <w:r>
              <w:rPr>
                <w:rFonts w:hint="eastAsia" w:ascii="宋体" w:hAnsi="宋体"/>
                <w:color w:val="auto"/>
                <w:kern w:val="0"/>
                <w:sz w:val="22"/>
                <w:szCs w:val="22"/>
                <w:highlight w:val="none"/>
                <w:lang w:bidi="ar"/>
              </w:rPr>
              <w:t>3、主架：采用40*40壁厚约1.5mm矩形钢管焊接而成。金属部件经除油、除锈后静电喷塑。配置板式一斗、一门小柜一个，规格约400×480×600mm，柜下配置4个优质水平调节万向轮，方便移动，配置优质滑道、合页和拉手。</w:t>
            </w:r>
            <w:r>
              <w:rPr>
                <w:rFonts w:hint="eastAsia" w:ascii="宋体" w:hAnsi="宋体"/>
                <w:color w:val="auto"/>
                <w:kern w:val="0"/>
                <w:sz w:val="22"/>
                <w:szCs w:val="22"/>
                <w:highlight w:val="none"/>
                <w:lang w:bidi="ar"/>
              </w:rPr>
              <w:br w:type="textWrapping"/>
            </w:r>
            <w:r>
              <w:rPr>
                <w:rFonts w:hint="eastAsia" w:ascii="宋体" w:hAnsi="宋体"/>
                <w:color w:val="auto"/>
                <w:kern w:val="0"/>
                <w:sz w:val="22"/>
                <w:szCs w:val="22"/>
                <w:highlight w:val="none"/>
                <w:lang w:bidi="ar"/>
              </w:rPr>
              <w:t>4、符合 GB/T3325标准要求, 颜色由供方提供色卡供需方选择</w:t>
            </w:r>
            <w:r>
              <w:rPr>
                <w:rFonts w:hint="eastAsia" w:ascii="宋体" w:hAnsi="宋体"/>
                <w:color w:val="auto"/>
                <w:kern w:val="0"/>
                <w:sz w:val="22"/>
                <w:szCs w:val="22"/>
                <w:highlight w:val="none"/>
                <w:lang w:bidi="ar"/>
              </w:rPr>
              <w:br w:type="textWrapping"/>
            </w:r>
            <w:r>
              <w:rPr>
                <w:rFonts w:hint="eastAsia" w:ascii="宋体" w:hAnsi="宋体"/>
                <w:color w:val="auto"/>
                <w:kern w:val="0"/>
                <w:sz w:val="22"/>
                <w:szCs w:val="22"/>
                <w:highlight w:val="none"/>
                <w:lang w:bidi="ar"/>
              </w:rPr>
              <w:t>椅子：工字型网布面料五金配件，美观大方。，以现场实际摆放为准</w:t>
            </w:r>
          </w:p>
        </w:tc>
        <w:tc>
          <w:tcPr>
            <w:tcW w:w="640" w:type="dxa"/>
            <w:tcBorders>
              <w:top w:val="single" w:color="000000" w:sz="4" w:space="0"/>
              <w:left w:val="single" w:color="000000" w:sz="4" w:space="0"/>
              <w:bottom w:val="single" w:color="000000" w:sz="4" w:space="0"/>
              <w:right w:val="single" w:color="000000" w:sz="4" w:space="0"/>
            </w:tcBorders>
            <w:noWrap/>
            <w:vAlign w:val="center"/>
          </w:tcPr>
          <w:p w14:paraId="353B2285">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套</w:t>
            </w:r>
          </w:p>
        </w:tc>
        <w:tc>
          <w:tcPr>
            <w:tcW w:w="707" w:type="dxa"/>
            <w:tcBorders>
              <w:top w:val="single" w:color="000000" w:sz="4" w:space="0"/>
              <w:left w:val="single" w:color="000000" w:sz="4" w:space="0"/>
              <w:bottom w:val="single" w:color="000000" w:sz="4" w:space="0"/>
              <w:right w:val="single" w:color="000000" w:sz="4" w:space="0"/>
            </w:tcBorders>
            <w:noWrap/>
            <w:vAlign w:val="center"/>
          </w:tcPr>
          <w:p w14:paraId="38A81BDD">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1</w:t>
            </w:r>
          </w:p>
        </w:tc>
      </w:tr>
      <w:tr w14:paraId="3D2654E3">
        <w:tblPrEx>
          <w:tblCellMar>
            <w:top w:w="0" w:type="dxa"/>
            <w:left w:w="108" w:type="dxa"/>
            <w:bottom w:w="0" w:type="dxa"/>
            <w:right w:w="108" w:type="dxa"/>
          </w:tblCellMar>
        </w:tblPrEx>
        <w:trPr>
          <w:trHeight w:val="580" w:hRule="atLeast"/>
        </w:trPr>
        <w:tc>
          <w:tcPr>
            <w:tcW w:w="693" w:type="dxa"/>
            <w:tcBorders>
              <w:top w:val="single" w:color="000000" w:sz="4" w:space="0"/>
              <w:left w:val="single" w:color="000000" w:sz="4" w:space="0"/>
              <w:bottom w:val="single" w:color="000000" w:sz="4" w:space="0"/>
              <w:right w:val="single" w:color="000000" w:sz="4" w:space="0"/>
            </w:tcBorders>
            <w:noWrap/>
            <w:vAlign w:val="center"/>
          </w:tcPr>
          <w:p w14:paraId="07CC2778">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13</w:t>
            </w:r>
          </w:p>
        </w:tc>
        <w:tc>
          <w:tcPr>
            <w:tcW w:w="1371" w:type="dxa"/>
            <w:tcBorders>
              <w:top w:val="single" w:color="000000" w:sz="4" w:space="0"/>
              <w:left w:val="single" w:color="000000" w:sz="4" w:space="0"/>
              <w:bottom w:val="single" w:color="000000" w:sz="4" w:space="0"/>
              <w:right w:val="single" w:color="000000" w:sz="4" w:space="0"/>
            </w:tcBorders>
            <w:vAlign w:val="center"/>
          </w:tcPr>
          <w:p w14:paraId="3E12D559">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不锈钢置物架</w:t>
            </w:r>
          </w:p>
        </w:tc>
        <w:tc>
          <w:tcPr>
            <w:tcW w:w="5493" w:type="dxa"/>
            <w:tcBorders>
              <w:top w:val="single" w:color="000000" w:sz="4" w:space="0"/>
              <w:left w:val="single" w:color="000000" w:sz="4" w:space="0"/>
              <w:bottom w:val="single" w:color="000000" w:sz="4" w:space="0"/>
              <w:right w:val="single" w:color="000000" w:sz="4" w:space="0"/>
            </w:tcBorders>
            <w:vAlign w:val="center"/>
          </w:tcPr>
          <w:p w14:paraId="738F9E5B">
            <w:pPr>
              <w:widowControl/>
              <w:jc w:val="left"/>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规格：1500*500*1550mm，采用304不锈钢板材，约48*1.2圆管，每层承重120公斤，底层离地150MM，层板采用约1.2MM不锈钢，底部U型加强支撑，配不锈钢可调节子弹脚，以现场实际摆放为准</w:t>
            </w:r>
          </w:p>
        </w:tc>
        <w:tc>
          <w:tcPr>
            <w:tcW w:w="640" w:type="dxa"/>
            <w:tcBorders>
              <w:top w:val="single" w:color="000000" w:sz="4" w:space="0"/>
              <w:left w:val="single" w:color="000000" w:sz="4" w:space="0"/>
              <w:bottom w:val="single" w:color="000000" w:sz="4" w:space="0"/>
              <w:right w:val="single" w:color="000000" w:sz="4" w:space="0"/>
            </w:tcBorders>
            <w:noWrap/>
            <w:vAlign w:val="center"/>
          </w:tcPr>
          <w:p w14:paraId="67BAFFE5">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台</w:t>
            </w:r>
          </w:p>
        </w:tc>
        <w:tc>
          <w:tcPr>
            <w:tcW w:w="707" w:type="dxa"/>
            <w:tcBorders>
              <w:top w:val="single" w:color="000000" w:sz="4" w:space="0"/>
              <w:left w:val="single" w:color="000000" w:sz="4" w:space="0"/>
              <w:bottom w:val="single" w:color="000000" w:sz="4" w:space="0"/>
              <w:right w:val="single" w:color="000000" w:sz="4" w:space="0"/>
            </w:tcBorders>
            <w:noWrap/>
            <w:vAlign w:val="center"/>
          </w:tcPr>
          <w:p w14:paraId="0BF7D155">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10</w:t>
            </w:r>
          </w:p>
        </w:tc>
      </w:tr>
      <w:tr w14:paraId="3EFB411D">
        <w:tblPrEx>
          <w:tblCellMar>
            <w:top w:w="0" w:type="dxa"/>
            <w:left w:w="108" w:type="dxa"/>
            <w:bottom w:w="0" w:type="dxa"/>
            <w:right w:w="108" w:type="dxa"/>
          </w:tblCellMar>
        </w:tblPrEx>
        <w:trPr>
          <w:trHeight w:val="580" w:hRule="atLeast"/>
        </w:trPr>
        <w:tc>
          <w:tcPr>
            <w:tcW w:w="693" w:type="dxa"/>
            <w:tcBorders>
              <w:top w:val="single" w:color="000000" w:sz="4" w:space="0"/>
              <w:left w:val="single" w:color="000000" w:sz="4" w:space="0"/>
              <w:bottom w:val="single" w:color="000000" w:sz="4" w:space="0"/>
              <w:right w:val="single" w:color="000000" w:sz="4" w:space="0"/>
            </w:tcBorders>
            <w:noWrap/>
            <w:vAlign w:val="center"/>
          </w:tcPr>
          <w:p w14:paraId="02936C59">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14</w:t>
            </w:r>
          </w:p>
        </w:tc>
        <w:tc>
          <w:tcPr>
            <w:tcW w:w="1371" w:type="dxa"/>
            <w:tcBorders>
              <w:top w:val="single" w:color="000000" w:sz="4" w:space="0"/>
              <w:left w:val="single" w:color="000000" w:sz="4" w:space="0"/>
              <w:bottom w:val="single" w:color="000000" w:sz="4" w:space="0"/>
              <w:right w:val="single" w:color="000000" w:sz="4" w:space="0"/>
            </w:tcBorders>
            <w:vAlign w:val="center"/>
          </w:tcPr>
          <w:p w14:paraId="6CB04AAD">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专用垃圾桶</w:t>
            </w:r>
          </w:p>
        </w:tc>
        <w:tc>
          <w:tcPr>
            <w:tcW w:w="5493" w:type="dxa"/>
            <w:tcBorders>
              <w:top w:val="single" w:color="000000" w:sz="4" w:space="0"/>
              <w:left w:val="single" w:color="000000" w:sz="4" w:space="0"/>
              <w:bottom w:val="single" w:color="000000" w:sz="4" w:space="0"/>
              <w:right w:val="single" w:color="000000" w:sz="4" w:space="0"/>
            </w:tcBorders>
            <w:vAlign w:val="center"/>
          </w:tcPr>
          <w:p w14:paraId="422DBF78">
            <w:pPr>
              <w:widowControl/>
              <w:jc w:val="left"/>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规格：≤730*575*1070mm，环保聚乙烯材质，坚固耐用，符合EN840标准要求，加大加厚塑胶轮胎，保障承载运输能力和延长使用寿命，以现场实际摆放为准</w:t>
            </w:r>
          </w:p>
        </w:tc>
        <w:tc>
          <w:tcPr>
            <w:tcW w:w="640" w:type="dxa"/>
            <w:tcBorders>
              <w:top w:val="single" w:color="000000" w:sz="4" w:space="0"/>
              <w:left w:val="single" w:color="000000" w:sz="4" w:space="0"/>
              <w:bottom w:val="single" w:color="000000" w:sz="4" w:space="0"/>
              <w:right w:val="single" w:color="000000" w:sz="4" w:space="0"/>
            </w:tcBorders>
            <w:noWrap/>
            <w:vAlign w:val="center"/>
          </w:tcPr>
          <w:p w14:paraId="7017294B">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台</w:t>
            </w:r>
          </w:p>
        </w:tc>
        <w:tc>
          <w:tcPr>
            <w:tcW w:w="707" w:type="dxa"/>
            <w:tcBorders>
              <w:top w:val="single" w:color="000000" w:sz="4" w:space="0"/>
              <w:left w:val="single" w:color="000000" w:sz="4" w:space="0"/>
              <w:bottom w:val="single" w:color="000000" w:sz="4" w:space="0"/>
              <w:right w:val="single" w:color="000000" w:sz="4" w:space="0"/>
            </w:tcBorders>
            <w:noWrap/>
            <w:vAlign w:val="center"/>
          </w:tcPr>
          <w:p w14:paraId="4398261F">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6</w:t>
            </w:r>
          </w:p>
        </w:tc>
      </w:tr>
      <w:tr w14:paraId="5A8C9712">
        <w:tblPrEx>
          <w:tblCellMar>
            <w:top w:w="0" w:type="dxa"/>
            <w:left w:w="108" w:type="dxa"/>
            <w:bottom w:w="0" w:type="dxa"/>
            <w:right w:w="108" w:type="dxa"/>
          </w:tblCellMar>
        </w:tblPrEx>
        <w:trPr>
          <w:trHeight w:val="580" w:hRule="atLeast"/>
        </w:trPr>
        <w:tc>
          <w:tcPr>
            <w:tcW w:w="693" w:type="dxa"/>
            <w:tcBorders>
              <w:top w:val="single" w:color="000000" w:sz="4" w:space="0"/>
              <w:left w:val="single" w:color="000000" w:sz="4" w:space="0"/>
              <w:bottom w:val="single" w:color="000000" w:sz="4" w:space="0"/>
              <w:right w:val="single" w:color="000000" w:sz="4" w:space="0"/>
            </w:tcBorders>
            <w:noWrap/>
            <w:vAlign w:val="center"/>
          </w:tcPr>
          <w:p w14:paraId="47FDC4CF">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15</w:t>
            </w:r>
          </w:p>
        </w:tc>
        <w:tc>
          <w:tcPr>
            <w:tcW w:w="1371" w:type="dxa"/>
            <w:tcBorders>
              <w:top w:val="single" w:color="000000" w:sz="4" w:space="0"/>
              <w:left w:val="single" w:color="000000" w:sz="4" w:space="0"/>
              <w:bottom w:val="single" w:color="000000" w:sz="4" w:space="0"/>
              <w:right w:val="single" w:color="000000" w:sz="4" w:space="0"/>
            </w:tcBorders>
            <w:vAlign w:val="center"/>
          </w:tcPr>
          <w:p w14:paraId="6D7419C8">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防爆应急灯</w:t>
            </w:r>
          </w:p>
        </w:tc>
        <w:tc>
          <w:tcPr>
            <w:tcW w:w="5493" w:type="dxa"/>
            <w:tcBorders>
              <w:top w:val="single" w:color="000000" w:sz="4" w:space="0"/>
              <w:left w:val="single" w:color="000000" w:sz="4" w:space="0"/>
              <w:bottom w:val="single" w:color="000000" w:sz="4" w:space="0"/>
              <w:right w:val="single" w:color="000000" w:sz="4" w:space="0"/>
            </w:tcBorders>
            <w:vAlign w:val="center"/>
          </w:tcPr>
          <w:p w14:paraId="1A0DECAB">
            <w:pPr>
              <w:widowControl/>
              <w:jc w:val="left"/>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铸铁材质，双头LED灯亮度增加，经久耐用</w:t>
            </w:r>
          </w:p>
        </w:tc>
        <w:tc>
          <w:tcPr>
            <w:tcW w:w="640" w:type="dxa"/>
            <w:tcBorders>
              <w:top w:val="single" w:color="000000" w:sz="4" w:space="0"/>
              <w:left w:val="single" w:color="000000" w:sz="4" w:space="0"/>
              <w:bottom w:val="single" w:color="000000" w:sz="4" w:space="0"/>
              <w:right w:val="single" w:color="000000" w:sz="4" w:space="0"/>
            </w:tcBorders>
            <w:noWrap/>
            <w:vAlign w:val="center"/>
          </w:tcPr>
          <w:p w14:paraId="233D1BE3">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台</w:t>
            </w:r>
          </w:p>
        </w:tc>
        <w:tc>
          <w:tcPr>
            <w:tcW w:w="707" w:type="dxa"/>
            <w:tcBorders>
              <w:top w:val="single" w:color="000000" w:sz="4" w:space="0"/>
              <w:left w:val="single" w:color="000000" w:sz="4" w:space="0"/>
              <w:bottom w:val="single" w:color="000000" w:sz="4" w:space="0"/>
              <w:right w:val="single" w:color="000000" w:sz="4" w:space="0"/>
            </w:tcBorders>
            <w:noWrap/>
            <w:vAlign w:val="center"/>
          </w:tcPr>
          <w:p w14:paraId="7A639D0B">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6</w:t>
            </w:r>
          </w:p>
        </w:tc>
      </w:tr>
      <w:tr w14:paraId="73B52565">
        <w:tblPrEx>
          <w:tblCellMar>
            <w:top w:w="0" w:type="dxa"/>
            <w:left w:w="108" w:type="dxa"/>
            <w:bottom w:w="0" w:type="dxa"/>
            <w:right w:w="108" w:type="dxa"/>
          </w:tblCellMar>
        </w:tblPrEx>
        <w:trPr>
          <w:trHeight w:val="580" w:hRule="atLeast"/>
        </w:trPr>
        <w:tc>
          <w:tcPr>
            <w:tcW w:w="693" w:type="dxa"/>
            <w:tcBorders>
              <w:top w:val="single" w:color="000000" w:sz="4" w:space="0"/>
              <w:left w:val="single" w:color="000000" w:sz="4" w:space="0"/>
              <w:bottom w:val="single" w:color="000000" w:sz="4" w:space="0"/>
              <w:right w:val="single" w:color="000000" w:sz="4" w:space="0"/>
            </w:tcBorders>
            <w:noWrap/>
            <w:vAlign w:val="center"/>
          </w:tcPr>
          <w:p w14:paraId="5E8C72EA">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16</w:t>
            </w:r>
          </w:p>
        </w:tc>
        <w:tc>
          <w:tcPr>
            <w:tcW w:w="1371" w:type="dxa"/>
            <w:tcBorders>
              <w:top w:val="single" w:color="000000" w:sz="4" w:space="0"/>
              <w:left w:val="single" w:color="000000" w:sz="4" w:space="0"/>
              <w:bottom w:val="single" w:color="000000" w:sz="4" w:space="0"/>
              <w:right w:val="single" w:color="000000" w:sz="4" w:space="0"/>
            </w:tcBorders>
            <w:vAlign w:val="center"/>
          </w:tcPr>
          <w:p w14:paraId="4D2171FE">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消毒灯</w:t>
            </w:r>
          </w:p>
        </w:tc>
        <w:tc>
          <w:tcPr>
            <w:tcW w:w="5493" w:type="dxa"/>
            <w:tcBorders>
              <w:top w:val="single" w:color="000000" w:sz="4" w:space="0"/>
              <w:left w:val="single" w:color="000000" w:sz="4" w:space="0"/>
              <w:bottom w:val="single" w:color="000000" w:sz="4" w:space="0"/>
              <w:right w:val="single" w:color="000000" w:sz="4" w:space="0"/>
            </w:tcBorders>
            <w:vAlign w:val="center"/>
          </w:tcPr>
          <w:p w14:paraId="171F0833">
            <w:pPr>
              <w:widowControl/>
              <w:jc w:val="left"/>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特制UV光学技术透光管，紫外线消杀灯管，寿命长</w:t>
            </w:r>
          </w:p>
        </w:tc>
        <w:tc>
          <w:tcPr>
            <w:tcW w:w="640" w:type="dxa"/>
            <w:tcBorders>
              <w:top w:val="single" w:color="000000" w:sz="4" w:space="0"/>
              <w:left w:val="single" w:color="000000" w:sz="4" w:space="0"/>
              <w:bottom w:val="single" w:color="000000" w:sz="4" w:space="0"/>
              <w:right w:val="single" w:color="000000" w:sz="4" w:space="0"/>
            </w:tcBorders>
            <w:noWrap/>
            <w:vAlign w:val="center"/>
          </w:tcPr>
          <w:p w14:paraId="1C8A47B9">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台</w:t>
            </w:r>
          </w:p>
        </w:tc>
        <w:tc>
          <w:tcPr>
            <w:tcW w:w="707" w:type="dxa"/>
            <w:tcBorders>
              <w:top w:val="single" w:color="000000" w:sz="4" w:space="0"/>
              <w:left w:val="single" w:color="000000" w:sz="4" w:space="0"/>
              <w:bottom w:val="single" w:color="000000" w:sz="4" w:space="0"/>
              <w:right w:val="single" w:color="000000" w:sz="4" w:space="0"/>
            </w:tcBorders>
            <w:noWrap/>
            <w:vAlign w:val="center"/>
          </w:tcPr>
          <w:p w14:paraId="7FEE4AB6">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6</w:t>
            </w:r>
          </w:p>
        </w:tc>
      </w:tr>
      <w:tr w14:paraId="3A582999">
        <w:tblPrEx>
          <w:tblCellMar>
            <w:top w:w="0" w:type="dxa"/>
            <w:left w:w="108" w:type="dxa"/>
            <w:bottom w:w="0" w:type="dxa"/>
            <w:right w:w="108" w:type="dxa"/>
          </w:tblCellMar>
        </w:tblPrEx>
        <w:trPr>
          <w:trHeight w:val="580" w:hRule="atLeast"/>
        </w:trPr>
        <w:tc>
          <w:tcPr>
            <w:tcW w:w="693" w:type="dxa"/>
            <w:tcBorders>
              <w:top w:val="single" w:color="000000" w:sz="4" w:space="0"/>
              <w:left w:val="single" w:color="000000" w:sz="4" w:space="0"/>
              <w:bottom w:val="single" w:color="000000" w:sz="4" w:space="0"/>
              <w:right w:val="single" w:color="000000" w:sz="4" w:space="0"/>
            </w:tcBorders>
            <w:noWrap/>
            <w:vAlign w:val="center"/>
          </w:tcPr>
          <w:p w14:paraId="07688882">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17</w:t>
            </w:r>
          </w:p>
        </w:tc>
        <w:tc>
          <w:tcPr>
            <w:tcW w:w="1371" w:type="dxa"/>
            <w:tcBorders>
              <w:top w:val="single" w:color="000000" w:sz="4" w:space="0"/>
              <w:left w:val="single" w:color="000000" w:sz="4" w:space="0"/>
              <w:bottom w:val="single" w:color="000000" w:sz="4" w:space="0"/>
              <w:right w:val="single" w:color="000000" w:sz="4" w:space="0"/>
            </w:tcBorders>
            <w:vAlign w:val="center"/>
          </w:tcPr>
          <w:p w14:paraId="50499D98">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灭蚊灯</w:t>
            </w:r>
          </w:p>
        </w:tc>
        <w:tc>
          <w:tcPr>
            <w:tcW w:w="5493" w:type="dxa"/>
            <w:tcBorders>
              <w:top w:val="single" w:color="000000" w:sz="4" w:space="0"/>
              <w:left w:val="single" w:color="000000" w:sz="4" w:space="0"/>
              <w:bottom w:val="single" w:color="000000" w:sz="4" w:space="0"/>
              <w:right w:val="single" w:color="000000" w:sz="4" w:space="0"/>
            </w:tcBorders>
            <w:vAlign w:val="center"/>
          </w:tcPr>
          <w:p w14:paraId="332FBD2A">
            <w:pPr>
              <w:widowControl/>
              <w:jc w:val="left"/>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特制UV光学技术透光管，诱蚊效果持久稳定，使用LED灯珠，寿命长</w:t>
            </w:r>
          </w:p>
        </w:tc>
        <w:tc>
          <w:tcPr>
            <w:tcW w:w="640" w:type="dxa"/>
            <w:tcBorders>
              <w:top w:val="single" w:color="000000" w:sz="4" w:space="0"/>
              <w:left w:val="single" w:color="000000" w:sz="4" w:space="0"/>
              <w:bottom w:val="single" w:color="000000" w:sz="4" w:space="0"/>
              <w:right w:val="single" w:color="000000" w:sz="4" w:space="0"/>
            </w:tcBorders>
            <w:noWrap/>
            <w:vAlign w:val="center"/>
          </w:tcPr>
          <w:p w14:paraId="4978D225">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台</w:t>
            </w:r>
          </w:p>
        </w:tc>
        <w:tc>
          <w:tcPr>
            <w:tcW w:w="707" w:type="dxa"/>
            <w:tcBorders>
              <w:top w:val="single" w:color="000000" w:sz="4" w:space="0"/>
              <w:left w:val="single" w:color="000000" w:sz="4" w:space="0"/>
              <w:bottom w:val="single" w:color="000000" w:sz="4" w:space="0"/>
              <w:right w:val="single" w:color="000000" w:sz="4" w:space="0"/>
            </w:tcBorders>
            <w:noWrap/>
            <w:vAlign w:val="center"/>
          </w:tcPr>
          <w:p w14:paraId="3B229FC5">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4</w:t>
            </w:r>
          </w:p>
        </w:tc>
      </w:tr>
      <w:tr w14:paraId="6232F361">
        <w:tblPrEx>
          <w:tblCellMar>
            <w:top w:w="0" w:type="dxa"/>
            <w:left w:w="108" w:type="dxa"/>
            <w:bottom w:w="0" w:type="dxa"/>
            <w:right w:w="108" w:type="dxa"/>
          </w:tblCellMar>
        </w:tblPrEx>
        <w:trPr>
          <w:trHeight w:val="580" w:hRule="atLeast"/>
        </w:trPr>
        <w:tc>
          <w:tcPr>
            <w:tcW w:w="693" w:type="dxa"/>
            <w:tcBorders>
              <w:top w:val="single" w:color="000000" w:sz="4" w:space="0"/>
              <w:left w:val="single" w:color="000000" w:sz="4" w:space="0"/>
              <w:bottom w:val="single" w:color="000000" w:sz="4" w:space="0"/>
              <w:right w:val="single" w:color="000000" w:sz="4" w:space="0"/>
            </w:tcBorders>
            <w:noWrap/>
            <w:vAlign w:val="center"/>
          </w:tcPr>
          <w:p w14:paraId="6340B509">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18</w:t>
            </w:r>
          </w:p>
        </w:tc>
        <w:tc>
          <w:tcPr>
            <w:tcW w:w="1371" w:type="dxa"/>
            <w:tcBorders>
              <w:top w:val="single" w:color="000000" w:sz="4" w:space="0"/>
              <w:left w:val="single" w:color="000000" w:sz="4" w:space="0"/>
              <w:bottom w:val="single" w:color="000000" w:sz="4" w:space="0"/>
              <w:right w:val="single" w:color="000000" w:sz="4" w:space="0"/>
            </w:tcBorders>
            <w:vAlign w:val="center"/>
          </w:tcPr>
          <w:p w14:paraId="446E0E09">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防鼠板</w:t>
            </w:r>
          </w:p>
        </w:tc>
        <w:tc>
          <w:tcPr>
            <w:tcW w:w="5493" w:type="dxa"/>
            <w:tcBorders>
              <w:top w:val="single" w:color="000000" w:sz="4" w:space="0"/>
              <w:left w:val="single" w:color="000000" w:sz="4" w:space="0"/>
              <w:bottom w:val="single" w:color="000000" w:sz="4" w:space="0"/>
              <w:right w:val="single" w:color="000000" w:sz="4" w:space="0"/>
            </w:tcBorders>
            <w:vAlign w:val="center"/>
          </w:tcPr>
          <w:p w14:paraId="4D1D3B19">
            <w:pPr>
              <w:widowControl/>
              <w:jc w:val="left"/>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铝型材质，轻便易拿，光滑防鼠</w:t>
            </w:r>
          </w:p>
        </w:tc>
        <w:tc>
          <w:tcPr>
            <w:tcW w:w="640" w:type="dxa"/>
            <w:tcBorders>
              <w:top w:val="single" w:color="000000" w:sz="4" w:space="0"/>
              <w:left w:val="single" w:color="000000" w:sz="4" w:space="0"/>
              <w:bottom w:val="single" w:color="000000" w:sz="4" w:space="0"/>
              <w:right w:val="single" w:color="000000" w:sz="4" w:space="0"/>
            </w:tcBorders>
            <w:noWrap/>
            <w:vAlign w:val="center"/>
          </w:tcPr>
          <w:p w14:paraId="75710106">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套</w:t>
            </w:r>
          </w:p>
        </w:tc>
        <w:tc>
          <w:tcPr>
            <w:tcW w:w="707" w:type="dxa"/>
            <w:tcBorders>
              <w:top w:val="single" w:color="000000" w:sz="4" w:space="0"/>
              <w:left w:val="single" w:color="000000" w:sz="4" w:space="0"/>
              <w:bottom w:val="single" w:color="000000" w:sz="4" w:space="0"/>
              <w:right w:val="single" w:color="000000" w:sz="4" w:space="0"/>
            </w:tcBorders>
            <w:noWrap/>
            <w:vAlign w:val="center"/>
          </w:tcPr>
          <w:p w14:paraId="0B41464F">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4</w:t>
            </w:r>
          </w:p>
        </w:tc>
      </w:tr>
      <w:tr w14:paraId="32A2CAE8">
        <w:tblPrEx>
          <w:tblCellMar>
            <w:top w:w="0" w:type="dxa"/>
            <w:left w:w="108" w:type="dxa"/>
            <w:bottom w:w="0" w:type="dxa"/>
            <w:right w:w="108" w:type="dxa"/>
          </w:tblCellMar>
        </w:tblPrEx>
        <w:trPr>
          <w:trHeight w:val="580" w:hRule="atLeast"/>
        </w:trPr>
        <w:tc>
          <w:tcPr>
            <w:tcW w:w="693" w:type="dxa"/>
            <w:tcBorders>
              <w:top w:val="single" w:color="000000" w:sz="4" w:space="0"/>
              <w:left w:val="single" w:color="000000" w:sz="4" w:space="0"/>
              <w:bottom w:val="single" w:color="000000" w:sz="4" w:space="0"/>
              <w:right w:val="single" w:color="000000" w:sz="4" w:space="0"/>
            </w:tcBorders>
            <w:vAlign w:val="center"/>
          </w:tcPr>
          <w:p w14:paraId="57AFB04C">
            <w:pPr>
              <w:jc w:val="center"/>
              <w:rPr>
                <w:rFonts w:hint="eastAsia" w:ascii="宋体" w:hAnsi="宋体"/>
                <w:color w:val="auto"/>
                <w:sz w:val="22"/>
                <w:szCs w:val="22"/>
                <w:highlight w:val="none"/>
              </w:rPr>
            </w:pPr>
          </w:p>
        </w:tc>
        <w:tc>
          <w:tcPr>
            <w:tcW w:w="1371" w:type="dxa"/>
            <w:tcBorders>
              <w:top w:val="single" w:color="000000" w:sz="4" w:space="0"/>
              <w:left w:val="single" w:color="000000" w:sz="4" w:space="0"/>
              <w:bottom w:val="single" w:color="000000" w:sz="4" w:space="0"/>
              <w:right w:val="single" w:color="000000" w:sz="4" w:space="0"/>
            </w:tcBorders>
            <w:vAlign w:val="center"/>
          </w:tcPr>
          <w:p w14:paraId="0A0B2835">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主食库</w:t>
            </w:r>
          </w:p>
        </w:tc>
        <w:tc>
          <w:tcPr>
            <w:tcW w:w="5493" w:type="dxa"/>
            <w:tcBorders>
              <w:top w:val="single" w:color="000000" w:sz="4" w:space="0"/>
              <w:left w:val="single" w:color="000000" w:sz="4" w:space="0"/>
              <w:bottom w:val="single" w:color="000000" w:sz="4" w:space="0"/>
              <w:right w:val="single" w:color="000000" w:sz="4" w:space="0"/>
            </w:tcBorders>
            <w:vAlign w:val="center"/>
          </w:tcPr>
          <w:p w14:paraId="69122F80">
            <w:pPr>
              <w:jc w:val="left"/>
              <w:rPr>
                <w:rFonts w:hint="eastAsia" w:ascii="宋体" w:hAnsi="宋体"/>
                <w:color w:val="auto"/>
                <w:sz w:val="22"/>
                <w:szCs w:val="22"/>
                <w:highlight w:val="none"/>
              </w:rPr>
            </w:pPr>
          </w:p>
        </w:tc>
        <w:tc>
          <w:tcPr>
            <w:tcW w:w="640" w:type="dxa"/>
            <w:tcBorders>
              <w:top w:val="single" w:color="000000" w:sz="4" w:space="0"/>
              <w:left w:val="single" w:color="000000" w:sz="4" w:space="0"/>
              <w:bottom w:val="single" w:color="000000" w:sz="4" w:space="0"/>
              <w:right w:val="single" w:color="000000" w:sz="4" w:space="0"/>
            </w:tcBorders>
            <w:vAlign w:val="center"/>
          </w:tcPr>
          <w:p w14:paraId="79B52ED1">
            <w:pPr>
              <w:jc w:val="center"/>
              <w:rPr>
                <w:rFonts w:hint="eastAsia" w:ascii="宋体" w:hAnsi="宋体"/>
                <w:color w:val="auto"/>
                <w:sz w:val="22"/>
                <w:szCs w:val="22"/>
                <w:highlight w:val="none"/>
              </w:rPr>
            </w:pPr>
          </w:p>
        </w:tc>
        <w:tc>
          <w:tcPr>
            <w:tcW w:w="707" w:type="dxa"/>
            <w:tcBorders>
              <w:top w:val="single" w:color="000000" w:sz="4" w:space="0"/>
              <w:left w:val="single" w:color="000000" w:sz="4" w:space="0"/>
              <w:bottom w:val="single" w:color="000000" w:sz="4" w:space="0"/>
              <w:right w:val="single" w:color="000000" w:sz="4" w:space="0"/>
            </w:tcBorders>
            <w:noWrap/>
            <w:vAlign w:val="center"/>
          </w:tcPr>
          <w:p w14:paraId="36D208A7">
            <w:pPr>
              <w:jc w:val="center"/>
              <w:rPr>
                <w:rFonts w:hint="eastAsia" w:ascii="宋体" w:hAnsi="宋体"/>
                <w:color w:val="auto"/>
                <w:sz w:val="22"/>
                <w:szCs w:val="22"/>
                <w:highlight w:val="none"/>
              </w:rPr>
            </w:pPr>
          </w:p>
        </w:tc>
      </w:tr>
      <w:tr w14:paraId="06C441E3">
        <w:tblPrEx>
          <w:tblCellMar>
            <w:top w:w="0" w:type="dxa"/>
            <w:left w:w="108" w:type="dxa"/>
            <w:bottom w:w="0" w:type="dxa"/>
            <w:right w:w="108" w:type="dxa"/>
          </w:tblCellMar>
        </w:tblPrEx>
        <w:trPr>
          <w:trHeight w:val="580" w:hRule="atLeast"/>
        </w:trPr>
        <w:tc>
          <w:tcPr>
            <w:tcW w:w="693" w:type="dxa"/>
            <w:tcBorders>
              <w:top w:val="single" w:color="000000" w:sz="4" w:space="0"/>
              <w:left w:val="single" w:color="000000" w:sz="4" w:space="0"/>
              <w:bottom w:val="single" w:color="000000" w:sz="4" w:space="0"/>
              <w:right w:val="single" w:color="000000" w:sz="4" w:space="0"/>
            </w:tcBorders>
            <w:noWrap/>
            <w:vAlign w:val="center"/>
          </w:tcPr>
          <w:p w14:paraId="2A4EF0C3">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19</w:t>
            </w:r>
          </w:p>
        </w:tc>
        <w:tc>
          <w:tcPr>
            <w:tcW w:w="1371" w:type="dxa"/>
            <w:tcBorders>
              <w:top w:val="single" w:color="000000" w:sz="4" w:space="0"/>
              <w:left w:val="single" w:color="000000" w:sz="4" w:space="0"/>
              <w:bottom w:val="single" w:color="000000" w:sz="4" w:space="0"/>
              <w:right w:val="single" w:color="000000" w:sz="4" w:space="0"/>
            </w:tcBorders>
            <w:vAlign w:val="center"/>
          </w:tcPr>
          <w:p w14:paraId="31773172">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台账桌、椅子</w:t>
            </w:r>
          </w:p>
        </w:tc>
        <w:tc>
          <w:tcPr>
            <w:tcW w:w="5493" w:type="dxa"/>
            <w:tcBorders>
              <w:top w:val="single" w:color="000000" w:sz="4" w:space="0"/>
              <w:left w:val="single" w:color="000000" w:sz="4" w:space="0"/>
              <w:bottom w:val="single" w:color="000000" w:sz="4" w:space="0"/>
              <w:right w:val="single" w:color="000000" w:sz="4" w:space="0"/>
            </w:tcBorders>
            <w:vAlign w:val="center"/>
          </w:tcPr>
          <w:p w14:paraId="44B0BCA1">
            <w:pPr>
              <w:widowControl/>
              <w:jc w:val="left"/>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1、规格：≤1200×600×760mm；</w:t>
            </w:r>
            <w:r>
              <w:rPr>
                <w:rFonts w:hint="eastAsia" w:ascii="宋体" w:hAnsi="宋体"/>
                <w:color w:val="auto"/>
                <w:kern w:val="0"/>
                <w:sz w:val="22"/>
                <w:szCs w:val="22"/>
                <w:highlight w:val="none"/>
                <w:lang w:bidi="ar"/>
              </w:rPr>
              <w:br w:type="textWrapping"/>
            </w:r>
            <w:r>
              <w:rPr>
                <w:rFonts w:hint="eastAsia" w:ascii="宋体" w:hAnsi="宋体"/>
                <w:color w:val="auto"/>
                <w:kern w:val="0"/>
                <w:sz w:val="22"/>
                <w:szCs w:val="22"/>
                <w:highlight w:val="none"/>
                <w:lang w:bidi="ar"/>
              </w:rPr>
              <w:t>2、台面：基材约25mm厚中密度板上贴防火板，后成型为前鸭嘴，后1/2圆弧两端封1.5mm厚PVC边。</w:t>
            </w:r>
            <w:r>
              <w:rPr>
                <w:rFonts w:hint="eastAsia" w:ascii="宋体" w:hAnsi="宋体"/>
                <w:color w:val="auto"/>
                <w:kern w:val="0"/>
                <w:sz w:val="22"/>
                <w:szCs w:val="22"/>
                <w:highlight w:val="none"/>
                <w:lang w:bidi="ar"/>
              </w:rPr>
              <w:br w:type="textWrapping"/>
            </w:r>
            <w:r>
              <w:rPr>
                <w:rFonts w:hint="eastAsia" w:ascii="宋体" w:hAnsi="宋体"/>
                <w:color w:val="auto"/>
                <w:kern w:val="0"/>
                <w:sz w:val="22"/>
                <w:szCs w:val="22"/>
                <w:highlight w:val="none"/>
                <w:lang w:bidi="ar"/>
              </w:rPr>
              <w:t>3、主架：采用40*40壁厚约1.5mm矩形钢管焊接而成。金属部件经除油、除锈后静电喷塑。配置板式一斗、一门小柜一个，规格约400×480×600mm，柜下配置4个优质水平调节万向轮，方便移动，配置优质滑道、合页和拉手。</w:t>
            </w:r>
            <w:r>
              <w:rPr>
                <w:rFonts w:hint="eastAsia" w:ascii="宋体" w:hAnsi="宋体"/>
                <w:color w:val="auto"/>
                <w:kern w:val="0"/>
                <w:sz w:val="22"/>
                <w:szCs w:val="22"/>
                <w:highlight w:val="none"/>
                <w:lang w:bidi="ar"/>
              </w:rPr>
              <w:br w:type="textWrapping"/>
            </w:r>
            <w:r>
              <w:rPr>
                <w:rFonts w:hint="eastAsia" w:ascii="宋体" w:hAnsi="宋体"/>
                <w:color w:val="auto"/>
                <w:kern w:val="0"/>
                <w:sz w:val="22"/>
                <w:szCs w:val="22"/>
                <w:highlight w:val="none"/>
                <w:lang w:bidi="ar"/>
              </w:rPr>
              <w:t>4、符合 GB/T3325标准要求, 颜色由供方提供色卡供需方选择</w:t>
            </w:r>
            <w:r>
              <w:rPr>
                <w:rFonts w:hint="eastAsia" w:ascii="宋体" w:hAnsi="宋体"/>
                <w:color w:val="auto"/>
                <w:kern w:val="0"/>
                <w:sz w:val="22"/>
                <w:szCs w:val="22"/>
                <w:highlight w:val="none"/>
                <w:lang w:bidi="ar"/>
              </w:rPr>
              <w:br w:type="textWrapping"/>
            </w:r>
            <w:r>
              <w:rPr>
                <w:rFonts w:hint="eastAsia" w:ascii="宋体" w:hAnsi="宋体"/>
                <w:color w:val="auto"/>
                <w:kern w:val="0"/>
                <w:sz w:val="22"/>
                <w:szCs w:val="22"/>
                <w:highlight w:val="none"/>
                <w:lang w:bidi="ar"/>
              </w:rPr>
              <w:t>椅子：工字型网布面料五金配件，美观大方。以现场实际摆放为准</w:t>
            </w:r>
          </w:p>
        </w:tc>
        <w:tc>
          <w:tcPr>
            <w:tcW w:w="640" w:type="dxa"/>
            <w:tcBorders>
              <w:top w:val="single" w:color="000000" w:sz="4" w:space="0"/>
              <w:left w:val="single" w:color="000000" w:sz="4" w:space="0"/>
              <w:bottom w:val="single" w:color="000000" w:sz="4" w:space="0"/>
              <w:right w:val="single" w:color="000000" w:sz="4" w:space="0"/>
            </w:tcBorders>
            <w:noWrap/>
            <w:vAlign w:val="center"/>
          </w:tcPr>
          <w:p w14:paraId="4B413AA3">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套</w:t>
            </w:r>
          </w:p>
        </w:tc>
        <w:tc>
          <w:tcPr>
            <w:tcW w:w="707" w:type="dxa"/>
            <w:tcBorders>
              <w:top w:val="single" w:color="000000" w:sz="4" w:space="0"/>
              <w:left w:val="single" w:color="000000" w:sz="4" w:space="0"/>
              <w:bottom w:val="single" w:color="000000" w:sz="4" w:space="0"/>
              <w:right w:val="single" w:color="000000" w:sz="4" w:space="0"/>
            </w:tcBorders>
            <w:noWrap/>
            <w:vAlign w:val="center"/>
          </w:tcPr>
          <w:p w14:paraId="20736A5D">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1</w:t>
            </w:r>
          </w:p>
        </w:tc>
      </w:tr>
      <w:tr w14:paraId="1C09B6AA">
        <w:tblPrEx>
          <w:tblCellMar>
            <w:top w:w="0" w:type="dxa"/>
            <w:left w:w="108" w:type="dxa"/>
            <w:bottom w:w="0" w:type="dxa"/>
            <w:right w:w="108" w:type="dxa"/>
          </w:tblCellMar>
        </w:tblPrEx>
        <w:trPr>
          <w:trHeight w:val="580" w:hRule="atLeast"/>
        </w:trPr>
        <w:tc>
          <w:tcPr>
            <w:tcW w:w="693" w:type="dxa"/>
            <w:tcBorders>
              <w:top w:val="single" w:color="000000" w:sz="4" w:space="0"/>
              <w:left w:val="single" w:color="000000" w:sz="4" w:space="0"/>
              <w:bottom w:val="single" w:color="000000" w:sz="4" w:space="0"/>
              <w:right w:val="single" w:color="000000" w:sz="4" w:space="0"/>
            </w:tcBorders>
            <w:noWrap/>
            <w:vAlign w:val="center"/>
          </w:tcPr>
          <w:p w14:paraId="32205B9C">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20</w:t>
            </w:r>
          </w:p>
        </w:tc>
        <w:tc>
          <w:tcPr>
            <w:tcW w:w="1371" w:type="dxa"/>
            <w:tcBorders>
              <w:top w:val="single" w:color="000000" w:sz="4" w:space="0"/>
              <w:left w:val="single" w:color="000000" w:sz="4" w:space="0"/>
              <w:bottom w:val="single" w:color="000000" w:sz="4" w:space="0"/>
              <w:right w:val="single" w:color="000000" w:sz="4" w:space="0"/>
            </w:tcBorders>
            <w:vAlign w:val="center"/>
          </w:tcPr>
          <w:p w14:paraId="1E6747B7">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不锈钢四层重工置物架</w:t>
            </w:r>
          </w:p>
        </w:tc>
        <w:tc>
          <w:tcPr>
            <w:tcW w:w="5493" w:type="dxa"/>
            <w:tcBorders>
              <w:top w:val="single" w:color="000000" w:sz="4" w:space="0"/>
              <w:left w:val="single" w:color="000000" w:sz="4" w:space="0"/>
              <w:bottom w:val="single" w:color="000000" w:sz="4" w:space="0"/>
              <w:right w:val="single" w:color="000000" w:sz="4" w:space="0"/>
            </w:tcBorders>
            <w:vAlign w:val="center"/>
          </w:tcPr>
          <w:p w14:paraId="7B36FB5D">
            <w:pPr>
              <w:widowControl/>
              <w:jc w:val="left"/>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规格：1500*500*1550mm，采用304不锈钢板材，48*1.2圆管，每层承重120公斤，底层离地150MM，层板采用约1.2MM不锈钢，底部U型加强支撑，配不锈钢可调节子弹脚</w:t>
            </w:r>
          </w:p>
        </w:tc>
        <w:tc>
          <w:tcPr>
            <w:tcW w:w="640" w:type="dxa"/>
            <w:tcBorders>
              <w:top w:val="single" w:color="000000" w:sz="4" w:space="0"/>
              <w:left w:val="single" w:color="000000" w:sz="4" w:space="0"/>
              <w:bottom w:val="single" w:color="000000" w:sz="4" w:space="0"/>
              <w:right w:val="single" w:color="000000" w:sz="4" w:space="0"/>
            </w:tcBorders>
            <w:noWrap/>
            <w:vAlign w:val="center"/>
          </w:tcPr>
          <w:p w14:paraId="07560E5B">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台</w:t>
            </w:r>
          </w:p>
        </w:tc>
        <w:tc>
          <w:tcPr>
            <w:tcW w:w="707" w:type="dxa"/>
            <w:tcBorders>
              <w:top w:val="single" w:color="000000" w:sz="4" w:space="0"/>
              <w:left w:val="single" w:color="000000" w:sz="4" w:space="0"/>
              <w:bottom w:val="single" w:color="000000" w:sz="4" w:space="0"/>
              <w:right w:val="single" w:color="000000" w:sz="4" w:space="0"/>
            </w:tcBorders>
            <w:noWrap/>
            <w:vAlign w:val="center"/>
          </w:tcPr>
          <w:p w14:paraId="0B717E5F">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3</w:t>
            </w:r>
          </w:p>
        </w:tc>
      </w:tr>
      <w:tr w14:paraId="48CF1F58">
        <w:tblPrEx>
          <w:tblCellMar>
            <w:top w:w="0" w:type="dxa"/>
            <w:left w:w="108" w:type="dxa"/>
            <w:bottom w:w="0" w:type="dxa"/>
            <w:right w:w="108" w:type="dxa"/>
          </w:tblCellMar>
        </w:tblPrEx>
        <w:trPr>
          <w:trHeight w:val="580" w:hRule="atLeast"/>
        </w:trPr>
        <w:tc>
          <w:tcPr>
            <w:tcW w:w="693" w:type="dxa"/>
            <w:tcBorders>
              <w:top w:val="single" w:color="000000" w:sz="4" w:space="0"/>
              <w:left w:val="single" w:color="000000" w:sz="4" w:space="0"/>
              <w:bottom w:val="single" w:color="000000" w:sz="4" w:space="0"/>
              <w:right w:val="single" w:color="000000" w:sz="4" w:space="0"/>
            </w:tcBorders>
            <w:noWrap/>
            <w:vAlign w:val="center"/>
          </w:tcPr>
          <w:p w14:paraId="3BB15B6B">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21</w:t>
            </w:r>
          </w:p>
        </w:tc>
        <w:tc>
          <w:tcPr>
            <w:tcW w:w="1371" w:type="dxa"/>
            <w:tcBorders>
              <w:top w:val="single" w:color="000000" w:sz="4" w:space="0"/>
              <w:left w:val="single" w:color="000000" w:sz="4" w:space="0"/>
              <w:bottom w:val="single" w:color="000000" w:sz="4" w:space="0"/>
              <w:right w:val="single" w:color="000000" w:sz="4" w:space="0"/>
            </w:tcBorders>
            <w:vAlign w:val="center"/>
          </w:tcPr>
          <w:p w14:paraId="1E0CF289">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不锈钢重工米面架</w:t>
            </w:r>
          </w:p>
        </w:tc>
        <w:tc>
          <w:tcPr>
            <w:tcW w:w="5493" w:type="dxa"/>
            <w:tcBorders>
              <w:top w:val="single" w:color="000000" w:sz="4" w:space="0"/>
              <w:left w:val="single" w:color="000000" w:sz="4" w:space="0"/>
              <w:bottom w:val="single" w:color="000000" w:sz="4" w:space="0"/>
              <w:right w:val="single" w:color="000000" w:sz="4" w:space="0"/>
            </w:tcBorders>
            <w:vAlign w:val="center"/>
          </w:tcPr>
          <w:p w14:paraId="71C1435D">
            <w:pPr>
              <w:widowControl/>
              <w:jc w:val="left"/>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规格：≤1200*600*250mm，不锈钢方管焊接，存放主管选用约38MM*25MM*1.0MM，不锈钢管焊接，配备D38MM，可调脚，调整范围在约30MM，以现场实际摆放为准</w:t>
            </w:r>
          </w:p>
        </w:tc>
        <w:tc>
          <w:tcPr>
            <w:tcW w:w="640" w:type="dxa"/>
            <w:tcBorders>
              <w:top w:val="single" w:color="000000" w:sz="4" w:space="0"/>
              <w:left w:val="single" w:color="000000" w:sz="4" w:space="0"/>
              <w:bottom w:val="single" w:color="000000" w:sz="4" w:space="0"/>
              <w:right w:val="single" w:color="000000" w:sz="4" w:space="0"/>
            </w:tcBorders>
            <w:noWrap/>
            <w:vAlign w:val="center"/>
          </w:tcPr>
          <w:p w14:paraId="1E423F92">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台</w:t>
            </w:r>
          </w:p>
        </w:tc>
        <w:tc>
          <w:tcPr>
            <w:tcW w:w="707" w:type="dxa"/>
            <w:tcBorders>
              <w:top w:val="single" w:color="000000" w:sz="4" w:space="0"/>
              <w:left w:val="single" w:color="000000" w:sz="4" w:space="0"/>
              <w:bottom w:val="single" w:color="000000" w:sz="4" w:space="0"/>
              <w:right w:val="single" w:color="000000" w:sz="4" w:space="0"/>
            </w:tcBorders>
            <w:noWrap/>
            <w:vAlign w:val="center"/>
          </w:tcPr>
          <w:p w14:paraId="6E8D9662">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9</w:t>
            </w:r>
          </w:p>
        </w:tc>
      </w:tr>
      <w:tr w14:paraId="5773895D">
        <w:tblPrEx>
          <w:tblCellMar>
            <w:top w:w="0" w:type="dxa"/>
            <w:left w:w="108" w:type="dxa"/>
            <w:bottom w:w="0" w:type="dxa"/>
            <w:right w:w="108" w:type="dxa"/>
          </w:tblCellMar>
        </w:tblPrEx>
        <w:trPr>
          <w:trHeight w:val="580" w:hRule="atLeast"/>
        </w:trPr>
        <w:tc>
          <w:tcPr>
            <w:tcW w:w="693" w:type="dxa"/>
            <w:tcBorders>
              <w:top w:val="single" w:color="000000" w:sz="4" w:space="0"/>
              <w:left w:val="single" w:color="000000" w:sz="4" w:space="0"/>
              <w:bottom w:val="single" w:color="000000" w:sz="4" w:space="0"/>
              <w:right w:val="single" w:color="000000" w:sz="4" w:space="0"/>
            </w:tcBorders>
            <w:noWrap/>
            <w:vAlign w:val="center"/>
          </w:tcPr>
          <w:p w14:paraId="4CF2429E">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22</w:t>
            </w:r>
          </w:p>
        </w:tc>
        <w:tc>
          <w:tcPr>
            <w:tcW w:w="1371" w:type="dxa"/>
            <w:tcBorders>
              <w:top w:val="single" w:color="000000" w:sz="4" w:space="0"/>
              <w:left w:val="single" w:color="000000" w:sz="4" w:space="0"/>
              <w:bottom w:val="single" w:color="000000" w:sz="4" w:space="0"/>
              <w:right w:val="single" w:color="000000" w:sz="4" w:space="0"/>
            </w:tcBorders>
            <w:vAlign w:val="center"/>
          </w:tcPr>
          <w:p w14:paraId="04F28477">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专用垃圾桶</w:t>
            </w:r>
          </w:p>
        </w:tc>
        <w:tc>
          <w:tcPr>
            <w:tcW w:w="5493" w:type="dxa"/>
            <w:tcBorders>
              <w:top w:val="single" w:color="000000" w:sz="4" w:space="0"/>
              <w:left w:val="single" w:color="000000" w:sz="4" w:space="0"/>
              <w:bottom w:val="single" w:color="000000" w:sz="4" w:space="0"/>
              <w:right w:val="single" w:color="000000" w:sz="4" w:space="0"/>
            </w:tcBorders>
            <w:vAlign w:val="center"/>
          </w:tcPr>
          <w:p w14:paraId="66D06D45">
            <w:pPr>
              <w:widowControl/>
              <w:jc w:val="left"/>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规格：≤730*575*1070mm，环保聚乙烯材质，坚固耐用，符合EN840标准要求，加大加厚塑胶轮胎，保障承载运输能力和延长使用寿命，以现场实际摆放为准</w:t>
            </w:r>
          </w:p>
        </w:tc>
        <w:tc>
          <w:tcPr>
            <w:tcW w:w="640" w:type="dxa"/>
            <w:tcBorders>
              <w:top w:val="single" w:color="000000" w:sz="4" w:space="0"/>
              <w:left w:val="single" w:color="000000" w:sz="4" w:space="0"/>
              <w:bottom w:val="single" w:color="000000" w:sz="4" w:space="0"/>
              <w:right w:val="single" w:color="000000" w:sz="4" w:space="0"/>
            </w:tcBorders>
            <w:noWrap/>
            <w:vAlign w:val="center"/>
          </w:tcPr>
          <w:p w14:paraId="64FCD811">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台</w:t>
            </w:r>
          </w:p>
        </w:tc>
        <w:tc>
          <w:tcPr>
            <w:tcW w:w="707" w:type="dxa"/>
            <w:tcBorders>
              <w:top w:val="single" w:color="000000" w:sz="4" w:space="0"/>
              <w:left w:val="single" w:color="000000" w:sz="4" w:space="0"/>
              <w:bottom w:val="single" w:color="000000" w:sz="4" w:space="0"/>
              <w:right w:val="single" w:color="000000" w:sz="4" w:space="0"/>
            </w:tcBorders>
            <w:noWrap/>
            <w:vAlign w:val="center"/>
          </w:tcPr>
          <w:p w14:paraId="52F9E282">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4</w:t>
            </w:r>
          </w:p>
        </w:tc>
      </w:tr>
      <w:tr w14:paraId="019F2720">
        <w:tblPrEx>
          <w:tblCellMar>
            <w:top w:w="0" w:type="dxa"/>
            <w:left w:w="108" w:type="dxa"/>
            <w:bottom w:w="0" w:type="dxa"/>
            <w:right w:w="108" w:type="dxa"/>
          </w:tblCellMar>
        </w:tblPrEx>
        <w:trPr>
          <w:trHeight w:val="580" w:hRule="atLeast"/>
        </w:trPr>
        <w:tc>
          <w:tcPr>
            <w:tcW w:w="693" w:type="dxa"/>
            <w:tcBorders>
              <w:top w:val="single" w:color="000000" w:sz="4" w:space="0"/>
              <w:left w:val="single" w:color="000000" w:sz="4" w:space="0"/>
              <w:bottom w:val="single" w:color="000000" w:sz="4" w:space="0"/>
              <w:right w:val="single" w:color="000000" w:sz="4" w:space="0"/>
            </w:tcBorders>
            <w:noWrap/>
            <w:vAlign w:val="center"/>
          </w:tcPr>
          <w:p w14:paraId="0669A375">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23</w:t>
            </w:r>
          </w:p>
        </w:tc>
        <w:tc>
          <w:tcPr>
            <w:tcW w:w="1371" w:type="dxa"/>
            <w:tcBorders>
              <w:top w:val="single" w:color="000000" w:sz="4" w:space="0"/>
              <w:left w:val="single" w:color="000000" w:sz="4" w:space="0"/>
              <w:bottom w:val="single" w:color="000000" w:sz="4" w:space="0"/>
              <w:right w:val="single" w:color="000000" w:sz="4" w:space="0"/>
            </w:tcBorders>
            <w:vAlign w:val="center"/>
          </w:tcPr>
          <w:p w14:paraId="1DB07DD9">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防爆应急灯</w:t>
            </w:r>
          </w:p>
        </w:tc>
        <w:tc>
          <w:tcPr>
            <w:tcW w:w="5493" w:type="dxa"/>
            <w:tcBorders>
              <w:top w:val="single" w:color="000000" w:sz="4" w:space="0"/>
              <w:left w:val="single" w:color="000000" w:sz="4" w:space="0"/>
              <w:bottom w:val="single" w:color="000000" w:sz="4" w:space="0"/>
              <w:right w:val="single" w:color="000000" w:sz="4" w:space="0"/>
            </w:tcBorders>
            <w:vAlign w:val="center"/>
          </w:tcPr>
          <w:p w14:paraId="16D8A61B">
            <w:pPr>
              <w:widowControl/>
              <w:jc w:val="left"/>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铸铁材质，双头LED灯亮度增加，经久耐用</w:t>
            </w:r>
          </w:p>
        </w:tc>
        <w:tc>
          <w:tcPr>
            <w:tcW w:w="640" w:type="dxa"/>
            <w:tcBorders>
              <w:top w:val="single" w:color="000000" w:sz="4" w:space="0"/>
              <w:left w:val="single" w:color="000000" w:sz="4" w:space="0"/>
              <w:bottom w:val="single" w:color="000000" w:sz="4" w:space="0"/>
              <w:right w:val="single" w:color="000000" w:sz="4" w:space="0"/>
            </w:tcBorders>
            <w:noWrap/>
            <w:vAlign w:val="center"/>
          </w:tcPr>
          <w:p w14:paraId="10691D19">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台</w:t>
            </w:r>
          </w:p>
        </w:tc>
        <w:tc>
          <w:tcPr>
            <w:tcW w:w="707" w:type="dxa"/>
            <w:tcBorders>
              <w:top w:val="single" w:color="000000" w:sz="4" w:space="0"/>
              <w:left w:val="single" w:color="000000" w:sz="4" w:space="0"/>
              <w:bottom w:val="single" w:color="000000" w:sz="4" w:space="0"/>
              <w:right w:val="single" w:color="000000" w:sz="4" w:space="0"/>
            </w:tcBorders>
            <w:noWrap/>
            <w:vAlign w:val="center"/>
          </w:tcPr>
          <w:p w14:paraId="2B8DFFE8">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4</w:t>
            </w:r>
          </w:p>
        </w:tc>
      </w:tr>
      <w:tr w14:paraId="65E2ED91">
        <w:tblPrEx>
          <w:tblCellMar>
            <w:top w:w="0" w:type="dxa"/>
            <w:left w:w="108" w:type="dxa"/>
            <w:bottom w:w="0" w:type="dxa"/>
            <w:right w:w="108" w:type="dxa"/>
          </w:tblCellMar>
        </w:tblPrEx>
        <w:trPr>
          <w:trHeight w:val="580" w:hRule="atLeast"/>
        </w:trPr>
        <w:tc>
          <w:tcPr>
            <w:tcW w:w="693" w:type="dxa"/>
            <w:tcBorders>
              <w:top w:val="single" w:color="000000" w:sz="4" w:space="0"/>
              <w:left w:val="single" w:color="000000" w:sz="4" w:space="0"/>
              <w:bottom w:val="single" w:color="000000" w:sz="4" w:space="0"/>
              <w:right w:val="single" w:color="000000" w:sz="4" w:space="0"/>
            </w:tcBorders>
            <w:noWrap/>
            <w:vAlign w:val="center"/>
          </w:tcPr>
          <w:p w14:paraId="51ACA0CF">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24</w:t>
            </w:r>
          </w:p>
        </w:tc>
        <w:tc>
          <w:tcPr>
            <w:tcW w:w="1371" w:type="dxa"/>
            <w:tcBorders>
              <w:top w:val="single" w:color="000000" w:sz="4" w:space="0"/>
              <w:left w:val="single" w:color="000000" w:sz="4" w:space="0"/>
              <w:bottom w:val="single" w:color="000000" w:sz="4" w:space="0"/>
              <w:right w:val="single" w:color="000000" w:sz="4" w:space="0"/>
            </w:tcBorders>
            <w:vAlign w:val="center"/>
          </w:tcPr>
          <w:p w14:paraId="66A20927">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灭蚊灯</w:t>
            </w:r>
          </w:p>
        </w:tc>
        <w:tc>
          <w:tcPr>
            <w:tcW w:w="5493" w:type="dxa"/>
            <w:tcBorders>
              <w:top w:val="single" w:color="000000" w:sz="4" w:space="0"/>
              <w:left w:val="single" w:color="000000" w:sz="4" w:space="0"/>
              <w:bottom w:val="single" w:color="000000" w:sz="4" w:space="0"/>
              <w:right w:val="single" w:color="000000" w:sz="4" w:space="0"/>
            </w:tcBorders>
            <w:vAlign w:val="center"/>
          </w:tcPr>
          <w:p w14:paraId="71460E4F">
            <w:pPr>
              <w:widowControl/>
              <w:jc w:val="left"/>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特制UV光学技术透光管，诱蚊效果持久稳定，使用LED灯珠，寿命长</w:t>
            </w:r>
          </w:p>
        </w:tc>
        <w:tc>
          <w:tcPr>
            <w:tcW w:w="640" w:type="dxa"/>
            <w:tcBorders>
              <w:top w:val="single" w:color="000000" w:sz="4" w:space="0"/>
              <w:left w:val="single" w:color="000000" w:sz="4" w:space="0"/>
              <w:bottom w:val="single" w:color="000000" w:sz="4" w:space="0"/>
              <w:right w:val="single" w:color="000000" w:sz="4" w:space="0"/>
            </w:tcBorders>
            <w:noWrap/>
            <w:vAlign w:val="center"/>
          </w:tcPr>
          <w:p w14:paraId="279FD12E">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台</w:t>
            </w:r>
          </w:p>
        </w:tc>
        <w:tc>
          <w:tcPr>
            <w:tcW w:w="707" w:type="dxa"/>
            <w:tcBorders>
              <w:top w:val="single" w:color="000000" w:sz="4" w:space="0"/>
              <w:left w:val="single" w:color="000000" w:sz="4" w:space="0"/>
              <w:bottom w:val="single" w:color="000000" w:sz="4" w:space="0"/>
              <w:right w:val="single" w:color="000000" w:sz="4" w:space="0"/>
            </w:tcBorders>
            <w:noWrap/>
            <w:vAlign w:val="center"/>
          </w:tcPr>
          <w:p w14:paraId="39289B84">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4</w:t>
            </w:r>
          </w:p>
        </w:tc>
      </w:tr>
      <w:tr w14:paraId="21E29F52">
        <w:tblPrEx>
          <w:tblCellMar>
            <w:top w:w="0" w:type="dxa"/>
            <w:left w:w="108" w:type="dxa"/>
            <w:bottom w:w="0" w:type="dxa"/>
            <w:right w:w="108" w:type="dxa"/>
          </w:tblCellMar>
        </w:tblPrEx>
        <w:trPr>
          <w:trHeight w:val="580" w:hRule="atLeast"/>
        </w:trPr>
        <w:tc>
          <w:tcPr>
            <w:tcW w:w="693" w:type="dxa"/>
            <w:tcBorders>
              <w:top w:val="single" w:color="000000" w:sz="4" w:space="0"/>
              <w:left w:val="single" w:color="000000" w:sz="4" w:space="0"/>
              <w:bottom w:val="single" w:color="000000" w:sz="4" w:space="0"/>
              <w:right w:val="single" w:color="000000" w:sz="4" w:space="0"/>
            </w:tcBorders>
            <w:noWrap/>
            <w:vAlign w:val="center"/>
          </w:tcPr>
          <w:p w14:paraId="4DC0D2FA">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25</w:t>
            </w:r>
          </w:p>
        </w:tc>
        <w:tc>
          <w:tcPr>
            <w:tcW w:w="1371" w:type="dxa"/>
            <w:tcBorders>
              <w:top w:val="single" w:color="000000" w:sz="4" w:space="0"/>
              <w:left w:val="single" w:color="000000" w:sz="4" w:space="0"/>
              <w:bottom w:val="single" w:color="000000" w:sz="4" w:space="0"/>
              <w:right w:val="single" w:color="000000" w:sz="4" w:space="0"/>
            </w:tcBorders>
            <w:vAlign w:val="center"/>
          </w:tcPr>
          <w:p w14:paraId="796AB1F5">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消毒灯</w:t>
            </w:r>
          </w:p>
        </w:tc>
        <w:tc>
          <w:tcPr>
            <w:tcW w:w="5493" w:type="dxa"/>
            <w:tcBorders>
              <w:top w:val="single" w:color="000000" w:sz="4" w:space="0"/>
              <w:left w:val="single" w:color="000000" w:sz="4" w:space="0"/>
              <w:bottom w:val="single" w:color="000000" w:sz="4" w:space="0"/>
              <w:right w:val="single" w:color="000000" w:sz="4" w:space="0"/>
            </w:tcBorders>
            <w:vAlign w:val="center"/>
          </w:tcPr>
          <w:p w14:paraId="0D3A0ED9">
            <w:pPr>
              <w:widowControl/>
              <w:jc w:val="left"/>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特制UV光学技术透光管，紫外线消杀灯管，寿命长</w:t>
            </w:r>
          </w:p>
        </w:tc>
        <w:tc>
          <w:tcPr>
            <w:tcW w:w="640" w:type="dxa"/>
            <w:tcBorders>
              <w:top w:val="single" w:color="000000" w:sz="4" w:space="0"/>
              <w:left w:val="single" w:color="000000" w:sz="4" w:space="0"/>
              <w:bottom w:val="single" w:color="000000" w:sz="4" w:space="0"/>
              <w:right w:val="single" w:color="000000" w:sz="4" w:space="0"/>
            </w:tcBorders>
            <w:noWrap/>
            <w:vAlign w:val="center"/>
          </w:tcPr>
          <w:p w14:paraId="075864A4">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台</w:t>
            </w:r>
          </w:p>
        </w:tc>
        <w:tc>
          <w:tcPr>
            <w:tcW w:w="707" w:type="dxa"/>
            <w:tcBorders>
              <w:top w:val="single" w:color="000000" w:sz="4" w:space="0"/>
              <w:left w:val="single" w:color="000000" w:sz="4" w:space="0"/>
              <w:bottom w:val="single" w:color="000000" w:sz="4" w:space="0"/>
              <w:right w:val="single" w:color="000000" w:sz="4" w:space="0"/>
            </w:tcBorders>
            <w:noWrap/>
            <w:vAlign w:val="center"/>
          </w:tcPr>
          <w:p w14:paraId="651997D4">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4</w:t>
            </w:r>
          </w:p>
        </w:tc>
      </w:tr>
      <w:tr w14:paraId="35412BDD">
        <w:tblPrEx>
          <w:tblCellMar>
            <w:top w:w="0" w:type="dxa"/>
            <w:left w:w="108" w:type="dxa"/>
            <w:bottom w:w="0" w:type="dxa"/>
            <w:right w:w="108" w:type="dxa"/>
          </w:tblCellMar>
        </w:tblPrEx>
        <w:trPr>
          <w:trHeight w:val="580" w:hRule="atLeast"/>
        </w:trPr>
        <w:tc>
          <w:tcPr>
            <w:tcW w:w="693" w:type="dxa"/>
            <w:tcBorders>
              <w:top w:val="single" w:color="000000" w:sz="4" w:space="0"/>
              <w:left w:val="single" w:color="000000" w:sz="4" w:space="0"/>
              <w:bottom w:val="single" w:color="000000" w:sz="4" w:space="0"/>
              <w:right w:val="single" w:color="000000" w:sz="4" w:space="0"/>
            </w:tcBorders>
            <w:vAlign w:val="center"/>
          </w:tcPr>
          <w:p w14:paraId="0E06D792">
            <w:pPr>
              <w:jc w:val="center"/>
              <w:rPr>
                <w:rFonts w:hint="eastAsia" w:ascii="宋体" w:hAnsi="宋体"/>
                <w:color w:val="auto"/>
                <w:sz w:val="22"/>
                <w:szCs w:val="22"/>
                <w:highlight w:val="none"/>
              </w:rPr>
            </w:pPr>
          </w:p>
        </w:tc>
        <w:tc>
          <w:tcPr>
            <w:tcW w:w="1371" w:type="dxa"/>
            <w:tcBorders>
              <w:top w:val="single" w:color="000000" w:sz="4" w:space="0"/>
              <w:left w:val="single" w:color="000000" w:sz="4" w:space="0"/>
              <w:bottom w:val="single" w:color="000000" w:sz="4" w:space="0"/>
              <w:right w:val="single" w:color="000000" w:sz="4" w:space="0"/>
            </w:tcBorders>
            <w:vAlign w:val="center"/>
          </w:tcPr>
          <w:p w14:paraId="3788BA28">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面点间</w:t>
            </w:r>
          </w:p>
        </w:tc>
        <w:tc>
          <w:tcPr>
            <w:tcW w:w="5493" w:type="dxa"/>
            <w:tcBorders>
              <w:top w:val="single" w:color="000000" w:sz="4" w:space="0"/>
              <w:left w:val="single" w:color="000000" w:sz="4" w:space="0"/>
              <w:bottom w:val="single" w:color="000000" w:sz="4" w:space="0"/>
              <w:right w:val="single" w:color="000000" w:sz="4" w:space="0"/>
            </w:tcBorders>
            <w:vAlign w:val="center"/>
          </w:tcPr>
          <w:p w14:paraId="135A5A44">
            <w:pPr>
              <w:jc w:val="left"/>
              <w:rPr>
                <w:rFonts w:hint="eastAsia" w:ascii="宋体" w:hAnsi="宋体"/>
                <w:color w:val="auto"/>
                <w:sz w:val="22"/>
                <w:szCs w:val="22"/>
                <w:highlight w:val="none"/>
              </w:rPr>
            </w:pPr>
          </w:p>
        </w:tc>
        <w:tc>
          <w:tcPr>
            <w:tcW w:w="640" w:type="dxa"/>
            <w:tcBorders>
              <w:top w:val="single" w:color="000000" w:sz="4" w:space="0"/>
              <w:left w:val="single" w:color="000000" w:sz="4" w:space="0"/>
              <w:bottom w:val="single" w:color="000000" w:sz="4" w:space="0"/>
              <w:right w:val="single" w:color="000000" w:sz="4" w:space="0"/>
            </w:tcBorders>
            <w:vAlign w:val="center"/>
          </w:tcPr>
          <w:p w14:paraId="0C458BFE">
            <w:pPr>
              <w:jc w:val="center"/>
              <w:rPr>
                <w:rFonts w:hint="eastAsia" w:ascii="宋体" w:hAnsi="宋体"/>
                <w:color w:val="auto"/>
                <w:sz w:val="22"/>
                <w:szCs w:val="22"/>
                <w:highlight w:val="none"/>
              </w:rPr>
            </w:pPr>
          </w:p>
        </w:tc>
        <w:tc>
          <w:tcPr>
            <w:tcW w:w="707" w:type="dxa"/>
            <w:tcBorders>
              <w:top w:val="single" w:color="000000" w:sz="4" w:space="0"/>
              <w:left w:val="single" w:color="000000" w:sz="4" w:space="0"/>
              <w:bottom w:val="single" w:color="000000" w:sz="4" w:space="0"/>
              <w:right w:val="single" w:color="000000" w:sz="4" w:space="0"/>
            </w:tcBorders>
            <w:noWrap/>
            <w:vAlign w:val="center"/>
          </w:tcPr>
          <w:p w14:paraId="631845F8">
            <w:pPr>
              <w:jc w:val="center"/>
              <w:rPr>
                <w:rFonts w:hint="eastAsia" w:ascii="宋体" w:hAnsi="宋体"/>
                <w:color w:val="auto"/>
                <w:sz w:val="22"/>
                <w:szCs w:val="22"/>
                <w:highlight w:val="none"/>
              </w:rPr>
            </w:pPr>
          </w:p>
        </w:tc>
      </w:tr>
      <w:tr w14:paraId="3328F2DA">
        <w:tblPrEx>
          <w:tblCellMar>
            <w:top w:w="0" w:type="dxa"/>
            <w:left w:w="108" w:type="dxa"/>
            <w:bottom w:w="0" w:type="dxa"/>
            <w:right w:w="108" w:type="dxa"/>
          </w:tblCellMar>
        </w:tblPrEx>
        <w:trPr>
          <w:trHeight w:val="580" w:hRule="atLeast"/>
        </w:trPr>
        <w:tc>
          <w:tcPr>
            <w:tcW w:w="693" w:type="dxa"/>
            <w:tcBorders>
              <w:top w:val="single" w:color="000000" w:sz="4" w:space="0"/>
              <w:left w:val="single" w:color="000000" w:sz="4" w:space="0"/>
              <w:bottom w:val="single" w:color="000000" w:sz="4" w:space="0"/>
              <w:right w:val="single" w:color="000000" w:sz="4" w:space="0"/>
            </w:tcBorders>
            <w:noWrap/>
            <w:vAlign w:val="center"/>
          </w:tcPr>
          <w:p w14:paraId="203C7EED">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26</w:t>
            </w:r>
          </w:p>
        </w:tc>
        <w:tc>
          <w:tcPr>
            <w:tcW w:w="1371" w:type="dxa"/>
            <w:tcBorders>
              <w:top w:val="single" w:color="000000" w:sz="4" w:space="0"/>
              <w:left w:val="single" w:color="000000" w:sz="4" w:space="0"/>
              <w:bottom w:val="single" w:color="000000" w:sz="4" w:space="0"/>
              <w:right w:val="single" w:color="000000" w:sz="4" w:space="0"/>
            </w:tcBorders>
            <w:vAlign w:val="center"/>
          </w:tcPr>
          <w:p w14:paraId="4BDE0212">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电饼铛</w:t>
            </w:r>
          </w:p>
        </w:tc>
        <w:tc>
          <w:tcPr>
            <w:tcW w:w="5493" w:type="dxa"/>
            <w:tcBorders>
              <w:top w:val="single" w:color="000000" w:sz="4" w:space="0"/>
              <w:left w:val="single" w:color="000000" w:sz="4" w:space="0"/>
              <w:bottom w:val="single" w:color="000000" w:sz="4" w:space="0"/>
              <w:right w:val="single" w:color="000000" w:sz="4" w:space="0"/>
            </w:tcBorders>
            <w:vAlign w:val="center"/>
          </w:tcPr>
          <w:p w14:paraId="1F023A51">
            <w:pPr>
              <w:widowControl/>
              <w:jc w:val="left"/>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规格：≤650*800*900mm，功率5KW，采用优质304食品级不锈钢板材，配有自动控温系统及电源指示与工作指示，以现场实际摆放为准</w:t>
            </w:r>
          </w:p>
        </w:tc>
        <w:tc>
          <w:tcPr>
            <w:tcW w:w="640" w:type="dxa"/>
            <w:tcBorders>
              <w:top w:val="single" w:color="000000" w:sz="4" w:space="0"/>
              <w:left w:val="single" w:color="000000" w:sz="4" w:space="0"/>
              <w:bottom w:val="single" w:color="000000" w:sz="4" w:space="0"/>
              <w:right w:val="single" w:color="000000" w:sz="4" w:space="0"/>
            </w:tcBorders>
            <w:noWrap/>
            <w:vAlign w:val="center"/>
          </w:tcPr>
          <w:p w14:paraId="3383FDBC">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台</w:t>
            </w:r>
          </w:p>
        </w:tc>
        <w:tc>
          <w:tcPr>
            <w:tcW w:w="707" w:type="dxa"/>
            <w:tcBorders>
              <w:top w:val="single" w:color="000000" w:sz="4" w:space="0"/>
              <w:left w:val="single" w:color="000000" w:sz="4" w:space="0"/>
              <w:bottom w:val="single" w:color="000000" w:sz="4" w:space="0"/>
              <w:right w:val="single" w:color="000000" w:sz="4" w:space="0"/>
            </w:tcBorders>
            <w:noWrap/>
            <w:vAlign w:val="center"/>
          </w:tcPr>
          <w:p w14:paraId="69A9D3A3">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2</w:t>
            </w:r>
          </w:p>
        </w:tc>
      </w:tr>
      <w:tr w14:paraId="06B3BD01">
        <w:tblPrEx>
          <w:tblCellMar>
            <w:top w:w="0" w:type="dxa"/>
            <w:left w:w="108" w:type="dxa"/>
            <w:bottom w:w="0" w:type="dxa"/>
            <w:right w:w="108" w:type="dxa"/>
          </w:tblCellMar>
        </w:tblPrEx>
        <w:trPr>
          <w:trHeight w:val="580" w:hRule="atLeast"/>
        </w:trPr>
        <w:tc>
          <w:tcPr>
            <w:tcW w:w="693" w:type="dxa"/>
            <w:tcBorders>
              <w:top w:val="single" w:color="000000" w:sz="4" w:space="0"/>
              <w:left w:val="single" w:color="000000" w:sz="4" w:space="0"/>
              <w:bottom w:val="single" w:color="000000" w:sz="4" w:space="0"/>
              <w:right w:val="single" w:color="000000" w:sz="4" w:space="0"/>
            </w:tcBorders>
            <w:noWrap/>
            <w:vAlign w:val="center"/>
          </w:tcPr>
          <w:p w14:paraId="44F9587B">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27</w:t>
            </w:r>
          </w:p>
        </w:tc>
        <w:tc>
          <w:tcPr>
            <w:tcW w:w="1371" w:type="dxa"/>
            <w:tcBorders>
              <w:top w:val="single" w:color="000000" w:sz="4" w:space="0"/>
              <w:left w:val="single" w:color="000000" w:sz="4" w:space="0"/>
              <w:bottom w:val="single" w:color="000000" w:sz="4" w:space="0"/>
              <w:right w:val="single" w:color="000000" w:sz="4" w:space="0"/>
            </w:tcBorders>
            <w:vAlign w:val="center"/>
          </w:tcPr>
          <w:p w14:paraId="2CC444DF">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多层置物架</w:t>
            </w:r>
          </w:p>
        </w:tc>
        <w:tc>
          <w:tcPr>
            <w:tcW w:w="5493" w:type="dxa"/>
            <w:tcBorders>
              <w:top w:val="single" w:color="000000" w:sz="4" w:space="0"/>
              <w:left w:val="single" w:color="000000" w:sz="4" w:space="0"/>
              <w:bottom w:val="single" w:color="000000" w:sz="4" w:space="0"/>
              <w:right w:val="single" w:color="000000" w:sz="4" w:space="0"/>
            </w:tcBorders>
            <w:vAlign w:val="center"/>
          </w:tcPr>
          <w:p w14:paraId="0092DEDB">
            <w:pPr>
              <w:widowControl/>
              <w:jc w:val="left"/>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规格：≤470*850*1740mm，采用304不锈钢板材，约48*1.2圆管，每层承重120公斤，底层离地150MM，层板采用约1.2MM不锈钢，底部U型加强支撑，配不锈钢可调节子弹脚，以现场实际摆放为准</w:t>
            </w:r>
          </w:p>
        </w:tc>
        <w:tc>
          <w:tcPr>
            <w:tcW w:w="640" w:type="dxa"/>
            <w:tcBorders>
              <w:top w:val="single" w:color="000000" w:sz="4" w:space="0"/>
              <w:left w:val="single" w:color="000000" w:sz="4" w:space="0"/>
              <w:bottom w:val="single" w:color="000000" w:sz="4" w:space="0"/>
              <w:right w:val="single" w:color="000000" w:sz="4" w:space="0"/>
            </w:tcBorders>
            <w:noWrap/>
            <w:vAlign w:val="center"/>
          </w:tcPr>
          <w:p w14:paraId="1D7C21BF">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台</w:t>
            </w:r>
          </w:p>
        </w:tc>
        <w:tc>
          <w:tcPr>
            <w:tcW w:w="707" w:type="dxa"/>
            <w:tcBorders>
              <w:top w:val="single" w:color="000000" w:sz="4" w:space="0"/>
              <w:left w:val="single" w:color="000000" w:sz="4" w:space="0"/>
              <w:bottom w:val="single" w:color="000000" w:sz="4" w:space="0"/>
              <w:right w:val="single" w:color="000000" w:sz="4" w:space="0"/>
            </w:tcBorders>
            <w:noWrap/>
            <w:vAlign w:val="center"/>
          </w:tcPr>
          <w:p w14:paraId="3E2759FB">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6</w:t>
            </w:r>
          </w:p>
        </w:tc>
      </w:tr>
      <w:tr w14:paraId="6EB77750">
        <w:tblPrEx>
          <w:tblCellMar>
            <w:top w:w="0" w:type="dxa"/>
            <w:left w:w="108" w:type="dxa"/>
            <w:bottom w:w="0" w:type="dxa"/>
            <w:right w:w="108" w:type="dxa"/>
          </w:tblCellMar>
        </w:tblPrEx>
        <w:trPr>
          <w:trHeight w:val="580" w:hRule="atLeast"/>
        </w:trPr>
        <w:tc>
          <w:tcPr>
            <w:tcW w:w="693" w:type="dxa"/>
            <w:tcBorders>
              <w:top w:val="single" w:color="000000" w:sz="4" w:space="0"/>
              <w:left w:val="single" w:color="000000" w:sz="4" w:space="0"/>
              <w:bottom w:val="single" w:color="000000" w:sz="4" w:space="0"/>
              <w:right w:val="single" w:color="000000" w:sz="4" w:space="0"/>
            </w:tcBorders>
            <w:noWrap/>
            <w:vAlign w:val="center"/>
          </w:tcPr>
          <w:p w14:paraId="38667DD2">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28</w:t>
            </w:r>
          </w:p>
        </w:tc>
        <w:tc>
          <w:tcPr>
            <w:tcW w:w="1371" w:type="dxa"/>
            <w:tcBorders>
              <w:top w:val="single" w:color="000000" w:sz="4" w:space="0"/>
              <w:left w:val="single" w:color="000000" w:sz="4" w:space="0"/>
              <w:bottom w:val="single" w:color="000000" w:sz="4" w:space="0"/>
              <w:right w:val="single" w:color="000000" w:sz="4" w:space="0"/>
            </w:tcBorders>
            <w:vAlign w:val="center"/>
          </w:tcPr>
          <w:p w14:paraId="4EF5AC71">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36盘电加热蒸饭柜</w:t>
            </w:r>
          </w:p>
        </w:tc>
        <w:tc>
          <w:tcPr>
            <w:tcW w:w="5493" w:type="dxa"/>
            <w:tcBorders>
              <w:top w:val="single" w:color="000000" w:sz="4" w:space="0"/>
              <w:left w:val="single" w:color="000000" w:sz="4" w:space="0"/>
              <w:bottom w:val="single" w:color="000000" w:sz="4" w:space="0"/>
              <w:right w:val="single" w:color="000000" w:sz="4" w:space="0"/>
            </w:tcBorders>
            <w:vAlign w:val="center"/>
          </w:tcPr>
          <w:p w14:paraId="41E54C02">
            <w:pPr>
              <w:widowControl/>
              <w:jc w:val="left"/>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规格：≤1540*850*1740mm，304不锈钢材质电热管，纯铜蒸汽帽，自动进水，自带缺水断电保护功能，防干烧，使用安全放心，六螺栓大合页，更牢固耐用，柜体两侧支承筋条，经久耐用不变形，自动调节温度和时间，更实用省心，高效节能，以现场实际摆放为准</w:t>
            </w:r>
          </w:p>
        </w:tc>
        <w:tc>
          <w:tcPr>
            <w:tcW w:w="640" w:type="dxa"/>
            <w:tcBorders>
              <w:top w:val="single" w:color="000000" w:sz="4" w:space="0"/>
              <w:left w:val="single" w:color="000000" w:sz="4" w:space="0"/>
              <w:bottom w:val="single" w:color="000000" w:sz="4" w:space="0"/>
              <w:right w:val="single" w:color="000000" w:sz="4" w:space="0"/>
            </w:tcBorders>
            <w:noWrap/>
            <w:vAlign w:val="center"/>
          </w:tcPr>
          <w:p w14:paraId="14A1C438">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台</w:t>
            </w:r>
          </w:p>
        </w:tc>
        <w:tc>
          <w:tcPr>
            <w:tcW w:w="707" w:type="dxa"/>
            <w:tcBorders>
              <w:top w:val="single" w:color="000000" w:sz="4" w:space="0"/>
              <w:left w:val="single" w:color="000000" w:sz="4" w:space="0"/>
              <w:bottom w:val="single" w:color="000000" w:sz="4" w:space="0"/>
              <w:right w:val="single" w:color="000000" w:sz="4" w:space="0"/>
            </w:tcBorders>
            <w:noWrap/>
            <w:vAlign w:val="center"/>
          </w:tcPr>
          <w:p w14:paraId="1CF14381">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6</w:t>
            </w:r>
          </w:p>
        </w:tc>
      </w:tr>
      <w:tr w14:paraId="3C96E7E8">
        <w:tblPrEx>
          <w:tblCellMar>
            <w:top w:w="0" w:type="dxa"/>
            <w:left w:w="108" w:type="dxa"/>
            <w:bottom w:w="0" w:type="dxa"/>
            <w:right w:w="108" w:type="dxa"/>
          </w:tblCellMar>
        </w:tblPrEx>
        <w:trPr>
          <w:trHeight w:val="580" w:hRule="atLeast"/>
        </w:trPr>
        <w:tc>
          <w:tcPr>
            <w:tcW w:w="693" w:type="dxa"/>
            <w:tcBorders>
              <w:top w:val="single" w:color="000000" w:sz="4" w:space="0"/>
              <w:left w:val="single" w:color="000000" w:sz="4" w:space="0"/>
              <w:bottom w:val="single" w:color="000000" w:sz="4" w:space="0"/>
              <w:right w:val="single" w:color="000000" w:sz="4" w:space="0"/>
            </w:tcBorders>
            <w:noWrap/>
            <w:vAlign w:val="center"/>
          </w:tcPr>
          <w:p w14:paraId="0F6934E5">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29</w:t>
            </w:r>
          </w:p>
        </w:tc>
        <w:tc>
          <w:tcPr>
            <w:tcW w:w="1371" w:type="dxa"/>
            <w:tcBorders>
              <w:top w:val="single" w:color="000000" w:sz="4" w:space="0"/>
              <w:left w:val="single" w:color="000000" w:sz="4" w:space="0"/>
              <w:bottom w:val="single" w:color="000000" w:sz="4" w:space="0"/>
              <w:right w:val="single" w:color="000000" w:sz="4" w:space="0"/>
            </w:tcBorders>
            <w:vAlign w:val="center"/>
          </w:tcPr>
          <w:p w14:paraId="521F0058">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双温六门冰柜</w:t>
            </w:r>
          </w:p>
        </w:tc>
        <w:tc>
          <w:tcPr>
            <w:tcW w:w="5493" w:type="dxa"/>
            <w:tcBorders>
              <w:top w:val="single" w:color="000000" w:sz="4" w:space="0"/>
              <w:left w:val="single" w:color="000000" w:sz="4" w:space="0"/>
              <w:bottom w:val="single" w:color="000000" w:sz="4" w:space="0"/>
              <w:right w:val="single" w:color="000000" w:sz="4" w:space="0"/>
            </w:tcBorders>
            <w:vAlign w:val="center"/>
          </w:tcPr>
          <w:p w14:paraId="0A5D10EE">
            <w:pPr>
              <w:widowControl/>
              <w:jc w:val="left"/>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规格：≤1800*710*1930mm，整体发泡全铜管，自动回位门，不锈钢约20MM*20MM方管层架，易承重不不变形，大容量，内胆一次性拉伸，东贝压缩机，终身质保，配可调节50MM地脚，以现场实际摆放为准</w:t>
            </w:r>
          </w:p>
        </w:tc>
        <w:tc>
          <w:tcPr>
            <w:tcW w:w="640" w:type="dxa"/>
            <w:tcBorders>
              <w:top w:val="single" w:color="000000" w:sz="4" w:space="0"/>
              <w:left w:val="single" w:color="000000" w:sz="4" w:space="0"/>
              <w:bottom w:val="single" w:color="000000" w:sz="4" w:space="0"/>
              <w:right w:val="single" w:color="000000" w:sz="4" w:space="0"/>
            </w:tcBorders>
            <w:noWrap/>
            <w:vAlign w:val="center"/>
          </w:tcPr>
          <w:p w14:paraId="2F5F2F96">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台</w:t>
            </w:r>
          </w:p>
        </w:tc>
        <w:tc>
          <w:tcPr>
            <w:tcW w:w="707" w:type="dxa"/>
            <w:tcBorders>
              <w:top w:val="single" w:color="000000" w:sz="4" w:space="0"/>
              <w:left w:val="single" w:color="000000" w:sz="4" w:space="0"/>
              <w:bottom w:val="single" w:color="000000" w:sz="4" w:space="0"/>
              <w:right w:val="single" w:color="000000" w:sz="4" w:space="0"/>
            </w:tcBorders>
            <w:noWrap/>
            <w:vAlign w:val="center"/>
          </w:tcPr>
          <w:p w14:paraId="71B15F03">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4</w:t>
            </w:r>
          </w:p>
        </w:tc>
      </w:tr>
      <w:tr w14:paraId="707B2AD1">
        <w:tblPrEx>
          <w:tblCellMar>
            <w:top w:w="0" w:type="dxa"/>
            <w:left w:w="108" w:type="dxa"/>
            <w:bottom w:w="0" w:type="dxa"/>
            <w:right w:w="108" w:type="dxa"/>
          </w:tblCellMar>
        </w:tblPrEx>
        <w:trPr>
          <w:trHeight w:val="580" w:hRule="atLeast"/>
        </w:trPr>
        <w:tc>
          <w:tcPr>
            <w:tcW w:w="693" w:type="dxa"/>
            <w:tcBorders>
              <w:top w:val="single" w:color="000000" w:sz="4" w:space="0"/>
              <w:left w:val="single" w:color="000000" w:sz="4" w:space="0"/>
              <w:bottom w:val="single" w:color="000000" w:sz="4" w:space="0"/>
              <w:right w:val="single" w:color="000000" w:sz="4" w:space="0"/>
            </w:tcBorders>
            <w:noWrap/>
            <w:vAlign w:val="center"/>
          </w:tcPr>
          <w:p w14:paraId="044B85D4">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30</w:t>
            </w:r>
          </w:p>
        </w:tc>
        <w:tc>
          <w:tcPr>
            <w:tcW w:w="1371" w:type="dxa"/>
            <w:tcBorders>
              <w:top w:val="single" w:color="000000" w:sz="4" w:space="0"/>
              <w:left w:val="single" w:color="000000" w:sz="4" w:space="0"/>
              <w:bottom w:val="single" w:color="000000" w:sz="4" w:space="0"/>
              <w:right w:val="single" w:color="000000" w:sz="4" w:space="0"/>
            </w:tcBorders>
            <w:vAlign w:val="center"/>
          </w:tcPr>
          <w:p w14:paraId="6059C19F">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双温四门冰柜</w:t>
            </w:r>
          </w:p>
        </w:tc>
        <w:tc>
          <w:tcPr>
            <w:tcW w:w="5493" w:type="dxa"/>
            <w:tcBorders>
              <w:top w:val="single" w:color="000000" w:sz="4" w:space="0"/>
              <w:left w:val="single" w:color="000000" w:sz="4" w:space="0"/>
              <w:bottom w:val="single" w:color="000000" w:sz="4" w:space="0"/>
              <w:right w:val="single" w:color="000000" w:sz="4" w:space="0"/>
            </w:tcBorders>
            <w:vAlign w:val="center"/>
          </w:tcPr>
          <w:p w14:paraId="6E65E606">
            <w:pPr>
              <w:widowControl/>
              <w:jc w:val="left"/>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规格：≤1200*710*1930mm，整体发泡全铜管，自动回位门，不锈钢20MM*20MM方管层架，易承重不不变形，大容量，内胆一次性拉伸，东贝压缩机，终身质保，配可调节50MM地脚，以现场实际摆放为准</w:t>
            </w:r>
          </w:p>
        </w:tc>
        <w:tc>
          <w:tcPr>
            <w:tcW w:w="640" w:type="dxa"/>
            <w:tcBorders>
              <w:top w:val="single" w:color="000000" w:sz="4" w:space="0"/>
              <w:left w:val="single" w:color="000000" w:sz="4" w:space="0"/>
              <w:bottom w:val="single" w:color="000000" w:sz="4" w:space="0"/>
              <w:right w:val="single" w:color="000000" w:sz="4" w:space="0"/>
            </w:tcBorders>
            <w:noWrap/>
            <w:vAlign w:val="center"/>
          </w:tcPr>
          <w:p w14:paraId="56365848">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台</w:t>
            </w:r>
          </w:p>
        </w:tc>
        <w:tc>
          <w:tcPr>
            <w:tcW w:w="707" w:type="dxa"/>
            <w:tcBorders>
              <w:top w:val="single" w:color="000000" w:sz="4" w:space="0"/>
              <w:left w:val="single" w:color="000000" w:sz="4" w:space="0"/>
              <w:bottom w:val="single" w:color="000000" w:sz="4" w:space="0"/>
              <w:right w:val="single" w:color="000000" w:sz="4" w:space="0"/>
            </w:tcBorders>
            <w:noWrap/>
            <w:vAlign w:val="center"/>
          </w:tcPr>
          <w:p w14:paraId="7DE5B5C4">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4</w:t>
            </w:r>
          </w:p>
        </w:tc>
      </w:tr>
      <w:tr w14:paraId="53EA44EC">
        <w:tblPrEx>
          <w:tblCellMar>
            <w:top w:w="0" w:type="dxa"/>
            <w:left w:w="108" w:type="dxa"/>
            <w:bottom w:w="0" w:type="dxa"/>
            <w:right w:w="108" w:type="dxa"/>
          </w:tblCellMar>
        </w:tblPrEx>
        <w:trPr>
          <w:trHeight w:val="580" w:hRule="atLeast"/>
        </w:trPr>
        <w:tc>
          <w:tcPr>
            <w:tcW w:w="693" w:type="dxa"/>
            <w:tcBorders>
              <w:top w:val="single" w:color="000000" w:sz="4" w:space="0"/>
              <w:left w:val="single" w:color="000000" w:sz="4" w:space="0"/>
              <w:bottom w:val="single" w:color="000000" w:sz="4" w:space="0"/>
              <w:right w:val="single" w:color="000000" w:sz="4" w:space="0"/>
            </w:tcBorders>
            <w:noWrap/>
            <w:vAlign w:val="center"/>
          </w:tcPr>
          <w:p w14:paraId="402695A1">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31</w:t>
            </w:r>
          </w:p>
        </w:tc>
        <w:tc>
          <w:tcPr>
            <w:tcW w:w="1371" w:type="dxa"/>
            <w:tcBorders>
              <w:top w:val="single" w:color="000000" w:sz="4" w:space="0"/>
              <w:left w:val="single" w:color="000000" w:sz="4" w:space="0"/>
              <w:bottom w:val="single" w:color="000000" w:sz="4" w:space="0"/>
              <w:right w:val="single" w:color="000000" w:sz="4" w:space="0"/>
            </w:tcBorders>
            <w:vAlign w:val="center"/>
          </w:tcPr>
          <w:p w14:paraId="23470527">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多功能洗地水龙头</w:t>
            </w:r>
          </w:p>
        </w:tc>
        <w:tc>
          <w:tcPr>
            <w:tcW w:w="5493" w:type="dxa"/>
            <w:tcBorders>
              <w:top w:val="single" w:color="000000" w:sz="4" w:space="0"/>
              <w:left w:val="single" w:color="000000" w:sz="4" w:space="0"/>
              <w:bottom w:val="single" w:color="000000" w:sz="4" w:space="0"/>
              <w:right w:val="single" w:color="000000" w:sz="4" w:space="0"/>
            </w:tcBorders>
            <w:vAlign w:val="center"/>
          </w:tcPr>
          <w:p w14:paraId="769D5D77">
            <w:pPr>
              <w:widowControl/>
              <w:jc w:val="left"/>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规格：≤15米，自动伸缩高防腐，开放式洗地龙头，碳钢喷涂主体，铝制进水口，食品级树脂胶管，耐高温100度，金属枪头，可调节直线或花洒，以现场实际摆放为准</w:t>
            </w:r>
          </w:p>
        </w:tc>
        <w:tc>
          <w:tcPr>
            <w:tcW w:w="640" w:type="dxa"/>
            <w:tcBorders>
              <w:top w:val="single" w:color="000000" w:sz="4" w:space="0"/>
              <w:left w:val="single" w:color="000000" w:sz="4" w:space="0"/>
              <w:bottom w:val="single" w:color="000000" w:sz="4" w:space="0"/>
              <w:right w:val="single" w:color="000000" w:sz="4" w:space="0"/>
            </w:tcBorders>
            <w:noWrap/>
            <w:vAlign w:val="center"/>
          </w:tcPr>
          <w:p w14:paraId="0E179632">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台</w:t>
            </w:r>
          </w:p>
        </w:tc>
        <w:tc>
          <w:tcPr>
            <w:tcW w:w="707" w:type="dxa"/>
            <w:tcBorders>
              <w:top w:val="single" w:color="000000" w:sz="4" w:space="0"/>
              <w:left w:val="single" w:color="000000" w:sz="4" w:space="0"/>
              <w:bottom w:val="single" w:color="000000" w:sz="4" w:space="0"/>
              <w:right w:val="single" w:color="000000" w:sz="4" w:space="0"/>
            </w:tcBorders>
            <w:noWrap/>
            <w:vAlign w:val="center"/>
          </w:tcPr>
          <w:p w14:paraId="39E9A84C">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2</w:t>
            </w:r>
          </w:p>
        </w:tc>
      </w:tr>
      <w:tr w14:paraId="114EFF66">
        <w:tblPrEx>
          <w:tblCellMar>
            <w:top w:w="0" w:type="dxa"/>
            <w:left w:w="108" w:type="dxa"/>
            <w:bottom w:w="0" w:type="dxa"/>
            <w:right w:w="108" w:type="dxa"/>
          </w:tblCellMar>
        </w:tblPrEx>
        <w:trPr>
          <w:trHeight w:val="580" w:hRule="atLeast"/>
        </w:trPr>
        <w:tc>
          <w:tcPr>
            <w:tcW w:w="693" w:type="dxa"/>
            <w:tcBorders>
              <w:top w:val="single" w:color="000000" w:sz="4" w:space="0"/>
              <w:left w:val="single" w:color="000000" w:sz="4" w:space="0"/>
              <w:bottom w:val="single" w:color="000000" w:sz="4" w:space="0"/>
              <w:right w:val="single" w:color="000000" w:sz="4" w:space="0"/>
            </w:tcBorders>
            <w:noWrap/>
            <w:vAlign w:val="center"/>
          </w:tcPr>
          <w:p w14:paraId="5D62FF5A">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32</w:t>
            </w:r>
          </w:p>
        </w:tc>
        <w:tc>
          <w:tcPr>
            <w:tcW w:w="1371" w:type="dxa"/>
            <w:tcBorders>
              <w:top w:val="single" w:color="000000" w:sz="4" w:space="0"/>
              <w:left w:val="single" w:color="000000" w:sz="4" w:space="0"/>
              <w:bottom w:val="single" w:color="000000" w:sz="4" w:space="0"/>
              <w:right w:val="single" w:color="000000" w:sz="4" w:space="0"/>
            </w:tcBorders>
            <w:vAlign w:val="center"/>
          </w:tcPr>
          <w:p w14:paraId="39EB15EF">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保鲜工作台</w:t>
            </w:r>
          </w:p>
        </w:tc>
        <w:tc>
          <w:tcPr>
            <w:tcW w:w="5493" w:type="dxa"/>
            <w:tcBorders>
              <w:top w:val="single" w:color="000000" w:sz="4" w:space="0"/>
              <w:left w:val="single" w:color="000000" w:sz="4" w:space="0"/>
              <w:bottom w:val="single" w:color="000000" w:sz="4" w:space="0"/>
              <w:right w:val="single" w:color="000000" w:sz="4" w:space="0"/>
            </w:tcBorders>
            <w:vAlign w:val="center"/>
          </w:tcPr>
          <w:p w14:paraId="0AB53D6E">
            <w:pPr>
              <w:widowControl/>
              <w:jc w:val="left"/>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规格：≤1800*800*800mm，整体发泡全铜管，自动回位门，不锈钢约20MM*20MM方管层架，易承重不不变形，大容量，内胆一次性拉伸，东贝压缩机，终身质保，配可调节50MM地脚，以现场实际摆放为准</w:t>
            </w:r>
          </w:p>
        </w:tc>
        <w:tc>
          <w:tcPr>
            <w:tcW w:w="640" w:type="dxa"/>
            <w:tcBorders>
              <w:top w:val="single" w:color="000000" w:sz="4" w:space="0"/>
              <w:left w:val="single" w:color="000000" w:sz="4" w:space="0"/>
              <w:bottom w:val="single" w:color="000000" w:sz="4" w:space="0"/>
              <w:right w:val="single" w:color="000000" w:sz="4" w:space="0"/>
            </w:tcBorders>
            <w:noWrap/>
            <w:vAlign w:val="center"/>
          </w:tcPr>
          <w:p w14:paraId="66026300">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台</w:t>
            </w:r>
          </w:p>
        </w:tc>
        <w:tc>
          <w:tcPr>
            <w:tcW w:w="707" w:type="dxa"/>
            <w:tcBorders>
              <w:top w:val="single" w:color="000000" w:sz="4" w:space="0"/>
              <w:left w:val="single" w:color="000000" w:sz="4" w:space="0"/>
              <w:bottom w:val="single" w:color="000000" w:sz="4" w:space="0"/>
              <w:right w:val="single" w:color="000000" w:sz="4" w:space="0"/>
            </w:tcBorders>
            <w:noWrap/>
            <w:vAlign w:val="center"/>
          </w:tcPr>
          <w:p w14:paraId="049CE021">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2</w:t>
            </w:r>
          </w:p>
        </w:tc>
      </w:tr>
      <w:tr w14:paraId="4A433419">
        <w:tblPrEx>
          <w:tblCellMar>
            <w:top w:w="0" w:type="dxa"/>
            <w:left w:w="108" w:type="dxa"/>
            <w:bottom w:w="0" w:type="dxa"/>
            <w:right w:w="108" w:type="dxa"/>
          </w:tblCellMar>
        </w:tblPrEx>
        <w:trPr>
          <w:trHeight w:val="580" w:hRule="atLeast"/>
        </w:trPr>
        <w:tc>
          <w:tcPr>
            <w:tcW w:w="693" w:type="dxa"/>
            <w:tcBorders>
              <w:top w:val="single" w:color="000000" w:sz="4" w:space="0"/>
              <w:left w:val="single" w:color="000000" w:sz="4" w:space="0"/>
              <w:bottom w:val="single" w:color="000000" w:sz="4" w:space="0"/>
              <w:right w:val="single" w:color="000000" w:sz="4" w:space="0"/>
            </w:tcBorders>
            <w:noWrap/>
            <w:vAlign w:val="center"/>
          </w:tcPr>
          <w:p w14:paraId="1EA8A261">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33</w:t>
            </w:r>
          </w:p>
        </w:tc>
        <w:tc>
          <w:tcPr>
            <w:tcW w:w="1371" w:type="dxa"/>
            <w:tcBorders>
              <w:top w:val="single" w:color="000000" w:sz="4" w:space="0"/>
              <w:left w:val="single" w:color="000000" w:sz="4" w:space="0"/>
              <w:bottom w:val="single" w:color="000000" w:sz="4" w:space="0"/>
              <w:right w:val="single" w:color="000000" w:sz="4" w:space="0"/>
            </w:tcBorders>
            <w:vAlign w:val="center"/>
          </w:tcPr>
          <w:p w14:paraId="466A312A">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单通工作台</w:t>
            </w:r>
          </w:p>
        </w:tc>
        <w:tc>
          <w:tcPr>
            <w:tcW w:w="5493" w:type="dxa"/>
            <w:tcBorders>
              <w:top w:val="single" w:color="000000" w:sz="4" w:space="0"/>
              <w:left w:val="single" w:color="000000" w:sz="4" w:space="0"/>
              <w:bottom w:val="single" w:color="000000" w:sz="4" w:space="0"/>
              <w:right w:val="single" w:color="000000" w:sz="4" w:space="0"/>
            </w:tcBorders>
            <w:vAlign w:val="center"/>
          </w:tcPr>
          <w:p w14:paraId="72ECEE7F">
            <w:pPr>
              <w:widowControl/>
              <w:jc w:val="left"/>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规格：≤1800*800*800mm，上掀门，采用304不锈钢板材，面板约1.2MM，下沉约18MM防水高密度板及不锈钢U型加强筋，中间夹层1.2MM不锈钢板，附加强筋，单边推拉门，配不锈钢调节地脚，以现场实际摆放为准</w:t>
            </w:r>
          </w:p>
        </w:tc>
        <w:tc>
          <w:tcPr>
            <w:tcW w:w="640" w:type="dxa"/>
            <w:tcBorders>
              <w:top w:val="single" w:color="000000" w:sz="4" w:space="0"/>
              <w:left w:val="single" w:color="000000" w:sz="4" w:space="0"/>
              <w:bottom w:val="single" w:color="000000" w:sz="4" w:space="0"/>
              <w:right w:val="single" w:color="000000" w:sz="4" w:space="0"/>
            </w:tcBorders>
            <w:noWrap/>
            <w:vAlign w:val="center"/>
          </w:tcPr>
          <w:p w14:paraId="068680F7">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台</w:t>
            </w:r>
          </w:p>
        </w:tc>
        <w:tc>
          <w:tcPr>
            <w:tcW w:w="707" w:type="dxa"/>
            <w:tcBorders>
              <w:top w:val="single" w:color="000000" w:sz="4" w:space="0"/>
              <w:left w:val="single" w:color="000000" w:sz="4" w:space="0"/>
              <w:bottom w:val="single" w:color="000000" w:sz="4" w:space="0"/>
              <w:right w:val="single" w:color="000000" w:sz="4" w:space="0"/>
            </w:tcBorders>
            <w:noWrap/>
            <w:vAlign w:val="center"/>
          </w:tcPr>
          <w:p w14:paraId="710E3CE6">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4</w:t>
            </w:r>
          </w:p>
        </w:tc>
      </w:tr>
      <w:tr w14:paraId="7417EBCB">
        <w:tblPrEx>
          <w:tblCellMar>
            <w:top w:w="0" w:type="dxa"/>
            <w:left w:w="108" w:type="dxa"/>
            <w:bottom w:w="0" w:type="dxa"/>
            <w:right w:w="108" w:type="dxa"/>
          </w:tblCellMar>
        </w:tblPrEx>
        <w:trPr>
          <w:trHeight w:val="580" w:hRule="atLeast"/>
        </w:trPr>
        <w:tc>
          <w:tcPr>
            <w:tcW w:w="693" w:type="dxa"/>
            <w:tcBorders>
              <w:top w:val="single" w:color="000000" w:sz="4" w:space="0"/>
              <w:left w:val="single" w:color="000000" w:sz="4" w:space="0"/>
              <w:bottom w:val="single" w:color="000000" w:sz="4" w:space="0"/>
              <w:right w:val="single" w:color="000000" w:sz="4" w:space="0"/>
            </w:tcBorders>
            <w:noWrap/>
            <w:vAlign w:val="center"/>
          </w:tcPr>
          <w:p w14:paraId="0F327655">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34</w:t>
            </w:r>
          </w:p>
        </w:tc>
        <w:tc>
          <w:tcPr>
            <w:tcW w:w="1371" w:type="dxa"/>
            <w:tcBorders>
              <w:top w:val="single" w:color="000000" w:sz="4" w:space="0"/>
              <w:left w:val="single" w:color="000000" w:sz="4" w:space="0"/>
              <w:bottom w:val="single" w:color="000000" w:sz="4" w:space="0"/>
              <w:right w:val="single" w:color="000000" w:sz="4" w:space="0"/>
            </w:tcBorders>
            <w:vAlign w:val="center"/>
          </w:tcPr>
          <w:p w14:paraId="1DF246CA">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木面工作</w:t>
            </w:r>
          </w:p>
        </w:tc>
        <w:tc>
          <w:tcPr>
            <w:tcW w:w="5493" w:type="dxa"/>
            <w:tcBorders>
              <w:top w:val="single" w:color="000000" w:sz="4" w:space="0"/>
              <w:left w:val="single" w:color="000000" w:sz="4" w:space="0"/>
              <w:bottom w:val="single" w:color="000000" w:sz="4" w:space="0"/>
              <w:right w:val="single" w:color="000000" w:sz="4" w:space="0"/>
            </w:tcBorders>
            <w:vAlign w:val="center"/>
          </w:tcPr>
          <w:p w14:paraId="729277CA">
            <w:pPr>
              <w:widowControl/>
              <w:jc w:val="left"/>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规格：≤1800*800*800mm，上掀门，采用304不锈钢板材，上层柳木包边制作，面板约1.2MM，下沉约18MM防水高密度板及不锈钢U型加强筋，中间夹层1.2MM不锈钢板，附加强筋，单边推拉门，配不锈钢调节地脚，以现场实际摆放为准</w:t>
            </w:r>
          </w:p>
        </w:tc>
        <w:tc>
          <w:tcPr>
            <w:tcW w:w="640" w:type="dxa"/>
            <w:tcBorders>
              <w:top w:val="single" w:color="000000" w:sz="4" w:space="0"/>
              <w:left w:val="single" w:color="000000" w:sz="4" w:space="0"/>
              <w:bottom w:val="single" w:color="000000" w:sz="4" w:space="0"/>
              <w:right w:val="single" w:color="000000" w:sz="4" w:space="0"/>
            </w:tcBorders>
            <w:noWrap/>
            <w:vAlign w:val="center"/>
          </w:tcPr>
          <w:p w14:paraId="780A7A5D">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台</w:t>
            </w:r>
          </w:p>
        </w:tc>
        <w:tc>
          <w:tcPr>
            <w:tcW w:w="707" w:type="dxa"/>
            <w:tcBorders>
              <w:top w:val="single" w:color="000000" w:sz="4" w:space="0"/>
              <w:left w:val="single" w:color="000000" w:sz="4" w:space="0"/>
              <w:bottom w:val="single" w:color="000000" w:sz="4" w:space="0"/>
              <w:right w:val="single" w:color="000000" w:sz="4" w:space="0"/>
            </w:tcBorders>
            <w:noWrap/>
            <w:vAlign w:val="center"/>
          </w:tcPr>
          <w:p w14:paraId="450536E6">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2</w:t>
            </w:r>
          </w:p>
        </w:tc>
      </w:tr>
      <w:tr w14:paraId="4982206F">
        <w:tblPrEx>
          <w:tblCellMar>
            <w:top w:w="0" w:type="dxa"/>
            <w:left w:w="108" w:type="dxa"/>
            <w:bottom w:w="0" w:type="dxa"/>
            <w:right w:w="108" w:type="dxa"/>
          </w:tblCellMar>
        </w:tblPrEx>
        <w:trPr>
          <w:trHeight w:val="580" w:hRule="atLeast"/>
        </w:trPr>
        <w:tc>
          <w:tcPr>
            <w:tcW w:w="693" w:type="dxa"/>
            <w:tcBorders>
              <w:top w:val="single" w:color="000000" w:sz="4" w:space="0"/>
              <w:left w:val="single" w:color="000000" w:sz="4" w:space="0"/>
              <w:bottom w:val="single" w:color="000000" w:sz="4" w:space="0"/>
              <w:right w:val="single" w:color="000000" w:sz="4" w:space="0"/>
            </w:tcBorders>
            <w:noWrap/>
            <w:vAlign w:val="center"/>
          </w:tcPr>
          <w:p w14:paraId="54BDCD92">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35</w:t>
            </w:r>
          </w:p>
        </w:tc>
        <w:tc>
          <w:tcPr>
            <w:tcW w:w="1371" w:type="dxa"/>
            <w:tcBorders>
              <w:top w:val="single" w:color="000000" w:sz="4" w:space="0"/>
              <w:left w:val="single" w:color="000000" w:sz="4" w:space="0"/>
              <w:bottom w:val="single" w:color="000000" w:sz="4" w:space="0"/>
              <w:right w:val="single" w:color="000000" w:sz="4" w:space="0"/>
            </w:tcBorders>
            <w:vAlign w:val="center"/>
          </w:tcPr>
          <w:p w14:paraId="10843993">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发泡醒发箱</w:t>
            </w:r>
          </w:p>
        </w:tc>
        <w:tc>
          <w:tcPr>
            <w:tcW w:w="5493" w:type="dxa"/>
            <w:tcBorders>
              <w:top w:val="single" w:color="000000" w:sz="4" w:space="0"/>
              <w:left w:val="single" w:color="000000" w:sz="4" w:space="0"/>
              <w:bottom w:val="single" w:color="000000" w:sz="4" w:space="0"/>
              <w:right w:val="single" w:color="000000" w:sz="4" w:space="0"/>
            </w:tcBorders>
            <w:vAlign w:val="center"/>
          </w:tcPr>
          <w:p w14:paraId="3BA18695">
            <w:pPr>
              <w:widowControl/>
              <w:jc w:val="left"/>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规格：≤960*680*1930mm，双门全发泡热风循环，易保温，耐用美观，功率3KW -220V，以现场实际摆放为准</w:t>
            </w:r>
          </w:p>
        </w:tc>
        <w:tc>
          <w:tcPr>
            <w:tcW w:w="640" w:type="dxa"/>
            <w:tcBorders>
              <w:top w:val="single" w:color="000000" w:sz="4" w:space="0"/>
              <w:left w:val="single" w:color="000000" w:sz="4" w:space="0"/>
              <w:bottom w:val="single" w:color="000000" w:sz="4" w:space="0"/>
              <w:right w:val="single" w:color="000000" w:sz="4" w:space="0"/>
            </w:tcBorders>
            <w:noWrap/>
            <w:vAlign w:val="center"/>
          </w:tcPr>
          <w:p w14:paraId="3EB4D53A">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台</w:t>
            </w:r>
          </w:p>
        </w:tc>
        <w:tc>
          <w:tcPr>
            <w:tcW w:w="707" w:type="dxa"/>
            <w:tcBorders>
              <w:top w:val="single" w:color="000000" w:sz="4" w:space="0"/>
              <w:left w:val="single" w:color="000000" w:sz="4" w:space="0"/>
              <w:bottom w:val="single" w:color="000000" w:sz="4" w:space="0"/>
              <w:right w:val="single" w:color="000000" w:sz="4" w:space="0"/>
            </w:tcBorders>
            <w:noWrap/>
            <w:vAlign w:val="center"/>
          </w:tcPr>
          <w:p w14:paraId="3A64D668">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2</w:t>
            </w:r>
          </w:p>
        </w:tc>
      </w:tr>
      <w:tr w14:paraId="67F19196">
        <w:tblPrEx>
          <w:tblCellMar>
            <w:top w:w="0" w:type="dxa"/>
            <w:left w:w="108" w:type="dxa"/>
            <w:bottom w:w="0" w:type="dxa"/>
            <w:right w:w="108" w:type="dxa"/>
          </w:tblCellMar>
        </w:tblPrEx>
        <w:trPr>
          <w:trHeight w:val="580" w:hRule="atLeast"/>
        </w:trPr>
        <w:tc>
          <w:tcPr>
            <w:tcW w:w="693" w:type="dxa"/>
            <w:tcBorders>
              <w:top w:val="single" w:color="000000" w:sz="4" w:space="0"/>
              <w:left w:val="single" w:color="000000" w:sz="4" w:space="0"/>
              <w:bottom w:val="single" w:color="000000" w:sz="4" w:space="0"/>
              <w:right w:val="single" w:color="000000" w:sz="4" w:space="0"/>
            </w:tcBorders>
            <w:noWrap/>
            <w:vAlign w:val="center"/>
          </w:tcPr>
          <w:p w14:paraId="20231532">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36</w:t>
            </w:r>
          </w:p>
        </w:tc>
        <w:tc>
          <w:tcPr>
            <w:tcW w:w="1371" w:type="dxa"/>
            <w:tcBorders>
              <w:top w:val="single" w:color="000000" w:sz="4" w:space="0"/>
              <w:left w:val="single" w:color="000000" w:sz="4" w:space="0"/>
              <w:bottom w:val="single" w:color="000000" w:sz="4" w:space="0"/>
              <w:right w:val="single" w:color="000000" w:sz="4" w:space="0"/>
            </w:tcBorders>
            <w:vAlign w:val="center"/>
          </w:tcPr>
          <w:p w14:paraId="7CF0F4F4">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双辊馒头机</w:t>
            </w:r>
          </w:p>
        </w:tc>
        <w:tc>
          <w:tcPr>
            <w:tcW w:w="5493" w:type="dxa"/>
            <w:tcBorders>
              <w:top w:val="single" w:color="000000" w:sz="4" w:space="0"/>
              <w:left w:val="single" w:color="000000" w:sz="4" w:space="0"/>
              <w:bottom w:val="single" w:color="000000" w:sz="4" w:space="0"/>
              <w:right w:val="single" w:color="000000" w:sz="4" w:space="0"/>
            </w:tcBorders>
            <w:vAlign w:val="center"/>
          </w:tcPr>
          <w:p w14:paraId="42F23405">
            <w:pPr>
              <w:widowControl/>
              <w:jc w:val="left"/>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规格：≤1390*460*910mm，功率4000、形状为球形，双辊成功解决面团软硬和粘辊不成型问题，高效防腐耐用，该机揉制的馒头色白、起层、口感好，以现场实际摆放为准</w:t>
            </w:r>
          </w:p>
        </w:tc>
        <w:tc>
          <w:tcPr>
            <w:tcW w:w="640" w:type="dxa"/>
            <w:tcBorders>
              <w:top w:val="single" w:color="000000" w:sz="4" w:space="0"/>
              <w:left w:val="single" w:color="000000" w:sz="4" w:space="0"/>
              <w:bottom w:val="single" w:color="000000" w:sz="4" w:space="0"/>
              <w:right w:val="single" w:color="000000" w:sz="4" w:space="0"/>
            </w:tcBorders>
            <w:noWrap/>
            <w:vAlign w:val="center"/>
          </w:tcPr>
          <w:p w14:paraId="60C27590">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台</w:t>
            </w:r>
          </w:p>
        </w:tc>
        <w:tc>
          <w:tcPr>
            <w:tcW w:w="707" w:type="dxa"/>
            <w:tcBorders>
              <w:top w:val="single" w:color="000000" w:sz="4" w:space="0"/>
              <w:left w:val="single" w:color="000000" w:sz="4" w:space="0"/>
              <w:bottom w:val="single" w:color="000000" w:sz="4" w:space="0"/>
              <w:right w:val="single" w:color="000000" w:sz="4" w:space="0"/>
            </w:tcBorders>
            <w:noWrap/>
            <w:vAlign w:val="center"/>
          </w:tcPr>
          <w:p w14:paraId="1F24F5AC">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2</w:t>
            </w:r>
          </w:p>
        </w:tc>
      </w:tr>
      <w:tr w14:paraId="229898EB">
        <w:tblPrEx>
          <w:tblCellMar>
            <w:top w:w="0" w:type="dxa"/>
            <w:left w:w="108" w:type="dxa"/>
            <w:bottom w:w="0" w:type="dxa"/>
            <w:right w:w="108" w:type="dxa"/>
          </w:tblCellMar>
        </w:tblPrEx>
        <w:trPr>
          <w:trHeight w:val="580" w:hRule="atLeast"/>
        </w:trPr>
        <w:tc>
          <w:tcPr>
            <w:tcW w:w="693" w:type="dxa"/>
            <w:tcBorders>
              <w:top w:val="single" w:color="000000" w:sz="4" w:space="0"/>
              <w:left w:val="single" w:color="000000" w:sz="4" w:space="0"/>
              <w:bottom w:val="single" w:color="000000" w:sz="4" w:space="0"/>
              <w:right w:val="single" w:color="000000" w:sz="4" w:space="0"/>
            </w:tcBorders>
            <w:noWrap/>
            <w:vAlign w:val="center"/>
          </w:tcPr>
          <w:p w14:paraId="396B19FC">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37</w:t>
            </w:r>
          </w:p>
        </w:tc>
        <w:tc>
          <w:tcPr>
            <w:tcW w:w="1371" w:type="dxa"/>
            <w:tcBorders>
              <w:top w:val="single" w:color="000000" w:sz="4" w:space="0"/>
              <w:left w:val="single" w:color="000000" w:sz="4" w:space="0"/>
              <w:bottom w:val="single" w:color="000000" w:sz="4" w:space="0"/>
              <w:right w:val="single" w:color="000000" w:sz="4" w:space="0"/>
            </w:tcBorders>
            <w:vAlign w:val="center"/>
          </w:tcPr>
          <w:p w14:paraId="5CD0A100">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自动压面机</w:t>
            </w:r>
          </w:p>
        </w:tc>
        <w:tc>
          <w:tcPr>
            <w:tcW w:w="5493" w:type="dxa"/>
            <w:tcBorders>
              <w:top w:val="single" w:color="000000" w:sz="4" w:space="0"/>
              <w:left w:val="single" w:color="000000" w:sz="4" w:space="0"/>
              <w:bottom w:val="single" w:color="000000" w:sz="4" w:space="0"/>
              <w:right w:val="single" w:color="000000" w:sz="4" w:space="0"/>
            </w:tcBorders>
            <w:vAlign w:val="center"/>
          </w:tcPr>
          <w:p w14:paraId="4ABD6FA4">
            <w:pPr>
              <w:widowControl/>
              <w:jc w:val="left"/>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规格：≤1130*630*1060mm，功率3KW-220V,工作效率每小时600公斤，面团输送、折叠、揉压自动连续完成，减少机器与人手接触次数，既卫生又安全，以现场实际摆放为准</w:t>
            </w:r>
          </w:p>
        </w:tc>
        <w:tc>
          <w:tcPr>
            <w:tcW w:w="640" w:type="dxa"/>
            <w:tcBorders>
              <w:top w:val="single" w:color="000000" w:sz="4" w:space="0"/>
              <w:left w:val="single" w:color="000000" w:sz="4" w:space="0"/>
              <w:bottom w:val="single" w:color="000000" w:sz="4" w:space="0"/>
              <w:right w:val="single" w:color="000000" w:sz="4" w:space="0"/>
            </w:tcBorders>
            <w:noWrap/>
            <w:vAlign w:val="center"/>
          </w:tcPr>
          <w:p w14:paraId="6070BCF8">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台</w:t>
            </w:r>
          </w:p>
        </w:tc>
        <w:tc>
          <w:tcPr>
            <w:tcW w:w="707" w:type="dxa"/>
            <w:tcBorders>
              <w:top w:val="single" w:color="000000" w:sz="4" w:space="0"/>
              <w:left w:val="single" w:color="000000" w:sz="4" w:space="0"/>
              <w:bottom w:val="single" w:color="000000" w:sz="4" w:space="0"/>
              <w:right w:val="single" w:color="000000" w:sz="4" w:space="0"/>
            </w:tcBorders>
            <w:noWrap/>
            <w:vAlign w:val="center"/>
          </w:tcPr>
          <w:p w14:paraId="600E607E">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2</w:t>
            </w:r>
          </w:p>
        </w:tc>
      </w:tr>
      <w:tr w14:paraId="30CFC505">
        <w:tblPrEx>
          <w:tblCellMar>
            <w:top w:w="0" w:type="dxa"/>
            <w:left w:w="108" w:type="dxa"/>
            <w:bottom w:w="0" w:type="dxa"/>
            <w:right w:w="108" w:type="dxa"/>
          </w:tblCellMar>
        </w:tblPrEx>
        <w:trPr>
          <w:trHeight w:val="580" w:hRule="atLeast"/>
        </w:trPr>
        <w:tc>
          <w:tcPr>
            <w:tcW w:w="693" w:type="dxa"/>
            <w:tcBorders>
              <w:top w:val="single" w:color="000000" w:sz="4" w:space="0"/>
              <w:left w:val="single" w:color="000000" w:sz="4" w:space="0"/>
              <w:bottom w:val="single" w:color="000000" w:sz="4" w:space="0"/>
              <w:right w:val="single" w:color="000000" w:sz="4" w:space="0"/>
            </w:tcBorders>
            <w:noWrap/>
            <w:vAlign w:val="center"/>
          </w:tcPr>
          <w:p w14:paraId="532F2C5D">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38</w:t>
            </w:r>
          </w:p>
        </w:tc>
        <w:tc>
          <w:tcPr>
            <w:tcW w:w="1371" w:type="dxa"/>
            <w:tcBorders>
              <w:top w:val="single" w:color="000000" w:sz="4" w:space="0"/>
              <w:left w:val="single" w:color="000000" w:sz="4" w:space="0"/>
              <w:bottom w:val="single" w:color="000000" w:sz="4" w:space="0"/>
              <w:right w:val="single" w:color="000000" w:sz="4" w:space="0"/>
            </w:tcBorders>
            <w:vAlign w:val="center"/>
          </w:tcPr>
          <w:p w14:paraId="53C5C014">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和面机</w:t>
            </w:r>
          </w:p>
        </w:tc>
        <w:tc>
          <w:tcPr>
            <w:tcW w:w="5493" w:type="dxa"/>
            <w:tcBorders>
              <w:top w:val="single" w:color="000000" w:sz="4" w:space="0"/>
              <w:left w:val="single" w:color="000000" w:sz="4" w:space="0"/>
              <w:bottom w:val="single" w:color="000000" w:sz="4" w:space="0"/>
              <w:right w:val="single" w:color="000000" w:sz="4" w:space="0"/>
            </w:tcBorders>
            <w:vAlign w:val="center"/>
          </w:tcPr>
          <w:p w14:paraId="6466A65D">
            <w:pPr>
              <w:widowControl/>
              <w:jc w:val="left"/>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规格：≤1250*700*1100mm，采用新型传动机构，低噪音，代替手工操作，降低劳动程度，替代手工制作，功率4KW-220V，以现场实际摆放为准</w:t>
            </w:r>
          </w:p>
        </w:tc>
        <w:tc>
          <w:tcPr>
            <w:tcW w:w="640" w:type="dxa"/>
            <w:tcBorders>
              <w:top w:val="single" w:color="000000" w:sz="4" w:space="0"/>
              <w:left w:val="single" w:color="000000" w:sz="4" w:space="0"/>
              <w:bottom w:val="single" w:color="000000" w:sz="4" w:space="0"/>
              <w:right w:val="single" w:color="000000" w:sz="4" w:space="0"/>
            </w:tcBorders>
            <w:noWrap/>
            <w:vAlign w:val="center"/>
          </w:tcPr>
          <w:p w14:paraId="51093B97">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台</w:t>
            </w:r>
          </w:p>
        </w:tc>
        <w:tc>
          <w:tcPr>
            <w:tcW w:w="707" w:type="dxa"/>
            <w:tcBorders>
              <w:top w:val="single" w:color="000000" w:sz="4" w:space="0"/>
              <w:left w:val="single" w:color="000000" w:sz="4" w:space="0"/>
              <w:bottom w:val="single" w:color="000000" w:sz="4" w:space="0"/>
              <w:right w:val="single" w:color="000000" w:sz="4" w:space="0"/>
            </w:tcBorders>
            <w:noWrap/>
            <w:vAlign w:val="center"/>
          </w:tcPr>
          <w:p w14:paraId="6A3FE8B8">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2</w:t>
            </w:r>
          </w:p>
        </w:tc>
      </w:tr>
      <w:tr w14:paraId="55835EE0">
        <w:tblPrEx>
          <w:tblCellMar>
            <w:top w:w="0" w:type="dxa"/>
            <w:left w:w="108" w:type="dxa"/>
            <w:bottom w:w="0" w:type="dxa"/>
            <w:right w:w="108" w:type="dxa"/>
          </w:tblCellMar>
        </w:tblPrEx>
        <w:trPr>
          <w:trHeight w:val="580" w:hRule="atLeast"/>
        </w:trPr>
        <w:tc>
          <w:tcPr>
            <w:tcW w:w="693" w:type="dxa"/>
            <w:tcBorders>
              <w:top w:val="single" w:color="000000" w:sz="4" w:space="0"/>
              <w:left w:val="single" w:color="000000" w:sz="4" w:space="0"/>
              <w:bottom w:val="single" w:color="000000" w:sz="4" w:space="0"/>
              <w:right w:val="single" w:color="000000" w:sz="4" w:space="0"/>
            </w:tcBorders>
            <w:noWrap/>
            <w:vAlign w:val="center"/>
          </w:tcPr>
          <w:p w14:paraId="2DC6130E">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39</w:t>
            </w:r>
          </w:p>
        </w:tc>
        <w:tc>
          <w:tcPr>
            <w:tcW w:w="1371" w:type="dxa"/>
            <w:tcBorders>
              <w:top w:val="single" w:color="000000" w:sz="4" w:space="0"/>
              <w:left w:val="single" w:color="000000" w:sz="4" w:space="0"/>
              <w:bottom w:val="single" w:color="000000" w:sz="4" w:space="0"/>
              <w:right w:val="single" w:color="000000" w:sz="4" w:space="0"/>
            </w:tcBorders>
            <w:vAlign w:val="center"/>
          </w:tcPr>
          <w:p w14:paraId="22D5C971">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双星水池</w:t>
            </w:r>
          </w:p>
        </w:tc>
        <w:tc>
          <w:tcPr>
            <w:tcW w:w="5493" w:type="dxa"/>
            <w:tcBorders>
              <w:top w:val="single" w:color="000000" w:sz="4" w:space="0"/>
              <w:left w:val="single" w:color="000000" w:sz="4" w:space="0"/>
              <w:bottom w:val="single" w:color="000000" w:sz="4" w:space="0"/>
              <w:right w:val="single" w:color="000000" w:sz="4" w:space="0"/>
            </w:tcBorders>
            <w:vAlign w:val="center"/>
          </w:tcPr>
          <w:p w14:paraId="7E9DC738">
            <w:pPr>
              <w:widowControl/>
              <w:jc w:val="left"/>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规格：≤1200*700*800mm，不锈钢304#，池内一体拉伸一次成型，无焊点，池内为圆角，不易藏污易打扫，以现场实际摆放为准</w:t>
            </w:r>
          </w:p>
        </w:tc>
        <w:tc>
          <w:tcPr>
            <w:tcW w:w="640" w:type="dxa"/>
            <w:tcBorders>
              <w:top w:val="single" w:color="000000" w:sz="4" w:space="0"/>
              <w:left w:val="single" w:color="000000" w:sz="4" w:space="0"/>
              <w:bottom w:val="single" w:color="000000" w:sz="4" w:space="0"/>
              <w:right w:val="single" w:color="000000" w:sz="4" w:space="0"/>
            </w:tcBorders>
            <w:noWrap/>
            <w:vAlign w:val="center"/>
          </w:tcPr>
          <w:p w14:paraId="05F0A104">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台</w:t>
            </w:r>
          </w:p>
        </w:tc>
        <w:tc>
          <w:tcPr>
            <w:tcW w:w="707" w:type="dxa"/>
            <w:tcBorders>
              <w:top w:val="single" w:color="000000" w:sz="4" w:space="0"/>
              <w:left w:val="single" w:color="000000" w:sz="4" w:space="0"/>
              <w:bottom w:val="single" w:color="000000" w:sz="4" w:space="0"/>
              <w:right w:val="single" w:color="000000" w:sz="4" w:space="0"/>
            </w:tcBorders>
            <w:noWrap/>
            <w:vAlign w:val="center"/>
          </w:tcPr>
          <w:p w14:paraId="7B5DB8B1">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6</w:t>
            </w:r>
          </w:p>
        </w:tc>
      </w:tr>
      <w:tr w14:paraId="0EDCD39E">
        <w:tblPrEx>
          <w:tblCellMar>
            <w:top w:w="0" w:type="dxa"/>
            <w:left w:w="108" w:type="dxa"/>
            <w:bottom w:w="0" w:type="dxa"/>
            <w:right w:w="108" w:type="dxa"/>
          </w:tblCellMar>
        </w:tblPrEx>
        <w:trPr>
          <w:trHeight w:val="580" w:hRule="atLeast"/>
        </w:trPr>
        <w:tc>
          <w:tcPr>
            <w:tcW w:w="693" w:type="dxa"/>
            <w:tcBorders>
              <w:top w:val="single" w:color="000000" w:sz="4" w:space="0"/>
              <w:left w:val="single" w:color="000000" w:sz="4" w:space="0"/>
              <w:bottom w:val="single" w:color="000000" w:sz="4" w:space="0"/>
              <w:right w:val="single" w:color="000000" w:sz="4" w:space="0"/>
            </w:tcBorders>
            <w:noWrap/>
            <w:vAlign w:val="center"/>
          </w:tcPr>
          <w:p w14:paraId="2BDBABE4">
            <w:pPr>
              <w:widowControl/>
              <w:jc w:val="center"/>
              <w:textAlignment w:val="center"/>
              <w:rPr>
                <w:rFonts w:hint="eastAsia" w:ascii="宋体" w:hAnsi="宋体"/>
                <w:color w:val="auto"/>
                <w:sz w:val="22"/>
                <w:szCs w:val="22"/>
                <w:highlight w:val="none"/>
              </w:rPr>
            </w:pPr>
            <w:r>
              <w:rPr>
                <w:rFonts w:hint="eastAsia" w:ascii="宋体" w:hAnsi="宋体"/>
                <w:color w:val="auto"/>
                <w:sz w:val="22"/>
                <w:szCs w:val="22"/>
                <w:highlight w:val="none"/>
              </w:rPr>
              <w:t>40</w:t>
            </w:r>
          </w:p>
        </w:tc>
        <w:tc>
          <w:tcPr>
            <w:tcW w:w="1371" w:type="dxa"/>
            <w:tcBorders>
              <w:top w:val="single" w:color="000000" w:sz="4" w:space="0"/>
              <w:left w:val="single" w:color="000000" w:sz="4" w:space="0"/>
              <w:bottom w:val="single" w:color="000000" w:sz="4" w:space="0"/>
              <w:right w:val="single" w:color="000000" w:sz="4" w:space="0"/>
            </w:tcBorders>
            <w:vAlign w:val="center"/>
          </w:tcPr>
          <w:p w14:paraId="255E0E9D">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自动热水器</w:t>
            </w:r>
          </w:p>
        </w:tc>
        <w:tc>
          <w:tcPr>
            <w:tcW w:w="5493" w:type="dxa"/>
            <w:tcBorders>
              <w:top w:val="single" w:color="000000" w:sz="4" w:space="0"/>
              <w:left w:val="single" w:color="000000" w:sz="4" w:space="0"/>
              <w:bottom w:val="single" w:color="000000" w:sz="4" w:space="0"/>
              <w:right w:val="single" w:color="000000" w:sz="4" w:space="0"/>
            </w:tcBorders>
            <w:vAlign w:val="center"/>
          </w:tcPr>
          <w:p w14:paraId="24636D23">
            <w:pPr>
              <w:widowControl/>
              <w:jc w:val="left"/>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规格：≤650*450*1350mm，功率380-12KW,304食品级加厚内胆，一次成型，全铜全发泡大容量，供人员使用，以现场实际摆放为准</w:t>
            </w:r>
          </w:p>
        </w:tc>
        <w:tc>
          <w:tcPr>
            <w:tcW w:w="640" w:type="dxa"/>
            <w:tcBorders>
              <w:top w:val="single" w:color="000000" w:sz="4" w:space="0"/>
              <w:left w:val="single" w:color="000000" w:sz="4" w:space="0"/>
              <w:bottom w:val="single" w:color="000000" w:sz="4" w:space="0"/>
              <w:right w:val="single" w:color="000000" w:sz="4" w:space="0"/>
            </w:tcBorders>
            <w:noWrap/>
            <w:vAlign w:val="center"/>
          </w:tcPr>
          <w:p w14:paraId="155E91DD">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台</w:t>
            </w:r>
          </w:p>
        </w:tc>
        <w:tc>
          <w:tcPr>
            <w:tcW w:w="707" w:type="dxa"/>
            <w:tcBorders>
              <w:top w:val="single" w:color="000000" w:sz="4" w:space="0"/>
              <w:left w:val="single" w:color="000000" w:sz="4" w:space="0"/>
              <w:bottom w:val="single" w:color="000000" w:sz="4" w:space="0"/>
              <w:right w:val="single" w:color="000000" w:sz="4" w:space="0"/>
            </w:tcBorders>
            <w:noWrap/>
            <w:vAlign w:val="center"/>
          </w:tcPr>
          <w:p w14:paraId="680E7CF6">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4</w:t>
            </w:r>
          </w:p>
        </w:tc>
      </w:tr>
      <w:tr w14:paraId="70FE5675">
        <w:tblPrEx>
          <w:tblCellMar>
            <w:top w:w="0" w:type="dxa"/>
            <w:left w:w="108" w:type="dxa"/>
            <w:bottom w:w="0" w:type="dxa"/>
            <w:right w:w="108" w:type="dxa"/>
          </w:tblCellMar>
        </w:tblPrEx>
        <w:trPr>
          <w:trHeight w:val="580" w:hRule="atLeast"/>
        </w:trPr>
        <w:tc>
          <w:tcPr>
            <w:tcW w:w="693" w:type="dxa"/>
            <w:tcBorders>
              <w:top w:val="single" w:color="000000" w:sz="4" w:space="0"/>
              <w:left w:val="single" w:color="000000" w:sz="4" w:space="0"/>
              <w:bottom w:val="single" w:color="000000" w:sz="4" w:space="0"/>
              <w:right w:val="single" w:color="000000" w:sz="4" w:space="0"/>
            </w:tcBorders>
            <w:noWrap/>
            <w:vAlign w:val="center"/>
          </w:tcPr>
          <w:p w14:paraId="48AF1D9A">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41</w:t>
            </w:r>
          </w:p>
        </w:tc>
        <w:tc>
          <w:tcPr>
            <w:tcW w:w="1371" w:type="dxa"/>
            <w:tcBorders>
              <w:top w:val="single" w:color="000000" w:sz="4" w:space="0"/>
              <w:left w:val="single" w:color="000000" w:sz="4" w:space="0"/>
              <w:bottom w:val="single" w:color="000000" w:sz="4" w:space="0"/>
              <w:right w:val="single" w:color="000000" w:sz="4" w:space="0"/>
            </w:tcBorders>
            <w:vAlign w:val="center"/>
          </w:tcPr>
          <w:p w14:paraId="010F888C">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风幕机</w:t>
            </w:r>
          </w:p>
        </w:tc>
        <w:tc>
          <w:tcPr>
            <w:tcW w:w="5493" w:type="dxa"/>
            <w:tcBorders>
              <w:top w:val="single" w:color="000000" w:sz="4" w:space="0"/>
              <w:left w:val="single" w:color="000000" w:sz="4" w:space="0"/>
              <w:bottom w:val="single" w:color="000000" w:sz="4" w:space="0"/>
              <w:right w:val="single" w:color="000000" w:sz="4" w:space="0"/>
            </w:tcBorders>
            <w:vAlign w:val="center"/>
          </w:tcPr>
          <w:p w14:paraId="4BF6100A">
            <w:pPr>
              <w:widowControl/>
              <w:jc w:val="left"/>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规格：约1.5米，功率200W-220V,采用贯流式，执行标准GB1706 1-2005</w:t>
            </w:r>
          </w:p>
        </w:tc>
        <w:tc>
          <w:tcPr>
            <w:tcW w:w="640" w:type="dxa"/>
            <w:tcBorders>
              <w:top w:val="single" w:color="000000" w:sz="4" w:space="0"/>
              <w:left w:val="single" w:color="000000" w:sz="4" w:space="0"/>
              <w:bottom w:val="single" w:color="000000" w:sz="4" w:space="0"/>
              <w:right w:val="single" w:color="000000" w:sz="4" w:space="0"/>
            </w:tcBorders>
            <w:noWrap/>
            <w:vAlign w:val="center"/>
          </w:tcPr>
          <w:p w14:paraId="39D23DC7">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台</w:t>
            </w:r>
          </w:p>
        </w:tc>
        <w:tc>
          <w:tcPr>
            <w:tcW w:w="707" w:type="dxa"/>
            <w:tcBorders>
              <w:top w:val="single" w:color="000000" w:sz="4" w:space="0"/>
              <w:left w:val="single" w:color="000000" w:sz="4" w:space="0"/>
              <w:bottom w:val="single" w:color="000000" w:sz="4" w:space="0"/>
              <w:right w:val="single" w:color="000000" w:sz="4" w:space="0"/>
            </w:tcBorders>
            <w:noWrap/>
            <w:vAlign w:val="center"/>
          </w:tcPr>
          <w:p w14:paraId="5198E10B">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1</w:t>
            </w:r>
          </w:p>
        </w:tc>
      </w:tr>
      <w:tr w14:paraId="56FB8DF8">
        <w:tblPrEx>
          <w:tblCellMar>
            <w:top w:w="0" w:type="dxa"/>
            <w:left w:w="108" w:type="dxa"/>
            <w:bottom w:w="0" w:type="dxa"/>
            <w:right w:w="108" w:type="dxa"/>
          </w:tblCellMar>
        </w:tblPrEx>
        <w:trPr>
          <w:trHeight w:val="580" w:hRule="atLeast"/>
        </w:trPr>
        <w:tc>
          <w:tcPr>
            <w:tcW w:w="693" w:type="dxa"/>
            <w:tcBorders>
              <w:top w:val="single" w:color="000000" w:sz="4" w:space="0"/>
              <w:left w:val="single" w:color="000000" w:sz="4" w:space="0"/>
              <w:bottom w:val="single" w:color="000000" w:sz="4" w:space="0"/>
              <w:right w:val="single" w:color="000000" w:sz="4" w:space="0"/>
            </w:tcBorders>
            <w:noWrap/>
            <w:vAlign w:val="center"/>
          </w:tcPr>
          <w:p w14:paraId="6847C32F">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42</w:t>
            </w:r>
          </w:p>
        </w:tc>
        <w:tc>
          <w:tcPr>
            <w:tcW w:w="1371" w:type="dxa"/>
            <w:tcBorders>
              <w:top w:val="single" w:color="000000" w:sz="4" w:space="0"/>
              <w:left w:val="single" w:color="000000" w:sz="4" w:space="0"/>
              <w:bottom w:val="single" w:color="000000" w:sz="4" w:space="0"/>
              <w:right w:val="single" w:color="000000" w:sz="4" w:space="0"/>
            </w:tcBorders>
            <w:vAlign w:val="center"/>
          </w:tcPr>
          <w:p w14:paraId="2417C582">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防鼠板</w:t>
            </w:r>
          </w:p>
        </w:tc>
        <w:tc>
          <w:tcPr>
            <w:tcW w:w="5493" w:type="dxa"/>
            <w:tcBorders>
              <w:top w:val="single" w:color="000000" w:sz="4" w:space="0"/>
              <w:left w:val="single" w:color="000000" w:sz="4" w:space="0"/>
              <w:bottom w:val="single" w:color="000000" w:sz="4" w:space="0"/>
              <w:right w:val="single" w:color="000000" w:sz="4" w:space="0"/>
            </w:tcBorders>
            <w:vAlign w:val="center"/>
          </w:tcPr>
          <w:p w14:paraId="3F00C120">
            <w:pPr>
              <w:widowControl/>
              <w:jc w:val="left"/>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铝型材质，轻便易拿，光滑防鼠</w:t>
            </w:r>
          </w:p>
        </w:tc>
        <w:tc>
          <w:tcPr>
            <w:tcW w:w="640" w:type="dxa"/>
            <w:tcBorders>
              <w:top w:val="single" w:color="000000" w:sz="4" w:space="0"/>
              <w:left w:val="single" w:color="000000" w:sz="4" w:space="0"/>
              <w:bottom w:val="single" w:color="000000" w:sz="4" w:space="0"/>
              <w:right w:val="single" w:color="000000" w:sz="4" w:space="0"/>
            </w:tcBorders>
            <w:noWrap/>
            <w:vAlign w:val="center"/>
          </w:tcPr>
          <w:p w14:paraId="1AFDCB9C">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台</w:t>
            </w:r>
          </w:p>
        </w:tc>
        <w:tc>
          <w:tcPr>
            <w:tcW w:w="707" w:type="dxa"/>
            <w:tcBorders>
              <w:top w:val="single" w:color="000000" w:sz="4" w:space="0"/>
              <w:left w:val="single" w:color="000000" w:sz="4" w:space="0"/>
              <w:bottom w:val="single" w:color="000000" w:sz="4" w:space="0"/>
              <w:right w:val="single" w:color="000000" w:sz="4" w:space="0"/>
            </w:tcBorders>
            <w:noWrap/>
            <w:vAlign w:val="center"/>
          </w:tcPr>
          <w:p w14:paraId="1578D121">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2</w:t>
            </w:r>
          </w:p>
        </w:tc>
      </w:tr>
      <w:tr w14:paraId="245AFC9A">
        <w:tblPrEx>
          <w:tblCellMar>
            <w:top w:w="0" w:type="dxa"/>
            <w:left w:w="108" w:type="dxa"/>
            <w:bottom w:w="0" w:type="dxa"/>
            <w:right w:w="108" w:type="dxa"/>
          </w:tblCellMar>
        </w:tblPrEx>
        <w:trPr>
          <w:trHeight w:val="580" w:hRule="atLeast"/>
        </w:trPr>
        <w:tc>
          <w:tcPr>
            <w:tcW w:w="693" w:type="dxa"/>
            <w:tcBorders>
              <w:top w:val="single" w:color="000000" w:sz="4" w:space="0"/>
              <w:left w:val="single" w:color="000000" w:sz="4" w:space="0"/>
              <w:bottom w:val="single" w:color="000000" w:sz="4" w:space="0"/>
              <w:right w:val="single" w:color="000000" w:sz="4" w:space="0"/>
            </w:tcBorders>
            <w:noWrap/>
            <w:vAlign w:val="center"/>
          </w:tcPr>
          <w:p w14:paraId="0B8238AA">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43</w:t>
            </w:r>
          </w:p>
        </w:tc>
        <w:tc>
          <w:tcPr>
            <w:tcW w:w="1371" w:type="dxa"/>
            <w:tcBorders>
              <w:top w:val="single" w:color="000000" w:sz="4" w:space="0"/>
              <w:left w:val="single" w:color="000000" w:sz="4" w:space="0"/>
              <w:bottom w:val="single" w:color="000000" w:sz="4" w:space="0"/>
              <w:right w:val="single" w:color="000000" w:sz="4" w:space="0"/>
            </w:tcBorders>
            <w:vAlign w:val="center"/>
          </w:tcPr>
          <w:p w14:paraId="1DC495DF">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拖把池</w:t>
            </w:r>
          </w:p>
        </w:tc>
        <w:tc>
          <w:tcPr>
            <w:tcW w:w="5493" w:type="dxa"/>
            <w:tcBorders>
              <w:top w:val="single" w:color="000000" w:sz="4" w:space="0"/>
              <w:left w:val="single" w:color="000000" w:sz="4" w:space="0"/>
              <w:bottom w:val="single" w:color="000000" w:sz="4" w:space="0"/>
              <w:right w:val="single" w:color="000000" w:sz="4" w:space="0"/>
            </w:tcBorders>
            <w:vAlign w:val="center"/>
          </w:tcPr>
          <w:p w14:paraId="19B643C3">
            <w:pPr>
              <w:widowControl/>
              <w:jc w:val="left"/>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规格：≤600*500*1450mm，不锈钢304材质，一次性冲压而成，无焊点，易打扫，48#圆管焊接，可调试地脚，以现场实际摆放为准</w:t>
            </w:r>
          </w:p>
        </w:tc>
        <w:tc>
          <w:tcPr>
            <w:tcW w:w="640" w:type="dxa"/>
            <w:tcBorders>
              <w:top w:val="single" w:color="000000" w:sz="4" w:space="0"/>
              <w:left w:val="single" w:color="000000" w:sz="4" w:space="0"/>
              <w:bottom w:val="single" w:color="000000" w:sz="4" w:space="0"/>
              <w:right w:val="single" w:color="000000" w:sz="4" w:space="0"/>
            </w:tcBorders>
            <w:noWrap/>
            <w:vAlign w:val="center"/>
          </w:tcPr>
          <w:p w14:paraId="005248B7">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台</w:t>
            </w:r>
          </w:p>
        </w:tc>
        <w:tc>
          <w:tcPr>
            <w:tcW w:w="707" w:type="dxa"/>
            <w:tcBorders>
              <w:top w:val="single" w:color="000000" w:sz="4" w:space="0"/>
              <w:left w:val="single" w:color="000000" w:sz="4" w:space="0"/>
              <w:bottom w:val="single" w:color="000000" w:sz="4" w:space="0"/>
              <w:right w:val="single" w:color="000000" w:sz="4" w:space="0"/>
            </w:tcBorders>
            <w:noWrap/>
            <w:vAlign w:val="center"/>
          </w:tcPr>
          <w:p w14:paraId="6FBC42C9">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2</w:t>
            </w:r>
          </w:p>
        </w:tc>
      </w:tr>
      <w:tr w14:paraId="2FF584C1">
        <w:tblPrEx>
          <w:tblCellMar>
            <w:top w:w="0" w:type="dxa"/>
            <w:left w:w="108" w:type="dxa"/>
            <w:bottom w:w="0" w:type="dxa"/>
            <w:right w:w="108" w:type="dxa"/>
          </w:tblCellMar>
        </w:tblPrEx>
        <w:trPr>
          <w:trHeight w:val="580" w:hRule="atLeast"/>
        </w:trPr>
        <w:tc>
          <w:tcPr>
            <w:tcW w:w="693" w:type="dxa"/>
            <w:tcBorders>
              <w:top w:val="single" w:color="000000" w:sz="4" w:space="0"/>
              <w:left w:val="single" w:color="000000" w:sz="4" w:space="0"/>
              <w:bottom w:val="single" w:color="000000" w:sz="4" w:space="0"/>
              <w:right w:val="single" w:color="000000" w:sz="4" w:space="0"/>
            </w:tcBorders>
            <w:noWrap/>
            <w:vAlign w:val="center"/>
          </w:tcPr>
          <w:p w14:paraId="5199713E">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44</w:t>
            </w:r>
          </w:p>
        </w:tc>
        <w:tc>
          <w:tcPr>
            <w:tcW w:w="1371" w:type="dxa"/>
            <w:tcBorders>
              <w:top w:val="single" w:color="000000" w:sz="4" w:space="0"/>
              <w:left w:val="single" w:color="000000" w:sz="4" w:space="0"/>
              <w:bottom w:val="single" w:color="000000" w:sz="4" w:space="0"/>
              <w:right w:val="single" w:color="000000" w:sz="4" w:space="0"/>
            </w:tcBorders>
            <w:vAlign w:val="center"/>
          </w:tcPr>
          <w:p w14:paraId="069A3470">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专用垃圾桶</w:t>
            </w:r>
          </w:p>
        </w:tc>
        <w:tc>
          <w:tcPr>
            <w:tcW w:w="5493" w:type="dxa"/>
            <w:tcBorders>
              <w:top w:val="single" w:color="000000" w:sz="4" w:space="0"/>
              <w:left w:val="single" w:color="000000" w:sz="4" w:space="0"/>
              <w:bottom w:val="single" w:color="000000" w:sz="4" w:space="0"/>
              <w:right w:val="single" w:color="000000" w:sz="4" w:space="0"/>
            </w:tcBorders>
            <w:vAlign w:val="center"/>
          </w:tcPr>
          <w:p w14:paraId="64DA6927">
            <w:pPr>
              <w:widowControl/>
              <w:jc w:val="left"/>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规格：≤730*575*1070mm，环保聚乙烯材质，坚固耐用，符合EN840标准要求，加大加厚塑胶轮胎，保障承载运输能力和延长使用寿命，以现场实际摆放为准</w:t>
            </w:r>
          </w:p>
        </w:tc>
        <w:tc>
          <w:tcPr>
            <w:tcW w:w="640" w:type="dxa"/>
            <w:tcBorders>
              <w:top w:val="single" w:color="000000" w:sz="4" w:space="0"/>
              <w:left w:val="single" w:color="000000" w:sz="4" w:space="0"/>
              <w:bottom w:val="single" w:color="000000" w:sz="4" w:space="0"/>
              <w:right w:val="single" w:color="000000" w:sz="4" w:space="0"/>
            </w:tcBorders>
            <w:noWrap/>
            <w:vAlign w:val="center"/>
          </w:tcPr>
          <w:p w14:paraId="2A00ED6A">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台</w:t>
            </w:r>
          </w:p>
        </w:tc>
        <w:tc>
          <w:tcPr>
            <w:tcW w:w="707" w:type="dxa"/>
            <w:tcBorders>
              <w:top w:val="single" w:color="000000" w:sz="4" w:space="0"/>
              <w:left w:val="single" w:color="000000" w:sz="4" w:space="0"/>
              <w:bottom w:val="single" w:color="000000" w:sz="4" w:space="0"/>
              <w:right w:val="single" w:color="000000" w:sz="4" w:space="0"/>
            </w:tcBorders>
            <w:noWrap/>
            <w:vAlign w:val="center"/>
          </w:tcPr>
          <w:p w14:paraId="00A0B2BC">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4</w:t>
            </w:r>
          </w:p>
        </w:tc>
      </w:tr>
      <w:tr w14:paraId="3B455D7A">
        <w:tblPrEx>
          <w:tblCellMar>
            <w:top w:w="0" w:type="dxa"/>
            <w:left w:w="108" w:type="dxa"/>
            <w:bottom w:w="0" w:type="dxa"/>
            <w:right w:w="108" w:type="dxa"/>
          </w:tblCellMar>
        </w:tblPrEx>
        <w:trPr>
          <w:trHeight w:val="580" w:hRule="atLeast"/>
        </w:trPr>
        <w:tc>
          <w:tcPr>
            <w:tcW w:w="693" w:type="dxa"/>
            <w:tcBorders>
              <w:top w:val="single" w:color="000000" w:sz="4" w:space="0"/>
              <w:left w:val="single" w:color="000000" w:sz="4" w:space="0"/>
              <w:bottom w:val="single" w:color="000000" w:sz="4" w:space="0"/>
              <w:right w:val="single" w:color="000000" w:sz="4" w:space="0"/>
            </w:tcBorders>
            <w:noWrap/>
            <w:vAlign w:val="center"/>
          </w:tcPr>
          <w:p w14:paraId="78F2AB44">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45</w:t>
            </w:r>
          </w:p>
        </w:tc>
        <w:tc>
          <w:tcPr>
            <w:tcW w:w="1371" w:type="dxa"/>
            <w:tcBorders>
              <w:top w:val="single" w:color="000000" w:sz="4" w:space="0"/>
              <w:left w:val="single" w:color="000000" w:sz="4" w:space="0"/>
              <w:bottom w:val="single" w:color="000000" w:sz="4" w:space="0"/>
              <w:right w:val="single" w:color="000000" w:sz="4" w:space="0"/>
            </w:tcBorders>
            <w:vAlign w:val="center"/>
          </w:tcPr>
          <w:p w14:paraId="10A13C2A">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组合保洁柜</w:t>
            </w:r>
          </w:p>
        </w:tc>
        <w:tc>
          <w:tcPr>
            <w:tcW w:w="5493" w:type="dxa"/>
            <w:tcBorders>
              <w:top w:val="single" w:color="000000" w:sz="4" w:space="0"/>
              <w:left w:val="single" w:color="000000" w:sz="4" w:space="0"/>
              <w:bottom w:val="single" w:color="000000" w:sz="4" w:space="0"/>
              <w:right w:val="single" w:color="000000" w:sz="4" w:space="0"/>
            </w:tcBorders>
            <w:vAlign w:val="center"/>
          </w:tcPr>
          <w:p w14:paraId="148DDB12">
            <w:pPr>
              <w:widowControl/>
              <w:jc w:val="left"/>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规格：≤1200*500*2000mm，304不锈钢折边压筋，内含沥水水池，手触碰处压边不割手，安全易打扫，大容量，以现场实际摆放为准</w:t>
            </w:r>
          </w:p>
        </w:tc>
        <w:tc>
          <w:tcPr>
            <w:tcW w:w="640" w:type="dxa"/>
            <w:tcBorders>
              <w:top w:val="single" w:color="000000" w:sz="4" w:space="0"/>
              <w:left w:val="single" w:color="000000" w:sz="4" w:space="0"/>
              <w:bottom w:val="single" w:color="000000" w:sz="4" w:space="0"/>
              <w:right w:val="single" w:color="000000" w:sz="4" w:space="0"/>
            </w:tcBorders>
            <w:noWrap/>
            <w:vAlign w:val="center"/>
          </w:tcPr>
          <w:p w14:paraId="211A03C7">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台</w:t>
            </w:r>
          </w:p>
        </w:tc>
        <w:tc>
          <w:tcPr>
            <w:tcW w:w="707" w:type="dxa"/>
            <w:tcBorders>
              <w:top w:val="single" w:color="000000" w:sz="4" w:space="0"/>
              <w:left w:val="single" w:color="000000" w:sz="4" w:space="0"/>
              <w:bottom w:val="single" w:color="000000" w:sz="4" w:space="0"/>
              <w:right w:val="single" w:color="000000" w:sz="4" w:space="0"/>
            </w:tcBorders>
            <w:noWrap/>
            <w:vAlign w:val="center"/>
          </w:tcPr>
          <w:p w14:paraId="7E0FB2A5">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2</w:t>
            </w:r>
          </w:p>
        </w:tc>
      </w:tr>
      <w:tr w14:paraId="275F3855">
        <w:tblPrEx>
          <w:tblCellMar>
            <w:top w:w="0" w:type="dxa"/>
            <w:left w:w="108" w:type="dxa"/>
            <w:bottom w:w="0" w:type="dxa"/>
            <w:right w:w="108" w:type="dxa"/>
          </w:tblCellMar>
        </w:tblPrEx>
        <w:trPr>
          <w:trHeight w:val="580" w:hRule="atLeast"/>
        </w:trPr>
        <w:tc>
          <w:tcPr>
            <w:tcW w:w="693" w:type="dxa"/>
            <w:tcBorders>
              <w:top w:val="single" w:color="000000" w:sz="4" w:space="0"/>
              <w:left w:val="single" w:color="000000" w:sz="4" w:space="0"/>
              <w:bottom w:val="single" w:color="000000" w:sz="4" w:space="0"/>
              <w:right w:val="single" w:color="000000" w:sz="4" w:space="0"/>
            </w:tcBorders>
            <w:noWrap/>
            <w:vAlign w:val="center"/>
          </w:tcPr>
          <w:p w14:paraId="6F1FDCC5">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46</w:t>
            </w:r>
          </w:p>
        </w:tc>
        <w:tc>
          <w:tcPr>
            <w:tcW w:w="1371" w:type="dxa"/>
            <w:tcBorders>
              <w:top w:val="single" w:color="000000" w:sz="4" w:space="0"/>
              <w:left w:val="single" w:color="000000" w:sz="4" w:space="0"/>
              <w:bottom w:val="single" w:color="000000" w:sz="4" w:space="0"/>
              <w:right w:val="single" w:color="000000" w:sz="4" w:space="0"/>
            </w:tcBorders>
            <w:vAlign w:val="center"/>
          </w:tcPr>
          <w:p w14:paraId="34656E66">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热风循环消毒柜</w:t>
            </w:r>
          </w:p>
        </w:tc>
        <w:tc>
          <w:tcPr>
            <w:tcW w:w="5493" w:type="dxa"/>
            <w:tcBorders>
              <w:top w:val="single" w:color="000000" w:sz="4" w:space="0"/>
              <w:left w:val="single" w:color="000000" w:sz="4" w:space="0"/>
              <w:bottom w:val="single" w:color="000000" w:sz="4" w:space="0"/>
              <w:right w:val="single" w:color="000000" w:sz="4" w:space="0"/>
            </w:tcBorders>
            <w:vAlign w:val="center"/>
          </w:tcPr>
          <w:p w14:paraId="32490A35">
            <w:pPr>
              <w:widowControl/>
              <w:jc w:val="left"/>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规格：≤1200*710*1930mm，功率4KW-220V ，全发泡不锈钢加厚沉降筐，温度125度，满足餐具消杀功能，配可视玻璃，便于观察内部消杀情况，以现场实际摆放为准</w:t>
            </w:r>
          </w:p>
        </w:tc>
        <w:tc>
          <w:tcPr>
            <w:tcW w:w="640" w:type="dxa"/>
            <w:tcBorders>
              <w:top w:val="single" w:color="000000" w:sz="4" w:space="0"/>
              <w:left w:val="single" w:color="000000" w:sz="4" w:space="0"/>
              <w:bottom w:val="single" w:color="000000" w:sz="4" w:space="0"/>
              <w:right w:val="single" w:color="000000" w:sz="4" w:space="0"/>
            </w:tcBorders>
            <w:noWrap/>
            <w:vAlign w:val="center"/>
          </w:tcPr>
          <w:p w14:paraId="37197436">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台</w:t>
            </w:r>
          </w:p>
        </w:tc>
        <w:tc>
          <w:tcPr>
            <w:tcW w:w="707" w:type="dxa"/>
            <w:tcBorders>
              <w:top w:val="single" w:color="000000" w:sz="4" w:space="0"/>
              <w:left w:val="single" w:color="000000" w:sz="4" w:space="0"/>
              <w:bottom w:val="single" w:color="000000" w:sz="4" w:space="0"/>
              <w:right w:val="single" w:color="000000" w:sz="4" w:space="0"/>
            </w:tcBorders>
            <w:noWrap/>
            <w:vAlign w:val="center"/>
          </w:tcPr>
          <w:p w14:paraId="668C171A">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2</w:t>
            </w:r>
          </w:p>
        </w:tc>
      </w:tr>
      <w:tr w14:paraId="68E5E74F">
        <w:tblPrEx>
          <w:tblCellMar>
            <w:top w:w="0" w:type="dxa"/>
            <w:left w:w="108" w:type="dxa"/>
            <w:bottom w:w="0" w:type="dxa"/>
            <w:right w:w="108" w:type="dxa"/>
          </w:tblCellMar>
        </w:tblPrEx>
        <w:trPr>
          <w:trHeight w:val="580" w:hRule="atLeast"/>
        </w:trPr>
        <w:tc>
          <w:tcPr>
            <w:tcW w:w="693" w:type="dxa"/>
            <w:tcBorders>
              <w:top w:val="single" w:color="000000" w:sz="4" w:space="0"/>
              <w:left w:val="single" w:color="000000" w:sz="4" w:space="0"/>
              <w:bottom w:val="single" w:color="000000" w:sz="4" w:space="0"/>
              <w:right w:val="single" w:color="000000" w:sz="4" w:space="0"/>
            </w:tcBorders>
            <w:noWrap/>
            <w:vAlign w:val="center"/>
          </w:tcPr>
          <w:p w14:paraId="0B00E056">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47</w:t>
            </w:r>
          </w:p>
        </w:tc>
        <w:tc>
          <w:tcPr>
            <w:tcW w:w="1371" w:type="dxa"/>
            <w:tcBorders>
              <w:top w:val="single" w:color="000000" w:sz="4" w:space="0"/>
              <w:left w:val="single" w:color="000000" w:sz="4" w:space="0"/>
              <w:bottom w:val="single" w:color="000000" w:sz="4" w:space="0"/>
              <w:right w:val="single" w:color="000000" w:sz="4" w:space="0"/>
            </w:tcBorders>
            <w:vAlign w:val="center"/>
          </w:tcPr>
          <w:p w14:paraId="3BAAF359">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四门储物柜</w:t>
            </w:r>
          </w:p>
        </w:tc>
        <w:tc>
          <w:tcPr>
            <w:tcW w:w="5493" w:type="dxa"/>
            <w:tcBorders>
              <w:top w:val="single" w:color="000000" w:sz="4" w:space="0"/>
              <w:left w:val="single" w:color="000000" w:sz="4" w:space="0"/>
              <w:bottom w:val="single" w:color="000000" w:sz="4" w:space="0"/>
              <w:right w:val="single" w:color="000000" w:sz="4" w:space="0"/>
            </w:tcBorders>
            <w:vAlign w:val="center"/>
          </w:tcPr>
          <w:p w14:paraId="28466856">
            <w:pPr>
              <w:widowControl/>
              <w:jc w:val="left"/>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规格：≤1200*500*1800mm，采用优质304材质，柜身采用约1.2MM厚磨砂贴膜不锈钢板，上掀门增加储物空间，易存放，滑动灵活轻便，不易嵌入垃圾，配可调试地脚，以现场实际摆放为准</w:t>
            </w:r>
          </w:p>
        </w:tc>
        <w:tc>
          <w:tcPr>
            <w:tcW w:w="640" w:type="dxa"/>
            <w:tcBorders>
              <w:top w:val="single" w:color="000000" w:sz="4" w:space="0"/>
              <w:left w:val="single" w:color="000000" w:sz="4" w:space="0"/>
              <w:bottom w:val="single" w:color="000000" w:sz="4" w:space="0"/>
              <w:right w:val="single" w:color="000000" w:sz="4" w:space="0"/>
            </w:tcBorders>
            <w:noWrap/>
            <w:vAlign w:val="center"/>
          </w:tcPr>
          <w:p w14:paraId="301D7E44">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台</w:t>
            </w:r>
          </w:p>
        </w:tc>
        <w:tc>
          <w:tcPr>
            <w:tcW w:w="707" w:type="dxa"/>
            <w:tcBorders>
              <w:top w:val="single" w:color="000000" w:sz="4" w:space="0"/>
              <w:left w:val="single" w:color="000000" w:sz="4" w:space="0"/>
              <w:bottom w:val="single" w:color="000000" w:sz="4" w:space="0"/>
              <w:right w:val="single" w:color="000000" w:sz="4" w:space="0"/>
            </w:tcBorders>
            <w:noWrap/>
            <w:vAlign w:val="center"/>
          </w:tcPr>
          <w:p w14:paraId="7681B411">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6</w:t>
            </w:r>
          </w:p>
        </w:tc>
      </w:tr>
      <w:tr w14:paraId="4FF904D8">
        <w:tblPrEx>
          <w:tblCellMar>
            <w:top w:w="0" w:type="dxa"/>
            <w:left w:w="108" w:type="dxa"/>
            <w:bottom w:w="0" w:type="dxa"/>
            <w:right w:w="108" w:type="dxa"/>
          </w:tblCellMar>
        </w:tblPrEx>
        <w:trPr>
          <w:trHeight w:val="580" w:hRule="atLeast"/>
        </w:trPr>
        <w:tc>
          <w:tcPr>
            <w:tcW w:w="693" w:type="dxa"/>
            <w:tcBorders>
              <w:top w:val="single" w:color="000000" w:sz="4" w:space="0"/>
              <w:left w:val="single" w:color="000000" w:sz="4" w:space="0"/>
              <w:bottom w:val="single" w:color="000000" w:sz="4" w:space="0"/>
              <w:right w:val="single" w:color="000000" w:sz="4" w:space="0"/>
            </w:tcBorders>
            <w:noWrap/>
            <w:vAlign w:val="center"/>
          </w:tcPr>
          <w:p w14:paraId="56E7BAB5">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48</w:t>
            </w:r>
          </w:p>
        </w:tc>
        <w:tc>
          <w:tcPr>
            <w:tcW w:w="1371" w:type="dxa"/>
            <w:tcBorders>
              <w:top w:val="single" w:color="000000" w:sz="4" w:space="0"/>
              <w:left w:val="single" w:color="000000" w:sz="4" w:space="0"/>
              <w:bottom w:val="single" w:color="000000" w:sz="4" w:space="0"/>
              <w:right w:val="single" w:color="000000" w:sz="4" w:space="0"/>
            </w:tcBorders>
            <w:vAlign w:val="center"/>
          </w:tcPr>
          <w:p w14:paraId="12F29902">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刀具消毒柜</w:t>
            </w:r>
          </w:p>
        </w:tc>
        <w:tc>
          <w:tcPr>
            <w:tcW w:w="5493" w:type="dxa"/>
            <w:tcBorders>
              <w:top w:val="single" w:color="000000" w:sz="4" w:space="0"/>
              <w:left w:val="single" w:color="000000" w:sz="4" w:space="0"/>
              <w:bottom w:val="single" w:color="000000" w:sz="4" w:space="0"/>
              <w:right w:val="single" w:color="000000" w:sz="4" w:space="0"/>
            </w:tcBorders>
            <w:vAlign w:val="center"/>
          </w:tcPr>
          <w:p w14:paraId="7FE4A0BD">
            <w:pPr>
              <w:widowControl/>
              <w:jc w:val="left"/>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规格：≤700*500*1450mm，采用304不锈钢材质，折边压筋焊接而成，拉门配可是玻璃，便于观察内部消杀，组合式圆管墩架、刀架、毛巾架，以现场实际摆放为准</w:t>
            </w:r>
          </w:p>
        </w:tc>
        <w:tc>
          <w:tcPr>
            <w:tcW w:w="640" w:type="dxa"/>
            <w:tcBorders>
              <w:top w:val="single" w:color="000000" w:sz="4" w:space="0"/>
              <w:left w:val="single" w:color="000000" w:sz="4" w:space="0"/>
              <w:bottom w:val="single" w:color="000000" w:sz="4" w:space="0"/>
              <w:right w:val="single" w:color="000000" w:sz="4" w:space="0"/>
            </w:tcBorders>
            <w:noWrap/>
            <w:vAlign w:val="center"/>
          </w:tcPr>
          <w:p w14:paraId="00F769A7">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台</w:t>
            </w:r>
          </w:p>
        </w:tc>
        <w:tc>
          <w:tcPr>
            <w:tcW w:w="707" w:type="dxa"/>
            <w:tcBorders>
              <w:top w:val="single" w:color="000000" w:sz="4" w:space="0"/>
              <w:left w:val="single" w:color="000000" w:sz="4" w:space="0"/>
              <w:bottom w:val="single" w:color="000000" w:sz="4" w:space="0"/>
              <w:right w:val="single" w:color="000000" w:sz="4" w:space="0"/>
            </w:tcBorders>
            <w:noWrap/>
            <w:vAlign w:val="center"/>
          </w:tcPr>
          <w:p w14:paraId="2E9CC9DE">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2</w:t>
            </w:r>
          </w:p>
        </w:tc>
      </w:tr>
      <w:tr w14:paraId="3C68A7BE">
        <w:tblPrEx>
          <w:tblCellMar>
            <w:top w:w="0" w:type="dxa"/>
            <w:left w:w="108" w:type="dxa"/>
            <w:bottom w:w="0" w:type="dxa"/>
            <w:right w:w="108" w:type="dxa"/>
          </w:tblCellMar>
        </w:tblPrEx>
        <w:trPr>
          <w:trHeight w:val="580" w:hRule="atLeast"/>
        </w:trPr>
        <w:tc>
          <w:tcPr>
            <w:tcW w:w="693" w:type="dxa"/>
            <w:tcBorders>
              <w:top w:val="single" w:color="000000" w:sz="4" w:space="0"/>
              <w:left w:val="single" w:color="000000" w:sz="4" w:space="0"/>
              <w:bottom w:val="single" w:color="000000" w:sz="4" w:space="0"/>
              <w:right w:val="single" w:color="000000" w:sz="4" w:space="0"/>
            </w:tcBorders>
            <w:vAlign w:val="center"/>
          </w:tcPr>
          <w:p w14:paraId="1F3BA47B">
            <w:pPr>
              <w:jc w:val="center"/>
              <w:rPr>
                <w:rFonts w:hint="eastAsia" w:ascii="宋体" w:hAnsi="宋体"/>
                <w:color w:val="auto"/>
                <w:sz w:val="22"/>
                <w:szCs w:val="22"/>
                <w:highlight w:val="none"/>
              </w:rPr>
            </w:pPr>
          </w:p>
        </w:tc>
        <w:tc>
          <w:tcPr>
            <w:tcW w:w="1371" w:type="dxa"/>
            <w:tcBorders>
              <w:top w:val="single" w:color="000000" w:sz="4" w:space="0"/>
              <w:left w:val="single" w:color="000000" w:sz="4" w:space="0"/>
              <w:bottom w:val="single" w:color="000000" w:sz="4" w:space="0"/>
              <w:right w:val="single" w:color="000000" w:sz="4" w:space="0"/>
            </w:tcBorders>
            <w:vAlign w:val="center"/>
          </w:tcPr>
          <w:p w14:paraId="4E21C1EC">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主操作间</w:t>
            </w:r>
          </w:p>
        </w:tc>
        <w:tc>
          <w:tcPr>
            <w:tcW w:w="5493" w:type="dxa"/>
            <w:tcBorders>
              <w:top w:val="single" w:color="000000" w:sz="4" w:space="0"/>
              <w:left w:val="single" w:color="000000" w:sz="4" w:space="0"/>
              <w:bottom w:val="single" w:color="000000" w:sz="4" w:space="0"/>
              <w:right w:val="single" w:color="000000" w:sz="4" w:space="0"/>
            </w:tcBorders>
            <w:vAlign w:val="center"/>
          </w:tcPr>
          <w:p w14:paraId="00196044">
            <w:pPr>
              <w:jc w:val="left"/>
              <w:rPr>
                <w:rFonts w:hint="eastAsia" w:ascii="宋体" w:hAnsi="宋体"/>
                <w:color w:val="auto"/>
                <w:sz w:val="22"/>
                <w:szCs w:val="22"/>
                <w:highlight w:val="none"/>
              </w:rPr>
            </w:pPr>
          </w:p>
        </w:tc>
        <w:tc>
          <w:tcPr>
            <w:tcW w:w="640" w:type="dxa"/>
            <w:tcBorders>
              <w:top w:val="single" w:color="000000" w:sz="4" w:space="0"/>
              <w:left w:val="single" w:color="000000" w:sz="4" w:space="0"/>
              <w:bottom w:val="single" w:color="000000" w:sz="4" w:space="0"/>
              <w:right w:val="single" w:color="000000" w:sz="4" w:space="0"/>
            </w:tcBorders>
            <w:vAlign w:val="center"/>
          </w:tcPr>
          <w:p w14:paraId="688EC8E6">
            <w:pPr>
              <w:jc w:val="center"/>
              <w:rPr>
                <w:rFonts w:hint="eastAsia" w:ascii="宋体" w:hAnsi="宋体"/>
                <w:color w:val="auto"/>
                <w:sz w:val="22"/>
                <w:szCs w:val="22"/>
                <w:highlight w:val="none"/>
              </w:rPr>
            </w:pPr>
          </w:p>
        </w:tc>
        <w:tc>
          <w:tcPr>
            <w:tcW w:w="707" w:type="dxa"/>
            <w:tcBorders>
              <w:top w:val="single" w:color="000000" w:sz="4" w:space="0"/>
              <w:left w:val="single" w:color="000000" w:sz="4" w:space="0"/>
              <w:bottom w:val="single" w:color="000000" w:sz="4" w:space="0"/>
              <w:right w:val="single" w:color="000000" w:sz="4" w:space="0"/>
            </w:tcBorders>
            <w:noWrap/>
            <w:vAlign w:val="center"/>
          </w:tcPr>
          <w:p w14:paraId="48BE023D">
            <w:pPr>
              <w:jc w:val="center"/>
              <w:rPr>
                <w:rFonts w:hint="eastAsia" w:ascii="宋体" w:hAnsi="宋体"/>
                <w:color w:val="auto"/>
                <w:sz w:val="22"/>
                <w:szCs w:val="22"/>
                <w:highlight w:val="none"/>
              </w:rPr>
            </w:pPr>
          </w:p>
        </w:tc>
      </w:tr>
      <w:tr w14:paraId="6AF61ECD">
        <w:tblPrEx>
          <w:tblCellMar>
            <w:top w:w="0" w:type="dxa"/>
            <w:left w:w="108" w:type="dxa"/>
            <w:bottom w:w="0" w:type="dxa"/>
            <w:right w:w="108" w:type="dxa"/>
          </w:tblCellMar>
        </w:tblPrEx>
        <w:trPr>
          <w:trHeight w:val="580" w:hRule="atLeast"/>
        </w:trPr>
        <w:tc>
          <w:tcPr>
            <w:tcW w:w="693" w:type="dxa"/>
            <w:tcBorders>
              <w:top w:val="single" w:color="000000" w:sz="4" w:space="0"/>
              <w:left w:val="single" w:color="000000" w:sz="4" w:space="0"/>
              <w:bottom w:val="single" w:color="000000" w:sz="4" w:space="0"/>
              <w:right w:val="single" w:color="000000" w:sz="4" w:space="0"/>
            </w:tcBorders>
            <w:noWrap/>
            <w:vAlign w:val="center"/>
          </w:tcPr>
          <w:p w14:paraId="15F7E5BD">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49</w:t>
            </w:r>
          </w:p>
        </w:tc>
        <w:tc>
          <w:tcPr>
            <w:tcW w:w="1371" w:type="dxa"/>
            <w:tcBorders>
              <w:top w:val="single" w:color="000000" w:sz="4" w:space="0"/>
              <w:left w:val="single" w:color="000000" w:sz="4" w:space="0"/>
              <w:bottom w:val="single" w:color="000000" w:sz="4" w:space="0"/>
              <w:right w:val="single" w:color="000000" w:sz="4" w:space="0"/>
            </w:tcBorders>
            <w:vAlign w:val="center"/>
          </w:tcPr>
          <w:p w14:paraId="62354299">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调料拼台</w:t>
            </w:r>
          </w:p>
        </w:tc>
        <w:tc>
          <w:tcPr>
            <w:tcW w:w="5493" w:type="dxa"/>
            <w:tcBorders>
              <w:top w:val="single" w:color="000000" w:sz="4" w:space="0"/>
              <w:left w:val="single" w:color="000000" w:sz="4" w:space="0"/>
              <w:bottom w:val="single" w:color="000000" w:sz="4" w:space="0"/>
              <w:right w:val="single" w:color="000000" w:sz="4" w:space="0"/>
            </w:tcBorders>
            <w:vAlign w:val="center"/>
          </w:tcPr>
          <w:p w14:paraId="3048D79A">
            <w:pPr>
              <w:widowControl/>
              <w:jc w:val="left"/>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规格：≤500*1500*800mm，不锈钢304材质，面板约1.2MM，下衬约18MM防水高密度板及不锈钢加筋，以现场实际摆放为准</w:t>
            </w:r>
          </w:p>
        </w:tc>
        <w:tc>
          <w:tcPr>
            <w:tcW w:w="640" w:type="dxa"/>
            <w:tcBorders>
              <w:top w:val="single" w:color="000000" w:sz="4" w:space="0"/>
              <w:left w:val="single" w:color="000000" w:sz="4" w:space="0"/>
              <w:bottom w:val="single" w:color="000000" w:sz="4" w:space="0"/>
              <w:right w:val="single" w:color="000000" w:sz="4" w:space="0"/>
            </w:tcBorders>
            <w:noWrap/>
            <w:vAlign w:val="center"/>
          </w:tcPr>
          <w:p w14:paraId="7583F79F">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台</w:t>
            </w:r>
          </w:p>
        </w:tc>
        <w:tc>
          <w:tcPr>
            <w:tcW w:w="707" w:type="dxa"/>
            <w:tcBorders>
              <w:top w:val="single" w:color="000000" w:sz="4" w:space="0"/>
              <w:left w:val="single" w:color="000000" w:sz="4" w:space="0"/>
              <w:bottom w:val="single" w:color="000000" w:sz="4" w:space="0"/>
              <w:right w:val="single" w:color="000000" w:sz="4" w:space="0"/>
            </w:tcBorders>
            <w:noWrap/>
            <w:vAlign w:val="center"/>
          </w:tcPr>
          <w:p w14:paraId="62BF964E">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3</w:t>
            </w:r>
          </w:p>
        </w:tc>
      </w:tr>
      <w:tr w14:paraId="55A6637D">
        <w:tblPrEx>
          <w:tblCellMar>
            <w:top w:w="0" w:type="dxa"/>
            <w:left w:w="108" w:type="dxa"/>
            <w:bottom w:w="0" w:type="dxa"/>
            <w:right w:w="108" w:type="dxa"/>
          </w:tblCellMar>
        </w:tblPrEx>
        <w:trPr>
          <w:trHeight w:val="580" w:hRule="atLeast"/>
        </w:trPr>
        <w:tc>
          <w:tcPr>
            <w:tcW w:w="693" w:type="dxa"/>
            <w:tcBorders>
              <w:top w:val="single" w:color="000000" w:sz="4" w:space="0"/>
              <w:left w:val="single" w:color="000000" w:sz="4" w:space="0"/>
              <w:bottom w:val="single" w:color="000000" w:sz="4" w:space="0"/>
              <w:right w:val="single" w:color="000000" w:sz="4" w:space="0"/>
            </w:tcBorders>
            <w:noWrap/>
            <w:vAlign w:val="center"/>
          </w:tcPr>
          <w:p w14:paraId="7F0890F6">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50</w:t>
            </w:r>
          </w:p>
        </w:tc>
        <w:tc>
          <w:tcPr>
            <w:tcW w:w="1371" w:type="dxa"/>
            <w:tcBorders>
              <w:top w:val="single" w:color="000000" w:sz="4" w:space="0"/>
              <w:left w:val="single" w:color="000000" w:sz="4" w:space="0"/>
              <w:bottom w:val="single" w:color="000000" w:sz="4" w:space="0"/>
              <w:right w:val="single" w:color="000000" w:sz="4" w:space="0"/>
            </w:tcBorders>
            <w:vAlign w:val="center"/>
          </w:tcPr>
          <w:p w14:paraId="06AE1C31">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燃气大锅灶</w:t>
            </w:r>
          </w:p>
        </w:tc>
        <w:tc>
          <w:tcPr>
            <w:tcW w:w="5493" w:type="dxa"/>
            <w:tcBorders>
              <w:top w:val="single" w:color="000000" w:sz="4" w:space="0"/>
              <w:left w:val="single" w:color="000000" w:sz="4" w:space="0"/>
              <w:bottom w:val="single" w:color="000000" w:sz="4" w:space="0"/>
              <w:right w:val="single" w:color="000000" w:sz="4" w:space="0"/>
            </w:tcBorders>
            <w:vAlign w:val="center"/>
          </w:tcPr>
          <w:p w14:paraId="607C29CA">
            <w:pPr>
              <w:widowControl/>
              <w:jc w:val="left"/>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规格：≤1350*1500*800mm，高强度不锈钢外壳，拉丝不锈光面板，坚固耐用，易清洁，内配散热风机，以现场实际摆放为准</w:t>
            </w:r>
          </w:p>
        </w:tc>
        <w:tc>
          <w:tcPr>
            <w:tcW w:w="640" w:type="dxa"/>
            <w:tcBorders>
              <w:top w:val="single" w:color="000000" w:sz="4" w:space="0"/>
              <w:left w:val="single" w:color="000000" w:sz="4" w:space="0"/>
              <w:bottom w:val="single" w:color="000000" w:sz="4" w:space="0"/>
              <w:right w:val="single" w:color="000000" w:sz="4" w:space="0"/>
            </w:tcBorders>
            <w:noWrap/>
            <w:vAlign w:val="center"/>
          </w:tcPr>
          <w:p w14:paraId="165C07BF">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台</w:t>
            </w:r>
          </w:p>
        </w:tc>
        <w:tc>
          <w:tcPr>
            <w:tcW w:w="707" w:type="dxa"/>
            <w:tcBorders>
              <w:top w:val="single" w:color="000000" w:sz="4" w:space="0"/>
              <w:left w:val="single" w:color="000000" w:sz="4" w:space="0"/>
              <w:bottom w:val="single" w:color="000000" w:sz="4" w:space="0"/>
              <w:right w:val="single" w:color="000000" w:sz="4" w:space="0"/>
            </w:tcBorders>
            <w:noWrap/>
            <w:vAlign w:val="center"/>
          </w:tcPr>
          <w:p w14:paraId="63A1EA4C">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3</w:t>
            </w:r>
          </w:p>
        </w:tc>
      </w:tr>
      <w:tr w14:paraId="7FF1552C">
        <w:tblPrEx>
          <w:tblCellMar>
            <w:top w:w="0" w:type="dxa"/>
            <w:left w:w="108" w:type="dxa"/>
            <w:bottom w:w="0" w:type="dxa"/>
            <w:right w:w="108" w:type="dxa"/>
          </w:tblCellMar>
        </w:tblPrEx>
        <w:trPr>
          <w:trHeight w:val="580" w:hRule="atLeast"/>
        </w:trPr>
        <w:tc>
          <w:tcPr>
            <w:tcW w:w="693" w:type="dxa"/>
            <w:tcBorders>
              <w:top w:val="single" w:color="000000" w:sz="4" w:space="0"/>
              <w:left w:val="single" w:color="000000" w:sz="4" w:space="0"/>
              <w:bottom w:val="single" w:color="000000" w:sz="4" w:space="0"/>
              <w:right w:val="single" w:color="000000" w:sz="4" w:space="0"/>
            </w:tcBorders>
            <w:noWrap/>
            <w:vAlign w:val="center"/>
          </w:tcPr>
          <w:p w14:paraId="6B43923E">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51</w:t>
            </w:r>
          </w:p>
        </w:tc>
        <w:tc>
          <w:tcPr>
            <w:tcW w:w="1371" w:type="dxa"/>
            <w:tcBorders>
              <w:top w:val="single" w:color="000000" w:sz="4" w:space="0"/>
              <w:left w:val="single" w:color="000000" w:sz="4" w:space="0"/>
              <w:bottom w:val="single" w:color="000000" w:sz="4" w:space="0"/>
              <w:right w:val="single" w:color="000000" w:sz="4" w:space="0"/>
            </w:tcBorders>
            <w:vAlign w:val="center"/>
          </w:tcPr>
          <w:p w14:paraId="1A4E3A94">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电磁摇摆汤锅</w:t>
            </w:r>
          </w:p>
        </w:tc>
        <w:tc>
          <w:tcPr>
            <w:tcW w:w="5493" w:type="dxa"/>
            <w:tcBorders>
              <w:top w:val="single" w:color="000000" w:sz="4" w:space="0"/>
              <w:left w:val="single" w:color="000000" w:sz="4" w:space="0"/>
              <w:bottom w:val="single" w:color="000000" w:sz="4" w:space="0"/>
              <w:right w:val="single" w:color="000000" w:sz="4" w:space="0"/>
            </w:tcBorders>
            <w:vAlign w:val="center"/>
          </w:tcPr>
          <w:p w14:paraId="462A0287">
            <w:pPr>
              <w:widowControl/>
              <w:jc w:val="left"/>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规格：≤1580*1070*1240mm，200L，整体支架采用不锈钢材质，不锈钢为201材质，外壳约1.5厚度，锅圈2.0厚度，外观光洁平整，滑动式8档磁控开关，以现场实际摆放为准</w:t>
            </w:r>
          </w:p>
        </w:tc>
        <w:tc>
          <w:tcPr>
            <w:tcW w:w="640" w:type="dxa"/>
            <w:tcBorders>
              <w:top w:val="single" w:color="000000" w:sz="4" w:space="0"/>
              <w:left w:val="single" w:color="000000" w:sz="4" w:space="0"/>
              <w:bottom w:val="single" w:color="000000" w:sz="4" w:space="0"/>
              <w:right w:val="single" w:color="000000" w:sz="4" w:space="0"/>
            </w:tcBorders>
            <w:noWrap/>
            <w:vAlign w:val="center"/>
          </w:tcPr>
          <w:p w14:paraId="54AFC8D0">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台</w:t>
            </w:r>
          </w:p>
        </w:tc>
        <w:tc>
          <w:tcPr>
            <w:tcW w:w="707" w:type="dxa"/>
            <w:tcBorders>
              <w:top w:val="single" w:color="000000" w:sz="4" w:space="0"/>
              <w:left w:val="single" w:color="000000" w:sz="4" w:space="0"/>
              <w:bottom w:val="single" w:color="000000" w:sz="4" w:space="0"/>
              <w:right w:val="single" w:color="000000" w:sz="4" w:space="0"/>
            </w:tcBorders>
            <w:noWrap/>
            <w:vAlign w:val="center"/>
          </w:tcPr>
          <w:p w14:paraId="76B7B03F">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1</w:t>
            </w:r>
          </w:p>
        </w:tc>
      </w:tr>
      <w:tr w14:paraId="22FB922D">
        <w:tblPrEx>
          <w:tblCellMar>
            <w:top w:w="0" w:type="dxa"/>
            <w:left w:w="108" w:type="dxa"/>
            <w:bottom w:w="0" w:type="dxa"/>
            <w:right w:w="108" w:type="dxa"/>
          </w:tblCellMar>
        </w:tblPrEx>
        <w:trPr>
          <w:trHeight w:val="580" w:hRule="atLeast"/>
        </w:trPr>
        <w:tc>
          <w:tcPr>
            <w:tcW w:w="693" w:type="dxa"/>
            <w:tcBorders>
              <w:top w:val="single" w:color="000000" w:sz="4" w:space="0"/>
              <w:left w:val="single" w:color="000000" w:sz="4" w:space="0"/>
              <w:bottom w:val="single" w:color="000000" w:sz="4" w:space="0"/>
              <w:right w:val="single" w:color="000000" w:sz="4" w:space="0"/>
            </w:tcBorders>
            <w:noWrap/>
            <w:vAlign w:val="center"/>
          </w:tcPr>
          <w:p w14:paraId="685D7597">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52</w:t>
            </w:r>
          </w:p>
        </w:tc>
        <w:tc>
          <w:tcPr>
            <w:tcW w:w="1371" w:type="dxa"/>
            <w:tcBorders>
              <w:top w:val="single" w:color="000000" w:sz="4" w:space="0"/>
              <w:left w:val="single" w:color="000000" w:sz="4" w:space="0"/>
              <w:bottom w:val="single" w:color="000000" w:sz="4" w:space="0"/>
              <w:right w:val="single" w:color="000000" w:sz="4" w:space="0"/>
            </w:tcBorders>
            <w:vAlign w:val="center"/>
          </w:tcPr>
          <w:p w14:paraId="6474FE64">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双层工作台</w:t>
            </w:r>
          </w:p>
        </w:tc>
        <w:tc>
          <w:tcPr>
            <w:tcW w:w="5493" w:type="dxa"/>
            <w:tcBorders>
              <w:top w:val="single" w:color="000000" w:sz="4" w:space="0"/>
              <w:left w:val="single" w:color="000000" w:sz="4" w:space="0"/>
              <w:bottom w:val="single" w:color="000000" w:sz="4" w:space="0"/>
              <w:right w:val="single" w:color="000000" w:sz="4" w:space="0"/>
            </w:tcBorders>
            <w:vAlign w:val="center"/>
          </w:tcPr>
          <w:p w14:paraId="775028AD">
            <w:pPr>
              <w:widowControl/>
              <w:jc w:val="left"/>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规格：≤800*1200*800mm，不锈钢304材质，约1.2MM面板，下层约1.2MM，U型马崽焊接约48MM圆管，配不锈钢可调节地脚，以现场实际摆放为准</w:t>
            </w:r>
          </w:p>
        </w:tc>
        <w:tc>
          <w:tcPr>
            <w:tcW w:w="640" w:type="dxa"/>
            <w:tcBorders>
              <w:top w:val="single" w:color="000000" w:sz="4" w:space="0"/>
              <w:left w:val="single" w:color="000000" w:sz="4" w:space="0"/>
              <w:bottom w:val="single" w:color="000000" w:sz="4" w:space="0"/>
              <w:right w:val="single" w:color="000000" w:sz="4" w:space="0"/>
            </w:tcBorders>
            <w:noWrap/>
            <w:vAlign w:val="center"/>
          </w:tcPr>
          <w:p w14:paraId="593579B2">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台</w:t>
            </w:r>
          </w:p>
        </w:tc>
        <w:tc>
          <w:tcPr>
            <w:tcW w:w="707" w:type="dxa"/>
            <w:tcBorders>
              <w:top w:val="single" w:color="000000" w:sz="4" w:space="0"/>
              <w:left w:val="single" w:color="000000" w:sz="4" w:space="0"/>
              <w:bottom w:val="single" w:color="000000" w:sz="4" w:space="0"/>
              <w:right w:val="single" w:color="000000" w:sz="4" w:space="0"/>
            </w:tcBorders>
            <w:noWrap/>
            <w:vAlign w:val="center"/>
          </w:tcPr>
          <w:p w14:paraId="738A7D73">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1</w:t>
            </w:r>
          </w:p>
        </w:tc>
      </w:tr>
      <w:tr w14:paraId="07C717E2">
        <w:tblPrEx>
          <w:tblCellMar>
            <w:top w:w="0" w:type="dxa"/>
            <w:left w:w="108" w:type="dxa"/>
            <w:bottom w:w="0" w:type="dxa"/>
            <w:right w:w="108" w:type="dxa"/>
          </w:tblCellMar>
        </w:tblPrEx>
        <w:trPr>
          <w:trHeight w:val="580" w:hRule="atLeast"/>
        </w:trPr>
        <w:tc>
          <w:tcPr>
            <w:tcW w:w="693" w:type="dxa"/>
            <w:tcBorders>
              <w:top w:val="single" w:color="000000" w:sz="4" w:space="0"/>
              <w:left w:val="single" w:color="000000" w:sz="4" w:space="0"/>
              <w:bottom w:val="single" w:color="000000" w:sz="4" w:space="0"/>
              <w:right w:val="single" w:color="000000" w:sz="4" w:space="0"/>
            </w:tcBorders>
            <w:noWrap/>
            <w:vAlign w:val="center"/>
          </w:tcPr>
          <w:p w14:paraId="28238351">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53</w:t>
            </w:r>
          </w:p>
        </w:tc>
        <w:tc>
          <w:tcPr>
            <w:tcW w:w="1371" w:type="dxa"/>
            <w:tcBorders>
              <w:top w:val="single" w:color="000000" w:sz="4" w:space="0"/>
              <w:left w:val="single" w:color="000000" w:sz="4" w:space="0"/>
              <w:bottom w:val="single" w:color="000000" w:sz="4" w:space="0"/>
              <w:right w:val="single" w:color="000000" w:sz="4" w:space="0"/>
            </w:tcBorders>
            <w:vAlign w:val="center"/>
          </w:tcPr>
          <w:p w14:paraId="75719263">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双层工作台</w:t>
            </w:r>
          </w:p>
        </w:tc>
        <w:tc>
          <w:tcPr>
            <w:tcW w:w="5493" w:type="dxa"/>
            <w:tcBorders>
              <w:top w:val="single" w:color="000000" w:sz="4" w:space="0"/>
              <w:left w:val="single" w:color="000000" w:sz="4" w:space="0"/>
              <w:bottom w:val="single" w:color="000000" w:sz="4" w:space="0"/>
              <w:right w:val="single" w:color="000000" w:sz="4" w:space="0"/>
            </w:tcBorders>
            <w:vAlign w:val="center"/>
          </w:tcPr>
          <w:p w14:paraId="2109E99C">
            <w:pPr>
              <w:widowControl/>
              <w:jc w:val="left"/>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规格：≤1500*700*800mm，不锈钢304材质，约1.2MM面板，下层约1.2MM，U型马崽焊接约48MM圆管，配不锈钢可调节地脚，以现场实际摆放为准</w:t>
            </w:r>
          </w:p>
        </w:tc>
        <w:tc>
          <w:tcPr>
            <w:tcW w:w="640" w:type="dxa"/>
            <w:tcBorders>
              <w:top w:val="single" w:color="000000" w:sz="4" w:space="0"/>
              <w:left w:val="single" w:color="000000" w:sz="4" w:space="0"/>
              <w:bottom w:val="single" w:color="000000" w:sz="4" w:space="0"/>
              <w:right w:val="single" w:color="000000" w:sz="4" w:space="0"/>
            </w:tcBorders>
            <w:noWrap/>
            <w:vAlign w:val="center"/>
          </w:tcPr>
          <w:p w14:paraId="1453D313">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台</w:t>
            </w:r>
          </w:p>
        </w:tc>
        <w:tc>
          <w:tcPr>
            <w:tcW w:w="707" w:type="dxa"/>
            <w:tcBorders>
              <w:top w:val="single" w:color="000000" w:sz="4" w:space="0"/>
              <w:left w:val="single" w:color="000000" w:sz="4" w:space="0"/>
              <w:bottom w:val="single" w:color="000000" w:sz="4" w:space="0"/>
              <w:right w:val="single" w:color="000000" w:sz="4" w:space="0"/>
            </w:tcBorders>
            <w:noWrap/>
            <w:vAlign w:val="center"/>
          </w:tcPr>
          <w:p w14:paraId="6ED54BBA">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1</w:t>
            </w:r>
          </w:p>
        </w:tc>
      </w:tr>
      <w:tr w14:paraId="0FB37E6E">
        <w:tblPrEx>
          <w:tblCellMar>
            <w:top w:w="0" w:type="dxa"/>
            <w:left w:w="108" w:type="dxa"/>
            <w:bottom w:w="0" w:type="dxa"/>
            <w:right w:w="108" w:type="dxa"/>
          </w:tblCellMar>
        </w:tblPrEx>
        <w:trPr>
          <w:trHeight w:val="580" w:hRule="atLeast"/>
        </w:trPr>
        <w:tc>
          <w:tcPr>
            <w:tcW w:w="693" w:type="dxa"/>
            <w:tcBorders>
              <w:top w:val="single" w:color="000000" w:sz="4" w:space="0"/>
              <w:left w:val="single" w:color="000000" w:sz="4" w:space="0"/>
              <w:bottom w:val="single" w:color="000000" w:sz="4" w:space="0"/>
              <w:right w:val="single" w:color="000000" w:sz="4" w:space="0"/>
            </w:tcBorders>
            <w:noWrap/>
            <w:vAlign w:val="center"/>
          </w:tcPr>
          <w:p w14:paraId="7BEBEF92">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54</w:t>
            </w:r>
          </w:p>
        </w:tc>
        <w:tc>
          <w:tcPr>
            <w:tcW w:w="1371" w:type="dxa"/>
            <w:tcBorders>
              <w:top w:val="single" w:color="000000" w:sz="4" w:space="0"/>
              <w:left w:val="single" w:color="000000" w:sz="4" w:space="0"/>
              <w:bottom w:val="single" w:color="000000" w:sz="4" w:space="0"/>
              <w:right w:val="single" w:color="000000" w:sz="4" w:space="0"/>
            </w:tcBorders>
            <w:vAlign w:val="center"/>
          </w:tcPr>
          <w:p w14:paraId="2552B644">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双温六门冰箱</w:t>
            </w:r>
          </w:p>
        </w:tc>
        <w:tc>
          <w:tcPr>
            <w:tcW w:w="5493" w:type="dxa"/>
            <w:tcBorders>
              <w:top w:val="single" w:color="000000" w:sz="4" w:space="0"/>
              <w:left w:val="single" w:color="000000" w:sz="4" w:space="0"/>
              <w:bottom w:val="single" w:color="000000" w:sz="4" w:space="0"/>
              <w:right w:val="single" w:color="000000" w:sz="4" w:space="0"/>
            </w:tcBorders>
            <w:vAlign w:val="center"/>
          </w:tcPr>
          <w:p w14:paraId="71271CDA">
            <w:pPr>
              <w:widowControl/>
              <w:jc w:val="left"/>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规格：≤1800*710*1930mm，整体发泡全铜管，自动回位门，不锈钢约20MM*20MM方管层架，易承重不不变形，大容量，内胆一次性拉伸，东贝压缩机，终身质保，配可调节50MM地脚，以现场实际摆放为准</w:t>
            </w:r>
          </w:p>
        </w:tc>
        <w:tc>
          <w:tcPr>
            <w:tcW w:w="640" w:type="dxa"/>
            <w:tcBorders>
              <w:top w:val="single" w:color="000000" w:sz="4" w:space="0"/>
              <w:left w:val="single" w:color="000000" w:sz="4" w:space="0"/>
              <w:bottom w:val="single" w:color="000000" w:sz="4" w:space="0"/>
              <w:right w:val="single" w:color="000000" w:sz="4" w:space="0"/>
            </w:tcBorders>
            <w:noWrap/>
            <w:vAlign w:val="center"/>
          </w:tcPr>
          <w:p w14:paraId="048AC259">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台</w:t>
            </w:r>
          </w:p>
        </w:tc>
        <w:tc>
          <w:tcPr>
            <w:tcW w:w="707" w:type="dxa"/>
            <w:tcBorders>
              <w:top w:val="single" w:color="000000" w:sz="4" w:space="0"/>
              <w:left w:val="single" w:color="000000" w:sz="4" w:space="0"/>
              <w:bottom w:val="single" w:color="000000" w:sz="4" w:space="0"/>
              <w:right w:val="single" w:color="000000" w:sz="4" w:space="0"/>
            </w:tcBorders>
            <w:noWrap/>
            <w:vAlign w:val="center"/>
          </w:tcPr>
          <w:p w14:paraId="5A4E7A37">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1</w:t>
            </w:r>
          </w:p>
        </w:tc>
      </w:tr>
      <w:tr w14:paraId="03B7683C">
        <w:tblPrEx>
          <w:tblCellMar>
            <w:top w:w="0" w:type="dxa"/>
            <w:left w:w="108" w:type="dxa"/>
            <w:bottom w:w="0" w:type="dxa"/>
            <w:right w:w="108" w:type="dxa"/>
          </w:tblCellMar>
        </w:tblPrEx>
        <w:trPr>
          <w:trHeight w:val="580" w:hRule="atLeast"/>
        </w:trPr>
        <w:tc>
          <w:tcPr>
            <w:tcW w:w="693" w:type="dxa"/>
            <w:tcBorders>
              <w:top w:val="single" w:color="000000" w:sz="4" w:space="0"/>
              <w:left w:val="single" w:color="000000" w:sz="4" w:space="0"/>
              <w:bottom w:val="single" w:color="000000" w:sz="4" w:space="0"/>
              <w:right w:val="single" w:color="000000" w:sz="4" w:space="0"/>
            </w:tcBorders>
            <w:noWrap/>
            <w:vAlign w:val="center"/>
          </w:tcPr>
          <w:p w14:paraId="7405EB65">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55</w:t>
            </w:r>
          </w:p>
        </w:tc>
        <w:tc>
          <w:tcPr>
            <w:tcW w:w="1371" w:type="dxa"/>
            <w:tcBorders>
              <w:top w:val="single" w:color="000000" w:sz="4" w:space="0"/>
              <w:left w:val="single" w:color="000000" w:sz="4" w:space="0"/>
              <w:bottom w:val="single" w:color="000000" w:sz="4" w:space="0"/>
              <w:right w:val="single" w:color="000000" w:sz="4" w:space="0"/>
            </w:tcBorders>
            <w:vAlign w:val="center"/>
          </w:tcPr>
          <w:p w14:paraId="22246CB1">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双温四门冰箱</w:t>
            </w:r>
          </w:p>
        </w:tc>
        <w:tc>
          <w:tcPr>
            <w:tcW w:w="5493" w:type="dxa"/>
            <w:tcBorders>
              <w:top w:val="single" w:color="000000" w:sz="4" w:space="0"/>
              <w:left w:val="single" w:color="000000" w:sz="4" w:space="0"/>
              <w:bottom w:val="single" w:color="000000" w:sz="4" w:space="0"/>
              <w:right w:val="single" w:color="000000" w:sz="4" w:space="0"/>
            </w:tcBorders>
            <w:vAlign w:val="center"/>
          </w:tcPr>
          <w:p w14:paraId="6A6A8476">
            <w:pPr>
              <w:widowControl/>
              <w:jc w:val="left"/>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规格：≤1200*710*1930mm，整体发泡全铜管，自动回位门，不锈钢约20MM*20MM方管层架，易承重不不变形，大容量，内胆一次性拉伸，东贝压缩机，终身质保，配可调节50MM地脚，以现场实际摆放为准</w:t>
            </w:r>
          </w:p>
        </w:tc>
        <w:tc>
          <w:tcPr>
            <w:tcW w:w="640" w:type="dxa"/>
            <w:tcBorders>
              <w:top w:val="single" w:color="000000" w:sz="4" w:space="0"/>
              <w:left w:val="single" w:color="000000" w:sz="4" w:space="0"/>
              <w:bottom w:val="single" w:color="000000" w:sz="4" w:space="0"/>
              <w:right w:val="single" w:color="000000" w:sz="4" w:space="0"/>
            </w:tcBorders>
            <w:noWrap/>
            <w:vAlign w:val="center"/>
          </w:tcPr>
          <w:p w14:paraId="13688B9F">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台</w:t>
            </w:r>
          </w:p>
        </w:tc>
        <w:tc>
          <w:tcPr>
            <w:tcW w:w="707" w:type="dxa"/>
            <w:tcBorders>
              <w:top w:val="single" w:color="000000" w:sz="4" w:space="0"/>
              <w:left w:val="single" w:color="000000" w:sz="4" w:space="0"/>
              <w:bottom w:val="single" w:color="000000" w:sz="4" w:space="0"/>
              <w:right w:val="single" w:color="000000" w:sz="4" w:space="0"/>
            </w:tcBorders>
            <w:noWrap/>
            <w:vAlign w:val="center"/>
          </w:tcPr>
          <w:p w14:paraId="2CC103B1">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1</w:t>
            </w:r>
          </w:p>
        </w:tc>
      </w:tr>
      <w:tr w14:paraId="021D8C07">
        <w:tblPrEx>
          <w:tblCellMar>
            <w:top w:w="0" w:type="dxa"/>
            <w:left w:w="108" w:type="dxa"/>
            <w:bottom w:w="0" w:type="dxa"/>
            <w:right w:w="108" w:type="dxa"/>
          </w:tblCellMar>
        </w:tblPrEx>
        <w:trPr>
          <w:trHeight w:val="580" w:hRule="atLeast"/>
        </w:trPr>
        <w:tc>
          <w:tcPr>
            <w:tcW w:w="693" w:type="dxa"/>
            <w:tcBorders>
              <w:top w:val="single" w:color="000000" w:sz="4" w:space="0"/>
              <w:left w:val="single" w:color="000000" w:sz="4" w:space="0"/>
              <w:bottom w:val="single" w:color="000000" w:sz="4" w:space="0"/>
              <w:right w:val="single" w:color="000000" w:sz="4" w:space="0"/>
            </w:tcBorders>
            <w:noWrap/>
            <w:vAlign w:val="center"/>
          </w:tcPr>
          <w:p w14:paraId="2E266B7D">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56</w:t>
            </w:r>
          </w:p>
        </w:tc>
        <w:tc>
          <w:tcPr>
            <w:tcW w:w="1371" w:type="dxa"/>
            <w:tcBorders>
              <w:top w:val="single" w:color="000000" w:sz="4" w:space="0"/>
              <w:left w:val="single" w:color="000000" w:sz="4" w:space="0"/>
              <w:bottom w:val="single" w:color="000000" w:sz="4" w:space="0"/>
              <w:right w:val="single" w:color="000000" w:sz="4" w:space="0"/>
            </w:tcBorders>
            <w:vAlign w:val="center"/>
          </w:tcPr>
          <w:p w14:paraId="12F65BE7">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单通工作台</w:t>
            </w:r>
          </w:p>
        </w:tc>
        <w:tc>
          <w:tcPr>
            <w:tcW w:w="5493" w:type="dxa"/>
            <w:tcBorders>
              <w:top w:val="single" w:color="000000" w:sz="4" w:space="0"/>
              <w:left w:val="single" w:color="000000" w:sz="4" w:space="0"/>
              <w:bottom w:val="single" w:color="000000" w:sz="4" w:space="0"/>
              <w:right w:val="single" w:color="000000" w:sz="4" w:space="0"/>
            </w:tcBorders>
            <w:vAlign w:val="center"/>
          </w:tcPr>
          <w:p w14:paraId="103056F5">
            <w:pPr>
              <w:widowControl/>
              <w:jc w:val="left"/>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规格：≤1800*800*800mm，采用304不锈钢板材，上层柳木包边制作，面板约1.2MM，下沉约18MM防水高密度板及不锈钢U型加强筋，中间夹层约1.2MM不锈钢板，附加强筋，单边推拉门，配不锈钢调节地脚，以现场实际摆放为准</w:t>
            </w:r>
          </w:p>
        </w:tc>
        <w:tc>
          <w:tcPr>
            <w:tcW w:w="640" w:type="dxa"/>
            <w:tcBorders>
              <w:top w:val="single" w:color="000000" w:sz="4" w:space="0"/>
              <w:left w:val="single" w:color="000000" w:sz="4" w:space="0"/>
              <w:bottom w:val="single" w:color="000000" w:sz="4" w:space="0"/>
              <w:right w:val="single" w:color="000000" w:sz="4" w:space="0"/>
            </w:tcBorders>
            <w:noWrap/>
            <w:vAlign w:val="center"/>
          </w:tcPr>
          <w:p w14:paraId="2984A4A9">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台</w:t>
            </w:r>
          </w:p>
        </w:tc>
        <w:tc>
          <w:tcPr>
            <w:tcW w:w="707" w:type="dxa"/>
            <w:tcBorders>
              <w:top w:val="single" w:color="000000" w:sz="4" w:space="0"/>
              <w:left w:val="single" w:color="000000" w:sz="4" w:space="0"/>
              <w:bottom w:val="single" w:color="000000" w:sz="4" w:space="0"/>
              <w:right w:val="single" w:color="000000" w:sz="4" w:space="0"/>
            </w:tcBorders>
            <w:noWrap/>
            <w:vAlign w:val="center"/>
          </w:tcPr>
          <w:p w14:paraId="60ADAEF3">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4</w:t>
            </w:r>
          </w:p>
        </w:tc>
      </w:tr>
      <w:tr w14:paraId="0A65E858">
        <w:tblPrEx>
          <w:tblCellMar>
            <w:top w:w="0" w:type="dxa"/>
            <w:left w:w="108" w:type="dxa"/>
            <w:bottom w:w="0" w:type="dxa"/>
            <w:right w:w="108" w:type="dxa"/>
          </w:tblCellMar>
        </w:tblPrEx>
        <w:trPr>
          <w:trHeight w:val="580" w:hRule="atLeast"/>
        </w:trPr>
        <w:tc>
          <w:tcPr>
            <w:tcW w:w="693" w:type="dxa"/>
            <w:tcBorders>
              <w:top w:val="single" w:color="000000" w:sz="4" w:space="0"/>
              <w:left w:val="single" w:color="000000" w:sz="4" w:space="0"/>
              <w:bottom w:val="single" w:color="000000" w:sz="4" w:space="0"/>
              <w:right w:val="single" w:color="000000" w:sz="4" w:space="0"/>
            </w:tcBorders>
            <w:noWrap/>
            <w:vAlign w:val="center"/>
          </w:tcPr>
          <w:p w14:paraId="4291A3A9">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57</w:t>
            </w:r>
          </w:p>
        </w:tc>
        <w:tc>
          <w:tcPr>
            <w:tcW w:w="1371" w:type="dxa"/>
            <w:tcBorders>
              <w:top w:val="single" w:color="000000" w:sz="4" w:space="0"/>
              <w:left w:val="single" w:color="000000" w:sz="4" w:space="0"/>
              <w:bottom w:val="single" w:color="000000" w:sz="4" w:space="0"/>
              <w:right w:val="single" w:color="000000" w:sz="4" w:space="0"/>
            </w:tcBorders>
            <w:vAlign w:val="center"/>
          </w:tcPr>
          <w:p w14:paraId="6840704C">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保鲜工作台</w:t>
            </w:r>
          </w:p>
        </w:tc>
        <w:tc>
          <w:tcPr>
            <w:tcW w:w="5493" w:type="dxa"/>
            <w:tcBorders>
              <w:top w:val="single" w:color="000000" w:sz="4" w:space="0"/>
              <w:left w:val="single" w:color="000000" w:sz="4" w:space="0"/>
              <w:bottom w:val="single" w:color="000000" w:sz="4" w:space="0"/>
              <w:right w:val="single" w:color="000000" w:sz="4" w:space="0"/>
            </w:tcBorders>
            <w:vAlign w:val="center"/>
          </w:tcPr>
          <w:p w14:paraId="0B2105A7">
            <w:pPr>
              <w:widowControl/>
              <w:jc w:val="left"/>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规格：≤1800*800*800mm，整体发泡全铜管，自动回位门，不锈钢约20MM*20MM方管层架，易承重不不变形，大容量，内胆一次性拉伸，东贝压缩机，终身质保，配可调节50MM地脚，以现场实际摆放为准</w:t>
            </w:r>
          </w:p>
        </w:tc>
        <w:tc>
          <w:tcPr>
            <w:tcW w:w="640" w:type="dxa"/>
            <w:tcBorders>
              <w:top w:val="single" w:color="000000" w:sz="4" w:space="0"/>
              <w:left w:val="single" w:color="000000" w:sz="4" w:space="0"/>
              <w:bottom w:val="single" w:color="000000" w:sz="4" w:space="0"/>
              <w:right w:val="single" w:color="000000" w:sz="4" w:space="0"/>
            </w:tcBorders>
            <w:noWrap/>
            <w:vAlign w:val="center"/>
          </w:tcPr>
          <w:p w14:paraId="0CE29CAE">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台</w:t>
            </w:r>
          </w:p>
        </w:tc>
        <w:tc>
          <w:tcPr>
            <w:tcW w:w="707" w:type="dxa"/>
            <w:tcBorders>
              <w:top w:val="single" w:color="000000" w:sz="4" w:space="0"/>
              <w:left w:val="single" w:color="000000" w:sz="4" w:space="0"/>
              <w:bottom w:val="single" w:color="000000" w:sz="4" w:space="0"/>
              <w:right w:val="single" w:color="000000" w:sz="4" w:space="0"/>
            </w:tcBorders>
            <w:noWrap/>
            <w:vAlign w:val="center"/>
          </w:tcPr>
          <w:p w14:paraId="6CA17DD9">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2</w:t>
            </w:r>
          </w:p>
        </w:tc>
      </w:tr>
      <w:tr w14:paraId="5489CABA">
        <w:tblPrEx>
          <w:tblCellMar>
            <w:top w:w="0" w:type="dxa"/>
            <w:left w:w="108" w:type="dxa"/>
            <w:bottom w:w="0" w:type="dxa"/>
            <w:right w:w="108" w:type="dxa"/>
          </w:tblCellMar>
        </w:tblPrEx>
        <w:trPr>
          <w:trHeight w:val="580" w:hRule="atLeast"/>
        </w:trPr>
        <w:tc>
          <w:tcPr>
            <w:tcW w:w="693" w:type="dxa"/>
            <w:tcBorders>
              <w:top w:val="single" w:color="000000" w:sz="4" w:space="0"/>
              <w:left w:val="single" w:color="000000" w:sz="4" w:space="0"/>
              <w:bottom w:val="single" w:color="000000" w:sz="4" w:space="0"/>
              <w:right w:val="single" w:color="000000" w:sz="4" w:space="0"/>
            </w:tcBorders>
            <w:noWrap/>
            <w:vAlign w:val="center"/>
          </w:tcPr>
          <w:p w14:paraId="028F2AD9">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58</w:t>
            </w:r>
          </w:p>
        </w:tc>
        <w:tc>
          <w:tcPr>
            <w:tcW w:w="1371" w:type="dxa"/>
            <w:tcBorders>
              <w:top w:val="single" w:color="000000" w:sz="4" w:space="0"/>
              <w:left w:val="single" w:color="000000" w:sz="4" w:space="0"/>
              <w:bottom w:val="single" w:color="000000" w:sz="4" w:space="0"/>
              <w:right w:val="single" w:color="000000" w:sz="4" w:space="0"/>
            </w:tcBorders>
            <w:vAlign w:val="center"/>
          </w:tcPr>
          <w:p w14:paraId="496B871F">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多功能洗地水龙头</w:t>
            </w:r>
          </w:p>
        </w:tc>
        <w:tc>
          <w:tcPr>
            <w:tcW w:w="5493" w:type="dxa"/>
            <w:tcBorders>
              <w:top w:val="single" w:color="000000" w:sz="4" w:space="0"/>
              <w:left w:val="single" w:color="000000" w:sz="4" w:space="0"/>
              <w:bottom w:val="single" w:color="000000" w:sz="4" w:space="0"/>
              <w:right w:val="single" w:color="000000" w:sz="4" w:space="0"/>
            </w:tcBorders>
            <w:vAlign w:val="center"/>
          </w:tcPr>
          <w:p w14:paraId="3D2B8442">
            <w:pPr>
              <w:widowControl/>
              <w:jc w:val="left"/>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规格：≤15米，自动伸缩高防腐，开放式洗地龙头，碳钢喷涂主体，铝制进水口，食品级树脂胶管，耐高温100度，金属枪头，可调节直线或花洒</w:t>
            </w:r>
          </w:p>
        </w:tc>
        <w:tc>
          <w:tcPr>
            <w:tcW w:w="640" w:type="dxa"/>
            <w:tcBorders>
              <w:top w:val="single" w:color="000000" w:sz="4" w:space="0"/>
              <w:left w:val="single" w:color="000000" w:sz="4" w:space="0"/>
              <w:bottom w:val="single" w:color="000000" w:sz="4" w:space="0"/>
              <w:right w:val="single" w:color="000000" w:sz="4" w:space="0"/>
            </w:tcBorders>
            <w:noWrap/>
            <w:vAlign w:val="center"/>
          </w:tcPr>
          <w:p w14:paraId="497DBA35">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台</w:t>
            </w:r>
          </w:p>
        </w:tc>
        <w:tc>
          <w:tcPr>
            <w:tcW w:w="707" w:type="dxa"/>
            <w:tcBorders>
              <w:top w:val="single" w:color="000000" w:sz="4" w:space="0"/>
              <w:left w:val="single" w:color="000000" w:sz="4" w:space="0"/>
              <w:bottom w:val="single" w:color="000000" w:sz="4" w:space="0"/>
              <w:right w:val="single" w:color="000000" w:sz="4" w:space="0"/>
            </w:tcBorders>
            <w:noWrap/>
            <w:vAlign w:val="center"/>
          </w:tcPr>
          <w:p w14:paraId="775D621C">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1</w:t>
            </w:r>
          </w:p>
        </w:tc>
      </w:tr>
      <w:tr w14:paraId="45D3BD21">
        <w:tblPrEx>
          <w:tblCellMar>
            <w:top w:w="0" w:type="dxa"/>
            <w:left w:w="108" w:type="dxa"/>
            <w:bottom w:w="0" w:type="dxa"/>
            <w:right w:w="108" w:type="dxa"/>
          </w:tblCellMar>
        </w:tblPrEx>
        <w:trPr>
          <w:trHeight w:val="580" w:hRule="atLeast"/>
        </w:trPr>
        <w:tc>
          <w:tcPr>
            <w:tcW w:w="693" w:type="dxa"/>
            <w:tcBorders>
              <w:top w:val="single" w:color="000000" w:sz="4" w:space="0"/>
              <w:left w:val="single" w:color="000000" w:sz="4" w:space="0"/>
              <w:bottom w:val="single" w:color="000000" w:sz="4" w:space="0"/>
              <w:right w:val="single" w:color="000000" w:sz="4" w:space="0"/>
            </w:tcBorders>
            <w:noWrap/>
            <w:vAlign w:val="center"/>
          </w:tcPr>
          <w:p w14:paraId="45331378">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59</w:t>
            </w:r>
          </w:p>
        </w:tc>
        <w:tc>
          <w:tcPr>
            <w:tcW w:w="1371" w:type="dxa"/>
            <w:tcBorders>
              <w:top w:val="single" w:color="000000" w:sz="4" w:space="0"/>
              <w:left w:val="single" w:color="000000" w:sz="4" w:space="0"/>
              <w:bottom w:val="single" w:color="000000" w:sz="4" w:space="0"/>
              <w:right w:val="single" w:color="000000" w:sz="4" w:space="0"/>
            </w:tcBorders>
            <w:vAlign w:val="center"/>
          </w:tcPr>
          <w:p w14:paraId="537EAA86">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拖把池</w:t>
            </w:r>
          </w:p>
        </w:tc>
        <w:tc>
          <w:tcPr>
            <w:tcW w:w="5493" w:type="dxa"/>
            <w:tcBorders>
              <w:top w:val="single" w:color="000000" w:sz="4" w:space="0"/>
              <w:left w:val="single" w:color="000000" w:sz="4" w:space="0"/>
              <w:bottom w:val="single" w:color="000000" w:sz="4" w:space="0"/>
              <w:right w:val="single" w:color="000000" w:sz="4" w:space="0"/>
            </w:tcBorders>
            <w:vAlign w:val="center"/>
          </w:tcPr>
          <w:p w14:paraId="3D60BEE8">
            <w:pPr>
              <w:widowControl/>
              <w:jc w:val="left"/>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规格：≤600*500*1450mm，不锈钢304材质，一次性冲压而成，无焊点，易打扫，48#圆管焊接，可调试地脚，以现场实际摆放为准</w:t>
            </w:r>
          </w:p>
        </w:tc>
        <w:tc>
          <w:tcPr>
            <w:tcW w:w="640" w:type="dxa"/>
            <w:tcBorders>
              <w:top w:val="single" w:color="000000" w:sz="4" w:space="0"/>
              <w:left w:val="single" w:color="000000" w:sz="4" w:space="0"/>
              <w:bottom w:val="single" w:color="000000" w:sz="4" w:space="0"/>
              <w:right w:val="single" w:color="000000" w:sz="4" w:space="0"/>
            </w:tcBorders>
            <w:noWrap/>
            <w:vAlign w:val="center"/>
          </w:tcPr>
          <w:p w14:paraId="43889728">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台</w:t>
            </w:r>
          </w:p>
        </w:tc>
        <w:tc>
          <w:tcPr>
            <w:tcW w:w="707" w:type="dxa"/>
            <w:tcBorders>
              <w:top w:val="single" w:color="000000" w:sz="4" w:space="0"/>
              <w:left w:val="single" w:color="000000" w:sz="4" w:space="0"/>
              <w:bottom w:val="single" w:color="000000" w:sz="4" w:space="0"/>
              <w:right w:val="single" w:color="000000" w:sz="4" w:space="0"/>
            </w:tcBorders>
            <w:noWrap/>
            <w:vAlign w:val="center"/>
          </w:tcPr>
          <w:p w14:paraId="6A1BC14E">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1</w:t>
            </w:r>
          </w:p>
        </w:tc>
      </w:tr>
      <w:tr w14:paraId="0A73D8E6">
        <w:tblPrEx>
          <w:tblCellMar>
            <w:top w:w="0" w:type="dxa"/>
            <w:left w:w="108" w:type="dxa"/>
            <w:bottom w:w="0" w:type="dxa"/>
            <w:right w:w="108" w:type="dxa"/>
          </w:tblCellMar>
        </w:tblPrEx>
        <w:trPr>
          <w:trHeight w:val="580" w:hRule="atLeast"/>
        </w:trPr>
        <w:tc>
          <w:tcPr>
            <w:tcW w:w="693" w:type="dxa"/>
            <w:tcBorders>
              <w:top w:val="single" w:color="000000" w:sz="4" w:space="0"/>
              <w:left w:val="single" w:color="000000" w:sz="4" w:space="0"/>
              <w:bottom w:val="single" w:color="000000" w:sz="4" w:space="0"/>
              <w:right w:val="single" w:color="000000" w:sz="4" w:space="0"/>
            </w:tcBorders>
            <w:noWrap/>
            <w:vAlign w:val="center"/>
          </w:tcPr>
          <w:p w14:paraId="670B7520">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60</w:t>
            </w:r>
          </w:p>
        </w:tc>
        <w:tc>
          <w:tcPr>
            <w:tcW w:w="1371" w:type="dxa"/>
            <w:tcBorders>
              <w:top w:val="single" w:color="000000" w:sz="4" w:space="0"/>
              <w:left w:val="single" w:color="000000" w:sz="4" w:space="0"/>
              <w:bottom w:val="single" w:color="000000" w:sz="4" w:space="0"/>
              <w:right w:val="single" w:color="000000" w:sz="4" w:space="0"/>
            </w:tcBorders>
            <w:vAlign w:val="center"/>
          </w:tcPr>
          <w:p w14:paraId="3D993A2C">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专用垃圾桶</w:t>
            </w:r>
          </w:p>
        </w:tc>
        <w:tc>
          <w:tcPr>
            <w:tcW w:w="5493" w:type="dxa"/>
            <w:tcBorders>
              <w:top w:val="single" w:color="000000" w:sz="4" w:space="0"/>
              <w:left w:val="single" w:color="000000" w:sz="4" w:space="0"/>
              <w:bottom w:val="single" w:color="000000" w:sz="4" w:space="0"/>
              <w:right w:val="single" w:color="000000" w:sz="4" w:space="0"/>
            </w:tcBorders>
            <w:vAlign w:val="center"/>
          </w:tcPr>
          <w:p w14:paraId="3A5972E4">
            <w:pPr>
              <w:widowControl/>
              <w:jc w:val="left"/>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规格：≤750*575*1070mm，环保聚乙烯材质，坚固耐用，符合EN840标准要求，加大加厚塑胶轮胎，保障承载运输能力和延长使用寿命，以现场实际摆放为准</w:t>
            </w:r>
          </w:p>
        </w:tc>
        <w:tc>
          <w:tcPr>
            <w:tcW w:w="640" w:type="dxa"/>
            <w:tcBorders>
              <w:top w:val="single" w:color="000000" w:sz="4" w:space="0"/>
              <w:left w:val="single" w:color="000000" w:sz="4" w:space="0"/>
              <w:bottom w:val="single" w:color="000000" w:sz="4" w:space="0"/>
              <w:right w:val="single" w:color="000000" w:sz="4" w:space="0"/>
            </w:tcBorders>
            <w:noWrap/>
            <w:vAlign w:val="center"/>
          </w:tcPr>
          <w:p w14:paraId="1499648E">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台</w:t>
            </w:r>
          </w:p>
        </w:tc>
        <w:tc>
          <w:tcPr>
            <w:tcW w:w="707" w:type="dxa"/>
            <w:tcBorders>
              <w:top w:val="single" w:color="000000" w:sz="4" w:space="0"/>
              <w:left w:val="single" w:color="000000" w:sz="4" w:space="0"/>
              <w:bottom w:val="single" w:color="000000" w:sz="4" w:space="0"/>
              <w:right w:val="single" w:color="000000" w:sz="4" w:space="0"/>
            </w:tcBorders>
            <w:noWrap/>
            <w:vAlign w:val="center"/>
          </w:tcPr>
          <w:p w14:paraId="5BB35940">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1</w:t>
            </w:r>
          </w:p>
        </w:tc>
      </w:tr>
      <w:tr w14:paraId="2D5F7743">
        <w:tblPrEx>
          <w:tblCellMar>
            <w:top w:w="0" w:type="dxa"/>
            <w:left w:w="108" w:type="dxa"/>
            <w:bottom w:w="0" w:type="dxa"/>
            <w:right w:w="108" w:type="dxa"/>
          </w:tblCellMar>
        </w:tblPrEx>
        <w:trPr>
          <w:trHeight w:val="580" w:hRule="atLeast"/>
        </w:trPr>
        <w:tc>
          <w:tcPr>
            <w:tcW w:w="693" w:type="dxa"/>
            <w:tcBorders>
              <w:top w:val="single" w:color="000000" w:sz="4" w:space="0"/>
              <w:left w:val="single" w:color="000000" w:sz="4" w:space="0"/>
              <w:bottom w:val="single" w:color="000000" w:sz="4" w:space="0"/>
              <w:right w:val="single" w:color="000000" w:sz="4" w:space="0"/>
            </w:tcBorders>
            <w:noWrap/>
            <w:vAlign w:val="center"/>
          </w:tcPr>
          <w:p w14:paraId="1954B192">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61</w:t>
            </w:r>
          </w:p>
        </w:tc>
        <w:tc>
          <w:tcPr>
            <w:tcW w:w="1371" w:type="dxa"/>
            <w:tcBorders>
              <w:top w:val="single" w:color="000000" w:sz="4" w:space="0"/>
              <w:left w:val="single" w:color="000000" w:sz="4" w:space="0"/>
              <w:bottom w:val="single" w:color="000000" w:sz="4" w:space="0"/>
              <w:right w:val="single" w:color="000000" w:sz="4" w:space="0"/>
            </w:tcBorders>
            <w:vAlign w:val="center"/>
          </w:tcPr>
          <w:p w14:paraId="612CE27D">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四门储物柜</w:t>
            </w:r>
          </w:p>
        </w:tc>
        <w:tc>
          <w:tcPr>
            <w:tcW w:w="5493" w:type="dxa"/>
            <w:tcBorders>
              <w:top w:val="single" w:color="000000" w:sz="4" w:space="0"/>
              <w:left w:val="single" w:color="000000" w:sz="4" w:space="0"/>
              <w:bottom w:val="single" w:color="000000" w:sz="4" w:space="0"/>
              <w:right w:val="single" w:color="000000" w:sz="4" w:space="0"/>
            </w:tcBorders>
            <w:vAlign w:val="center"/>
          </w:tcPr>
          <w:p w14:paraId="11F9B4F2">
            <w:pPr>
              <w:widowControl/>
              <w:jc w:val="left"/>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规格：≤1200*500*1800mm，采用优质304材质，柜身采用约1.2MM厚磨砂贴膜不锈钢板，上掀门增加储物空间，易存放，滑动灵活轻便，不易嵌入垃圾，配可调试地脚，以现场实际摆放为准</w:t>
            </w:r>
          </w:p>
        </w:tc>
        <w:tc>
          <w:tcPr>
            <w:tcW w:w="640" w:type="dxa"/>
            <w:tcBorders>
              <w:top w:val="single" w:color="000000" w:sz="4" w:space="0"/>
              <w:left w:val="single" w:color="000000" w:sz="4" w:space="0"/>
              <w:bottom w:val="single" w:color="000000" w:sz="4" w:space="0"/>
              <w:right w:val="single" w:color="000000" w:sz="4" w:space="0"/>
            </w:tcBorders>
            <w:noWrap/>
            <w:vAlign w:val="center"/>
          </w:tcPr>
          <w:p w14:paraId="339F7218">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台</w:t>
            </w:r>
          </w:p>
        </w:tc>
        <w:tc>
          <w:tcPr>
            <w:tcW w:w="707" w:type="dxa"/>
            <w:tcBorders>
              <w:top w:val="single" w:color="000000" w:sz="4" w:space="0"/>
              <w:left w:val="single" w:color="000000" w:sz="4" w:space="0"/>
              <w:bottom w:val="single" w:color="000000" w:sz="4" w:space="0"/>
              <w:right w:val="single" w:color="000000" w:sz="4" w:space="0"/>
            </w:tcBorders>
            <w:noWrap/>
            <w:vAlign w:val="center"/>
          </w:tcPr>
          <w:p w14:paraId="06E8D5D1">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1</w:t>
            </w:r>
          </w:p>
        </w:tc>
      </w:tr>
      <w:tr w14:paraId="12179B0F">
        <w:tblPrEx>
          <w:tblCellMar>
            <w:top w:w="0" w:type="dxa"/>
            <w:left w:w="108" w:type="dxa"/>
            <w:bottom w:w="0" w:type="dxa"/>
            <w:right w:w="108" w:type="dxa"/>
          </w:tblCellMar>
        </w:tblPrEx>
        <w:trPr>
          <w:trHeight w:val="580" w:hRule="atLeast"/>
        </w:trPr>
        <w:tc>
          <w:tcPr>
            <w:tcW w:w="693" w:type="dxa"/>
            <w:tcBorders>
              <w:top w:val="single" w:color="000000" w:sz="4" w:space="0"/>
              <w:left w:val="single" w:color="000000" w:sz="4" w:space="0"/>
              <w:bottom w:val="single" w:color="000000" w:sz="4" w:space="0"/>
              <w:right w:val="single" w:color="000000" w:sz="4" w:space="0"/>
            </w:tcBorders>
            <w:noWrap/>
            <w:vAlign w:val="center"/>
          </w:tcPr>
          <w:p w14:paraId="426F11FE">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62</w:t>
            </w:r>
          </w:p>
        </w:tc>
        <w:tc>
          <w:tcPr>
            <w:tcW w:w="1371" w:type="dxa"/>
            <w:tcBorders>
              <w:top w:val="single" w:color="000000" w:sz="4" w:space="0"/>
              <w:left w:val="single" w:color="000000" w:sz="4" w:space="0"/>
              <w:bottom w:val="single" w:color="000000" w:sz="4" w:space="0"/>
              <w:right w:val="single" w:color="000000" w:sz="4" w:space="0"/>
            </w:tcBorders>
            <w:vAlign w:val="center"/>
          </w:tcPr>
          <w:p w14:paraId="3A121025">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双门热风循环消毒柜            （不锈钢板材1.0）</w:t>
            </w:r>
          </w:p>
        </w:tc>
        <w:tc>
          <w:tcPr>
            <w:tcW w:w="5493" w:type="dxa"/>
            <w:tcBorders>
              <w:top w:val="single" w:color="000000" w:sz="4" w:space="0"/>
              <w:left w:val="single" w:color="000000" w:sz="4" w:space="0"/>
              <w:bottom w:val="single" w:color="000000" w:sz="4" w:space="0"/>
              <w:right w:val="single" w:color="000000" w:sz="4" w:space="0"/>
            </w:tcBorders>
            <w:vAlign w:val="center"/>
          </w:tcPr>
          <w:p w14:paraId="6202313C">
            <w:pPr>
              <w:widowControl/>
              <w:jc w:val="left"/>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规格：≤1200*710*1930mm，功率4KW-220V ，全发泡不锈钢加厚沉降筐，温度125度，满足餐具消杀功能，配可视玻璃，便于观察内部消杀情况，以现场实际摆放为准</w:t>
            </w:r>
          </w:p>
        </w:tc>
        <w:tc>
          <w:tcPr>
            <w:tcW w:w="640" w:type="dxa"/>
            <w:tcBorders>
              <w:top w:val="single" w:color="000000" w:sz="4" w:space="0"/>
              <w:left w:val="single" w:color="000000" w:sz="4" w:space="0"/>
              <w:bottom w:val="single" w:color="000000" w:sz="4" w:space="0"/>
              <w:right w:val="single" w:color="000000" w:sz="4" w:space="0"/>
            </w:tcBorders>
            <w:noWrap/>
            <w:vAlign w:val="center"/>
          </w:tcPr>
          <w:p w14:paraId="0927A3D1">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台</w:t>
            </w:r>
          </w:p>
        </w:tc>
        <w:tc>
          <w:tcPr>
            <w:tcW w:w="707" w:type="dxa"/>
            <w:tcBorders>
              <w:top w:val="single" w:color="000000" w:sz="4" w:space="0"/>
              <w:left w:val="single" w:color="000000" w:sz="4" w:space="0"/>
              <w:bottom w:val="single" w:color="000000" w:sz="4" w:space="0"/>
              <w:right w:val="single" w:color="000000" w:sz="4" w:space="0"/>
            </w:tcBorders>
            <w:noWrap/>
            <w:vAlign w:val="center"/>
          </w:tcPr>
          <w:p w14:paraId="50C4344F">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1</w:t>
            </w:r>
          </w:p>
        </w:tc>
      </w:tr>
      <w:tr w14:paraId="7ED6610C">
        <w:tblPrEx>
          <w:tblCellMar>
            <w:top w:w="0" w:type="dxa"/>
            <w:left w:w="108" w:type="dxa"/>
            <w:bottom w:w="0" w:type="dxa"/>
            <w:right w:w="108" w:type="dxa"/>
          </w:tblCellMar>
        </w:tblPrEx>
        <w:trPr>
          <w:trHeight w:val="580" w:hRule="atLeast"/>
        </w:trPr>
        <w:tc>
          <w:tcPr>
            <w:tcW w:w="693" w:type="dxa"/>
            <w:tcBorders>
              <w:top w:val="single" w:color="000000" w:sz="4" w:space="0"/>
              <w:left w:val="single" w:color="000000" w:sz="4" w:space="0"/>
              <w:bottom w:val="single" w:color="000000" w:sz="4" w:space="0"/>
              <w:right w:val="single" w:color="000000" w:sz="4" w:space="0"/>
            </w:tcBorders>
            <w:noWrap/>
            <w:vAlign w:val="center"/>
          </w:tcPr>
          <w:p w14:paraId="2EA4588E">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63</w:t>
            </w:r>
          </w:p>
        </w:tc>
        <w:tc>
          <w:tcPr>
            <w:tcW w:w="1371" w:type="dxa"/>
            <w:tcBorders>
              <w:top w:val="single" w:color="000000" w:sz="4" w:space="0"/>
              <w:left w:val="single" w:color="000000" w:sz="4" w:space="0"/>
              <w:bottom w:val="single" w:color="000000" w:sz="4" w:space="0"/>
              <w:right w:val="single" w:color="000000" w:sz="4" w:space="0"/>
            </w:tcBorders>
            <w:vAlign w:val="center"/>
          </w:tcPr>
          <w:p w14:paraId="71E60BB6">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刀具组合消毒柜</w:t>
            </w:r>
          </w:p>
        </w:tc>
        <w:tc>
          <w:tcPr>
            <w:tcW w:w="5493" w:type="dxa"/>
            <w:tcBorders>
              <w:top w:val="single" w:color="000000" w:sz="4" w:space="0"/>
              <w:left w:val="single" w:color="000000" w:sz="4" w:space="0"/>
              <w:bottom w:val="single" w:color="000000" w:sz="4" w:space="0"/>
              <w:right w:val="single" w:color="000000" w:sz="4" w:space="0"/>
            </w:tcBorders>
            <w:vAlign w:val="center"/>
          </w:tcPr>
          <w:p w14:paraId="215C33F0">
            <w:pPr>
              <w:widowControl/>
              <w:jc w:val="left"/>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规格：≤1200*500*1850mm，采用304不锈钢材质，折边压筋焊接而成，拉门配可是玻璃，便于观察内部消杀，组合式圆管墩架、刀架、毛巾架，以现场实际摆放为准</w:t>
            </w:r>
          </w:p>
        </w:tc>
        <w:tc>
          <w:tcPr>
            <w:tcW w:w="640" w:type="dxa"/>
            <w:tcBorders>
              <w:top w:val="single" w:color="000000" w:sz="4" w:space="0"/>
              <w:left w:val="single" w:color="000000" w:sz="4" w:space="0"/>
              <w:bottom w:val="single" w:color="000000" w:sz="4" w:space="0"/>
              <w:right w:val="single" w:color="000000" w:sz="4" w:space="0"/>
            </w:tcBorders>
            <w:noWrap/>
            <w:vAlign w:val="center"/>
          </w:tcPr>
          <w:p w14:paraId="69414A8A">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台</w:t>
            </w:r>
          </w:p>
        </w:tc>
        <w:tc>
          <w:tcPr>
            <w:tcW w:w="707" w:type="dxa"/>
            <w:tcBorders>
              <w:top w:val="single" w:color="000000" w:sz="4" w:space="0"/>
              <w:left w:val="single" w:color="000000" w:sz="4" w:space="0"/>
              <w:bottom w:val="single" w:color="000000" w:sz="4" w:space="0"/>
              <w:right w:val="single" w:color="000000" w:sz="4" w:space="0"/>
            </w:tcBorders>
            <w:noWrap/>
            <w:vAlign w:val="center"/>
          </w:tcPr>
          <w:p w14:paraId="08D56D7F">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1</w:t>
            </w:r>
          </w:p>
        </w:tc>
      </w:tr>
      <w:tr w14:paraId="7CA17E3A">
        <w:tblPrEx>
          <w:tblCellMar>
            <w:top w:w="0" w:type="dxa"/>
            <w:left w:w="108" w:type="dxa"/>
            <w:bottom w:w="0" w:type="dxa"/>
            <w:right w:w="108" w:type="dxa"/>
          </w:tblCellMar>
        </w:tblPrEx>
        <w:trPr>
          <w:trHeight w:val="580" w:hRule="atLeast"/>
        </w:trPr>
        <w:tc>
          <w:tcPr>
            <w:tcW w:w="693" w:type="dxa"/>
            <w:tcBorders>
              <w:top w:val="single" w:color="000000" w:sz="4" w:space="0"/>
              <w:left w:val="single" w:color="000000" w:sz="4" w:space="0"/>
              <w:bottom w:val="single" w:color="000000" w:sz="4" w:space="0"/>
              <w:right w:val="single" w:color="000000" w:sz="4" w:space="0"/>
            </w:tcBorders>
            <w:noWrap/>
            <w:vAlign w:val="center"/>
          </w:tcPr>
          <w:p w14:paraId="0156073E">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64</w:t>
            </w:r>
          </w:p>
        </w:tc>
        <w:tc>
          <w:tcPr>
            <w:tcW w:w="1371" w:type="dxa"/>
            <w:tcBorders>
              <w:top w:val="single" w:color="000000" w:sz="4" w:space="0"/>
              <w:left w:val="single" w:color="000000" w:sz="4" w:space="0"/>
              <w:bottom w:val="single" w:color="000000" w:sz="4" w:space="0"/>
              <w:right w:val="single" w:color="000000" w:sz="4" w:space="0"/>
            </w:tcBorders>
            <w:vAlign w:val="center"/>
          </w:tcPr>
          <w:p w14:paraId="5C608EFE">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食品留样柜</w:t>
            </w:r>
          </w:p>
        </w:tc>
        <w:tc>
          <w:tcPr>
            <w:tcW w:w="5493" w:type="dxa"/>
            <w:tcBorders>
              <w:top w:val="single" w:color="000000" w:sz="4" w:space="0"/>
              <w:left w:val="single" w:color="000000" w:sz="4" w:space="0"/>
              <w:bottom w:val="single" w:color="000000" w:sz="4" w:space="0"/>
              <w:right w:val="single" w:color="000000" w:sz="4" w:space="0"/>
            </w:tcBorders>
            <w:vAlign w:val="center"/>
          </w:tcPr>
          <w:p w14:paraId="7F5A8C53">
            <w:pPr>
              <w:widowControl/>
              <w:jc w:val="left"/>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规格：≤1200*710*1930mm，全发泡夹层，全铜管东贝压缩机，终身质保，食材保存温度-5度，多层架设置，易储存多种食材，以现场实际摆放为准</w:t>
            </w:r>
          </w:p>
        </w:tc>
        <w:tc>
          <w:tcPr>
            <w:tcW w:w="640" w:type="dxa"/>
            <w:tcBorders>
              <w:top w:val="single" w:color="000000" w:sz="4" w:space="0"/>
              <w:left w:val="single" w:color="000000" w:sz="4" w:space="0"/>
              <w:bottom w:val="single" w:color="000000" w:sz="4" w:space="0"/>
              <w:right w:val="single" w:color="000000" w:sz="4" w:space="0"/>
            </w:tcBorders>
            <w:noWrap/>
            <w:vAlign w:val="center"/>
          </w:tcPr>
          <w:p w14:paraId="4FC64097">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台</w:t>
            </w:r>
          </w:p>
        </w:tc>
        <w:tc>
          <w:tcPr>
            <w:tcW w:w="707" w:type="dxa"/>
            <w:tcBorders>
              <w:top w:val="single" w:color="000000" w:sz="4" w:space="0"/>
              <w:left w:val="single" w:color="000000" w:sz="4" w:space="0"/>
              <w:bottom w:val="single" w:color="000000" w:sz="4" w:space="0"/>
              <w:right w:val="single" w:color="000000" w:sz="4" w:space="0"/>
            </w:tcBorders>
            <w:noWrap/>
            <w:vAlign w:val="center"/>
          </w:tcPr>
          <w:p w14:paraId="03A8C530">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1</w:t>
            </w:r>
          </w:p>
        </w:tc>
      </w:tr>
      <w:tr w14:paraId="269AB47C">
        <w:tblPrEx>
          <w:tblCellMar>
            <w:top w:w="0" w:type="dxa"/>
            <w:left w:w="108" w:type="dxa"/>
            <w:bottom w:w="0" w:type="dxa"/>
            <w:right w:w="108" w:type="dxa"/>
          </w:tblCellMar>
        </w:tblPrEx>
        <w:trPr>
          <w:trHeight w:val="580" w:hRule="atLeast"/>
        </w:trPr>
        <w:tc>
          <w:tcPr>
            <w:tcW w:w="693" w:type="dxa"/>
            <w:tcBorders>
              <w:top w:val="single" w:color="000000" w:sz="4" w:space="0"/>
              <w:left w:val="single" w:color="000000" w:sz="4" w:space="0"/>
              <w:bottom w:val="single" w:color="000000" w:sz="4" w:space="0"/>
              <w:right w:val="single" w:color="000000" w:sz="4" w:space="0"/>
            </w:tcBorders>
            <w:noWrap/>
            <w:vAlign w:val="center"/>
          </w:tcPr>
          <w:p w14:paraId="5A747553">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65</w:t>
            </w:r>
          </w:p>
        </w:tc>
        <w:tc>
          <w:tcPr>
            <w:tcW w:w="1371" w:type="dxa"/>
            <w:tcBorders>
              <w:top w:val="single" w:color="000000" w:sz="4" w:space="0"/>
              <w:left w:val="single" w:color="000000" w:sz="4" w:space="0"/>
              <w:bottom w:val="single" w:color="000000" w:sz="4" w:space="0"/>
              <w:right w:val="single" w:color="000000" w:sz="4" w:space="0"/>
            </w:tcBorders>
            <w:vAlign w:val="center"/>
          </w:tcPr>
          <w:p w14:paraId="40C5CD8A">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 xml:space="preserve">双温六门冰箱            </w:t>
            </w:r>
          </w:p>
        </w:tc>
        <w:tc>
          <w:tcPr>
            <w:tcW w:w="5493" w:type="dxa"/>
            <w:tcBorders>
              <w:top w:val="single" w:color="000000" w:sz="4" w:space="0"/>
              <w:left w:val="single" w:color="000000" w:sz="4" w:space="0"/>
              <w:bottom w:val="single" w:color="000000" w:sz="4" w:space="0"/>
              <w:right w:val="single" w:color="000000" w:sz="4" w:space="0"/>
            </w:tcBorders>
            <w:vAlign w:val="center"/>
          </w:tcPr>
          <w:p w14:paraId="7F6AFF8B">
            <w:pPr>
              <w:widowControl/>
              <w:jc w:val="left"/>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规格：≤1800*710*1930mm，整体发泡全铜管，自动回位门，不锈钢约20MM*20MM方管层架，易承重不不变形，大容量，内胆一次性拉伸，东贝压缩机，终身质保，配可调节50MM地脚，以现场实际摆放为准</w:t>
            </w:r>
          </w:p>
        </w:tc>
        <w:tc>
          <w:tcPr>
            <w:tcW w:w="640" w:type="dxa"/>
            <w:tcBorders>
              <w:top w:val="single" w:color="000000" w:sz="4" w:space="0"/>
              <w:left w:val="single" w:color="000000" w:sz="4" w:space="0"/>
              <w:bottom w:val="single" w:color="000000" w:sz="4" w:space="0"/>
              <w:right w:val="single" w:color="000000" w:sz="4" w:space="0"/>
            </w:tcBorders>
            <w:noWrap/>
            <w:vAlign w:val="center"/>
          </w:tcPr>
          <w:p w14:paraId="46DA8496">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台</w:t>
            </w:r>
          </w:p>
        </w:tc>
        <w:tc>
          <w:tcPr>
            <w:tcW w:w="707" w:type="dxa"/>
            <w:tcBorders>
              <w:top w:val="single" w:color="000000" w:sz="4" w:space="0"/>
              <w:left w:val="single" w:color="000000" w:sz="4" w:space="0"/>
              <w:bottom w:val="single" w:color="000000" w:sz="4" w:space="0"/>
              <w:right w:val="single" w:color="000000" w:sz="4" w:space="0"/>
            </w:tcBorders>
            <w:noWrap/>
            <w:vAlign w:val="center"/>
          </w:tcPr>
          <w:p w14:paraId="481D4988">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1</w:t>
            </w:r>
          </w:p>
        </w:tc>
      </w:tr>
      <w:tr w14:paraId="346A900A">
        <w:tblPrEx>
          <w:tblCellMar>
            <w:top w:w="0" w:type="dxa"/>
            <w:left w:w="108" w:type="dxa"/>
            <w:bottom w:w="0" w:type="dxa"/>
            <w:right w:w="108" w:type="dxa"/>
          </w:tblCellMar>
        </w:tblPrEx>
        <w:trPr>
          <w:trHeight w:val="580" w:hRule="atLeast"/>
        </w:trPr>
        <w:tc>
          <w:tcPr>
            <w:tcW w:w="693" w:type="dxa"/>
            <w:tcBorders>
              <w:top w:val="single" w:color="000000" w:sz="4" w:space="0"/>
              <w:left w:val="single" w:color="000000" w:sz="4" w:space="0"/>
              <w:bottom w:val="single" w:color="000000" w:sz="4" w:space="0"/>
              <w:right w:val="single" w:color="000000" w:sz="4" w:space="0"/>
            </w:tcBorders>
            <w:vAlign w:val="center"/>
          </w:tcPr>
          <w:p w14:paraId="180AB6DE">
            <w:pPr>
              <w:jc w:val="center"/>
              <w:rPr>
                <w:rFonts w:hint="eastAsia" w:ascii="宋体" w:hAnsi="宋体"/>
                <w:color w:val="auto"/>
                <w:sz w:val="22"/>
                <w:szCs w:val="22"/>
                <w:highlight w:val="none"/>
              </w:rPr>
            </w:pPr>
          </w:p>
        </w:tc>
        <w:tc>
          <w:tcPr>
            <w:tcW w:w="1371" w:type="dxa"/>
            <w:tcBorders>
              <w:top w:val="single" w:color="000000" w:sz="4" w:space="0"/>
              <w:left w:val="single" w:color="000000" w:sz="4" w:space="0"/>
              <w:bottom w:val="single" w:color="000000" w:sz="4" w:space="0"/>
              <w:right w:val="single" w:color="000000" w:sz="4" w:space="0"/>
            </w:tcBorders>
            <w:vAlign w:val="center"/>
          </w:tcPr>
          <w:p w14:paraId="6E161081">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精加工间</w:t>
            </w:r>
          </w:p>
        </w:tc>
        <w:tc>
          <w:tcPr>
            <w:tcW w:w="5493" w:type="dxa"/>
            <w:tcBorders>
              <w:top w:val="single" w:color="000000" w:sz="4" w:space="0"/>
              <w:left w:val="single" w:color="000000" w:sz="4" w:space="0"/>
              <w:bottom w:val="single" w:color="000000" w:sz="4" w:space="0"/>
              <w:right w:val="single" w:color="000000" w:sz="4" w:space="0"/>
            </w:tcBorders>
            <w:vAlign w:val="center"/>
          </w:tcPr>
          <w:p w14:paraId="5F8404FF">
            <w:pPr>
              <w:jc w:val="left"/>
              <w:rPr>
                <w:rFonts w:hint="eastAsia" w:ascii="宋体" w:hAnsi="宋体"/>
                <w:color w:val="auto"/>
                <w:sz w:val="22"/>
                <w:szCs w:val="22"/>
                <w:highlight w:val="none"/>
              </w:rPr>
            </w:pPr>
          </w:p>
        </w:tc>
        <w:tc>
          <w:tcPr>
            <w:tcW w:w="640" w:type="dxa"/>
            <w:tcBorders>
              <w:top w:val="single" w:color="000000" w:sz="4" w:space="0"/>
              <w:left w:val="single" w:color="000000" w:sz="4" w:space="0"/>
              <w:bottom w:val="single" w:color="000000" w:sz="4" w:space="0"/>
              <w:right w:val="single" w:color="000000" w:sz="4" w:space="0"/>
            </w:tcBorders>
            <w:vAlign w:val="center"/>
          </w:tcPr>
          <w:p w14:paraId="66C08646">
            <w:pPr>
              <w:jc w:val="center"/>
              <w:rPr>
                <w:rFonts w:hint="eastAsia" w:ascii="宋体" w:hAnsi="宋体"/>
                <w:color w:val="auto"/>
                <w:sz w:val="22"/>
                <w:szCs w:val="22"/>
                <w:highlight w:val="none"/>
              </w:rPr>
            </w:pPr>
          </w:p>
        </w:tc>
        <w:tc>
          <w:tcPr>
            <w:tcW w:w="707" w:type="dxa"/>
            <w:tcBorders>
              <w:top w:val="single" w:color="000000" w:sz="4" w:space="0"/>
              <w:left w:val="single" w:color="000000" w:sz="4" w:space="0"/>
              <w:bottom w:val="single" w:color="000000" w:sz="4" w:space="0"/>
              <w:right w:val="single" w:color="000000" w:sz="4" w:space="0"/>
            </w:tcBorders>
            <w:noWrap/>
            <w:vAlign w:val="center"/>
          </w:tcPr>
          <w:p w14:paraId="02EC0AE4">
            <w:pPr>
              <w:jc w:val="center"/>
              <w:rPr>
                <w:rFonts w:hint="eastAsia" w:ascii="宋体" w:hAnsi="宋体"/>
                <w:color w:val="auto"/>
                <w:sz w:val="22"/>
                <w:szCs w:val="22"/>
                <w:highlight w:val="none"/>
              </w:rPr>
            </w:pPr>
          </w:p>
        </w:tc>
      </w:tr>
      <w:tr w14:paraId="137F7710">
        <w:tblPrEx>
          <w:tblCellMar>
            <w:top w:w="0" w:type="dxa"/>
            <w:left w:w="108" w:type="dxa"/>
            <w:bottom w:w="0" w:type="dxa"/>
            <w:right w:w="108" w:type="dxa"/>
          </w:tblCellMar>
        </w:tblPrEx>
        <w:trPr>
          <w:trHeight w:val="580" w:hRule="atLeast"/>
        </w:trPr>
        <w:tc>
          <w:tcPr>
            <w:tcW w:w="693" w:type="dxa"/>
            <w:tcBorders>
              <w:top w:val="single" w:color="000000" w:sz="4" w:space="0"/>
              <w:left w:val="single" w:color="000000" w:sz="4" w:space="0"/>
              <w:bottom w:val="single" w:color="000000" w:sz="4" w:space="0"/>
              <w:right w:val="single" w:color="000000" w:sz="4" w:space="0"/>
            </w:tcBorders>
            <w:noWrap/>
            <w:vAlign w:val="center"/>
          </w:tcPr>
          <w:p w14:paraId="7724A6D9">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66</w:t>
            </w:r>
          </w:p>
        </w:tc>
        <w:tc>
          <w:tcPr>
            <w:tcW w:w="1371" w:type="dxa"/>
            <w:tcBorders>
              <w:top w:val="single" w:color="000000" w:sz="4" w:space="0"/>
              <w:left w:val="single" w:color="000000" w:sz="4" w:space="0"/>
              <w:bottom w:val="single" w:color="000000" w:sz="4" w:space="0"/>
              <w:right w:val="single" w:color="000000" w:sz="4" w:space="0"/>
            </w:tcBorders>
            <w:vAlign w:val="center"/>
          </w:tcPr>
          <w:p w14:paraId="5421D428">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三星水池</w:t>
            </w:r>
          </w:p>
        </w:tc>
        <w:tc>
          <w:tcPr>
            <w:tcW w:w="5493" w:type="dxa"/>
            <w:tcBorders>
              <w:top w:val="single" w:color="000000" w:sz="4" w:space="0"/>
              <w:left w:val="single" w:color="000000" w:sz="4" w:space="0"/>
              <w:bottom w:val="single" w:color="000000" w:sz="4" w:space="0"/>
              <w:right w:val="single" w:color="000000" w:sz="4" w:space="0"/>
            </w:tcBorders>
            <w:vAlign w:val="center"/>
          </w:tcPr>
          <w:p w14:paraId="30D4F027">
            <w:pPr>
              <w:widowControl/>
              <w:jc w:val="left"/>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规格：≤1800*700*800mm，不锈钢304#，池内一体拉伸一次成型，无焊点，池内为圆角，不易藏污易打扫，以现场实际摆放为准</w:t>
            </w:r>
          </w:p>
        </w:tc>
        <w:tc>
          <w:tcPr>
            <w:tcW w:w="640" w:type="dxa"/>
            <w:tcBorders>
              <w:top w:val="single" w:color="000000" w:sz="4" w:space="0"/>
              <w:left w:val="single" w:color="000000" w:sz="4" w:space="0"/>
              <w:bottom w:val="single" w:color="000000" w:sz="4" w:space="0"/>
              <w:right w:val="single" w:color="000000" w:sz="4" w:space="0"/>
            </w:tcBorders>
            <w:noWrap/>
            <w:vAlign w:val="center"/>
          </w:tcPr>
          <w:p w14:paraId="740DD80A">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台</w:t>
            </w:r>
          </w:p>
        </w:tc>
        <w:tc>
          <w:tcPr>
            <w:tcW w:w="707" w:type="dxa"/>
            <w:tcBorders>
              <w:top w:val="single" w:color="000000" w:sz="4" w:space="0"/>
              <w:left w:val="single" w:color="000000" w:sz="4" w:space="0"/>
              <w:bottom w:val="single" w:color="000000" w:sz="4" w:space="0"/>
              <w:right w:val="single" w:color="000000" w:sz="4" w:space="0"/>
            </w:tcBorders>
            <w:noWrap/>
            <w:vAlign w:val="center"/>
          </w:tcPr>
          <w:p w14:paraId="5225E999">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2</w:t>
            </w:r>
          </w:p>
        </w:tc>
      </w:tr>
      <w:tr w14:paraId="44FAF4BA">
        <w:tblPrEx>
          <w:tblCellMar>
            <w:top w:w="0" w:type="dxa"/>
            <w:left w:w="108" w:type="dxa"/>
            <w:bottom w:w="0" w:type="dxa"/>
            <w:right w:w="108" w:type="dxa"/>
          </w:tblCellMar>
        </w:tblPrEx>
        <w:trPr>
          <w:trHeight w:val="580" w:hRule="atLeast"/>
        </w:trPr>
        <w:tc>
          <w:tcPr>
            <w:tcW w:w="693" w:type="dxa"/>
            <w:tcBorders>
              <w:top w:val="single" w:color="000000" w:sz="4" w:space="0"/>
              <w:left w:val="single" w:color="000000" w:sz="4" w:space="0"/>
              <w:bottom w:val="single" w:color="000000" w:sz="4" w:space="0"/>
              <w:right w:val="single" w:color="000000" w:sz="4" w:space="0"/>
            </w:tcBorders>
            <w:noWrap/>
            <w:vAlign w:val="center"/>
          </w:tcPr>
          <w:p w14:paraId="1C076A8B">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67</w:t>
            </w:r>
          </w:p>
        </w:tc>
        <w:tc>
          <w:tcPr>
            <w:tcW w:w="1371" w:type="dxa"/>
            <w:tcBorders>
              <w:top w:val="single" w:color="000000" w:sz="4" w:space="0"/>
              <w:left w:val="single" w:color="000000" w:sz="4" w:space="0"/>
              <w:bottom w:val="single" w:color="000000" w:sz="4" w:space="0"/>
              <w:right w:val="single" w:color="000000" w:sz="4" w:space="0"/>
            </w:tcBorders>
            <w:vAlign w:val="center"/>
          </w:tcPr>
          <w:p w14:paraId="638F2625">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不锈钢简易收糠台</w:t>
            </w:r>
          </w:p>
        </w:tc>
        <w:tc>
          <w:tcPr>
            <w:tcW w:w="5493" w:type="dxa"/>
            <w:tcBorders>
              <w:top w:val="single" w:color="000000" w:sz="4" w:space="0"/>
              <w:left w:val="single" w:color="000000" w:sz="4" w:space="0"/>
              <w:bottom w:val="single" w:color="000000" w:sz="4" w:space="0"/>
              <w:right w:val="single" w:color="000000" w:sz="4" w:space="0"/>
            </w:tcBorders>
            <w:vAlign w:val="center"/>
          </w:tcPr>
          <w:p w14:paraId="05B73682">
            <w:pPr>
              <w:widowControl/>
              <w:jc w:val="left"/>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规格：≤1000*700*800mm，不锈钢304面板，不锈钢厚度约1.2MM,一次性冲空150MM,便于食残收集，下配垃圾桶，配不锈钢调节脚，以现场实际摆放为准</w:t>
            </w:r>
          </w:p>
        </w:tc>
        <w:tc>
          <w:tcPr>
            <w:tcW w:w="640" w:type="dxa"/>
            <w:tcBorders>
              <w:top w:val="single" w:color="000000" w:sz="4" w:space="0"/>
              <w:left w:val="single" w:color="000000" w:sz="4" w:space="0"/>
              <w:bottom w:val="single" w:color="000000" w:sz="4" w:space="0"/>
              <w:right w:val="single" w:color="000000" w:sz="4" w:space="0"/>
            </w:tcBorders>
            <w:noWrap/>
            <w:vAlign w:val="center"/>
          </w:tcPr>
          <w:p w14:paraId="60B2BD44">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台</w:t>
            </w:r>
          </w:p>
        </w:tc>
        <w:tc>
          <w:tcPr>
            <w:tcW w:w="707" w:type="dxa"/>
            <w:tcBorders>
              <w:top w:val="single" w:color="000000" w:sz="4" w:space="0"/>
              <w:left w:val="single" w:color="000000" w:sz="4" w:space="0"/>
              <w:bottom w:val="single" w:color="000000" w:sz="4" w:space="0"/>
              <w:right w:val="single" w:color="000000" w:sz="4" w:space="0"/>
            </w:tcBorders>
            <w:noWrap/>
            <w:vAlign w:val="center"/>
          </w:tcPr>
          <w:p w14:paraId="4413C1B4">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1</w:t>
            </w:r>
          </w:p>
        </w:tc>
      </w:tr>
      <w:tr w14:paraId="77087746">
        <w:tblPrEx>
          <w:tblCellMar>
            <w:top w:w="0" w:type="dxa"/>
            <w:left w:w="108" w:type="dxa"/>
            <w:bottom w:w="0" w:type="dxa"/>
            <w:right w:w="108" w:type="dxa"/>
          </w:tblCellMar>
        </w:tblPrEx>
        <w:trPr>
          <w:trHeight w:val="580" w:hRule="atLeast"/>
        </w:trPr>
        <w:tc>
          <w:tcPr>
            <w:tcW w:w="693" w:type="dxa"/>
            <w:tcBorders>
              <w:top w:val="single" w:color="000000" w:sz="4" w:space="0"/>
              <w:left w:val="single" w:color="000000" w:sz="4" w:space="0"/>
              <w:bottom w:val="single" w:color="000000" w:sz="4" w:space="0"/>
              <w:right w:val="single" w:color="000000" w:sz="4" w:space="0"/>
            </w:tcBorders>
            <w:noWrap/>
            <w:vAlign w:val="center"/>
          </w:tcPr>
          <w:p w14:paraId="6A8B5158">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68</w:t>
            </w:r>
          </w:p>
        </w:tc>
        <w:tc>
          <w:tcPr>
            <w:tcW w:w="1371" w:type="dxa"/>
            <w:tcBorders>
              <w:top w:val="single" w:color="000000" w:sz="4" w:space="0"/>
              <w:left w:val="single" w:color="000000" w:sz="4" w:space="0"/>
              <w:bottom w:val="single" w:color="000000" w:sz="4" w:space="0"/>
              <w:right w:val="single" w:color="000000" w:sz="4" w:space="0"/>
            </w:tcBorders>
            <w:vAlign w:val="center"/>
          </w:tcPr>
          <w:p w14:paraId="7DBC8BA2">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四层置物架</w:t>
            </w:r>
          </w:p>
        </w:tc>
        <w:tc>
          <w:tcPr>
            <w:tcW w:w="5493" w:type="dxa"/>
            <w:tcBorders>
              <w:top w:val="single" w:color="000000" w:sz="4" w:space="0"/>
              <w:left w:val="single" w:color="000000" w:sz="4" w:space="0"/>
              <w:bottom w:val="single" w:color="000000" w:sz="4" w:space="0"/>
              <w:right w:val="single" w:color="000000" w:sz="4" w:space="0"/>
            </w:tcBorders>
            <w:vAlign w:val="center"/>
          </w:tcPr>
          <w:p w14:paraId="4545D0EB">
            <w:pPr>
              <w:widowControl/>
              <w:jc w:val="left"/>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规格：≤1500*500*1550mm，采用304不锈钢板材，约48*1.2圆管，每层承重120公斤，底层离地150MM，层板采用约1.2MM不锈钢，底部U型加强支撑，配不锈钢可调节子弹脚，以现场实际摆放为准</w:t>
            </w:r>
          </w:p>
        </w:tc>
        <w:tc>
          <w:tcPr>
            <w:tcW w:w="640" w:type="dxa"/>
            <w:tcBorders>
              <w:top w:val="single" w:color="000000" w:sz="4" w:space="0"/>
              <w:left w:val="single" w:color="000000" w:sz="4" w:space="0"/>
              <w:bottom w:val="single" w:color="000000" w:sz="4" w:space="0"/>
              <w:right w:val="single" w:color="000000" w:sz="4" w:space="0"/>
            </w:tcBorders>
            <w:noWrap/>
            <w:vAlign w:val="center"/>
          </w:tcPr>
          <w:p w14:paraId="226CA602">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台</w:t>
            </w:r>
          </w:p>
        </w:tc>
        <w:tc>
          <w:tcPr>
            <w:tcW w:w="707" w:type="dxa"/>
            <w:tcBorders>
              <w:top w:val="single" w:color="000000" w:sz="4" w:space="0"/>
              <w:left w:val="single" w:color="000000" w:sz="4" w:space="0"/>
              <w:bottom w:val="single" w:color="000000" w:sz="4" w:space="0"/>
              <w:right w:val="single" w:color="000000" w:sz="4" w:space="0"/>
            </w:tcBorders>
            <w:noWrap/>
            <w:vAlign w:val="center"/>
          </w:tcPr>
          <w:p w14:paraId="3D295E03">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3</w:t>
            </w:r>
          </w:p>
        </w:tc>
      </w:tr>
      <w:tr w14:paraId="69612A72">
        <w:tblPrEx>
          <w:tblCellMar>
            <w:top w:w="0" w:type="dxa"/>
            <w:left w:w="108" w:type="dxa"/>
            <w:bottom w:w="0" w:type="dxa"/>
            <w:right w:w="108" w:type="dxa"/>
          </w:tblCellMar>
        </w:tblPrEx>
        <w:trPr>
          <w:trHeight w:val="580" w:hRule="atLeast"/>
        </w:trPr>
        <w:tc>
          <w:tcPr>
            <w:tcW w:w="693" w:type="dxa"/>
            <w:tcBorders>
              <w:top w:val="single" w:color="000000" w:sz="4" w:space="0"/>
              <w:left w:val="single" w:color="000000" w:sz="4" w:space="0"/>
              <w:bottom w:val="single" w:color="000000" w:sz="4" w:space="0"/>
              <w:right w:val="single" w:color="000000" w:sz="4" w:space="0"/>
            </w:tcBorders>
            <w:noWrap/>
            <w:vAlign w:val="center"/>
          </w:tcPr>
          <w:p w14:paraId="1AD49EA2">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69</w:t>
            </w:r>
          </w:p>
        </w:tc>
        <w:tc>
          <w:tcPr>
            <w:tcW w:w="1371" w:type="dxa"/>
            <w:tcBorders>
              <w:top w:val="single" w:color="000000" w:sz="4" w:space="0"/>
              <w:left w:val="single" w:color="000000" w:sz="4" w:space="0"/>
              <w:bottom w:val="single" w:color="000000" w:sz="4" w:space="0"/>
              <w:right w:val="single" w:color="000000" w:sz="4" w:space="0"/>
            </w:tcBorders>
            <w:vAlign w:val="center"/>
          </w:tcPr>
          <w:p w14:paraId="69D67D66">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多功能洗地水龙头</w:t>
            </w:r>
          </w:p>
        </w:tc>
        <w:tc>
          <w:tcPr>
            <w:tcW w:w="5493" w:type="dxa"/>
            <w:tcBorders>
              <w:top w:val="single" w:color="000000" w:sz="4" w:space="0"/>
              <w:left w:val="single" w:color="000000" w:sz="4" w:space="0"/>
              <w:bottom w:val="single" w:color="000000" w:sz="4" w:space="0"/>
              <w:right w:val="single" w:color="000000" w:sz="4" w:space="0"/>
            </w:tcBorders>
            <w:vAlign w:val="center"/>
          </w:tcPr>
          <w:p w14:paraId="64959602">
            <w:pPr>
              <w:widowControl/>
              <w:jc w:val="left"/>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规格：≤15m，自动伸缩高防腐，开放式洗地龙头，碳钢喷涂主体，铝制进水口，食品级树脂胶管，耐高温100度，金属枪头，可调节直线或花洒，以现场实际摆放为准</w:t>
            </w:r>
          </w:p>
        </w:tc>
        <w:tc>
          <w:tcPr>
            <w:tcW w:w="640" w:type="dxa"/>
            <w:tcBorders>
              <w:top w:val="single" w:color="000000" w:sz="4" w:space="0"/>
              <w:left w:val="single" w:color="000000" w:sz="4" w:space="0"/>
              <w:bottom w:val="single" w:color="000000" w:sz="4" w:space="0"/>
              <w:right w:val="single" w:color="000000" w:sz="4" w:space="0"/>
            </w:tcBorders>
            <w:noWrap/>
            <w:vAlign w:val="center"/>
          </w:tcPr>
          <w:p w14:paraId="59A8B067">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台</w:t>
            </w:r>
          </w:p>
        </w:tc>
        <w:tc>
          <w:tcPr>
            <w:tcW w:w="707" w:type="dxa"/>
            <w:tcBorders>
              <w:top w:val="single" w:color="000000" w:sz="4" w:space="0"/>
              <w:left w:val="single" w:color="000000" w:sz="4" w:space="0"/>
              <w:bottom w:val="single" w:color="000000" w:sz="4" w:space="0"/>
              <w:right w:val="single" w:color="000000" w:sz="4" w:space="0"/>
            </w:tcBorders>
            <w:noWrap/>
            <w:vAlign w:val="center"/>
          </w:tcPr>
          <w:p w14:paraId="37844BEA">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1</w:t>
            </w:r>
          </w:p>
        </w:tc>
      </w:tr>
      <w:tr w14:paraId="6AB36FD2">
        <w:tblPrEx>
          <w:tblCellMar>
            <w:top w:w="0" w:type="dxa"/>
            <w:left w:w="108" w:type="dxa"/>
            <w:bottom w:w="0" w:type="dxa"/>
            <w:right w:w="108" w:type="dxa"/>
          </w:tblCellMar>
        </w:tblPrEx>
        <w:trPr>
          <w:trHeight w:val="580" w:hRule="atLeast"/>
        </w:trPr>
        <w:tc>
          <w:tcPr>
            <w:tcW w:w="693" w:type="dxa"/>
            <w:tcBorders>
              <w:top w:val="single" w:color="000000" w:sz="4" w:space="0"/>
              <w:left w:val="single" w:color="000000" w:sz="4" w:space="0"/>
              <w:bottom w:val="single" w:color="000000" w:sz="4" w:space="0"/>
              <w:right w:val="single" w:color="000000" w:sz="4" w:space="0"/>
            </w:tcBorders>
            <w:noWrap/>
            <w:vAlign w:val="center"/>
          </w:tcPr>
          <w:p w14:paraId="4FA63A78">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70</w:t>
            </w:r>
          </w:p>
        </w:tc>
        <w:tc>
          <w:tcPr>
            <w:tcW w:w="1371" w:type="dxa"/>
            <w:tcBorders>
              <w:top w:val="single" w:color="000000" w:sz="4" w:space="0"/>
              <w:left w:val="single" w:color="000000" w:sz="4" w:space="0"/>
              <w:bottom w:val="single" w:color="000000" w:sz="4" w:space="0"/>
              <w:right w:val="single" w:color="000000" w:sz="4" w:space="0"/>
            </w:tcBorders>
            <w:vAlign w:val="center"/>
          </w:tcPr>
          <w:p w14:paraId="371DEC61">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菜馅机</w:t>
            </w:r>
          </w:p>
        </w:tc>
        <w:tc>
          <w:tcPr>
            <w:tcW w:w="5493" w:type="dxa"/>
            <w:tcBorders>
              <w:top w:val="single" w:color="000000" w:sz="4" w:space="0"/>
              <w:left w:val="single" w:color="000000" w:sz="4" w:space="0"/>
              <w:bottom w:val="single" w:color="000000" w:sz="4" w:space="0"/>
              <w:right w:val="single" w:color="000000" w:sz="4" w:space="0"/>
            </w:tcBorders>
            <w:vAlign w:val="center"/>
          </w:tcPr>
          <w:p w14:paraId="12021677">
            <w:pPr>
              <w:widowControl/>
              <w:jc w:val="left"/>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规格：≤780*710*940mm，功率1.5KW,效率300每小时，可以将各种根、茎、叶类蔬菜破碎用来制作水饺或蔬菜饲料，切刀锋利成曲线形，设计紧凑，操作简单，便于清洁和维护，以现场实际摆放为准</w:t>
            </w:r>
          </w:p>
        </w:tc>
        <w:tc>
          <w:tcPr>
            <w:tcW w:w="640" w:type="dxa"/>
            <w:tcBorders>
              <w:top w:val="single" w:color="000000" w:sz="4" w:space="0"/>
              <w:left w:val="single" w:color="000000" w:sz="4" w:space="0"/>
              <w:bottom w:val="single" w:color="000000" w:sz="4" w:space="0"/>
              <w:right w:val="single" w:color="000000" w:sz="4" w:space="0"/>
            </w:tcBorders>
            <w:noWrap/>
            <w:vAlign w:val="center"/>
          </w:tcPr>
          <w:p w14:paraId="752482CF">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台</w:t>
            </w:r>
          </w:p>
        </w:tc>
        <w:tc>
          <w:tcPr>
            <w:tcW w:w="707" w:type="dxa"/>
            <w:tcBorders>
              <w:top w:val="single" w:color="000000" w:sz="4" w:space="0"/>
              <w:left w:val="single" w:color="000000" w:sz="4" w:space="0"/>
              <w:bottom w:val="single" w:color="000000" w:sz="4" w:space="0"/>
              <w:right w:val="single" w:color="000000" w:sz="4" w:space="0"/>
            </w:tcBorders>
            <w:noWrap/>
            <w:vAlign w:val="center"/>
          </w:tcPr>
          <w:p w14:paraId="14BB2627">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1</w:t>
            </w:r>
          </w:p>
        </w:tc>
      </w:tr>
      <w:tr w14:paraId="4E20D51A">
        <w:tblPrEx>
          <w:tblCellMar>
            <w:top w:w="0" w:type="dxa"/>
            <w:left w:w="108" w:type="dxa"/>
            <w:bottom w:w="0" w:type="dxa"/>
            <w:right w:w="108" w:type="dxa"/>
          </w:tblCellMar>
        </w:tblPrEx>
        <w:trPr>
          <w:trHeight w:val="580" w:hRule="atLeast"/>
        </w:trPr>
        <w:tc>
          <w:tcPr>
            <w:tcW w:w="693" w:type="dxa"/>
            <w:tcBorders>
              <w:top w:val="single" w:color="000000" w:sz="4" w:space="0"/>
              <w:left w:val="single" w:color="000000" w:sz="4" w:space="0"/>
              <w:bottom w:val="single" w:color="000000" w:sz="4" w:space="0"/>
              <w:right w:val="single" w:color="000000" w:sz="4" w:space="0"/>
            </w:tcBorders>
            <w:noWrap/>
            <w:vAlign w:val="center"/>
          </w:tcPr>
          <w:p w14:paraId="00D5BA56">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71</w:t>
            </w:r>
          </w:p>
        </w:tc>
        <w:tc>
          <w:tcPr>
            <w:tcW w:w="1371" w:type="dxa"/>
            <w:tcBorders>
              <w:top w:val="single" w:color="000000" w:sz="4" w:space="0"/>
              <w:left w:val="single" w:color="000000" w:sz="4" w:space="0"/>
              <w:bottom w:val="single" w:color="000000" w:sz="4" w:space="0"/>
              <w:right w:val="single" w:color="000000" w:sz="4" w:space="0"/>
            </w:tcBorders>
            <w:vAlign w:val="center"/>
          </w:tcPr>
          <w:p w14:paraId="225A3010">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蔬菜脱水机</w:t>
            </w:r>
          </w:p>
        </w:tc>
        <w:tc>
          <w:tcPr>
            <w:tcW w:w="5493" w:type="dxa"/>
            <w:tcBorders>
              <w:top w:val="single" w:color="000000" w:sz="4" w:space="0"/>
              <w:left w:val="single" w:color="000000" w:sz="4" w:space="0"/>
              <w:bottom w:val="single" w:color="000000" w:sz="4" w:space="0"/>
              <w:right w:val="single" w:color="000000" w:sz="4" w:space="0"/>
            </w:tcBorders>
            <w:vAlign w:val="center"/>
          </w:tcPr>
          <w:p w14:paraId="78F29FD7">
            <w:pPr>
              <w:widowControl/>
              <w:jc w:val="left"/>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规格：≤1080*630*900mm，功率1.1KW-380V，效率150公斤每小时，主要用于各类蔬菜脱水、脱油使用，效率高使用方便，国标铜芯电机，以现场实际摆放为准</w:t>
            </w:r>
          </w:p>
        </w:tc>
        <w:tc>
          <w:tcPr>
            <w:tcW w:w="640" w:type="dxa"/>
            <w:tcBorders>
              <w:top w:val="single" w:color="000000" w:sz="4" w:space="0"/>
              <w:left w:val="single" w:color="000000" w:sz="4" w:space="0"/>
              <w:bottom w:val="single" w:color="000000" w:sz="4" w:space="0"/>
              <w:right w:val="single" w:color="000000" w:sz="4" w:space="0"/>
            </w:tcBorders>
            <w:noWrap/>
            <w:vAlign w:val="center"/>
          </w:tcPr>
          <w:p w14:paraId="0EEAF222">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台</w:t>
            </w:r>
          </w:p>
        </w:tc>
        <w:tc>
          <w:tcPr>
            <w:tcW w:w="707" w:type="dxa"/>
            <w:tcBorders>
              <w:top w:val="single" w:color="000000" w:sz="4" w:space="0"/>
              <w:left w:val="single" w:color="000000" w:sz="4" w:space="0"/>
              <w:bottom w:val="single" w:color="000000" w:sz="4" w:space="0"/>
              <w:right w:val="single" w:color="000000" w:sz="4" w:space="0"/>
            </w:tcBorders>
            <w:noWrap/>
            <w:vAlign w:val="center"/>
          </w:tcPr>
          <w:p w14:paraId="6657B753">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1</w:t>
            </w:r>
          </w:p>
        </w:tc>
      </w:tr>
      <w:tr w14:paraId="79BE7BA6">
        <w:tblPrEx>
          <w:tblCellMar>
            <w:top w:w="0" w:type="dxa"/>
            <w:left w:w="108" w:type="dxa"/>
            <w:bottom w:w="0" w:type="dxa"/>
            <w:right w:w="108" w:type="dxa"/>
          </w:tblCellMar>
        </w:tblPrEx>
        <w:trPr>
          <w:trHeight w:val="580" w:hRule="atLeast"/>
        </w:trPr>
        <w:tc>
          <w:tcPr>
            <w:tcW w:w="693" w:type="dxa"/>
            <w:tcBorders>
              <w:top w:val="single" w:color="000000" w:sz="4" w:space="0"/>
              <w:left w:val="single" w:color="000000" w:sz="4" w:space="0"/>
              <w:bottom w:val="single" w:color="000000" w:sz="4" w:space="0"/>
              <w:right w:val="single" w:color="000000" w:sz="4" w:space="0"/>
            </w:tcBorders>
            <w:noWrap/>
            <w:vAlign w:val="center"/>
          </w:tcPr>
          <w:p w14:paraId="5C9C1A24">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72</w:t>
            </w:r>
          </w:p>
        </w:tc>
        <w:tc>
          <w:tcPr>
            <w:tcW w:w="1371" w:type="dxa"/>
            <w:tcBorders>
              <w:top w:val="single" w:color="000000" w:sz="4" w:space="0"/>
              <w:left w:val="single" w:color="000000" w:sz="4" w:space="0"/>
              <w:bottom w:val="single" w:color="000000" w:sz="4" w:space="0"/>
              <w:right w:val="single" w:color="000000" w:sz="4" w:space="0"/>
            </w:tcBorders>
            <w:vAlign w:val="center"/>
          </w:tcPr>
          <w:p w14:paraId="6BA3ACCB">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豆浆机</w:t>
            </w:r>
          </w:p>
        </w:tc>
        <w:tc>
          <w:tcPr>
            <w:tcW w:w="5493" w:type="dxa"/>
            <w:tcBorders>
              <w:top w:val="single" w:color="000000" w:sz="4" w:space="0"/>
              <w:left w:val="single" w:color="000000" w:sz="4" w:space="0"/>
              <w:bottom w:val="single" w:color="000000" w:sz="4" w:space="0"/>
              <w:right w:val="single" w:color="000000" w:sz="4" w:space="0"/>
            </w:tcBorders>
            <w:vAlign w:val="center"/>
          </w:tcPr>
          <w:p w14:paraId="0128E029">
            <w:pPr>
              <w:widowControl/>
              <w:jc w:val="left"/>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规格：≤330*330*760mm，功率2.2KW-220V，效率110-150公斤每小时，渣浆分离，快拆快装方便使用，缸兜缸口均为食品级不锈钢，该机具有自动过热保护功能、卡机自停功能，以现场实际摆放为准</w:t>
            </w:r>
          </w:p>
        </w:tc>
        <w:tc>
          <w:tcPr>
            <w:tcW w:w="640" w:type="dxa"/>
            <w:tcBorders>
              <w:top w:val="single" w:color="000000" w:sz="4" w:space="0"/>
              <w:left w:val="single" w:color="000000" w:sz="4" w:space="0"/>
              <w:bottom w:val="single" w:color="000000" w:sz="4" w:space="0"/>
              <w:right w:val="single" w:color="000000" w:sz="4" w:space="0"/>
            </w:tcBorders>
            <w:noWrap/>
            <w:vAlign w:val="center"/>
          </w:tcPr>
          <w:p w14:paraId="182C347A">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台</w:t>
            </w:r>
          </w:p>
        </w:tc>
        <w:tc>
          <w:tcPr>
            <w:tcW w:w="707" w:type="dxa"/>
            <w:tcBorders>
              <w:top w:val="single" w:color="000000" w:sz="4" w:space="0"/>
              <w:left w:val="single" w:color="000000" w:sz="4" w:space="0"/>
              <w:bottom w:val="single" w:color="000000" w:sz="4" w:space="0"/>
              <w:right w:val="single" w:color="000000" w:sz="4" w:space="0"/>
            </w:tcBorders>
            <w:noWrap/>
            <w:vAlign w:val="center"/>
          </w:tcPr>
          <w:p w14:paraId="72E5ECE8">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1</w:t>
            </w:r>
          </w:p>
        </w:tc>
      </w:tr>
      <w:tr w14:paraId="58BE261F">
        <w:tblPrEx>
          <w:tblCellMar>
            <w:top w:w="0" w:type="dxa"/>
            <w:left w:w="108" w:type="dxa"/>
            <w:bottom w:w="0" w:type="dxa"/>
            <w:right w:w="108" w:type="dxa"/>
          </w:tblCellMar>
        </w:tblPrEx>
        <w:trPr>
          <w:trHeight w:val="580" w:hRule="atLeast"/>
        </w:trPr>
        <w:tc>
          <w:tcPr>
            <w:tcW w:w="693" w:type="dxa"/>
            <w:tcBorders>
              <w:top w:val="single" w:color="000000" w:sz="4" w:space="0"/>
              <w:left w:val="single" w:color="000000" w:sz="4" w:space="0"/>
              <w:bottom w:val="single" w:color="000000" w:sz="4" w:space="0"/>
              <w:right w:val="single" w:color="000000" w:sz="4" w:space="0"/>
            </w:tcBorders>
            <w:noWrap/>
            <w:vAlign w:val="center"/>
          </w:tcPr>
          <w:p w14:paraId="1B9A7F2D">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73</w:t>
            </w:r>
          </w:p>
        </w:tc>
        <w:tc>
          <w:tcPr>
            <w:tcW w:w="1371" w:type="dxa"/>
            <w:tcBorders>
              <w:top w:val="single" w:color="000000" w:sz="4" w:space="0"/>
              <w:left w:val="single" w:color="000000" w:sz="4" w:space="0"/>
              <w:bottom w:val="single" w:color="000000" w:sz="4" w:space="0"/>
              <w:right w:val="single" w:color="000000" w:sz="4" w:space="0"/>
            </w:tcBorders>
            <w:vAlign w:val="center"/>
          </w:tcPr>
          <w:p w14:paraId="110D9C2B">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绞肉机</w:t>
            </w:r>
          </w:p>
        </w:tc>
        <w:tc>
          <w:tcPr>
            <w:tcW w:w="5493" w:type="dxa"/>
            <w:tcBorders>
              <w:top w:val="single" w:color="000000" w:sz="4" w:space="0"/>
              <w:left w:val="single" w:color="000000" w:sz="4" w:space="0"/>
              <w:bottom w:val="single" w:color="000000" w:sz="4" w:space="0"/>
              <w:right w:val="single" w:color="000000" w:sz="4" w:space="0"/>
            </w:tcBorders>
            <w:vAlign w:val="center"/>
          </w:tcPr>
          <w:p w14:paraId="522CE7A6">
            <w:pPr>
              <w:widowControl/>
              <w:jc w:val="left"/>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规格：≤570*400*750mm，功率1.1KW-220V，切片、切丝、切丁、切馅，双曲线螺旋设计、速度块、肉末整齐美观，双辊刀，更锋利更耐用，防水等级IP*5等级，易冲洗清洁、更卫生干净，以现场实际摆放为准</w:t>
            </w:r>
          </w:p>
        </w:tc>
        <w:tc>
          <w:tcPr>
            <w:tcW w:w="640" w:type="dxa"/>
            <w:tcBorders>
              <w:top w:val="single" w:color="000000" w:sz="4" w:space="0"/>
              <w:left w:val="single" w:color="000000" w:sz="4" w:space="0"/>
              <w:bottom w:val="single" w:color="000000" w:sz="4" w:space="0"/>
              <w:right w:val="single" w:color="000000" w:sz="4" w:space="0"/>
            </w:tcBorders>
            <w:noWrap/>
            <w:vAlign w:val="center"/>
          </w:tcPr>
          <w:p w14:paraId="1FBFB6D4">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台</w:t>
            </w:r>
          </w:p>
        </w:tc>
        <w:tc>
          <w:tcPr>
            <w:tcW w:w="707" w:type="dxa"/>
            <w:tcBorders>
              <w:top w:val="single" w:color="000000" w:sz="4" w:space="0"/>
              <w:left w:val="single" w:color="000000" w:sz="4" w:space="0"/>
              <w:bottom w:val="single" w:color="000000" w:sz="4" w:space="0"/>
              <w:right w:val="single" w:color="000000" w:sz="4" w:space="0"/>
            </w:tcBorders>
            <w:noWrap/>
            <w:vAlign w:val="center"/>
          </w:tcPr>
          <w:p w14:paraId="18D5AF98">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1</w:t>
            </w:r>
          </w:p>
        </w:tc>
      </w:tr>
      <w:tr w14:paraId="4FF684C3">
        <w:tblPrEx>
          <w:tblCellMar>
            <w:top w:w="0" w:type="dxa"/>
            <w:left w:w="108" w:type="dxa"/>
            <w:bottom w:w="0" w:type="dxa"/>
            <w:right w:w="108" w:type="dxa"/>
          </w:tblCellMar>
        </w:tblPrEx>
        <w:trPr>
          <w:trHeight w:val="580" w:hRule="atLeast"/>
        </w:trPr>
        <w:tc>
          <w:tcPr>
            <w:tcW w:w="693" w:type="dxa"/>
            <w:tcBorders>
              <w:top w:val="single" w:color="000000" w:sz="4" w:space="0"/>
              <w:left w:val="single" w:color="000000" w:sz="4" w:space="0"/>
              <w:bottom w:val="single" w:color="000000" w:sz="4" w:space="0"/>
              <w:right w:val="single" w:color="000000" w:sz="4" w:space="0"/>
            </w:tcBorders>
            <w:noWrap/>
            <w:vAlign w:val="center"/>
          </w:tcPr>
          <w:p w14:paraId="11C94D2E">
            <w:pPr>
              <w:jc w:val="center"/>
              <w:rPr>
                <w:rFonts w:hint="eastAsia" w:ascii="宋体" w:hAnsi="宋体"/>
                <w:color w:val="auto"/>
                <w:sz w:val="22"/>
                <w:szCs w:val="22"/>
                <w:highlight w:val="none"/>
              </w:rPr>
            </w:pPr>
            <w:r>
              <w:rPr>
                <w:rFonts w:hint="eastAsia" w:ascii="宋体" w:hAnsi="宋体"/>
                <w:color w:val="auto"/>
                <w:sz w:val="22"/>
                <w:szCs w:val="22"/>
                <w:highlight w:val="none"/>
              </w:rPr>
              <w:t>74</w:t>
            </w:r>
          </w:p>
        </w:tc>
        <w:tc>
          <w:tcPr>
            <w:tcW w:w="1371" w:type="dxa"/>
            <w:tcBorders>
              <w:top w:val="single" w:color="000000" w:sz="4" w:space="0"/>
              <w:left w:val="single" w:color="000000" w:sz="4" w:space="0"/>
              <w:bottom w:val="single" w:color="000000" w:sz="4" w:space="0"/>
              <w:right w:val="single" w:color="000000" w:sz="4" w:space="0"/>
            </w:tcBorders>
            <w:vAlign w:val="center"/>
          </w:tcPr>
          <w:p w14:paraId="72A28FFC">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多功能切菜机</w:t>
            </w:r>
          </w:p>
        </w:tc>
        <w:tc>
          <w:tcPr>
            <w:tcW w:w="5493" w:type="dxa"/>
            <w:tcBorders>
              <w:top w:val="single" w:color="000000" w:sz="4" w:space="0"/>
              <w:left w:val="single" w:color="000000" w:sz="4" w:space="0"/>
              <w:bottom w:val="single" w:color="000000" w:sz="4" w:space="0"/>
              <w:right w:val="single" w:color="000000" w:sz="4" w:space="0"/>
            </w:tcBorders>
            <w:vAlign w:val="center"/>
          </w:tcPr>
          <w:p w14:paraId="617AB22D">
            <w:pPr>
              <w:widowControl/>
              <w:jc w:val="left"/>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规格：≤1160*530*1080mm，先进的数字调控系统，操作更方便，只需轻轻一按即可使切割长度在1-30MM范围内任意调节，用于茎叶类蔬菜的切段和切片，以现场实际摆放为准</w:t>
            </w:r>
          </w:p>
        </w:tc>
        <w:tc>
          <w:tcPr>
            <w:tcW w:w="640" w:type="dxa"/>
            <w:tcBorders>
              <w:top w:val="single" w:color="000000" w:sz="4" w:space="0"/>
              <w:left w:val="single" w:color="000000" w:sz="4" w:space="0"/>
              <w:bottom w:val="single" w:color="000000" w:sz="4" w:space="0"/>
              <w:right w:val="single" w:color="000000" w:sz="4" w:space="0"/>
            </w:tcBorders>
            <w:noWrap/>
            <w:vAlign w:val="center"/>
          </w:tcPr>
          <w:p w14:paraId="3B125D76">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台</w:t>
            </w:r>
          </w:p>
        </w:tc>
        <w:tc>
          <w:tcPr>
            <w:tcW w:w="707" w:type="dxa"/>
            <w:tcBorders>
              <w:top w:val="single" w:color="000000" w:sz="4" w:space="0"/>
              <w:left w:val="single" w:color="000000" w:sz="4" w:space="0"/>
              <w:bottom w:val="single" w:color="000000" w:sz="4" w:space="0"/>
              <w:right w:val="single" w:color="000000" w:sz="4" w:space="0"/>
            </w:tcBorders>
            <w:noWrap/>
            <w:vAlign w:val="center"/>
          </w:tcPr>
          <w:p w14:paraId="4A984E09">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1</w:t>
            </w:r>
          </w:p>
        </w:tc>
      </w:tr>
      <w:tr w14:paraId="4FB276F4">
        <w:tblPrEx>
          <w:tblCellMar>
            <w:top w:w="0" w:type="dxa"/>
            <w:left w:w="108" w:type="dxa"/>
            <w:bottom w:w="0" w:type="dxa"/>
            <w:right w:w="108" w:type="dxa"/>
          </w:tblCellMar>
        </w:tblPrEx>
        <w:trPr>
          <w:trHeight w:val="580" w:hRule="atLeast"/>
        </w:trPr>
        <w:tc>
          <w:tcPr>
            <w:tcW w:w="693" w:type="dxa"/>
            <w:tcBorders>
              <w:top w:val="single" w:color="000000" w:sz="4" w:space="0"/>
              <w:left w:val="single" w:color="000000" w:sz="4" w:space="0"/>
              <w:bottom w:val="single" w:color="000000" w:sz="4" w:space="0"/>
              <w:right w:val="single" w:color="000000" w:sz="4" w:space="0"/>
            </w:tcBorders>
            <w:noWrap/>
            <w:vAlign w:val="center"/>
          </w:tcPr>
          <w:p w14:paraId="3F501058">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75</w:t>
            </w:r>
          </w:p>
        </w:tc>
        <w:tc>
          <w:tcPr>
            <w:tcW w:w="1371" w:type="dxa"/>
            <w:tcBorders>
              <w:top w:val="single" w:color="000000" w:sz="4" w:space="0"/>
              <w:left w:val="single" w:color="000000" w:sz="4" w:space="0"/>
              <w:bottom w:val="single" w:color="000000" w:sz="4" w:space="0"/>
              <w:right w:val="single" w:color="000000" w:sz="4" w:space="0"/>
            </w:tcBorders>
            <w:vAlign w:val="center"/>
          </w:tcPr>
          <w:p w14:paraId="7D8FE232">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单通工作台</w:t>
            </w:r>
          </w:p>
        </w:tc>
        <w:tc>
          <w:tcPr>
            <w:tcW w:w="5493" w:type="dxa"/>
            <w:tcBorders>
              <w:top w:val="single" w:color="000000" w:sz="4" w:space="0"/>
              <w:left w:val="single" w:color="000000" w:sz="4" w:space="0"/>
              <w:bottom w:val="single" w:color="000000" w:sz="4" w:space="0"/>
              <w:right w:val="single" w:color="000000" w:sz="4" w:space="0"/>
            </w:tcBorders>
            <w:vAlign w:val="center"/>
          </w:tcPr>
          <w:p w14:paraId="13E59D64">
            <w:pPr>
              <w:widowControl/>
              <w:jc w:val="left"/>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规格：≤1800*800*800mm，采用304不锈钢板材，面板约1.2MM，下沉约18MM防水高密度板及不锈钢U型加强筋，中间夹层约1.2MM不锈钢板，附加强筋，单边推拉门，配不锈钢调节地脚，以现场实际摆放为准</w:t>
            </w:r>
          </w:p>
        </w:tc>
        <w:tc>
          <w:tcPr>
            <w:tcW w:w="640" w:type="dxa"/>
            <w:tcBorders>
              <w:top w:val="single" w:color="000000" w:sz="4" w:space="0"/>
              <w:left w:val="single" w:color="000000" w:sz="4" w:space="0"/>
              <w:bottom w:val="single" w:color="000000" w:sz="4" w:space="0"/>
              <w:right w:val="single" w:color="000000" w:sz="4" w:space="0"/>
            </w:tcBorders>
            <w:noWrap/>
            <w:vAlign w:val="center"/>
          </w:tcPr>
          <w:p w14:paraId="6AD3B74E">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台</w:t>
            </w:r>
          </w:p>
        </w:tc>
        <w:tc>
          <w:tcPr>
            <w:tcW w:w="707" w:type="dxa"/>
            <w:tcBorders>
              <w:top w:val="single" w:color="000000" w:sz="4" w:space="0"/>
              <w:left w:val="single" w:color="000000" w:sz="4" w:space="0"/>
              <w:bottom w:val="single" w:color="000000" w:sz="4" w:space="0"/>
              <w:right w:val="single" w:color="000000" w:sz="4" w:space="0"/>
            </w:tcBorders>
            <w:noWrap/>
            <w:vAlign w:val="center"/>
          </w:tcPr>
          <w:p w14:paraId="572C0B18">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6</w:t>
            </w:r>
          </w:p>
        </w:tc>
      </w:tr>
      <w:tr w14:paraId="01A55A56">
        <w:tblPrEx>
          <w:tblCellMar>
            <w:top w:w="0" w:type="dxa"/>
            <w:left w:w="108" w:type="dxa"/>
            <w:bottom w:w="0" w:type="dxa"/>
            <w:right w:w="108" w:type="dxa"/>
          </w:tblCellMar>
        </w:tblPrEx>
        <w:trPr>
          <w:trHeight w:val="580" w:hRule="atLeast"/>
        </w:trPr>
        <w:tc>
          <w:tcPr>
            <w:tcW w:w="693" w:type="dxa"/>
            <w:tcBorders>
              <w:top w:val="single" w:color="000000" w:sz="4" w:space="0"/>
              <w:left w:val="single" w:color="000000" w:sz="4" w:space="0"/>
              <w:bottom w:val="single" w:color="000000" w:sz="4" w:space="0"/>
              <w:right w:val="single" w:color="000000" w:sz="4" w:space="0"/>
            </w:tcBorders>
            <w:noWrap/>
            <w:vAlign w:val="center"/>
          </w:tcPr>
          <w:p w14:paraId="0C8A4350">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76</w:t>
            </w:r>
          </w:p>
        </w:tc>
        <w:tc>
          <w:tcPr>
            <w:tcW w:w="1371" w:type="dxa"/>
            <w:tcBorders>
              <w:top w:val="single" w:color="000000" w:sz="4" w:space="0"/>
              <w:left w:val="single" w:color="000000" w:sz="4" w:space="0"/>
              <w:bottom w:val="single" w:color="000000" w:sz="4" w:space="0"/>
              <w:right w:val="single" w:color="000000" w:sz="4" w:space="0"/>
            </w:tcBorders>
            <w:vAlign w:val="center"/>
          </w:tcPr>
          <w:p w14:paraId="2F451148">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拖把池</w:t>
            </w:r>
          </w:p>
        </w:tc>
        <w:tc>
          <w:tcPr>
            <w:tcW w:w="5493" w:type="dxa"/>
            <w:tcBorders>
              <w:top w:val="single" w:color="000000" w:sz="4" w:space="0"/>
              <w:left w:val="single" w:color="000000" w:sz="4" w:space="0"/>
              <w:bottom w:val="single" w:color="000000" w:sz="4" w:space="0"/>
              <w:right w:val="single" w:color="000000" w:sz="4" w:space="0"/>
            </w:tcBorders>
            <w:vAlign w:val="center"/>
          </w:tcPr>
          <w:p w14:paraId="07B4B9FF">
            <w:pPr>
              <w:widowControl/>
              <w:jc w:val="left"/>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规格：≤600*500*1450mm，不锈钢304材质，一次性冲压而成，无焊点，易打扫，48#圆管焊接，可调试地脚，以现场实际摆放为准</w:t>
            </w:r>
          </w:p>
        </w:tc>
        <w:tc>
          <w:tcPr>
            <w:tcW w:w="640" w:type="dxa"/>
            <w:tcBorders>
              <w:top w:val="single" w:color="000000" w:sz="4" w:space="0"/>
              <w:left w:val="single" w:color="000000" w:sz="4" w:space="0"/>
              <w:bottom w:val="single" w:color="000000" w:sz="4" w:space="0"/>
              <w:right w:val="single" w:color="000000" w:sz="4" w:space="0"/>
            </w:tcBorders>
            <w:noWrap/>
            <w:vAlign w:val="center"/>
          </w:tcPr>
          <w:p w14:paraId="3B502003">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台</w:t>
            </w:r>
          </w:p>
        </w:tc>
        <w:tc>
          <w:tcPr>
            <w:tcW w:w="707" w:type="dxa"/>
            <w:tcBorders>
              <w:top w:val="single" w:color="000000" w:sz="4" w:space="0"/>
              <w:left w:val="single" w:color="000000" w:sz="4" w:space="0"/>
              <w:bottom w:val="single" w:color="000000" w:sz="4" w:space="0"/>
              <w:right w:val="single" w:color="000000" w:sz="4" w:space="0"/>
            </w:tcBorders>
            <w:noWrap/>
            <w:vAlign w:val="center"/>
          </w:tcPr>
          <w:p w14:paraId="0BE8EBA9">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1</w:t>
            </w:r>
          </w:p>
        </w:tc>
      </w:tr>
      <w:tr w14:paraId="46BA8242">
        <w:tblPrEx>
          <w:tblCellMar>
            <w:top w:w="0" w:type="dxa"/>
            <w:left w:w="108" w:type="dxa"/>
            <w:bottom w:w="0" w:type="dxa"/>
            <w:right w:w="108" w:type="dxa"/>
          </w:tblCellMar>
        </w:tblPrEx>
        <w:trPr>
          <w:trHeight w:val="580" w:hRule="atLeast"/>
        </w:trPr>
        <w:tc>
          <w:tcPr>
            <w:tcW w:w="693" w:type="dxa"/>
            <w:tcBorders>
              <w:top w:val="single" w:color="000000" w:sz="4" w:space="0"/>
              <w:left w:val="single" w:color="000000" w:sz="4" w:space="0"/>
              <w:bottom w:val="single" w:color="000000" w:sz="4" w:space="0"/>
              <w:right w:val="single" w:color="000000" w:sz="4" w:space="0"/>
            </w:tcBorders>
            <w:noWrap/>
            <w:vAlign w:val="center"/>
          </w:tcPr>
          <w:p w14:paraId="3F87419A">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77</w:t>
            </w:r>
          </w:p>
        </w:tc>
        <w:tc>
          <w:tcPr>
            <w:tcW w:w="1371" w:type="dxa"/>
            <w:tcBorders>
              <w:top w:val="single" w:color="000000" w:sz="4" w:space="0"/>
              <w:left w:val="single" w:color="000000" w:sz="4" w:space="0"/>
              <w:bottom w:val="single" w:color="000000" w:sz="4" w:space="0"/>
              <w:right w:val="single" w:color="000000" w:sz="4" w:space="0"/>
            </w:tcBorders>
            <w:vAlign w:val="center"/>
          </w:tcPr>
          <w:p w14:paraId="42EC78CE">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专用垃圾桶</w:t>
            </w:r>
          </w:p>
        </w:tc>
        <w:tc>
          <w:tcPr>
            <w:tcW w:w="5493" w:type="dxa"/>
            <w:tcBorders>
              <w:top w:val="single" w:color="000000" w:sz="4" w:space="0"/>
              <w:left w:val="single" w:color="000000" w:sz="4" w:space="0"/>
              <w:bottom w:val="single" w:color="000000" w:sz="4" w:space="0"/>
              <w:right w:val="single" w:color="000000" w:sz="4" w:space="0"/>
            </w:tcBorders>
            <w:vAlign w:val="center"/>
          </w:tcPr>
          <w:p w14:paraId="04E33D33">
            <w:pPr>
              <w:widowControl/>
              <w:jc w:val="left"/>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规格：≤750*575*1070mm，环保聚乙烯材质，坚固耐用，符合EN840标准要求，加大加厚塑胶轮胎，保障承载运输能力和延长使用寿命，以现场实际摆放为准</w:t>
            </w:r>
          </w:p>
        </w:tc>
        <w:tc>
          <w:tcPr>
            <w:tcW w:w="640" w:type="dxa"/>
            <w:tcBorders>
              <w:top w:val="single" w:color="000000" w:sz="4" w:space="0"/>
              <w:left w:val="single" w:color="000000" w:sz="4" w:space="0"/>
              <w:bottom w:val="single" w:color="000000" w:sz="4" w:space="0"/>
              <w:right w:val="single" w:color="000000" w:sz="4" w:space="0"/>
            </w:tcBorders>
            <w:noWrap/>
            <w:vAlign w:val="center"/>
          </w:tcPr>
          <w:p w14:paraId="1CAF7026">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台</w:t>
            </w:r>
          </w:p>
        </w:tc>
        <w:tc>
          <w:tcPr>
            <w:tcW w:w="707" w:type="dxa"/>
            <w:tcBorders>
              <w:top w:val="single" w:color="000000" w:sz="4" w:space="0"/>
              <w:left w:val="single" w:color="000000" w:sz="4" w:space="0"/>
              <w:bottom w:val="single" w:color="000000" w:sz="4" w:space="0"/>
              <w:right w:val="single" w:color="000000" w:sz="4" w:space="0"/>
            </w:tcBorders>
            <w:noWrap/>
            <w:vAlign w:val="center"/>
          </w:tcPr>
          <w:p w14:paraId="116E1223">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1</w:t>
            </w:r>
          </w:p>
        </w:tc>
      </w:tr>
      <w:tr w14:paraId="228F65F3">
        <w:tblPrEx>
          <w:tblCellMar>
            <w:top w:w="0" w:type="dxa"/>
            <w:left w:w="108" w:type="dxa"/>
            <w:bottom w:w="0" w:type="dxa"/>
            <w:right w:w="108" w:type="dxa"/>
          </w:tblCellMar>
        </w:tblPrEx>
        <w:trPr>
          <w:trHeight w:val="580" w:hRule="atLeast"/>
        </w:trPr>
        <w:tc>
          <w:tcPr>
            <w:tcW w:w="693" w:type="dxa"/>
            <w:tcBorders>
              <w:top w:val="single" w:color="000000" w:sz="4" w:space="0"/>
              <w:left w:val="single" w:color="000000" w:sz="4" w:space="0"/>
              <w:bottom w:val="single" w:color="000000" w:sz="4" w:space="0"/>
              <w:right w:val="single" w:color="000000" w:sz="4" w:space="0"/>
            </w:tcBorders>
            <w:noWrap/>
            <w:vAlign w:val="center"/>
          </w:tcPr>
          <w:p w14:paraId="7C240AFE">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78</w:t>
            </w:r>
          </w:p>
        </w:tc>
        <w:tc>
          <w:tcPr>
            <w:tcW w:w="1371" w:type="dxa"/>
            <w:tcBorders>
              <w:top w:val="single" w:color="000000" w:sz="4" w:space="0"/>
              <w:left w:val="single" w:color="000000" w:sz="4" w:space="0"/>
              <w:bottom w:val="single" w:color="000000" w:sz="4" w:space="0"/>
              <w:right w:val="single" w:color="000000" w:sz="4" w:space="0"/>
            </w:tcBorders>
            <w:vAlign w:val="center"/>
          </w:tcPr>
          <w:p w14:paraId="0DC6BD7E">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组合保洁柜</w:t>
            </w:r>
          </w:p>
        </w:tc>
        <w:tc>
          <w:tcPr>
            <w:tcW w:w="5493" w:type="dxa"/>
            <w:tcBorders>
              <w:top w:val="single" w:color="000000" w:sz="4" w:space="0"/>
              <w:left w:val="single" w:color="000000" w:sz="4" w:space="0"/>
              <w:bottom w:val="single" w:color="000000" w:sz="4" w:space="0"/>
              <w:right w:val="single" w:color="000000" w:sz="4" w:space="0"/>
            </w:tcBorders>
            <w:vAlign w:val="center"/>
          </w:tcPr>
          <w:p w14:paraId="1C605122">
            <w:pPr>
              <w:widowControl/>
              <w:jc w:val="left"/>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规格：1200*500*1800mm，304不锈钢折边压筋，内含沥水水池，手触碰处压边不割手，安全易打扫，大容量，以现场实际摆放为准</w:t>
            </w:r>
          </w:p>
        </w:tc>
        <w:tc>
          <w:tcPr>
            <w:tcW w:w="640" w:type="dxa"/>
            <w:tcBorders>
              <w:top w:val="single" w:color="000000" w:sz="4" w:space="0"/>
              <w:left w:val="single" w:color="000000" w:sz="4" w:space="0"/>
              <w:bottom w:val="single" w:color="000000" w:sz="4" w:space="0"/>
              <w:right w:val="single" w:color="000000" w:sz="4" w:space="0"/>
            </w:tcBorders>
            <w:noWrap/>
            <w:vAlign w:val="center"/>
          </w:tcPr>
          <w:p w14:paraId="36154E55">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台</w:t>
            </w:r>
          </w:p>
        </w:tc>
        <w:tc>
          <w:tcPr>
            <w:tcW w:w="707" w:type="dxa"/>
            <w:tcBorders>
              <w:top w:val="single" w:color="000000" w:sz="4" w:space="0"/>
              <w:left w:val="single" w:color="000000" w:sz="4" w:space="0"/>
              <w:bottom w:val="single" w:color="000000" w:sz="4" w:space="0"/>
              <w:right w:val="single" w:color="000000" w:sz="4" w:space="0"/>
            </w:tcBorders>
            <w:noWrap/>
            <w:vAlign w:val="center"/>
          </w:tcPr>
          <w:p w14:paraId="6A6AE992">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1</w:t>
            </w:r>
          </w:p>
        </w:tc>
      </w:tr>
      <w:tr w14:paraId="1DC8A223">
        <w:tblPrEx>
          <w:tblCellMar>
            <w:top w:w="0" w:type="dxa"/>
            <w:left w:w="108" w:type="dxa"/>
            <w:bottom w:w="0" w:type="dxa"/>
            <w:right w:w="108" w:type="dxa"/>
          </w:tblCellMar>
        </w:tblPrEx>
        <w:trPr>
          <w:trHeight w:val="580" w:hRule="atLeast"/>
        </w:trPr>
        <w:tc>
          <w:tcPr>
            <w:tcW w:w="693" w:type="dxa"/>
            <w:tcBorders>
              <w:top w:val="single" w:color="000000" w:sz="4" w:space="0"/>
              <w:left w:val="single" w:color="000000" w:sz="4" w:space="0"/>
              <w:bottom w:val="single" w:color="000000" w:sz="4" w:space="0"/>
              <w:right w:val="single" w:color="000000" w:sz="4" w:space="0"/>
            </w:tcBorders>
            <w:noWrap/>
            <w:vAlign w:val="center"/>
          </w:tcPr>
          <w:p w14:paraId="7246E1EF">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79</w:t>
            </w:r>
          </w:p>
        </w:tc>
        <w:tc>
          <w:tcPr>
            <w:tcW w:w="1371" w:type="dxa"/>
            <w:tcBorders>
              <w:top w:val="single" w:color="000000" w:sz="4" w:space="0"/>
              <w:left w:val="single" w:color="000000" w:sz="4" w:space="0"/>
              <w:bottom w:val="single" w:color="000000" w:sz="4" w:space="0"/>
              <w:right w:val="single" w:color="000000" w:sz="4" w:space="0"/>
            </w:tcBorders>
            <w:vAlign w:val="center"/>
          </w:tcPr>
          <w:p w14:paraId="245672AE">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四门储物柜</w:t>
            </w:r>
          </w:p>
        </w:tc>
        <w:tc>
          <w:tcPr>
            <w:tcW w:w="5493" w:type="dxa"/>
            <w:tcBorders>
              <w:top w:val="single" w:color="000000" w:sz="4" w:space="0"/>
              <w:left w:val="single" w:color="000000" w:sz="4" w:space="0"/>
              <w:bottom w:val="single" w:color="000000" w:sz="4" w:space="0"/>
              <w:right w:val="single" w:color="000000" w:sz="4" w:space="0"/>
            </w:tcBorders>
            <w:vAlign w:val="center"/>
          </w:tcPr>
          <w:p w14:paraId="237A4392">
            <w:pPr>
              <w:widowControl/>
              <w:jc w:val="left"/>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规格：≤1200*500*1800mm，采用优质304材质，柜身采用约1.2MM厚磨砂贴膜不锈钢板，上掀门增加储物空间，易存放，滑动灵活轻便，不易嵌入垃圾，配可调试地脚，以现场实际摆放为准</w:t>
            </w:r>
          </w:p>
        </w:tc>
        <w:tc>
          <w:tcPr>
            <w:tcW w:w="640" w:type="dxa"/>
            <w:tcBorders>
              <w:top w:val="single" w:color="000000" w:sz="4" w:space="0"/>
              <w:left w:val="single" w:color="000000" w:sz="4" w:space="0"/>
              <w:bottom w:val="single" w:color="000000" w:sz="4" w:space="0"/>
              <w:right w:val="single" w:color="000000" w:sz="4" w:space="0"/>
            </w:tcBorders>
            <w:noWrap/>
            <w:vAlign w:val="center"/>
          </w:tcPr>
          <w:p w14:paraId="247F0105">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台</w:t>
            </w:r>
          </w:p>
        </w:tc>
        <w:tc>
          <w:tcPr>
            <w:tcW w:w="707" w:type="dxa"/>
            <w:tcBorders>
              <w:top w:val="single" w:color="000000" w:sz="4" w:space="0"/>
              <w:left w:val="single" w:color="000000" w:sz="4" w:space="0"/>
              <w:bottom w:val="single" w:color="000000" w:sz="4" w:space="0"/>
              <w:right w:val="single" w:color="000000" w:sz="4" w:space="0"/>
            </w:tcBorders>
            <w:noWrap/>
            <w:vAlign w:val="center"/>
          </w:tcPr>
          <w:p w14:paraId="3756F382">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2</w:t>
            </w:r>
          </w:p>
        </w:tc>
      </w:tr>
      <w:tr w14:paraId="13E44C4F">
        <w:tblPrEx>
          <w:tblCellMar>
            <w:top w:w="0" w:type="dxa"/>
            <w:left w:w="108" w:type="dxa"/>
            <w:bottom w:w="0" w:type="dxa"/>
            <w:right w:w="108" w:type="dxa"/>
          </w:tblCellMar>
        </w:tblPrEx>
        <w:trPr>
          <w:trHeight w:val="580" w:hRule="atLeast"/>
        </w:trPr>
        <w:tc>
          <w:tcPr>
            <w:tcW w:w="693" w:type="dxa"/>
            <w:tcBorders>
              <w:top w:val="single" w:color="000000" w:sz="4" w:space="0"/>
              <w:left w:val="single" w:color="000000" w:sz="4" w:space="0"/>
              <w:bottom w:val="single" w:color="000000" w:sz="4" w:space="0"/>
              <w:right w:val="single" w:color="000000" w:sz="4" w:space="0"/>
            </w:tcBorders>
            <w:noWrap/>
            <w:vAlign w:val="center"/>
          </w:tcPr>
          <w:p w14:paraId="3500DF60">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80</w:t>
            </w:r>
          </w:p>
        </w:tc>
        <w:tc>
          <w:tcPr>
            <w:tcW w:w="1371" w:type="dxa"/>
            <w:tcBorders>
              <w:top w:val="single" w:color="000000" w:sz="4" w:space="0"/>
              <w:left w:val="single" w:color="000000" w:sz="4" w:space="0"/>
              <w:bottom w:val="single" w:color="000000" w:sz="4" w:space="0"/>
              <w:right w:val="single" w:color="000000" w:sz="4" w:space="0"/>
            </w:tcBorders>
            <w:vAlign w:val="center"/>
          </w:tcPr>
          <w:p w14:paraId="7D86245D">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地秤</w:t>
            </w:r>
          </w:p>
        </w:tc>
        <w:tc>
          <w:tcPr>
            <w:tcW w:w="5493" w:type="dxa"/>
            <w:tcBorders>
              <w:top w:val="single" w:color="000000" w:sz="4" w:space="0"/>
              <w:left w:val="single" w:color="000000" w:sz="4" w:space="0"/>
              <w:bottom w:val="single" w:color="000000" w:sz="4" w:space="0"/>
              <w:right w:val="single" w:color="000000" w:sz="4" w:space="0"/>
            </w:tcBorders>
            <w:vAlign w:val="center"/>
          </w:tcPr>
          <w:p w14:paraId="1E2DF05C">
            <w:pPr>
              <w:widowControl/>
              <w:jc w:val="left"/>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规格：≤560*700*1250mm，折叠式200KG，加厚底盘，超长待机，稳定性更好，准确性更高，以现场实际摆放为准</w:t>
            </w:r>
          </w:p>
        </w:tc>
        <w:tc>
          <w:tcPr>
            <w:tcW w:w="640" w:type="dxa"/>
            <w:tcBorders>
              <w:top w:val="single" w:color="000000" w:sz="4" w:space="0"/>
              <w:left w:val="single" w:color="000000" w:sz="4" w:space="0"/>
              <w:bottom w:val="single" w:color="000000" w:sz="4" w:space="0"/>
              <w:right w:val="single" w:color="000000" w:sz="4" w:space="0"/>
            </w:tcBorders>
            <w:noWrap/>
            <w:vAlign w:val="center"/>
          </w:tcPr>
          <w:p w14:paraId="636AB48A">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台</w:t>
            </w:r>
          </w:p>
        </w:tc>
        <w:tc>
          <w:tcPr>
            <w:tcW w:w="707" w:type="dxa"/>
            <w:tcBorders>
              <w:top w:val="single" w:color="000000" w:sz="4" w:space="0"/>
              <w:left w:val="single" w:color="000000" w:sz="4" w:space="0"/>
              <w:bottom w:val="single" w:color="000000" w:sz="4" w:space="0"/>
              <w:right w:val="single" w:color="000000" w:sz="4" w:space="0"/>
            </w:tcBorders>
            <w:noWrap/>
            <w:vAlign w:val="center"/>
          </w:tcPr>
          <w:p w14:paraId="0F9CF80A">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1</w:t>
            </w:r>
          </w:p>
        </w:tc>
      </w:tr>
      <w:tr w14:paraId="20FD2BF4">
        <w:tblPrEx>
          <w:tblCellMar>
            <w:top w:w="0" w:type="dxa"/>
            <w:left w:w="108" w:type="dxa"/>
            <w:bottom w:w="0" w:type="dxa"/>
            <w:right w:w="108" w:type="dxa"/>
          </w:tblCellMar>
        </w:tblPrEx>
        <w:trPr>
          <w:trHeight w:val="580" w:hRule="atLeast"/>
        </w:trPr>
        <w:tc>
          <w:tcPr>
            <w:tcW w:w="693" w:type="dxa"/>
            <w:tcBorders>
              <w:top w:val="single" w:color="000000" w:sz="4" w:space="0"/>
              <w:left w:val="single" w:color="000000" w:sz="4" w:space="0"/>
              <w:bottom w:val="single" w:color="000000" w:sz="4" w:space="0"/>
              <w:right w:val="single" w:color="000000" w:sz="4" w:space="0"/>
            </w:tcBorders>
            <w:noWrap/>
            <w:vAlign w:val="center"/>
          </w:tcPr>
          <w:p w14:paraId="385040C6">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81</w:t>
            </w:r>
          </w:p>
        </w:tc>
        <w:tc>
          <w:tcPr>
            <w:tcW w:w="1371" w:type="dxa"/>
            <w:tcBorders>
              <w:top w:val="single" w:color="000000" w:sz="4" w:space="0"/>
              <w:left w:val="single" w:color="000000" w:sz="4" w:space="0"/>
              <w:bottom w:val="single" w:color="000000" w:sz="4" w:space="0"/>
              <w:right w:val="single" w:color="000000" w:sz="4" w:space="0"/>
            </w:tcBorders>
            <w:vAlign w:val="center"/>
          </w:tcPr>
          <w:p w14:paraId="79D1D01B">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灭蚊灯</w:t>
            </w:r>
          </w:p>
        </w:tc>
        <w:tc>
          <w:tcPr>
            <w:tcW w:w="5493" w:type="dxa"/>
            <w:tcBorders>
              <w:top w:val="single" w:color="000000" w:sz="4" w:space="0"/>
              <w:left w:val="single" w:color="000000" w:sz="4" w:space="0"/>
              <w:bottom w:val="single" w:color="000000" w:sz="4" w:space="0"/>
              <w:right w:val="single" w:color="000000" w:sz="4" w:space="0"/>
            </w:tcBorders>
            <w:vAlign w:val="center"/>
          </w:tcPr>
          <w:p w14:paraId="01299665">
            <w:pPr>
              <w:widowControl/>
              <w:jc w:val="left"/>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特制UV光学技术透光管，诱蚊效果持久稳定，使用LED灯珠，寿命长</w:t>
            </w:r>
          </w:p>
        </w:tc>
        <w:tc>
          <w:tcPr>
            <w:tcW w:w="640" w:type="dxa"/>
            <w:tcBorders>
              <w:top w:val="single" w:color="000000" w:sz="4" w:space="0"/>
              <w:left w:val="single" w:color="000000" w:sz="4" w:space="0"/>
              <w:bottom w:val="single" w:color="000000" w:sz="4" w:space="0"/>
              <w:right w:val="single" w:color="000000" w:sz="4" w:space="0"/>
            </w:tcBorders>
            <w:noWrap/>
            <w:vAlign w:val="center"/>
          </w:tcPr>
          <w:p w14:paraId="337B5A76">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台</w:t>
            </w:r>
          </w:p>
        </w:tc>
        <w:tc>
          <w:tcPr>
            <w:tcW w:w="707" w:type="dxa"/>
            <w:tcBorders>
              <w:top w:val="single" w:color="000000" w:sz="4" w:space="0"/>
              <w:left w:val="single" w:color="000000" w:sz="4" w:space="0"/>
              <w:bottom w:val="single" w:color="000000" w:sz="4" w:space="0"/>
              <w:right w:val="single" w:color="000000" w:sz="4" w:space="0"/>
            </w:tcBorders>
            <w:noWrap/>
            <w:vAlign w:val="center"/>
          </w:tcPr>
          <w:p w14:paraId="1E4A3C6F">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6</w:t>
            </w:r>
          </w:p>
        </w:tc>
      </w:tr>
      <w:tr w14:paraId="69DB653F">
        <w:tblPrEx>
          <w:tblCellMar>
            <w:top w:w="0" w:type="dxa"/>
            <w:left w:w="108" w:type="dxa"/>
            <w:bottom w:w="0" w:type="dxa"/>
            <w:right w:w="108" w:type="dxa"/>
          </w:tblCellMar>
        </w:tblPrEx>
        <w:trPr>
          <w:trHeight w:val="580" w:hRule="atLeast"/>
        </w:trPr>
        <w:tc>
          <w:tcPr>
            <w:tcW w:w="693" w:type="dxa"/>
            <w:tcBorders>
              <w:top w:val="single" w:color="000000" w:sz="4" w:space="0"/>
              <w:left w:val="single" w:color="000000" w:sz="4" w:space="0"/>
              <w:bottom w:val="single" w:color="000000" w:sz="4" w:space="0"/>
              <w:right w:val="single" w:color="000000" w:sz="4" w:space="0"/>
            </w:tcBorders>
            <w:noWrap/>
            <w:vAlign w:val="center"/>
          </w:tcPr>
          <w:p w14:paraId="2B8C059F">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82</w:t>
            </w:r>
          </w:p>
        </w:tc>
        <w:tc>
          <w:tcPr>
            <w:tcW w:w="1371" w:type="dxa"/>
            <w:tcBorders>
              <w:top w:val="single" w:color="000000" w:sz="4" w:space="0"/>
              <w:left w:val="single" w:color="000000" w:sz="4" w:space="0"/>
              <w:bottom w:val="single" w:color="000000" w:sz="4" w:space="0"/>
              <w:right w:val="single" w:color="000000" w:sz="4" w:space="0"/>
            </w:tcBorders>
            <w:vAlign w:val="center"/>
          </w:tcPr>
          <w:p w14:paraId="35C07C04">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防爆应急灯</w:t>
            </w:r>
          </w:p>
        </w:tc>
        <w:tc>
          <w:tcPr>
            <w:tcW w:w="5493" w:type="dxa"/>
            <w:tcBorders>
              <w:top w:val="single" w:color="000000" w:sz="4" w:space="0"/>
              <w:left w:val="single" w:color="000000" w:sz="4" w:space="0"/>
              <w:bottom w:val="single" w:color="000000" w:sz="4" w:space="0"/>
              <w:right w:val="single" w:color="000000" w:sz="4" w:space="0"/>
            </w:tcBorders>
            <w:vAlign w:val="center"/>
          </w:tcPr>
          <w:p w14:paraId="34628014">
            <w:pPr>
              <w:widowControl/>
              <w:jc w:val="left"/>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铸铁材质，双头LED灯亮度增加，经久耐用</w:t>
            </w:r>
          </w:p>
        </w:tc>
        <w:tc>
          <w:tcPr>
            <w:tcW w:w="640" w:type="dxa"/>
            <w:tcBorders>
              <w:top w:val="single" w:color="000000" w:sz="4" w:space="0"/>
              <w:left w:val="single" w:color="000000" w:sz="4" w:space="0"/>
              <w:bottom w:val="single" w:color="000000" w:sz="4" w:space="0"/>
              <w:right w:val="single" w:color="000000" w:sz="4" w:space="0"/>
            </w:tcBorders>
            <w:noWrap/>
            <w:vAlign w:val="center"/>
          </w:tcPr>
          <w:p w14:paraId="41D86086">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台</w:t>
            </w:r>
          </w:p>
        </w:tc>
        <w:tc>
          <w:tcPr>
            <w:tcW w:w="707" w:type="dxa"/>
            <w:tcBorders>
              <w:top w:val="single" w:color="000000" w:sz="4" w:space="0"/>
              <w:left w:val="single" w:color="000000" w:sz="4" w:space="0"/>
              <w:bottom w:val="single" w:color="000000" w:sz="4" w:space="0"/>
              <w:right w:val="single" w:color="000000" w:sz="4" w:space="0"/>
            </w:tcBorders>
            <w:noWrap/>
            <w:vAlign w:val="center"/>
          </w:tcPr>
          <w:p w14:paraId="24FBC5AE">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6</w:t>
            </w:r>
          </w:p>
        </w:tc>
      </w:tr>
      <w:tr w14:paraId="0D997465">
        <w:tblPrEx>
          <w:tblCellMar>
            <w:top w:w="0" w:type="dxa"/>
            <w:left w:w="108" w:type="dxa"/>
            <w:bottom w:w="0" w:type="dxa"/>
            <w:right w:w="108" w:type="dxa"/>
          </w:tblCellMar>
        </w:tblPrEx>
        <w:trPr>
          <w:trHeight w:val="580" w:hRule="atLeast"/>
        </w:trPr>
        <w:tc>
          <w:tcPr>
            <w:tcW w:w="693" w:type="dxa"/>
            <w:tcBorders>
              <w:top w:val="single" w:color="000000" w:sz="4" w:space="0"/>
              <w:left w:val="single" w:color="000000" w:sz="4" w:space="0"/>
              <w:bottom w:val="single" w:color="000000" w:sz="4" w:space="0"/>
              <w:right w:val="single" w:color="000000" w:sz="4" w:space="0"/>
            </w:tcBorders>
            <w:noWrap/>
            <w:vAlign w:val="center"/>
          </w:tcPr>
          <w:p w14:paraId="20C81534">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83</w:t>
            </w:r>
          </w:p>
        </w:tc>
        <w:tc>
          <w:tcPr>
            <w:tcW w:w="1371" w:type="dxa"/>
            <w:tcBorders>
              <w:top w:val="single" w:color="000000" w:sz="4" w:space="0"/>
              <w:left w:val="single" w:color="000000" w:sz="4" w:space="0"/>
              <w:bottom w:val="single" w:color="000000" w:sz="4" w:space="0"/>
              <w:right w:val="single" w:color="000000" w:sz="4" w:space="0"/>
            </w:tcBorders>
            <w:vAlign w:val="center"/>
          </w:tcPr>
          <w:p w14:paraId="36E23446">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消毒灯</w:t>
            </w:r>
          </w:p>
        </w:tc>
        <w:tc>
          <w:tcPr>
            <w:tcW w:w="5493" w:type="dxa"/>
            <w:tcBorders>
              <w:top w:val="single" w:color="000000" w:sz="4" w:space="0"/>
              <w:left w:val="single" w:color="000000" w:sz="4" w:space="0"/>
              <w:bottom w:val="single" w:color="000000" w:sz="4" w:space="0"/>
              <w:right w:val="single" w:color="000000" w:sz="4" w:space="0"/>
            </w:tcBorders>
            <w:vAlign w:val="center"/>
          </w:tcPr>
          <w:p w14:paraId="1EFC26BE">
            <w:pPr>
              <w:widowControl/>
              <w:jc w:val="left"/>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特制UV光学技术透光管，紫外线消杀灯管，寿命长</w:t>
            </w:r>
          </w:p>
        </w:tc>
        <w:tc>
          <w:tcPr>
            <w:tcW w:w="640" w:type="dxa"/>
            <w:tcBorders>
              <w:top w:val="single" w:color="000000" w:sz="4" w:space="0"/>
              <w:left w:val="single" w:color="000000" w:sz="4" w:space="0"/>
              <w:bottom w:val="single" w:color="000000" w:sz="4" w:space="0"/>
              <w:right w:val="single" w:color="000000" w:sz="4" w:space="0"/>
            </w:tcBorders>
            <w:noWrap/>
            <w:vAlign w:val="center"/>
          </w:tcPr>
          <w:p w14:paraId="4A66FB2C">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台</w:t>
            </w:r>
          </w:p>
        </w:tc>
        <w:tc>
          <w:tcPr>
            <w:tcW w:w="707" w:type="dxa"/>
            <w:tcBorders>
              <w:top w:val="single" w:color="000000" w:sz="4" w:space="0"/>
              <w:left w:val="single" w:color="000000" w:sz="4" w:space="0"/>
              <w:bottom w:val="single" w:color="000000" w:sz="4" w:space="0"/>
              <w:right w:val="single" w:color="000000" w:sz="4" w:space="0"/>
            </w:tcBorders>
            <w:noWrap/>
            <w:vAlign w:val="center"/>
          </w:tcPr>
          <w:p w14:paraId="6BBEB101">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6</w:t>
            </w:r>
          </w:p>
        </w:tc>
      </w:tr>
      <w:tr w14:paraId="1EBAE8EC">
        <w:tblPrEx>
          <w:tblCellMar>
            <w:top w:w="0" w:type="dxa"/>
            <w:left w:w="108" w:type="dxa"/>
            <w:bottom w:w="0" w:type="dxa"/>
            <w:right w:w="108" w:type="dxa"/>
          </w:tblCellMar>
        </w:tblPrEx>
        <w:trPr>
          <w:trHeight w:val="580" w:hRule="atLeast"/>
        </w:trPr>
        <w:tc>
          <w:tcPr>
            <w:tcW w:w="693" w:type="dxa"/>
            <w:tcBorders>
              <w:top w:val="single" w:color="000000" w:sz="4" w:space="0"/>
              <w:left w:val="single" w:color="000000" w:sz="4" w:space="0"/>
              <w:bottom w:val="single" w:color="000000" w:sz="4" w:space="0"/>
              <w:right w:val="single" w:color="000000" w:sz="4" w:space="0"/>
            </w:tcBorders>
            <w:noWrap/>
            <w:vAlign w:val="center"/>
          </w:tcPr>
          <w:p w14:paraId="5312F213">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84</w:t>
            </w:r>
          </w:p>
        </w:tc>
        <w:tc>
          <w:tcPr>
            <w:tcW w:w="1371" w:type="dxa"/>
            <w:tcBorders>
              <w:top w:val="single" w:color="000000" w:sz="4" w:space="0"/>
              <w:left w:val="single" w:color="000000" w:sz="4" w:space="0"/>
              <w:bottom w:val="single" w:color="000000" w:sz="4" w:space="0"/>
              <w:right w:val="single" w:color="000000" w:sz="4" w:space="0"/>
            </w:tcBorders>
            <w:vAlign w:val="center"/>
          </w:tcPr>
          <w:p w14:paraId="18DDA343">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洗涮热水器</w:t>
            </w:r>
          </w:p>
        </w:tc>
        <w:tc>
          <w:tcPr>
            <w:tcW w:w="5493" w:type="dxa"/>
            <w:tcBorders>
              <w:top w:val="single" w:color="000000" w:sz="4" w:space="0"/>
              <w:left w:val="single" w:color="000000" w:sz="4" w:space="0"/>
              <w:bottom w:val="single" w:color="000000" w:sz="4" w:space="0"/>
              <w:right w:val="single" w:color="000000" w:sz="4" w:space="0"/>
            </w:tcBorders>
            <w:vAlign w:val="center"/>
          </w:tcPr>
          <w:p w14:paraId="09CD0B73">
            <w:pPr>
              <w:widowControl/>
              <w:jc w:val="left"/>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规格：≤670*480mm，功率220-2.2KW,全铜全发泡大容量，供洗漱适用，以现场实际摆放为准</w:t>
            </w:r>
          </w:p>
        </w:tc>
        <w:tc>
          <w:tcPr>
            <w:tcW w:w="640" w:type="dxa"/>
            <w:tcBorders>
              <w:top w:val="single" w:color="000000" w:sz="4" w:space="0"/>
              <w:left w:val="single" w:color="000000" w:sz="4" w:space="0"/>
              <w:bottom w:val="single" w:color="000000" w:sz="4" w:space="0"/>
              <w:right w:val="single" w:color="000000" w:sz="4" w:space="0"/>
            </w:tcBorders>
            <w:noWrap/>
            <w:vAlign w:val="center"/>
          </w:tcPr>
          <w:p w14:paraId="1A3CE08B">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台</w:t>
            </w:r>
          </w:p>
        </w:tc>
        <w:tc>
          <w:tcPr>
            <w:tcW w:w="707" w:type="dxa"/>
            <w:tcBorders>
              <w:top w:val="single" w:color="000000" w:sz="4" w:space="0"/>
              <w:left w:val="single" w:color="000000" w:sz="4" w:space="0"/>
              <w:bottom w:val="single" w:color="000000" w:sz="4" w:space="0"/>
              <w:right w:val="single" w:color="000000" w:sz="4" w:space="0"/>
            </w:tcBorders>
            <w:noWrap/>
            <w:vAlign w:val="center"/>
          </w:tcPr>
          <w:p w14:paraId="2C7EFCF4">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1</w:t>
            </w:r>
          </w:p>
        </w:tc>
      </w:tr>
      <w:tr w14:paraId="20942E4E">
        <w:tblPrEx>
          <w:tblCellMar>
            <w:top w:w="0" w:type="dxa"/>
            <w:left w:w="108" w:type="dxa"/>
            <w:bottom w:w="0" w:type="dxa"/>
            <w:right w:w="108" w:type="dxa"/>
          </w:tblCellMar>
        </w:tblPrEx>
        <w:trPr>
          <w:trHeight w:val="580" w:hRule="atLeast"/>
        </w:trPr>
        <w:tc>
          <w:tcPr>
            <w:tcW w:w="693" w:type="dxa"/>
            <w:tcBorders>
              <w:top w:val="single" w:color="000000" w:sz="4" w:space="0"/>
              <w:left w:val="single" w:color="000000" w:sz="4" w:space="0"/>
              <w:bottom w:val="single" w:color="000000" w:sz="4" w:space="0"/>
              <w:right w:val="single" w:color="000000" w:sz="4" w:space="0"/>
            </w:tcBorders>
            <w:vAlign w:val="center"/>
          </w:tcPr>
          <w:p w14:paraId="038655C4">
            <w:pPr>
              <w:jc w:val="center"/>
              <w:rPr>
                <w:rFonts w:hint="eastAsia" w:ascii="宋体" w:hAnsi="宋体"/>
                <w:color w:val="auto"/>
                <w:sz w:val="22"/>
                <w:szCs w:val="22"/>
                <w:highlight w:val="none"/>
              </w:rPr>
            </w:pPr>
          </w:p>
        </w:tc>
        <w:tc>
          <w:tcPr>
            <w:tcW w:w="1371" w:type="dxa"/>
            <w:tcBorders>
              <w:top w:val="single" w:color="000000" w:sz="4" w:space="0"/>
              <w:left w:val="single" w:color="000000" w:sz="4" w:space="0"/>
              <w:bottom w:val="single" w:color="000000" w:sz="4" w:space="0"/>
              <w:right w:val="single" w:color="000000" w:sz="4" w:space="0"/>
            </w:tcBorders>
            <w:vAlign w:val="center"/>
          </w:tcPr>
          <w:p w14:paraId="5395043D">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更衣间</w:t>
            </w:r>
          </w:p>
        </w:tc>
        <w:tc>
          <w:tcPr>
            <w:tcW w:w="5493" w:type="dxa"/>
            <w:tcBorders>
              <w:top w:val="single" w:color="000000" w:sz="4" w:space="0"/>
              <w:left w:val="single" w:color="000000" w:sz="4" w:space="0"/>
              <w:bottom w:val="single" w:color="000000" w:sz="4" w:space="0"/>
              <w:right w:val="single" w:color="000000" w:sz="4" w:space="0"/>
            </w:tcBorders>
            <w:vAlign w:val="center"/>
          </w:tcPr>
          <w:p w14:paraId="16D06F4E">
            <w:pPr>
              <w:jc w:val="left"/>
              <w:rPr>
                <w:rFonts w:hint="eastAsia" w:ascii="宋体" w:hAnsi="宋体"/>
                <w:color w:val="auto"/>
                <w:sz w:val="22"/>
                <w:szCs w:val="22"/>
                <w:highlight w:val="none"/>
              </w:rPr>
            </w:pPr>
          </w:p>
        </w:tc>
        <w:tc>
          <w:tcPr>
            <w:tcW w:w="640" w:type="dxa"/>
            <w:tcBorders>
              <w:top w:val="single" w:color="000000" w:sz="4" w:space="0"/>
              <w:left w:val="single" w:color="000000" w:sz="4" w:space="0"/>
              <w:bottom w:val="single" w:color="000000" w:sz="4" w:space="0"/>
              <w:right w:val="single" w:color="000000" w:sz="4" w:space="0"/>
            </w:tcBorders>
            <w:vAlign w:val="center"/>
          </w:tcPr>
          <w:p w14:paraId="554AC054">
            <w:pPr>
              <w:jc w:val="center"/>
              <w:rPr>
                <w:rFonts w:hint="eastAsia" w:ascii="宋体" w:hAnsi="宋体"/>
                <w:color w:val="auto"/>
                <w:sz w:val="22"/>
                <w:szCs w:val="22"/>
                <w:highlight w:val="none"/>
              </w:rPr>
            </w:pPr>
          </w:p>
        </w:tc>
        <w:tc>
          <w:tcPr>
            <w:tcW w:w="707" w:type="dxa"/>
            <w:tcBorders>
              <w:top w:val="single" w:color="000000" w:sz="4" w:space="0"/>
              <w:left w:val="single" w:color="000000" w:sz="4" w:space="0"/>
              <w:bottom w:val="single" w:color="000000" w:sz="4" w:space="0"/>
              <w:right w:val="single" w:color="000000" w:sz="4" w:space="0"/>
            </w:tcBorders>
            <w:noWrap/>
            <w:vAlign w:val="center"/>
          </w:tcPr>
          <w:p w14:paraId="2FC12AD0">
            <w:pPr>
              <w:jc w:val="center"/>
              <w:rPr>
                <w:rFonts w:hint="eastAsia" w:ascii="宋体" w:hAnsi="宋体"/>
                <w:color w:val="auto"/>
                <w:sz w:val="22"/>
                <w:szCs w:val="22"/>
                <w:highlight w:val="none"/>
              </w:rPr>
            </w:pPr>
          </w:p>
        </w:tc>
      </w:tr>
      <w:tr w14:paraId="7745DE0A">
        <w:tblPrEx>
          <w:tblCellMar>
            <w:top w:w="0" w:type="dxa"/>
            <w:left w:w="108" w:type="dxa"/>
            <w:bottom w:w="0" w:type="dxa"/>
            <w:right w:w="108" w:type="dxa"/>
          </w:tblCellMar>
        </w:tblPrEx>
        <w:trPr>
          <w:trHeight w:val="580" w:hRule="atLeast"/>
        </w:trPr>
        <w:tc>
          <w:tcPr>
            <w:tcW w:w="693" w:type="dxa"/>
            <w:tcBorders>
              <w:top w:val="single" w:color="000000" w:sz="4" w:space="0"/>
              <w:left w:val="single" w:color="000000" w:sz="4" w:space="0"/>
              <w:bottom w:val="single" w:color="000000" w:sz="4" w:space="0"/>
              <w:right w:val="single" w:color="000000" w:sz="4" w:space="0"/>
            </w:tcBorders>
            <w:noWrap/>
            <w:vAlign w:val="center"/>
          </w:tcPr>
          <w:p w14:paraId="6FC11769">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85</w:t>
            </w:r>
          </w:p>
        </w:tc>
        <w:tc>
          <w:tcPr>
            <w:tcW w:w="1371" w:type="dxa"/>
            <w:tcBorders>
              <w:top w:val="single" w:color="000000" w:sz="4" w:space="0"/>
              <w:left w:val="single" w:color="000000" w:sz="4" w:space="0"/>
              <w:bottom w:val="single" w:color="000000" w:sz="4" w:space="0"/>
              <w:right w:val="single" w:color="000000" w:sz="4" w:space="0"/>
            </w:tcBorders>
            <w:vAlign w:val="center"/>
          </w:tcPr>
          <w:p w14:paraId="5DAC165F">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单门组合保洁柜</w:t>
            </w:r>
          </w:p>
        </w:tc>
        <w:tc>
          <w:tcPr>
            <w:tcW w:w="5493" w:type="dxa"/>
            <w:tcBorders>
              <w:top w:val="single" w:color="000000" w:sz="4" w:space="0"/>
              <w:left w:val="single" w:color="000000" w:sz="4" w:space="0"/>
              <w:bottom w:val="single" w:color="000000" w:sz="4" w:space="0"/>
              <w:right w:val="single" w:color="000000" w:sz="4" w:space="0"/>
            </w:tcBorders>
            <w:vAlign w:val="center"/>
          </w:tcPr>
          <w:p w14:paraId="2DE324D6">
            <w:pPr>
              <w:widowControl/>
              <w:jc w:val="left"/>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规格：≤700*500*2000mm，304不锈钢折边压筋，内含沥水水池，手触碰处压边不割手，安全易打扫，大容量，以现场实际摆放为准</w:t>
            </w:r>
          </w:p>
        </w:tc>
        <w:tc>
          <w:tcPr>
            <w:tcW w:w="640" w:type="dxa"/>
            <w:tcBorders>
              <w:top w:val="single" w:color="000000" w:sz="4" w:space="0"/>
              <w:left w:val="single" w:color="000000" w:sz="4" w:space="0"/>
              <w:bottom w:val="single" w:color="000000" w:sz="4" w:space="0"/>
              <w:right w:val="single" w:color="000000" w:sz="4" w:space="0"/>
            </w:tcBorders>
            <w:noWrap/>
            <w:vAlign w:val="center"/>
          </w:tcPr>
          <w:p w14:paraId="7E08F5E9">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台</w:t>
            </w:r>
          </w:p>
        </w:tc>
        <w:tc>
          <w:tcPr>
            <w:tcW w:w="707" w:type="dxa"/>
            <w:tcBorders>
              <w:top w:val="single" w:color="000000" w:sz="4" w:space="0"/>
              <w:left w:val="single" w:color="000000" w:sz="4" w:space="0"/>
              <w:bottom w:val="single" w:color="000000" w:sz="4" w:space="0"/>
              <w:right w:val="single" w:color="000000" w:sz="4" w:space="0"/>
            </w:tcBorders>
            <w:noWrap/>
            <w:vAlign w:val="center"/>
          </w:tcPr>
          <w:p w14:paraId="38CEF97C">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1</w:t>
            </w:r>
          </w:p>
        </w:tc>
      </w:tr>
      <w:tr w14:paraId="3FF80126">
        <w:tblPrEx>
          <w:tblCellMar>
            <w:top w:w="0" w:type="dxa"/>
            <w:left w:w="108" w:type="dxa"/>
            <w:bottom w:w="0" w:type="dxa"/>
            <w:right w:w="108" w:type="dxa"/>
          </w:tblCellMar>
        </w:tblPrEx>
        <w:trPr>
          <w:trHeight w:val="580" w:hRule="atLeast"/>
        </w:trPr>
        <w:tc>
          <w:tcPr>
            <w:tcW w:w="693" w:type="dxa"/>
            <w:tcBorders>
              <w:top w:val="single" w:color="000000" w:sz="4" w:space="0"/>
              <w:left w:val="single" w:color="000000" w:sz="4" w:space="0"/>
              <w:bottom w:val="single" w:color="000000" w:sz="4" w:space="0"/>
              <w:right w:val="single" w:color="000000" w:sz="4" w:space="0"/>
            </w:tcBorders>
            <w:noWrap/>
            <w:vAlign w:val="center"/>
          </w:tcPr>
          <w:p w14:paraId="4E641739">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86</w:t>
            </w:r>
          </w:p>
        </w:tc>
        <w:tc>
          <w:tcPr>
            <w:tcW w:w="1371" w:type="dxa"/>
            <w:tcBorders>
              <w:top w:val="single" w:color="000000" w:sz="4" w:space="0"/>
              <w:left w:val="single" w:color="000000" w:sz="4" w:space="0"/>
              <w:bottom w:val="single" w:color="000000" w:sz="4" w:space="0"/>
              <w:right w:val="single" w:color="000000" w:sz="4" w:space="0"/>
            </w:tcBorders>
            <w:vAlign w:val="center"/>
          </w:tcPr>
          <w:p w14:paraId="70DBCDA1">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六门更衣柜</w:t>
            </w:r>
          </w:p>
        </w:tc>
        <w:tc>
          <w:tcPr>
            <w:tcW w:w="5493" w:type="dxa"/>
            <w:tcBorders>
              <w:top w:val="single" w:color="000000" w:sz="4" w:space="0"/>
              <w:left w:val="single" w:color="000000" w:sz="4" w:space="0"/>
              <w:bottom w:val="single" w:color="000000" w:sz="4" w:space="0"/>
              <w:right w:val="single" w:color="000000" w:sz="4" w:space="0"/>
            </w:tcBorders>
            <w:vAlign w:val="center"/>
          </w:tcPr>
          <w:p w14:paraId="3B6C9738">
            <w:pPr>
              <w:widowControl/>
              <w:jc w:val="left"/>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规格：≤1200*500*2000mm，304不锈钢材质，约1.0MM板材，多门单独锁控，便于员工操作，安全易打扫，以现场实际摆放为准</w:t>
            </w:r>
          </w:p>
        </w:tc>
        <w:tc>
          <w:tcPr>
            <w:tcW w:w="640" w:type="dxa"/>
            <w:tcBorders>
              <w:top w:val="single" w:color="000000" w:sz="4" w:space="0"/>
              <w:left w:val="single" w:color="000000" w:sz="4" w:space="0"/>
              <w:bottom w:val="single" w:color="000000" w:sz="4" w:space="0"/>
              <w:right w:val="single" w:color="000000" w:sz="4" w:space="0"/>
            </w:tcBorders>
            <w:noWrap/>
            <w:vAlign w:val="center"/>
          </w:tcPr>
          <w:p w14:paraId="4FF21164">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台</w:t>
            </w:r>
          </w:p>
        </w:tc>
        <w:tc>
          <w:tcPr>
            <w:tcW w:w="707" w:type="dxa"/>
            <w:tcBorders>
              <w:top w:val="single" w:color="000000" w:sz="4" w:space="0"/>
              <w:left w:val="single" w:color="000000" w:sz="4" w:space="0"/>
              <w:bottom w:val="single" w:color="000000" w:sz="4" w:space="0"/>
              <w:right w:val="single" w:color="000000" w:sz="4" w:space="0"/>
            </w:tcBorders>
            <w:noWrap/>
            <w:vAlign w:val="center"/>
          </w:tcPr>
          <w:p w14:paraId="1491FF33">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2</w:t>
            </w:r>
          </w:p>
        </w:tc>
      </w:tr>
      <w:tr w14:paraId="0725E803">
        <w:tblPrEx>
          <w:tblCellMar>
            <w:top w:w="0" w:type="dxa"/>
            <w:left w:w="108" w:type="dxa"/>
            <w:bottom w:w="0" w:type="dxa"/>
            <w:right w:w="108" w:type="dxa"/>
          </w:tblCellMar>
        </w:tblPrEx>
        <w:trPr>
          <w:trHeight w:val="580" w:hRule="atLeast"/>
        </w:trPr>
        <w:tc>
          <w:tcPr>
            <w:tcW w:w="693" w:type="dxa"/>
            <w:tcBorders>
              <w:top w:val="single" w:color="000000" w:sz="4" w:space="0"/>
              <w:left w:val="single" w:color="000000" w:sz="4" w:space="0"/>
              <w:bottom w:val="single" w:color="000000" w:sz="4" w:space="0"/>
              <w:right w:val="single" w:color="000000" w:sz="4" w:space="0"/>
            </w:tcBorders>
            <w:noWrap/>
            <w:vAlign w:val="center"/>
          </w:tcPr>
          <w:p w14:paraId="2850DC6F">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87</w:t>
            </w:r>
          </w:p>
        </w:tc>
        <w:tc>
          <w:tcPr>
            <w:tcW w:w="1371" w:type="dxa"/>
            <w:tcBorders>
              <w:top w:val="single" w:color="000000" w:sz="4" w:space="0"/>
              <w:left w:val="single" w:color="000000" w:sz="4" w:space="0"/>
              <w:bottom w:val="single" w:color="000000" w:sz="4" w:space="0"/>
              <w:right w:val="single" w:color="000000" w:sz="4" w:space="0"/>
            </w:tcBorders>
            <w:vAlign w:val="center"/>
          </w:tcPr>
          <w:p w14:paraId="412548B2">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四门储物柜</w:t>
            </w:r>
          </w:p>
        </w:tc>
        <w:tc>
          <w:tcPr>
            <w:tcW w:w="5493" w:type="dxa"/>
            <w:tcBorders>
              <w:top w:val="single" w:color="000000" w:sz="4" w:space="0"/>
              <w:left w:val="single" w:color="000000" w:sz="4" w:space="0"/>
              <w:bottom w:val="single" w:color="000000" w:sz="4" w:space="0"/>
              <w:right w:val="single" w:color="000000" w:sz="4" w:space="0"/>
            </w:tcBorders>
            <w:vAlign w:val="center"/>
          </w:tcPr>
          <w:p w14:paraId="4E629B3F">
            <w:pPr>
              <w:widowControl/>
              <w:jc w:val="left"/>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规格：≤1200*500*1800mm，采用优质304材质，柜身采用约1.2MM厚磨砂贴膜不锈钢板，上掀门增加储物空间，易存放，滑动灵活轻便，不易嵌入垃圾，配可调试地脚，以现场实际摆放为准</w:t>
            </w:r>
          </w:p>
        </w:tc>
        <w:tc>
          <w:tcPr>
            <w:tcW w:w="640" w:type="dxa"/>
            <w:tcBorders>
              <w:top w:val="single" w:color="000000" w:sz="4" w:space="0"/>
              <w:left w:val="single" w:color="000000" w:sz="4" w:space="0"/>
              <w:bottom w:val="single" w:color="000000" w:sz="4" w:space="0"/>
              <w:right w:val="single" w:color="000000" w:sz="4" w:space="0"/>
            </w:tcBorders>
            <w:noWrap/>
            <w:vAlign w:val="center"/>
          </w:tcPr>
          <w:p w14:paraId="37EA9DC6">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台</w:t>
            </w:r>
          </w:p>
        </w:tc>
        <w:tc>
          <w:tcPr>
            <w:tcW w:w="707" w:type="dxa"/>
            <w:tcBorders>
              <w:top w:val="single" w:color="000000" w:sz="4" w:space="0"/>
              <w:left w:val="single" w:color="000000" w:sz="4" w:space="0"/>
              <w:bottom w:val="single" w:color="000000" w:sz="4" w:space="0"/>
              <w:right w:val="single" w:color="000000" w:sz="4" w:space="0"/>
            </w:tcBorders>
            <w:noWrap/>
            <w:vAlign w:val="center"/>
          </w:tcPr>
          <w:p w14:paraId="3EB37F42">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1</w:t>
            </w:r>
          </w:p>
        </w:tc>
      </w:tr>
      <w:tr w14:paraId="258CDB7C">
        <w:tblPrEx>
          <w:tblCellMar>
            <w:top w:w="0" w:type="dxa"/>
            <w:left w:w="108" w:type="dxa"/>
            <w:bottom w:w="0" w:type="dxa"/>
            <w:right w:w="108" w:type="dxa"/>
          </w:tblCellMar>
        </w:tblPrEx>
        <w:trPr>
          <w:trHeight w:val="580" w:hRule="atLeast"/>
        </w:trPr>
        <w:tc>
          <w:tcPr>
            <w:tcW w:w="693" w:type="dxa"/>
            <w:tcBorders>
              <w:top w:val="single" w:color="000000" w:sz="4" w:space="0"/>
              <w:left w:val="single" w:color="000000" w:sz="4" w:space="0"/>
              <w:bottom w:val="single" w:color="000000" w:sz="4" w:space="0"/>
              <w:right w:val="single" w:color="000000" w:sz="4" w:space="0"/>
            </w:tcBorders>
            <w:noWrap/>
            <w:vAlign w:val="center"/>
          </w:tcPr>
          <w:p w14:paraId="5442772E">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88</w:t>
            </w:r>
          </w:p>
        </w:tc>
        <w:tc>
          <w:tcPr>
            <w:tcW w:w="1371" w:type="dxa"/>
            <w:tcBorders>
              <w:top w:val="single" w:color="000000" w:sz="4" w:space="0"/>
              <w:left w:val="single" w:color="000000" w:sz="4" w:space="0"/>
              <w:bottom w:val="single" w:color="000000" w:sz="4" w:space="0"/>
              <w:right w:val="single" w:color="000000" w:sz="4" w:space="0"/>
            </w:tcBorders>
            <w:vAlign w:val="center"/>
          </w:tcPr>
          <w:p w14:paraId="14E3137A">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多功能洗地水龙头</w:t>
            </w:r>
          </w:p>
        </w:tc>
        <w:tc>
          <w:tcPr>
            <w:tcW w:w="5493" w:type="dxa"/>
            <w:tcBorders>
              <w:top w:val="single" w:color="000000" w:sz="4" w:space="0"/>
              <w:left w:val="single" w:color="000000" w:sz="4" w:space="0"/>
              <w:bottom w:val="single" w:color="000000" w:sz="4" w:space="0"/>
              <w:right w:val="single" w:color="000000" w:sz="4" w:space="0"/>
            </w:tcBorders>
            <w:vAlign w:val="center"/>
          </w:tcPr>
          <w:p w14:paraId="666EFB25">
            <w:pPr>
              <w:widowControl/>
              <w:jc w:val="left"/>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规格：≤15米，自动伸缩高防腐，开放式洗地龙头，碳钢喷涂主体，铝制进水口，食品级树脂胶管，耐高温100度，金属枪头，可调节直线或花洒，以现场实际摆放为准</w:t>
            </w:r>
          </w:p>
        </w:tc>
        <w:tc>
          <w:tcPr>
            <w:tcW w:w="640" w:type="dxa"/>
            <w:tcBorders>
              <w:top w:val="single" w:color="000000" w:sz="4" w:space="0"/>
              <w:left w:val="single" w:color="000000" w:sz="4" w:space="0"/>
              <w:bottom w:val="single" w:color="000000" w:sz="4" w:space="0"/>
              <w:right w:val="single" w:color="000000" w:sz="4" w:space="0"/>
            </w:tcBorders>
            <w:noWrap/>
            <w:vAlign w:val="center"/>
          </w:tcPr>
          <w:p w14:paraId="4AA5B3C0">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套</w:t>
            </w:r>
          </w:p>
        </w:tc>
        <w:tc>
          <w:tcPr>
            <w:tcW w:w="707" w:type="dxa"/>
            <w:tcBorders>
              <w:top w:val="single" w:color="000000" w:sz="4" w:space="0"/>
              <w:left w:val="single" w:color="000000" w:sz="4" w:space="0"/>
              <w:bottom w:val="single" w:color="000000" w:sz="4" w:space="0"/>
              <w:right w:val="single" w:color="000000" w:sz="4" w:space="0"/>
            </w:tcBorders>
            <w:noWrap/>
            <w:vAlign w:val="center"/>
          </w:tcPr>
          <w:p w14:paraId="51EDA983">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1</w:t>
            </w:r>
          </w:p>
        </w:tc>
      </w:tr>
      <w:tr w14:paraId="2F479C94">
        <w:tblPrEx>
          <w:tblCellMar>
            <w:top w:w="0" w:type="dxa"/>
            <w:left w:w="108" w:type="dxa"/>
            <w:bottom w:w="0" w:type="dxa"/>
            <w:right w:w="108" w:type="dxa"/>
          </w:tblCellMar>
        </w:tblPrEx>
        <w:trPr>
          <w:trHeight w:val="580" w:hRule="atLeast"/>
        </w:trPr>
        <w:tc>
          <w:tcPr>
            <w:tcW w:w="693" w:type="dxa"/>
            <w:tcBorders>
              <w:top w:val="single" w:color="000000" w:sz="4" w:space="0"/>
              <w:left w:val="single" w:color="000000" w:sz="4" w:space="0"/>
              <w:bottom w:val="single" w:color="000000" w:sz="4" w:space="0"/>
              <w:right w:val="single" w:color="000000" w:sz="4" w:space="0"/>
            </w:tcBorders>
            <w:noWrap/>
            <w:vAlign w:val="center"/>
          </w:tcPr>
          <w:p w14:paraId="27CCF62C">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89</w:t>
            </w:r>
          </w:p>
        </w:tc>
        <w:tc>
          <w:tcPr>
            <w:tcW w:w="1371" w:type="dxa"/>
            <w:tcBorders>
              <w:top w:val="single" w:color="000000" w:sz="4" w:space="0"/>
              <w:left w:val="single" w:color="000000" w:sz="4" w:space="0"/>
              <w:bottom w:val="single" w:color="000000" w:sz="4" w:space="0"/>
              <w:right w:val="single" w:color="000000" w:sz="4" w:space="0"/>
            </w:tcBorders>
            <w:vAlign w:val="center"/>
          </w:tcPr>
          <w:p w14:paraId="7D0CAC74">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风幕机</w:t>
            </w:r>
          </w:p>
        </w:tc>
        <w:tc>
          <w:tcPr>
            <w:tcW w:w="5493" w:type="dxa"/>
            <w:tcBorders>
              <w:top w:val="single" w:color="000000" w:sz="4" w:space="0"/>
              <w:left w:val="single" w:color="000000" w:sz="4" w:space="0"/>
              <w:bottom w:val="single" w:color="000000" w:sz="4" w:space="0"/>
              <w:right w:val="single" w:color="000000" w:sz="4" w:space="0"/>
            </w:tcBorders>
            <w:vAlign w:val="center"/>
          </w:tcPr>
          <w:p w14:paraId="6A40E05D">
            <w:pPr>
              <w:widowControl/>
              <w:jc w:val="left"/>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功率200W-220V,采用贯流式，执行标准GB1706 1-2005</w:t>
            </w:r>
          </w:p>
        </w:tc>
        <w:tc>
          <w:tcPr>
            <w:tcW w:w="640" w:type="dxa"/>
            <w:tcBorders>
              <w:top w:val="single" w:color="000000" w:sz="4" w:space="0"/>
              <w:left w:val="single" w:color="000000" w:sz="4" w:space="0"/>
              <w:bottom w:val="single" w:color="000000" w:sz="4" w:space="0"/>
              <w:right w:val="single" w:color="000000" w:sz="4" w:space="0"/>
            </w:tcBorders>
            <w:noWrap/>
            <w:vAlign w:val="center"/>
          </w:tcPr>
          <w:p w14:paraId="55EC444C">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套</w:t>
            </w:r>
          </w:p>
        </w:tc>
        <w:tc>
          <w:tcPr>
            <w:tcW w:w="707" w:type="dxa"/>
            <w:tcBorders>
              <w:top w:val="single" w:color="000000" w:sz="4" w:space="0"/>
              <w:left w:val="single" w:color="000000" w:sz="4" w:space="0"/>
              <w:bottom w:val="single" w:color="000000" w:sz="4" w:space="0"/>
              <w:right w:val="single" w:color="000000" w:sz="4" w:space="0"/>
            </w:tcBorders>
            <w:noWrap/>
            <w:vAlign w:val="center"/>
          </w:tcPr>
          <w:p w14:paraId="640502C1">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2</w:t>
            </w:r>
          </w:p>
        </w:tc>
      </w:tr>
      <w:tr w14:paraId="748261F2">
        <w:tblPrEx>
          <w:tblCellMar>
            <w:top w:w="0" w:type="dxa"/>
            <w:left w:w="108" w:type="dxa"/>
            <w:bottom w:w="0" w:type="dxa"/>
            <w:right w:w="108" w:type="dxa"/>
          </w:tblCellMar>
        </w:tblPrEx>
        <w:trPr>
          <w:trHeight w:val="580" w:hRule="atLeast"/>
        </w:trPr>
        <w:tc>
          <w:tcPr>
            <w:tcW w:w="693" w:type="dxa"/>
            <w:tcBorders>
              <w:top w:val="single" w:color="000000" w:sz="4" w:space="0"/>
              <w:left w:val="single" w:color="000000" w:sz="4" w:space="0"/>
              <w:bottom w:val="single" w:color="000000" w:sz="4" w:space="0"/>
              <w:right w:val="single" w:color="000000" w:sz="4" w:space="0"/>
            </w:tcBorders>
            <w:vAlign w:val="center"/>
          </w:tcPr>
          <w:p w14:paraId="694E93E8">
            <w:pPr>
              <w:jc w:val="center"/>
              <w:rPr>
                <w:rFonts w:hint="eastAsia" w:ascii="宋体" w:hAnsi="宋体"/>
                <w:color w:val="auto"/>
                <w:sz w:val="22"/>
                <w:szCs w:val="22"/>
                <w:highlight w:val="none"/>
              </w:rPr>
            </w:pPr>
          </w:p>
        </w:tc>
        <w:tc>
          <w:tcPr>
            <w:tcW w:w="1371" w:type="dxa"/>
            <w:tcBorders>
              <w:top w:val="single" w:color="000000" w:sz="4" w:space="0"/>
              <w:left w:val="single" w:color="000000" w:sz="4" w:space="0"/>
              <w:bottom w:val="single" w:color="000000" w:sz="4" w:space="0"/>
              <w:right w:val="single" w:color="000000" w:sz="4" w:space="0"/>
            </w:tcBorders>
            <w:vAlign w:val="center"/>
          </w:tcPr>
          <w:p w14:paraId="068D29B0">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洗涤间</w:t>
            </w:r>
          </w:p>
        </w:tc>
        <w:tc>
          <w:tcPr>
            <w:tcW w:w="5493" w:type="dxa"/>
            <w:tcBorders>
              <w:top w:val="single" w:color="000000" w:sz="4" w:space="0"/>
              <w:left w:val="single" w:color="000000" w:sz="4" w:space="0"/>
              <w:bottom w:val="single" w:color="000000" w:sz="4" w:space="0"/>
              <w:right w:val="single" w:color="000000" w:sz="4" w:space="0"/>
            </w:tcBorders>
            <w:vAlign w:val="center"/>
          </w:tcPr>
          <w:p w14:paraId="708508D2">
            <w:pPr>
              <w:jc w:val="left"/>
              <w:rPr>
                <w:rFonts w:hint="eastAsia" w:ascii="宋体" w:hAnsi="宋体"/>
                <w:color w:val="auto"/>
                <w:sz w:val="22"/>
                <w:szCs w:val="22"/>
                <w:highlight w:val="none"/>
              </w:rPr>
            </w:pPr>
          </w:p>
        </w:tc>
        <w:tc>
          <w:tcPr>
            <w:tcW w:w="640" w:type="dxa"/>
            <w:tcBorders>
              <w:top w:val="single" w:color="000000" w:sz="4" w:space="0"/>
              <w:left w:val="single" w:color="000000" w:sz="4" w:space="0"/>
              <w:bottom w:val="single" w:color="000000" w:sz="4" w:space="0"/>
              <w:right w:val="single" w:color="000000" w:sz="4" w:space="0"/>
            </w:tcBorders>
            <w:vAlign w:val="center"/>
          </w:tcPr>
          <w:p w14:paraId="3AB04FDC">
            <w:pPr>
              <w:jc w:val="center"/>
              <w:rPr>
                <w:rFonts w:hint="eastAsia" w:ascii="宋体" w:hAnsi="宋体"/>
                <w:color w:val="auto"/>
                <w:sz w:val="22"/>
                <w:szCs w:val="22"/>
                <w:highlight w:val="none"/>
              </w:rPr>
            </w:pPr>
          </w:p>
        </w:tc>
        <w:tc>
          <w:tcPr>
            <w:tcW w:w="707" w:type="dxa"/>
            <w:tcBorders>
              <w:top w:val="single" w:color="000000" w:sz="4" w:space="0"/>
              <w:left w:val="single" w:color="000000" w:sz="4" w:space="0"/>
              <w:bottom w:val="single" w:color="000000" w:sz="4" w:space="0"/>
              <w:right w:val="single" w:color="000000" w:sz="4" w:space="0"/>
            </w:tcBorders>
            <w:noWrap/>
            <w:vAlign w:val="center"/>
          </w:tcPr>
          <w:p w14:paraId="18F4703C">
            <w:pPr>
              <w:jc w:val="center"/>
              <w:rPr>
                <w:rFonts w:hint="eastAsia" w:ascii="宋体" w:hAnsi="宋体"/>
                <w:color w:val="auto"/>
                <w:sz w:val="22"/>
                <w:szCs w:val="22"/>
                <w:highlight w:val="none"/>
              </w:rPr>
            </w:pPr>
          </w:p>
        </w:tc>
      </w:tr>
      <w:tr w14:paraId="699A196F">
        <w:tblPrEx>
          <w:tblCellMar>
            <w:top w:w="0" w:type="dxa"/>
            <w:left w:w="108" w:type="dxa"/>
            <w:bottom w:w="0" w:type="dxa"/>
            <w:right w:w="108" w:type="dxa"/>
          </w:tblCellMar>
        </w:tblPrEx>
        <w:trPr>
          <w:trHeight w:val="580" w:hRule="atLeast"/>
        </w:trPr>
        <w:tc>
          <w:tcPr>
            <w:tcW w:w="693" w:type="dxa"/>
            <w:tcBorders>
              <w:top w:val="single" w:color="000000" w:sz="4" w:space="0"/>
              <w:left w:val="single" w:color="000000" w:sz="4" w:space="0"/>
              <w:bottom w:val="single" w:color="000000" w:sz="4" w:space="0"/>
              <w:right w:val="single" w:color="000000" w:sz="4" w:space="0"/>
            </w:tcBorders>
            <w:noWrap/>
            <w:vAlign w:val="center"/>
          </w:tcPr>
          <w:p w14:paraId="48F46AF0">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90</w:t>
            </w:r>
          </w:p>
        </w:tc>
        <w:tc>
          <w:tcPr>
            <w:tcW w:w="1371" w:type="dxa"/>
            <w:tcBorders>
              <w:top w:val="single" w:color="000000" w:sz="4" w:space="0"/>
              <w:left w:val="single" w:color="000000" w:sz="4" w:space="0"/>
              <w:bottom w:val="single" w:color="000000" w:sz="4" w:space="0"/>
              <w:right w:val="single" w:color="000000" w:sz="4" w:space="0"/>
            </w:tcBorders>
            <w:vAlign w:val="center"/>
          </w:tcPr>
          <w:p w14:paraId="63B753EC">
            <w:pPr>
              <w:widowControl/>
              <w:jc w:val="center"/>
              <w:textAlignment w:val="center"/>
              <w:rPr>
                <w:rFonts w:hint="eastAsia" w:ascii="宋体" w:hAnsi="宋体"/>
                <w:color w:val="auto"/>
                <w:kern w:val="0"/>
                <w:sz w:val="22"/>
                <w:szCs w:val="22"/>
                <w:highlight w:val="none"/>
                <w:lang w:bidi="ar"/>
              </w:rPr>
            </w:pPr>
            <w:r>
              <w:rPr>
                <w:rFonts w:hint="eastAsia" w:ascii="宋体" w:hAnsi="宋体"/>
                <w:color w:val="auto"/>
                <w:kern w:val="0"/>
                <w:sz w:val="22"/>
                <w:szCs w:val="22"/>
                <w:highlight w:val="none"/>
                <w:lang w:bidi="ar"/>
              </w:rPr>
              <w:t>专用洗碗机</w:t>
            </w:r>
          </w:p>
          <w:p w14:paraId="0B1B83AB">
            <w:pPr>
              <w:widowControl/>
              <w:jc w:val="center"/>
              <w:textAlignment w:val="center"/>
              <w:rPr>
                <w:rFonts w:hint="eastAsia" w:ascii="宋体" w:hAnsi="宋体"/>
                <w:color w:val="auto"/>
                <w:kern w:val="0"/>
                <w:sz w:val="22"/>
                <w:szCs w:val="22"/>
                <w:highlight w:val="none"/>
                <w:lang w:bidi="ar"/>
              </w:rPr>
            </w:pPr>
            <w:r>
              <w:rPr>
                <w:rFonts w:hint="eastAsia" w:ascii="宋体" w:hAnsi="宋体"/>
                <w:b/>
                <w:bCs/>
                <w:color w:val="auto"/>
                <w:kern w:val="0"/>
                <w:sz w:val="22"/>
                <w:szCs w:val="22"/>
                <w:highlight w:val="none"/>
                <w:lang w:bidi="ar"/>
              </w:rPr>
              <w:t>（核心产品）</w:t>
            </w:r>
          </w:p>
        </w:tc>
        <w:tc>
          <w:tcPr>
            <w:tcW w:w="5493" w:type="dxa"/>
            <w:tcBorders>
              <w:top w:val="single" w:color="000000" w:sz="4" w:space="0"/>
              <w:left w:val="single" w:color="000000" w:sz="4" w:space="0"/>
              <w:bottom w:val="single" w:color="000000" w:sz="4" w:space="0"/>
              <w:right w:val="single" w:color="000000" w:sz="4" w:space="0"/>
            </w:tcBorders>
            <w:vAlign w:val="center"/>
          </w:tcPr>
          <w:p w14:paraId="3996DF0F">
            <w:pPr>
              <w:widowControl/>
              <w:jc w:val="left"/>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规格：≤5500*800*1450mm，采用上下逆向旋转强力对冲喷射系统，循环热水在高压下清洗餐具，保证在360度无死角清洗，确保洗涤效果和指标达到一致，漂洗通过强力水泵消毒效果更理想，餐具装框，直接放于机器内清洗，降低操作人员劳动强度，提高工作效率，电子按键控制面板，数字显示实时温度，洗涤时间任意调节，60S-90S-120S满足不同洗涤要求,整机采用304不锈钢材质，质量可靠性能稳定，带烘干功能，符合GB4706.50-2008-电器安全标准，洗涤后餐具达到GB14934-2016-食品安全-餐具消毒标准，以现场实际摆放为准</w:t>
            </w:r>
          </w:p>
        </w:tc>
        <w:tc>
          <w:tcPr>
            <w:tcW w:w="640" w:type="dxa"/>
            <w:tcBorders>
              <w:top w:val="single" w:color="000000" w:sz="4" w:space="0"/>
              <w:left w:val="single" w:color="000000" w:sz="4" w:space="0"/>
              <w:bottom w:val="single" w:color="000000" w:sz="4" w:space="0"/>
              <w:right w:val="single" w:color="000000" w:sz="4" w:space="0"/>
            </w:tcBorders>
            <w:noWrap/>
            <w:vAlign w:val="center"/>
          </w:tcPr>
          <w:p w14:paraId="6BF8152B">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套</w:t>
            </w:r>
          </w:p>
        </w:tc>
        <w:tc>
          <w:tcPr>
            <w:tcW w:w="707" w:type="dxa"/>
            <w:tcBorders>
              <w:top w:val="single" w:color="000000" w:sz="4" w:space="0"/>
              <w:left w:val="single" w:color="000000" w:sz="4" w:space="0"/>
              <w:bottom w:val="single" w:color="000000" w:sz="4" w:space="0"/>
              <w:right w:val="single" w:color="000000" w:sz="4" w:space="0"/>
            </w:tcBorders>
            <w:noWrap/>
            <w:vAlign w:val="center"/>
          </w:tcPr>
          <w:p w14:paraId="275100D8">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1</w:t>
            </w:r>
          </w:p>
        </w:tc>
      </w:tr>
      <w:tr w14:paraId="69487852">
        <w:tblPrEx>
          <w:tblCellMar>
            <w:top w:w="0" w:type="dxa"/>
            <w:left w:w="108" w:type="dxa"/>
            <w:bottom w:w="0" w:type="dxa"/>
            <w:right w:w="108" w:type="dxa"/>
          </w:tblCellMar>
        </w:tblPrEx>
        <w:trPr>
          <w:trHeight w:val="580" w:hRule="atLeast"/>
        </w:trPr>
        <w:tc>
          <w:tcPr>
            <w:tcW w:w="693" w:type="dxa"/>
            <w:tcBorders>
              <w:top w:val="single" w:color="000000" w:sz="4" w:space="0"/>
              <w:left w:val="single" w:color="000000" w:sz="4" w:space="0"/>
              <w:bottom w:val="single" w:color="000000" w:sz="4" w:space="0"/>
              <w:right w:val="single" w:color="000000" w:sz="4" w:space="0"/>
            </w:tcBorders>
            <w:vAlign w:val="center"/>
          </w:tcPr>
          <w:p w14:paraId="57CEB5A7">
            <w:pPr>
              <w:jc w:val="center"/>
              <w:rPr>
                <w:rFonts w:hint="eastAsia" w:ascii="宋体" w:hAnsi="宋体"/>
                <w:color w:val="auto"/>
                <w:sz w:val="22"/>
                <w:szCs w:val="22"/>
                <w:highlight w:val="none"/>
              </w:rPr>
            </w:pPr>
          </w:p>
        </w:tc>
        <w:tc>
          <w:tcPr>
            <w:tcW w:w="1371" w:type="dxa"/>
            <w:tcBorders>
              <w:top w:val="single" w:color="000000" w:sz="4" w:space="0"/>
              <w:left w:val="single" w:color="000000" w:sz="4" w:space="0"/>
              <w:bottom w:val="single" w:color="000000" w:sz="4" w:space="0"/>
              <w:right w:val="single" w:color="000000" w:sz="4" w:space="0"/>
            </w:tcBorders>
            <w:vAlign w:val="center"/>
          </w:tcPr>
          <w:p w14:paraId="301BAAF3">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售饭区</w:t>
            </w:r>
          </w:p>
        </w:tc>
        <w:tc>
          <w:tcPr>
            <w:tcW w:w="5493" w:type="dxa"/>
            <w:tcBorders>
              <w:top w:val="single" w:color="000000" w:sz="4" w:space="0"/>
              <w:left w:val="single" w:color="000000" w:sz="4" w:space="0"/>
              <w:bottom w:val="single" w:color="000000" w:sz="4" w:space="0"/>
              <w:right w:val="single" w:color="000000" w:sz="4" w:space="0"/>
            </w:tcBorders>
            <w:vAlign w:val="center"/>
          </w:tcPr>
          <w:p w14:paraId="3079F99B">
            <w:pPr>
              <w:jc w:val="left"/>
              <w:rPr>
                <w:rFonts w:hint="eastAsia" w:ascii="宋体" w:hAnsi="宋体"/>
                <w:color w:val="auto"/>
                <w:sz w:val="22"/>
                <w:szCs w:val="22"/>
                <w:highlight w:val="none"/>
              </w:rPr>
            </w:pPr>
          </w:p>
        </w:tc>
        <w:tc>
          <w:tcPr>
            <w:tcW w:w="640" w:type="dxa"/>
            <w:tcBorders>
              <w:top w:val="single" w:color="000000" w:sz="4" w:space="0"/>
              <w:left w:val="single" w:color="000000" w:sz="4" w:space="0"/>
              <w:bottom w:val="single" w:color="000000" w:sz="4" w:space="0"/>
              <w:right w:val="single" w:color="000000" w:sz="4" w:space="0"/>
            </w:tcBorders>
            <w:vAlign w:val="center"/>
          </w:tcPr>
          <w:p w14:paraId="5269742B">
            <w:pPr>
              <w:jc w:val="center"/>
              <w:rPr>
                <w:rFonts w:hint="eastAsia" w:ascii="宋体" w:hAnsi="宋体"/>
                <w:color w:val="auto"/>
                <w:sz w:val="22"/>
                <w:szCs w:val="22"/>
                <w:highlight w:val="none"/>
              </w:rPr>
            </w:pPr>
          </w:p>
        </w:tc>
        <w:tc>
          <w:tcPr>
            <w:tcW w:w="707" w:type="dxa"/>
            <w:tcBorders>
              <w:top w:val="single" w:color="000000" w:sz="4" w:space="0"/>
              <w:left w:val="single" w:color="000000" w:sz="4" w:space="0"/>
              <w:bottom w:val="single" w:color="000000" w:sz="4" w:space="0"/>
              <w:right w:val="single" w:color="000000" w:sz="4" w:space="0"/>
            </w:tcBorders>
            <w:noWrap/>
            <w:vAlign w:val="center"/>
          </w:tcPr>
          <w:p w14:paraId="329A6CB0">
            <w:pPr>
              <w:jc w:val="center"/>
              <w:rPr>
                <w:rFonts w:hint="eastAsia" w:ascii="宋体" w:hAnsi="宋体"/>
                <w:color w:val="auto"/>
                <w:sz w:val="22"/>
                <w:szCs w:val="22"/>
                <w:highlight w:val="none"/>
              </w:rPr>
            </w:pPr>
          </w:p>
        </w:tc>
      </w:tr>
      <w:tr w14:paraId="70BCBDEE">
        <w:tblPrEx>
          <w:tblCellMar>
            <w:top w:w="0" w:type="dxa"/>
            <w:left w:w="108" w:type="dxa"/>
            <w:bottom w:w="0" w:type="dxa"/>
            <w:right w:w="108" w:type="dxa"/>
          </w:tblCellMar>
        </w:tblPrEx>
        <w:trPr>
          <w:trHeight w:val="580" w:hRule="atLeast"/>
        </w:trPr>
        <w:tc>
          <w:tcPr>
            <w:tcW w:w="693" w:type="dxa"/>
            <w:tcBorders>
              <w:top w:val="single" w:color="000000" w:sz="4" w:space="0"/>
              <w:left w:val="single" w:color="000000" w:sz="4" w:space="0"/>
              <w:bottom w:val="single" w:color="000000" w:sz="4" w:space="0"/>
              <w:right w:val="single" w:color="000000" w:sz="4" w:space="0"/>
            </w:tcBorders>
            <w:noWrap/>
            <w:vAlign w:val="center"/>
          </w:tcPr>
          <w:p w14:paraId="1C3CE092">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91</w:t>
            </w:r>
          </w:p>
        </w:tc>
        <w:tc>
          <w:tcPr>
            <w:tcW w:w="1371" w:type="dxa"/>
            <w:tcBorders>
              <w:top w:val="single" w:color="000000" w:sz="4" w:space="0"/>
              <w:left w:val="single" w:color="000000" w:sz="4" w:space="0"/>
              <w:bottom w:val="single" w:color="000000" w:sz="4" w:space="0"/>
              <w:right w:val="single" w:color="000000" w:sz="4" w:space="0"/>
            </w:tcBorders>
            <w:vAlign w:val="center"/>
          </w:tcPr>
          <w:p w14:paraId="66800167">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自动热水器</w:t>
            </w:r>
          </w:p>
        </w:tc>
        <w:tc>
          <w:tcPr>
            <w:tcW w:w="5493" w:type="dxa"/>
            <w:tcBorders>
              <w:top w:val="single" w:color="000000" w:sz="4" w:space="0"/>
              <w:left w:val="single" w:color="000000" w:sz="4" w:space="0"/>
              <w:bottom w:val="single" w:color="000000" w:sz="4" w:space="0"/>
              <w:right w:val="single" w:color="000000" w:sz="4" w:space="0"/>
            </w:tcBorders>
            <w:vAlign w:val="center"/>
          </w:tcPr>
          <w:p w14:paraId="57C2A761">
            <w:pPr>
              <w:widowControl/>
              <w:jc w:val="left"/>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规格：≤656*480*1350mm，功率380-12KW,304食品级加厚内胆，一次成型，全铜全发泡大容量，供人员使用，以现场实际摆放为准</w:t>
            </w:r>
          </w:p>
        </w:tc>
        <w:tc>
          <w:tcPr>
            <w:tcW w:w="640" w:type="dxa"/>
            <w:tcBorders>
              <w:top w:val="single" w:color="000000" w:sz="4" w:space="0"/>
              <w:left w:val="single" w:color="000000" w:sz="4" w:space="0"/>
              <w:bottom w:val="single" w:color="000000" w:sz="4" w:space="0"/>
              <w:right w:val="single" w:color="000000" w:sz="4" w:space="0"/>
            </w:tcBorders>
            <w:noWrap/>
            <w:vAlign w:val="center"/>
          </w:tcPr>
          <w:p w14:paraId="619C21B5">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台</w:t>
            </w:r>
          </w:p>
        </w:tc>
        <w:tc>
          <w:tcPr>
            <w:tcW w:w="707" w:type="dxa"/>
            <w:tcBorders>
              <w:top w:val="single" w:color="000000" w:sz="4" w:space="0"/>
              <w:left w:val="single" w:color="000000" w:sz="4" w:space="0"/>
              <w:bottom w:val="single" w:color="000000" w:sz="4" w:space="0"/>
              <w:right w:val="single" w:color="000000" w:sz="4" w:space="0"/>
            </w:tcBorders>
            <w:noWrap/>
            <w:vAlign w:val="center"/>
          </w:tcPr>
          <w:p w14:paraId="3DC6050E">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1</w:t>
            </w:r>
          </w:p>
        </w:tc>
      </w:tr>
      <w:tr w14:paraId="4A595CC5">
        <w:tblPrEx>
          <w:tblCellMar>
            <w:top w:w="0" w:type="dxa"/>
            <w:left w:w="108" w:type="dxa"/>
            <w:bottom w:w="0" w:type="dxa"/>
            <w:right w:w="108" w:type="dxa"/>
          </w:tblCellMar>
        </w:tblPrEx>
        <w:trPr>
          <w:trHeight w:val="580" w:hRule="atLeast"/>
        </w:trPr>
        <w:tc>
          <w:tcPr>
            <w:tcW w:w="693" w:type="dxa"/>
            <w:tcBorders>
              <w:top w:val="single" w:color="000000" w:sz="4" w:space="0"/>
              <w:left w:val="single" w:color="000000" w:sz="4" w:space="0"/>
              <w:bottom w:val="single" w:color="000000" w:sz="4" w:space="0"/>
              <w:right w:val="single" w:color="000000" w:sz="4" w:space="0"/>
            </w:tcBorders>
            <w:noWrap/>
            <w:vAlign w:val="center"/>
          </w:tcPr>
          <w:p w14:paraId="13CF371E">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92</w:t>
            </w:r>
          </w:p>
        </w:tc>
        <w:tc>
          <w:tcPr>
            <w:tcW w:w="1371" w:type="dxa"/>
            <w:tcBorders>
              <w:top w:val="single" w:color="000000" w:sz="4" w:space="0"/>
              <w:left w:val="single" w:color="000000" w:sz="4" w:space="0"/>
              <w:bottom w:val="single" w:color="000000" w:sz="4" w:space="0"/>
              <w:right w:val="single" w:color="000000" w:sz="4" w:space="0"/>
            </w:tcBorders>
            <w:vAlign w:val="center"/>
          </w:tcPr>
          <w:p w14:paraId="0F8243DB">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紫外线筷子消毒车</w:t>
            </w:r>
          </w:p>
        </w:tc>
        <w:tc>
          <w:tcPr>
            <w:tcW w:w="5493" w:type="dxa"/>
            <w:tcBorders>
              <w:top w:val="single" w:color="000000" w:sz="4" w:space="0"/>
              <w:left w:val="single" w:color="000000" w:sz="4" w:space="0"/>
              <w:bottom w:val="single" w:color="000000" w:sz="4" w:space="0"/>
              <w:right w:val="single" w:color="000000" w:sz="4" w:space="0"/>
            </w:tcBorders>
            <w:vAlign w:val="center"/>
          </w:tcPr>
          <w:p w14:paraId="1371E6C1">
            <w:pPr>
              <w:widowControl/>
              <w:jc w:val="left"/>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规格：≤750*450*800mm，304不锈钢材质，约1.2MM板材，压筋折边焊接，紫外线消毒，脚轮配置，可移动，以现场实际摆放为准</w:t>
            </w:r>
          </w:p>
        </w:tc>
        <w:tc>
          <w:tcPr>
            <w:tcW w:w="640" w:type="dxa"/>
            <w:tcBorders>
              <w:top w:val="single" w:color="000000" w:sz="4" w:space="0"/>
              <w:left w:val="single" w:color="000000" w:sz="4" w:space="0"/>
              <w:bottom w:val="single" w:color="000000" w:sz="4" w:space="0"/>
              <w:right w:val="single" w:color="000000" w:sz="4" w:space="0"/>
            </w:tcBorders>
            <w:noWrap/>
            <w:vAlign w:val="center"/>
          </w:tcPr>
          <w:p w14:paraId="13AE2473">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台</w:t>
            </w:r>
          </w:p>
        </w:tc>
        <w:tc>
          <w:tcPr>
            <w:tcW w:w="707" w:type="dxa"/>
            <w:tcBorders>
              <w:top w:val="single" w:color="000000" w:sz="4" w:space="0"/>
              <w:left w:val="single" w:color="000000" w:sz="4" w:space="0"/>
              <w:bottom w:val="single" w:color="000000" w:sz="4" w:space="0"/>
              <w:right w:val="single" w:color="000000" w:sz="4" w:space="0"/>
            </w:tcBorders>
            <w:noWrap/>
            <w:vAlign w:val="center"/>
          </w:tcPr>
          <w:p w14:paraId="1AB91B4F">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1</w:t>
            </w:r>
          </w:p>
        </w:tc>
      </w:tr>
      <w:tr w14:paraId="4B465534">
        <w:tblPrEx>
          <w:tblCellMar>
            <w:top w:w="0" w:type="dxa"/>
            <w:left w:w="108" w:type="dxa"/>
            <w:bottom w:w="0" w:type="dxa"/>
            <w:right w:w="108" w:type="dxa"/>
          </w:tblCellMar>
        </w:tblPrEx>
        <w:trPr>
          <w:trHeight w:val="580" w:hRule="atLeast"/>
        </w:trPr>
        <w:tc>
          <w:tcPr>
            <w:tcW w:w="693" w:type="dxa"/>
            <w:tcBorders>
              <w:top w:val="single" w:color="000000" w:sz="4" w:space="0"/>
              <w:left w:val="single" w:color="000000" w:sz="4" w:space="0"/>
              <w:bottom w:val="single" w:color="000000" w:sz="4" w:space="0"/>
              <w:right w:val="single" w:color="000000" w:sz="4" w:space="0"/>
            </w:tcBorders>
            <w:noWrap/>
            <w:vAlign w:val="center"/>
          </w:tcPr>
          <w:p w14:paraId="6148DECF">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93</w:t>
            </w:r>
          </w:p>
        </w:tc>
        <w:tc>
          <w:tcPr>
            <w:tcW w:w="1371" w:type="dxa"/>
            <w:tcBorders>
              <w:top w:val="single" w:color="000000" w:sz="4" w:space="0"/>
              <w:left w:val="single" w:color="000000" w:sz="4" w:space="0"/>
              <w:bottom w:val="single" w:color="000000" w:sz="4" w:space="0"/>
              <w:right w:val="single" w:color="000000" w:sz="4" w:space="0"/>
            </w:tcBorders>
            <w:vAlign w:val="center"/>
          </w:tcPr>
          <w:p w14:paraId="4398A4F5">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双层工作台</w:t>
            </w:r>
          </w:p>
        </w:tc>
        <w:tc>
          <w:tcPr>
            <w:tcW w:w="5493" w:type="dxa"/>
            <w:tcBorders>
              <w:top w:val="single" w:color="000000" w:sz="4" w:space="0"/>
              <w:left w:val="single" w:color="000000" w:sz="4" w:space="0"/>
              <w:bottom w:val="single" w:color="000000" w:sz="4" w:space="0"/>
              <w:right w:val="single" w:color="000000" w:sz="4" w:space="0"/>
            </w:tcBorders>
            <w:vAlign w:val="center"/>
          </w:tcPr>
          <w:p w14:paraId="51FD2B36">
            <w:pPr>
              <w:widowControl/>
              <w:jc w:val="left"/>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规格：≤1500*800*800mm，不锈钢304材质，约1.2MM面板，下层约1.2MM，U型马崽焊接48MM圆管，配不锈钢可调节地脚，以现场实际摆放为准</w:t>
            </w:r>
          </w:p>
        </w:tc>
        <w:tc>
          <w:tcPr>
            <w:tcW w:w="640" w:type="dxa"/>
            <w:tcBorders>
              <w:top w:val="single" w:color="000000" w:sz="4" w:space="0"/>
              <w:left w:val="single" w:color="000000" w:sz="4" w:space="0"/>
              <w:bottom w:val="single" w:color="000000" w:sz="4" w:space="0"/>
              <w:right w:val="single" w:color="000000" w:sz="4" w:space="0"/>
            </w:tcBorders>
            <w:noWrap/>
            <w:vAlign w:val="center"/>
          </w:tcPr>
          <w:p w14:paraId="786F9925">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台</w:t>
            </w:r>
          </w:p>
        </w:tc>
        <w:tc>
          <w:tcPr>
            <w:tcW w:w="707" w:type="dxa"/>
            <w:tcBorders>
              <w:top w:val="single" w:color="000000" w:sz="4" w:space="0"/>
              <w:left w:val="single" w:color="000000" w:sz="4" w:space="0"/>
              <w:bottom w:val="single" w:color="000000" w:sz="4" w:space="0"/>
              <w:right w:val="single" w:color="000000" w:sz="4" w:space="0"/>
            </w:tcBorders>
            <w:noWrap/>
            <w:vAlign w:val="center"/>
          </w:tcPr>
          <w:p w14:paraId="6C531B2C">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4</w:t>
            </w:r>
          </w:p>
        </w:tc>
      </w:tr>
      <w:tr w14:paraId="68B58387">
        <w:tblPrEx>
          <w:tblCellMar>
            <w:top w:w="0" w:type="dxa"/>
            <w:left w:w="108" w:type="dxa"/>
            <w:bottom w:w="0" w:type="dxa"/>
            <w:right w:w="108" w:type="dxa"/>
          </w:tblCellMar>
        </w:tblPrEx>
        <w:trPr>
          <w:trHeight w:val="580" w:hRule="atLeast"/>
        </w:trPr>
        <w:tc>
          <w:tcPr>
            <w:tcW w:w="693" w:type="dxa"/>
            <w:tcBorders>
              <w:top w:val="single" w:color="000000" w:sz="4" w:space="0"/>
              <w:left w:val="single" w:color="000000" w:sz="4" w:space="0"/>
              <w:bottom w:val="single" w:color="000000" w:sz="4" w:space="0"/>
              <w:right w:val="single" w:color="000000" w:sz="4" w:space="0"/>
            </w:tcBorders>
            <w:noWrap/>
            <w:vAlign w:val="center"/>
          </w:tcPr>
          <w:p w14:paraId="643F8D38">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94</w:t>
            </w:r>
          </w:p>
        </w:tc>
        <w:tc>
          <w:tcPr>
            <w:tcW w:w="1371" w:type="dxa"/>
            <w:tcBorders>
              <w:top w:val="single" w:color="000000" w:sz="4" w:space="0"/>
              <w:left w:val="single" w:color="000000" w:sz="4" w:space="0"/>
              <w:bottom w:val="single" w:color="000000" w:sz="4" w:space="0"/>
              <w:right w:val="single" w:color="000000" w:sz="4" w:space="0"/>
            </w:tcBorders>
            <w:vAlign w:val="center"/>
          </w:tcPr>
          <w:p w14:paraId="75199BAC">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四门高身储物柜</w:t>
            </w:r>
          </w:p>
        </w:tc>
        <w:tc>
          <w:tcPr>
            <w:tcW w:w="5493" w:type="dxa"/>
            <w:tcBorders>
              <w:top w:val="single" w:color="000000" w:sz="4" w:space="0"/>
              <w:left w:val="single" w:color="000000" w:sz="4" w:space="0"/>
              <w:bottom w:val="single" w:color="000000" w:sz="4" w:space="0"/>
              <w:right w:val="single" w:color="000000" w:sz="4" w:space="0"/>
            </w:tcBorders>
            <w:vAlign w:val="center"/>
          </w:tcPr>
          <w:p w14:paraId="7275F8C3">
            <w:pPr>
              <w:widowControl/>
              <w:jc w:val="left"/>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规格：≤1200*500*1800mm，采用优质304材质，柜身采用约1.2MM厚磨砂贴膜不锈钢板，上掀门增加储物空间，易存放，滑动灵活轻便，不易嵌入垃圾，配可调试地脚，以现场实际摆放为准</w:t>
            </w:r>
          </w:p>
        </w:tc>
        <w:tc>
          <w:tcPr>
            <w:tcW w:w="640" w:type="dxa"/>
            <w:tcBorders>
              <w:top w:val="single" w:color="000000" w:sz="4" w:space="0"/>
              <w:left w:val="single" w:color="000000" w:sz="4" w:space="0"/>
              <w:bottom w:val="single" w:color="000000" w:sz="4" w:space="0"/>
              <w:right w:val="single" w:color="000000" w:sz="4" w:space="0"/>
            </w:tcBorders>
            <w:noWrap/>
            <w:vAlign w:val="center"/>
          </w:tcPr>
          <w:p w14:paraId="32D5449B">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台</w:t>
            </w:r>
          </w:p>
        </w:tc>
        <w:tc>
          <w:tcPr>
            <w:tcW w:w="707" w:type="dxa"/>
            <w:tcBorders>
              <w:top w:val="single" w:color="000000" w:sz="4" w:space="0"/>
              <w:left w:val="single" w:color="000000" w:sz="4" w:space="0"/>
              <w:bottom w:val="single" w:color="000000" w:sz="4" w:space="0"/>
              <w:right w:val="single" w:color="000000" w:sz="4" w:space="0"/>
            </w:tcBorders>
            <w:noWrap/>
            <w:vAlign w:val="center"/>
          </w:tcPr>
          <w:p w14:paraId="3AB5BA36">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4</w:t>
            </w:r>
          </w:p>
        </w:tc>
      </w:tr>
      <w:tr w14:paraId="6339AED3">
        <w:tblPrEx>
          <w:tblCellMar>
            <w:top w:w="0" w:type="dxa"/>
            <w:left w:w="108" w:type="dxa"/>
            <w:bottom w:w="0" w:type="dxa"/>
            <w:right w:w="108" w:type="dxa"/>
          </w:tblCellMar>
        </w:tblPrEx>
        <w:trPr>
          <w:trHeight w:val="580" w:hRule="atLeast"/>
        </w:trPr>
        <w:tc>
          <w:tcPr>
            <w:tcW w:w="693" w:type="dxa"/>
            <w:tcBorders>
              <w:top w:val="single" w:color="000000" w:sz="4" w:space="0"/>
              <w:left w:val="single" w:color="000000" w:sz="4" w:space="0"/>
              <w:bottom w:val="single" w:color="000000" w:sz="4" w:space="0"/>
              <w:right w:val="single" w:color="000000" w:sz="4" w:space="0"/>
            </w:tcBorders>
            <w:noWrap/>
            <w:vAlign w:val="center"/>
          </w:tcPr>
          <w:p w14:paraId="1683D10D">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95</w:t>
            </w:r>
          </w:p>
        </w:tc>
        <w:tc>
          <w:tcPr>
            <w:tcW w:w="1371" w:type="dxa"/>
            <w:tcBorders>
              <w:top w:val="single" w:color="000000" w:sz="4" w:space="0"/>
              <w:left w:val="single" w:color="000000" w:sz="4" w:space="0"/>
              <w:bottom w:val="single" w:color="000000" w:sz="4" w:space="0"/>
              <w:right w:val="single" w:color="000000" w:sz="4" w:space="0"/>
            </w:tcBorders>
            <w:vAlign w:val="center"/>
          </w:tcPr>
          <w:p w14:paraId="59F78EA0">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热风循环消毒柜</w:t>
            </w:r>
          </w:p>
        </w:tc>
        <w:tc>
          <w:tcPr>
            <w:tcW w:w="5493" w:type="dxa"/>
            <w:tcBorders>
              <w:top w:val="single" w:color="000000" w:sz="4" w:space="0"/>
              <w:left w:val="single" w:color="000000" w:sz="4" w:space="0"/>
              <w:bottom w:val="single" w:color="000000" w:sz="4" w:space="0"/>
              <w:right w:val="single" w:color="000000" w:sz="4" w:space="0"/>
            </w:tcBorders>
            <w:vAlign w:val="center"/>
          </w:tcPr>
          <w:p w14:paraId="09278517">
            <w:pPr>
              <w:widowControl/>
              <w:jc w:val="left"/>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规格：≤1200*710*1930mm，功率4KW-220V ，全发泡不锈钢加厚沉降筐，温度125度，满足餐具消杀功能，配可视玻璃，便于观察内部消杀情况，以现场实际摆放为准</w:t>
            </w:r>
          </w:p>
        </w:tc>
        <w:tc>
          <w:tcPr>
            <w:tcW w:w="640" w:type="dxa"/>
            <w:tcBorders>
              <w:top w:val="single" w:color="000000" w:sz="4" w:space="0"/>
              <w:left w:val="single" w:color="000000" w:sz="4" w:space="0"/>
              <w:bottom w:val="single" w:color="000000" w:sz="4" w:space="0"/>
              <w:right w:val="single" w:color="000000" w:sz="4" w:space="0"/>
            </w:tcBorders>
            <w:noWrap/>
            <w:vAlign w:val="center"/>
          </w:tcPr>
          <w:p w14:paraId="4C298B96">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台</w:t>
            </w:r>
          </w:p>
        </w:tc>
        <w:tc>
          <w:tcPr>
            <w:tcW w:w="707" w:type="dxa"/>
            <w:tcBorders>
              <w:top w:val="single" w:color="000000" w:sz="4" w:space="0"/>
              <w:left w:val="single" w:color="000000" w:sz="4" w:space="0"/>
              <w:bottom w:val="single" w:color="000000" w:sz="4" w:space="0"/>
              <w:right w:val="single" w:color="000000" w:sz="4" w:space="0"/>
            </w:tcBorders>
            <w:noWrap/>
            <w:vAlign w:val="center"/>
          </w:tcPr>
          <w:p w14:paraId="70DCD73A">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3</w:t>
            </w:r>
          </w:p>
        </w:tc>
      </w:tr>
      <w:tr w14:paraId="58C06444">
        <w:tblPrEx>
          <w:tblCellMar>
            <w:top w:w="0" w:type="dxa"/>
            <w:left w:w="108" w:type="dxa"/>
            <w:bottom w:w="0" w:type="dxa"/>
            <w:right w:w="108" w:type="dxa"/>
          </w:tblCellMar>
        </w:tblPrEx>
        <w:trPr>
          <w:trHeight w:val="580" w:hRule="atLeast"/>
        </w:trPr>
        <w:tc>
          <w:tcPr>
            <w:tcW w:w="693" w:type="dxa"/>
            <w:tcBorders>
              <w:top w:val="single" w:color="000000" w:sz="4" w:space="0"/>
              <w:left w:val="single" w:color="000000" w:sz="4" w:space="0"/>
              <w:bottom w:val="single" w:color="000000" w:sz="4" w:space="0"/>
              <w:right w:val="single" w:color="000000" w:sz="4" w:space="0"/>
            </w:tcBorders>
            <w:noWrap/>
            <w:vAlign w:val="center"/>
          </w:tcPr>
          <w:p w14:paraId="36F4BE14">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96</w:t>
            </w:r>
          </w:p>
        </w:tc>
        <w:tc>
          <w:tcPr>
            <w:tcW w:w="1371" w:type="dxa"/>
            <w:tcBorders>
              <w:top w:val="single" w:color="000000" w:sz="4" w:space="0"/>
              <w:left w:val="single" w:color="000000" w:sz="4" w:space="0"/>
              <w:bottom w:val="single" w:color="000000" w:sz="4" w:space="0"/>
              <w:right w:val="single" w:color="000000" w:sz="4" w:space="0"/>
            </w:tcBorders>
            <w:vAlign w:val="center"/>
          </w:tcPr>
          <w:p w14:paraId="662CCE8B">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单通工作台</w:t>
            </w:r>
          </w:p>
        </w:tc>
        <w:tc>
          <w:tcPr>
            <w:tcW w:w="5493" w:type="dxa"/>
            <w:tcBorders>
              <w:top w:val="single" w:color="000000" w:sz="4" w:space="0"/>
              <w:left w:val="single" w:color="000000" w:sz="4" w:space="0"/>
              <w:bottom w:val="single" w:color="000000" w:sz="4" w:space="0"/>
              <w:right w:val="single" w:color="000000" w:sz="4" w:space="0"/>
            </w:tcBorders>
            <w:vAlign w:val="center"/>
          </w:tcPr>
          <w:p w14:paraId="5FFC9D0F">
            <w:pPr>
              <w:widowControl/>
              <w:jc w:val="left"/>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规格：1800*700*800mm，采用304不锈钢板材，面板约1.2MM，下沉约18MM防水高密度板及不锈钢U型加强筋，中间夹层1.2MM不锈钢板，附加强筋，单边推拉门，配不锈钢调节地脚，以现场实际摆放为准</w:t>
            </w:r>
          </w:p>
        </w:tc>
        <w:tc>
          <w:tcPr>
            <w:tcW w:w="640" w:type="dxa"/>
            <w:tcBorders>
              <w:top w:val="single" w:color="000000" w:sz="4" w:space="0"/>
              <w:left w:val="single" w:color="000000" w:sz="4" w:space="0"/>
              <w:bottom w:val="single" w:color="000000" w:sz="4" w:space="0"/>
              <w:right w:val="single" w:color="000000" w:sz="4" w:space="0"/>
            </w:tcBorders>
            <w:noWrap/>
            <w:vAlign w:val="center"/>
          </w:tcPr>
          <w:p w14:paraId="79223E3C">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台</w:t>
            </w:r>
          </w:p>
        </w:tc>
        <w:tc>
          <w:tcPr>
            <w:tcW w:w="707" w:type="dxa"/>
            <w:tcBorders>
              <w:top w:val="single" w:color="000000" w:sz="4" w:space="0"/>
              <w:left w:val="single" w:color="000000" w:sz="4" w:space="0"/>
              <w:bottom w:val="single" w:color="000000" w:sz="4" w:space="0"/>
              <w:right w:val="single" w:color="000000" w:sz="4" w:space="0"/>
            </w:tcBorders>
            <w:noWrap/>
            <w:vAlign w:val="center"/>
          </w:tcPr>
          <w:p w14:paraId="31BA7251">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4</w:t>
            </w:r>
          </w:p>
        </w:tc>
      </w:tr>
      <w:tr w14:paraId="459A57B5">
        <w:tblPrEx>
          <w:tblCellMar>
            <w:top w:w="0" w:type="dxa"/>
            <w:left w:w="108" w:type="dxa"/>
            <w:bottom w:w="0" w:type="dxa"/>
            <w:right w:w="108" w:type="dxa"/>
          </w:tblCellMar>
        </w:tblPrEx>
        <w:trPr>
          <w:trHeight w:val="580" w:hRule="atLeast"/>
        </w:trPr>
        <w:tc>
          <w:tcPr>
            <w:tcW w:w="693" w:type="dxa"/>
            <w:tcBorders>
              <w:top w:val="single" w:color="000000" w:sz="4" w:space="0"/>
              <w:left w:val="single" w:color="000000" w:sz="4" w:space="0"/>
              <w:bottom w:val="single" w:color="000000" w:sz="4" w:space="0"/>
              <w:right w:val="single" w:color="000000" w:sz="4" w:space="0"/>
            </w:tcBorders>
            <w:noWrap/>
            <w:vAlign w:val="center"/>
          </w:tcPr>
          <w:p w14:paraId="67D3728C">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97</w:t>
            </w:r>
          </w:p>
        </w:tc>
        <w:tc>
          <w:tcPr>
            <w:tcW w:w="1371" w:type="dxa"/>
            <w:tcBorders>
              <w:top w:val="single" w:color="000000" w:sz="4" w:space="0"/>
              <w:left w:val="single" w:color="000000" w:sz="4" w:space="0"/>
              <w:bottom w:val="single" w:color="000000" w:sz="4" w:space="0"/>
              <w:right w:val="single" w:color="000000" w:sz="4" w:space="0"/>
            </w:tcBorders>
            <w:vAlign w:val="center"/>
          </w:tcPr>
          <w:p w14:paraId="35DE49A4">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五格售饭车</w:t>
            </w:r>
          </w:p>
        </w:tc>
        <w:tc>
          <w:tcPr>
            <w:tcW w:w="5493" w:type="dxa"/>
            <w:tcBorders>
              <w:top w:val="single" w:color="000000" w:sz="4" w:space="0"/>
              <w:left w:val="single" w:color="000000" w:sz="4" w:space="0"/>
              <w:bottom w:val="single" w:color="000000" w:sz="4" w:space="0"/>
              <w:right w:val="single" w:color="000000" w:sz="4" w:space="0"/>
            </w:tcBorders>
            <w:vAlign w:val="center"/>
          </w:tcPr>
          <w:p w14:paraId="2BBBD7D2">
            <w:pPr>
              <w:widowControl/>
              <w:jc w:val="left"/>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规格：≤1800*700*800mm，304不锈钢材质，约1.2MM，一次性冲压无焊缝易打扫，一次性冲压星盆，无死角，折边而成，安全易操作，以现场实际摆放为准</w:t>
            </w:r>
          </w:p>
        </w:tc>
        <w:tc>
          <w:tcPr>
            <w:tcW w:w="640" w:type="dxa"/>
            <w:tcBorders>
              <w:top w:val="single" w:color="000000" w:sz="4" w:space="0"/>
              <w:left w:val="single" w:color="000000" w:sz="4" w:space="0"/>
              <w:bottom w:val="single" w:color="000000" w:sz="4" w:space="0"/>
              <w:right w:val="single" w:color="000000" w:sz="4" w:space="0"/>
            </w:tcBorders>
            <w:noWrap/>
            <w:vAlign w:val="center"/>
          </w:tcPr>
          <w:p w14:paraId="60535274">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台</w:t>
            </w:r>
          </w:p>
        </w:tc>
        <w:tc>
          <w:tcPr>
            <w:tcW w:w="707" w:type="dxa"/>
            <w:tcBorders>
              <w:top w:val="single" w:color="000000" w:sz="4" w:space="0"/>
              <w:left w:val="single" w:color="000000" w:sz="4" w:space="0"/>
              <w:bottom w:val="single" w:color="000000" w:sz="4" w:space="0"/>
              <w:right w:val="single" w:color="000000" w:sz="4" w:space="0"/>
            </w:tcBorders>
            <w:noWrap/>
            <w:vAlign w:val="center"/>
          </w:tcPr>
          <w:p w14:paraId="778F0AB2">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10</w:t>
            </w:r>
          </w:p>
        </w:tc>
      </w:tr>
      <w:tr w14:paraId="3D45F10F">
        <w:tblPrEx>
          <w:tblCellMar>
            <w:top w:w="0" w:type="dxa"/>
            <w:left w:w="108" w:type="dxa"/>
            <w:bottom w:w="0" w:type="dxa"/>
            <w:right w:w="108" w:type="dxa"/>
          </w:tblCellMar>
        </w:tblPrEx>
        <w:trPr>
          <w:trHeight w:val="580" w:hRule="atLeast"/>
        </w:trPr>
        <w:tc>
          <w:tcPr>
            <w:tcW w:w="693" w:type="dxa"/>
            <w:tcBorders>
              <w:top w:val="single" w:color="000000" w:sz="4" w:space="0"/>
              <w:left w:val="single" w:color="000000" w:sz="4" w:space="0"/>
              <w:bottom w:val="single" w:color="000000" w:sz="4" w:space="0"/>
              <w:right w:val="single" w:color="000000" w:sz="4" w:space="0"/>
            </w:tcBorders>
            <w:noWrap/>
            <w:vAlign w:val="center"/>
          </w:tcPr>
          <w:p w14:paraId="4D239D22">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98</w:t>
            </w:r>
          </w:p>
        </w:tc>
        <w:tc>
          <w:tcPr>
            <w:tcW w:w="1371" w:type="dxa"/>
            <w:tcBorders>
              <w:top w:val="single" w:color="000000" w:sz="4" w:space="0"/>
              <w:left w:val="single" w:color="000000" w:sz="4" w:space="0"/>
              <w:bottom w:val="single" w:color="000000" w:sz="4" w:space="0"/>
              <w:right w:val="single" w:color="000000" w:sz="4" w:space="0"/>
            </w:tcBorders>
            <w:vAlign w:val="center"/>
          </w:tcPr>
          <w:p w14:paraId="6A500E25">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平板推车</w:t>
            </w:r>
          </w:p>
        </w:tc>
        <w:tc>
          <w:tcPr>
            <w:tcW w:w="5493" w:type="dxa"/>
            <w:tcBorders>
              <w:top w:val="single" w:color="000000" w:sz="4" w:space="0"/>
              <w:left w:val="single" w:color="000000" w:sz="4" w:space="0"/>
              <w:bottom w:val="single" w:color="000000" w:sz="4" w:space="0"/>
              <w:right w:val="single" w:color="000000" w:sz="4" w:space="0"/>
            </w:tcBorders>
            <w:vAlign w:val="center"/>
          </w:tcPr>
          <w:p w14:paraId="1C3B97C1">
            <w:pPr>
              <w:widowControl/>
              <w:jc w:val="left"/>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不锈钢304材质，约1.2MM板材，内衬约180MM,U型马崽焊接牢固，静音轮易推拉</w:t>
            </w:r>
          </w:p>
        </w:tc>
        <w:tc>
          <w:tcPr>
            <w:tcW w:w="640" w:type="dxa"/>
            <w:tcBorders>
              <w:top w:val="single" w:color="000000" w:sz="4" w:space="0"/>
              <w:left w:val="single" w:color="000000" w:sz="4" w:space="0"/>
              <w:bottom w:val="single" w:color="000000" w:sz="4" w:space="0"/>
              <w:right w:val="single" w:color="000000" w:sz="4" w:space="0"/>
            </w:tcBorders>
            <w:noWrap/>
            <w:vAlign w:val="center"/>
          </w:tcPr>
          <w:p w14:paraId="353999AF">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台</w:t>
            </w:r>
          </w:p>
        </w:tc>
        <w:tc>
          <w:tcPr>
            <w:tcW w:w="707" w:type="dxa"/>
            <w:tcBorders>
              <w:top w:val="single" w:color="000000" w:sz="4" w:space="0"/>
              <w:left w:val="single" w:color="000000" w:sz="4" w:space="0"/>
              <w:bottom w:val="single" w:color="000000" w:sz="4" w:space="0"/>
              <w:right w:val="single" w:color="000000" w:sz="4" w:space="0"/>
            </w:tcBorders>
            <w:noWrap/>
            <w:vAlign w:val="center"/>
          </w:tcPr>
          <w:p w14:paraId="7DC9AEDB">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6</w:t>
            </w:r>
          </w:p>
        </w:tc>
      </w:tr>
      <w:tr w14:paraId="4CB7CB7D">
        <w:tblPrEx>
          <w:tblCellMar>
            <w:top w:w="0" w:type="dxa"/>
            <w:left w:w="108" w:type="dxa"/>
            <w:bottom w:w="0" w:type="dxa"/>
            <w:right w:w="108" w:type="dxa"/>
          </w:tblCellMar>
        </w:tblPrEx>
        <w:trPr>
          <w:trHeight w:val="580" w:hRule="atLeast"/>
        </w:trPr>
        <w:tc>
          <w:tcPr>
            <w:tcW w:w="693" w:type="dxa"/>
            <w:tcBorders>
              <w:top w:val="single" w:color="000000" w:sz="4" w:space="0"/>
              <w:left w:val="single" w:color="000000" w:sz="4" w:space="0"/>
              <w:bottom w:val="single" w:color="000000" w:sz="4" w:space="0"/>
              <w:right w:val="single" w:color="000000" w:sz="4" w:space="0"/>
            </w:tcBorders>
            <w:noWrap/>
            <w:vAlign w:val="center"/>
          </w:tcPr>
          <w:p w14:paraId="3F3D9CB3">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99</w:t>
            </w:r>
          </w:p>
        </w:tc>
        <w:tc>
          <w:tcPr>
            <w:tcW w:w="1371" w:type="dxa"/>
            <w:tcBorders>
              <w:top w:val="single" w:color="000000" w:sz="4" w:space="0"/>
              <w:left w:val="single" w:color="000000" w:sz="4" w:space="0"/>
              <w:bottom w:val="single" w:color="000000" w:sz="4" w:space="0"/>
              <w:right w:val="single" w:color="000000" w:sz="4" w:space="0"/>
            </w:tcBorders>
            <w:vAlign w:val="center"/>
          </w:tcPr>
          <w:p w14:paraId="39B1471C">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收残车</w:t>
            </w:r>
          </w:p>
        </w:tc>
        <w:tc>
          <w:tcPr>
            <w:tcW w:w="5493" w:type="dxa"/>
            <w:tcBorders>
              <w:top w:val="single" w:color="000000" w:sz="4" w:space="0"/>
              <w:left w:val="single" w:color="000000" w:sz="4" w:space="0"/>
              <w:bottom w:val="single" w:color="000000" w:sz="4" w:space="0"/>
              <w:right w:val="single" w:color="000000" w:sz="4" w:space="0"/>
            </w:tcBorders>
            <w:vAlign w:val="center"/>
          </w:tcPr>
          <w:p w14:paraId="6101CCF8">
            <w:pPr>
              <w:widowControl/>
              <w:jc w:val="left"/>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多个塑胶型盆，38#不锈钢弧度圆管，脚轮静音轮，操作轻便，储存量大</w:t>
            </w:r>
          </w:p>
        </w:tc>
        <w:tc>
          <w:tcPr>
            <w:tcW w:w="640" w:type="dxa"/>
            <w:tcBorders>
              <w:top w:val="single" w:color="000000" w:sz="4" w:space="0"/>
              <w:left w:val="single" w:color="000000" w:sz="4" w:space="0"/>
              <w:bottom w:val="single" w:color="000000" w:sz="4" w:space="0"/>
              <w:right w:val="single" w:color="000000" w:sz="4" w:space="0"/>
            </w:tcBorders>
            <w:noWrap/>
            <w:vAlign w:val="center"/>
          </w:tcPr>
          <w:p w14:paraId="1D213118">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台</w:t>
            </w:r>
          </w:p>
        </w:tc>
        <w:tc>
          <w:tcPr>
            <w:tcW w:w="707" w:type="dxa"/>
            <w:tcBorders>
              <w:top w:val="single" w:color="000000" w:sz="4" w:space="0"/>
              <w:left w:val="single" w:color="000000" w:sz="4" w:space="0"/>
              <w:bottom w:val="single" w:color="000000" w:sz="4" w:space="0"/>
              <w:right w:val="single" w:color="000000" w:sz="4" w:space="0"/>
            </w:tcBorders>
            <w:noWrap/>
            <w:vAlign w:val="center"/>
          </w:tcPr>
          <w:p w14:paraId="1D6527E2">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4</w:t>
            </w:r>
          </w:p>
        </w:tc>
      </w:tr>
      <w:tr w14:paraId="09021170">
        <w:tblPrEx>
          <w:tblCellMar>
            <w:top w:w="0" w:type="dxa"/>
            <w:left w:w="108" w:type="dxa"/>
            <w:bottom w:w="0" w:type="dxa"/>
            <w:right w:w="108" w:type="dxa"/>
          </w:tblCellMar>
        </w:tblPrEx>
        <w:trPr>
          <w:trHeight w:val="580" w:hRule="atLeast"/>
        </w:trPr>
        <w:tc>
          <w:tcPr>
            <w:tcW w:w="693" w:type="dxa"/>
            <w:tcBorders>
              <w:top w:val="single" w:color="000000" w:sz="4" w:space="0"/>
              <w:left w:val="single" w:color="000000" w:sz="4" w:space="0"/>
              <w:bottom w:val="single" w:color="000000" w:sz="4" w:space="0"/>
              <w:right w:val="single" w:color="000000" w:sz="4" w:space="0"/>
            </w:tcBorders>
            <w:noWrap/>
            <w:vAlign w:val="center"/>
          </w:tcPr>
          <w:p w14:paraId="420651B4">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100</w:t>
            </w:r>
          </w:p>
        </w:tc>
        <w:tc>
          <w:tcPr>
            <w:tcW w:w="1371" w:type="dxa"/>
            <w:tcBorders>
              <w:top w:val="single" w:color="000000" w:sz="4" w:space="0"/>
              <w:left w:val="single" w:color="000000" w:sz="4" w:space="0"/>
              <w:bottom w:val="single" w:color="000000" w:sz="4" w:space="0"/>
              <w:right w:val="single" w:color="000000" w:sz="4" w:space="0"/>
            </w:tcBorders>
            <w:vAlign w:val="center"/>
          </w:tcPr>
          <w:p w14:paraId="07793153">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收碗车</w:t>
            </w:r>
          </w:p>
        </w:tc>
        <w:tc>
          <w:tcPr>
            <w:tcW w:w="5493" w:type="dxa"/>
            <w:tcBorders>
              <w:top w:val="single" w:color="000000" w:sz="4" w:space="0"/>
              <w:left w:val="single" w:color="000000" w:sz="4" w:space="0"/>
              <w:bottom w:val="single" w:color="000000" w:sz="4" w:space="0"/>
              <w:right w:val="single" w:color="000000" w:sz="4" w:space="0"/>
            </w:tcBorders>
            <w:vAlign w:val="center"/>
          </w:tcPr>
          <w:p w14:paraId="4F65E2D7">
            <w:pPr>
              <w:widowControl/>
              <w:jc w:val="left"/>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不锈钢304材质，约1.2MM板材，星盆一次性冲压而成，无死角易打扫，易储存，配静音轮，易推拉</w:t>
            </w:r>
          </w:p>
        </w:tc>
        <w:tc>
          <w:tcPr>
            <w:tcW w:w="640" w:type="dxa"/>
            <w:tcBorders>
              <w:top w:val="single" w:color="000000" w:sz="4" w:space="0"/>
              <w:left w:val="single" w:color="000000" w:sz="4" w:space="0"/>
              <w:bottom w:val="single" w:color="000000" w:sz="4" w:space="0"/>
              <w:right w:val="single" w:color="000000" w:sz="4" w:space="0"/>
            </w:tcBorders>
            <w:noWrap/>
            <w:vAlign w:val="center"/>
          </w:tcPr>
          <w:p w14:paraId="12BC39F6">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台</w:t>
            </w:r>
          </w:p>
        </w:tc>
        <w:tc>
          <w:tcPr>
            <w:tcW w:w="707" w:type="dxa"/>
            <w:tcBorders>
              <w:top w:val="single" w:color="000000" w:sz="4" w:space="0"/>
              <w:left w:val="single" w:color="000000" w:sz="4" w:space="0"/>
              <w:bottom w:val="single" w:color="000000" w:sz="4" w:space="0"/>
              <w:right w:val="single" w:color="000000" w:sz="4" w:space="0"/>
            </w:tcBorders>
            <w:noWrap/>
            <w:vAlign w:val="center"/>
          </w:tcPr>
          <w:p w14:paraId="5A083C67">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4</w:t>
            </w:r>
          </w:p>
        </w:tc>
      </w:tr>
      <w:tr w14:paraId="5C7473E3">
        <w:tblPrEx>
          <w:tblCellMar>
            <w:top w:w="0" w:type="dxa"/>
            <w:left w:w="108" w:type="dxa"/>
            <w:bottom w:w="0" w:type="dxa"/>
            <w:right w:w="108" w:type="dxa"/>
          </w:tblCellMar>
        </w:tblPrEx>
        <w:trPr>
          <w:trHeight w:val="580" w:hRule="atLeast"/>
        </w:trPr>
        <w:tc>
          <w:tcPr>
            <w:tcW w:w="693" w:type="dxa"/>
            <w:tcBorders>
              <w:top w:val="single" w:color="000000" w:sz="4" w:space="0"/>
              <w:left w:val="single" w:color="000000" w:sz="4" w:space="0"/>
              <w:bottom w:val="single" w:color="000000" w:sz="4" w:space="0"/>
              <w:right w:val="single" w:color="000000" w:sz="4" w:space="0"/>
            </w:tcBorders>
            <w:noWrap/>
            <w:vAlign w:val="center"/>
          </w:tcPr>
          <w:p w14:paraId="2F63BD3F">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101</w:t>
            </w:r>
          </w:p>
        </w:tc>
        <w:tc>
          <w:tcPr>
            <w:tcW w:w="1371" w:type="dxa"/>
            <w:tcBorders>
              <w:top w:val="single" w:color="000000" w:sz="4" w:space="0"/>
              <w:left w:val="single" w:color="000000" w:sz="4" w:space="0"/>
              <w:bottom w:val="single" w:color="000000" w:sz="4" w:space="0"/>
              <w:right w:val="single" w:color="000000" w:sz="4" w:space="0"/>
            </w:tcBorders>
            <w:vAlign w:val="center"/>
          </w:tcPr>
          <w:p w14:paraId="205FDF46">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刀具砧板架（四格）</w:t>
            </w:r>
          </w:p>
        </w:tc>
        <w:tc>
          <w:tcPr>
            <w:tcW w:w="5493" w:type="dxa"/>
            <w:tcBorders>
              <w:top w:val="single" w:color="000000" w:sz="4" w:space="0"/>
              <w:left w:val="single" w:color="000000" w:sz="4" w:space="0"/>
              <w:bottom w:val="single" w:color="000000" w:sz="4" w:space="0"/>
              <w:right w:val="single" w:color="000000" w:sz="4" w:space="0"/>
            </w:tcBorders>
            <w:vAlign w:val="center"/>
          </w:tcPr>
          <w:p w14:paraId="19053B8D">
            <w:pPr>
              <w:widowControl/>
              <w:jc w:val="left"/>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规格：≤550*350*275mm，28#304不锈钢方管弧度间距焊接，易放置刀具、菜墩，稳定性强，以现场实际摆放为准</w:t>
            </w:r>
          </w:p>
        </w:tc>
        <w:tc>
          <w:tcPr>
            <w:tcW w:w="640" w:type="dxa"/>
            <w:tcBorders>
              <w:top w:val="single" w:color="000000" w:sz="4" w:space="0"/>
              <w:left w:val="single" w:color="000000" w:sz="4" w:space="0"/>
              <w:bottom w:val="single" w:color="000000" w:sz="4" w:space="0"/>
              <w:right w:val="single" w:color="000000" w:sz="4" w:space="0"/>
            </w:tcBorders>
            <w:noWrap/>
            <w:vAlign w:val="center"/>
          </w:tcPr>
          <w:p w14:paraId="78CA4FC2">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台</w:t>
            </w:r>
          </w:p>
        </w:tc>
        <w:tc>
          <w:tcPr>
            <w:tcW w:w="707" w:type="dxa"/>
            <w:tcBorders>
              <w:top w:val="single" w:color="000000" w:sz="4" w:space="0"/>
              <w:left w:val="single" w:color="000000" w:sz="4" w:space="0"/>
              <w:bottom w:val="single" w:color="000000" w:sz="4" w:space="0"/>
              <w:right w:val="single" w:color="000000" w:sz="4" w:space="0"/>
            </w:tcBorders>
            <w:noWrap/>
            <w:vAlign w:val="center"/>
          </w:tcPr>
          <w:p w14:paraId="0462C6E2">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10</w:t>
            </w:r>
          </w:p>
        </w:tc>
      </w:tr>
      <w:tr w14:paraId="1566F5CF">
        <w:tblPrEx>
          <w:tblCellMar>
            <w:top w:w="0" w:type="dxa"/>
            <w:left w:w="108" w:type="dxa"/>
            <w:bottom w:w="0" w:type="dxa"/>
            <w:right w:w="108" w:type="dxa"/>
          </w:tblCellMar>
        </w:tblPrEx>
        <w:trPr>
          <w:trHeight w:val="580" w:hRule="atLeast"/>
        </w:trPr>
        <w:tc>
          <w:tcPr>
            <w:tcW w:w="693" w:type="dxa"/>
            <w:tcBorders>
              <w:top w:val="single" w:color="000000" w:sz="4" w:space="0"/>
              <w:left w:val="single" w:color="000000" w:sz="4" w:space="0"/>
              <w:bottom w:val="single" w:color="000000" w:sz="4" w:space="0"/>
              <w:right w:val="single" w:color="000000" w:sz="4" w:space="0"/>
            </w:tcBorders>
            <w:vAlign w:val="center"/>
          </w:tcPr>
          <w:p w14:paraId="7A8EB69C">
            <w:pPr>
              <w:widowControl/>
              <w:jc w:val="center"/>
              <w:textAlignment w:val="center"/>
              <w:rPr>
                <w:rFonts w:hint="eastAsia" w:ascii="宋体" w:hAnsi="宋体"/>
                <w:b/>
                <w:bCs/>
                <w:color w:val="auto"/>
                <w:sz w:val="22"/>
                <w:szCs w:val="22"/>
                <w:highlight w:val="none"/>
              </w:rPr>
            </w:pPr>
            <w:r>
              <w:rPr>
                <w:rFonts w:hint="eastAsia" w:ascii="宋体" w:hAnsi="宋体"/>
                <w:b/>
                <w:bCs/>
                <w:color w:val="auto"/>
                <w:kern w:val="0"/>
                <w:sz w:val="22"/>
                <w:szCs w:val="22"/>
                <w:highlight w:val="none"/>
                <w:lang w:bidi="ar"/>
              </w:rPr>
              <w:t>二</w:t>
            </w:r>
          </w:p>
        </w:tc>
        <w:tc>
          <w:tcPr>
            <w:tcW w:w="1371" w:type="dxa"/>
            <w:tcBorders>
              <w:top w:val="single" w:color="000000" w:sz="4" w:space="0"/>
              <w:left w:val="single" w:color="000000" w:sz="4" w:space="0"/>
              <w:bottom w:val="single" w:color="000000" w:sz="4" w:space="0"/>
              <w:right w:val="single" w:color="000000" w:sz="4" w:space="0"/>
            </w:tcBorders>
            <w:vAlign w:val="center"/>
          </w:tcPr>
          <w:p w14:paraId="50007522">
            <w:pPr>
              <w:widowControl/>
              <w:jc w:val="center"/>
              <w:textAlignment w:val="center"/>
              <w:rPr>
                <w:rFonts w:hint="eastAsia" w:ascii="宋体" w:hAnsi="宋体"/>
                <w:b/>
                <w:bCs/>
                <w:color w:val="auto"/>
                <w:sz w:val="22"/>
                <w:szCs w:val="22"/>
                <w:highlight w:val="none"/>
              </w:rPr>
            </w:pPr>
            <w:r>
              <w:rPr>
                <w:rFonts w:hint="eastAsia" w:ascii="宋体" w:hAnsi="宋体"/>
                <w:b/>
                <w:bCs/>
                <w:color w:val="auto"/>
                <w:kern w:val="0"/>
                <w:sz w:val="22"/>
                <w:szCs w:val="22"/>
                <w:highlight w:val="none"/>
                <w:lang w:bidi="ar"/>
              </w:rPr>
              <w:t>排烟系统</w:t>
            </w:r>
          </w:p>
        </w:tc>
        <w:tc>
          <w:tcPr>
            <w:tcW w:w="5493" w:type="dxa"/>
            <w:tcBorders>
              <w:top w:val="single" w:color="000000" w:sz="4" w:space="0"/>
              <w:left w:val="single" w:color="000000" w:sz="4" w:space="0"/>
              <w:bottom w:val="single" w:color="000000" w:sz="4" w:space="0"/>
              <w:right w:val="single" w:color="000000" w:sz="4" w:space="0"/>
            </w:tcBorders>
            <w:vAlign w:val="center"/>
          </w:tcPr>
          <w:p w14:paraId="3C9A79EF">
            <w:pPr>
              <w:jc w:val="left"/>
              <w:rPr>
                <w:rFonts w:hint="eastAsia" w:ascii="宋体" w:hAnsi="宋体"/>
                <w:color w:val="auto"/>
                <w:sz w:val="22"/>
                <w:szCs w:val="22"/>
                <w:highlight w:val="none"/>
              </w:rPr>
            </w:pPr>
          </w:p>
        </w:tc>
        <w:tc>
          <w:tcPr>
            <w:tcW w:w="640" w:type="dxa"/>
            <w:tcBorders>
              <w:top w:val="single" w:color="000000" w:sz="4" w:space="0"/>
              <w:left w:val="single" w:color="000000" w:sz="4" w:space="0"/>
              <w:bottom w:val="single" w:color="000000" w:sz="4" w:space="0"/>
              <w:right w:val="single" w:color="000000" w:sz="4" w:space="0"/>
            </w:tcBorders>
            <w:vAlign w:val="center"/>
          </w:tcPr>
          <w:p w14:paraId="0D44A4D6">
            <w:pPr>
              <w:jc w:val="center"/>
              <w:rPr>
                <w:rFonts w:hint="eastAsia" w:ascii="宋体" w:hAnsi="宋体"/>
                <w:color w:val="auto"/>
                <w:sz w:val="22"/>
                <w:szCs w:val="22"/>
                <w:highlight w:val="none"/>
              </w:rPr>
            </w:pPr>
          </w:p>
        </w:tc>
        <w:tc>
          <w:tcPr>
            <w:tcW w:w="707" w:type="dxa"/>
            <w:tcBorders>
              <w:top w:val="single" w:color="000000" w:sz="4" w:space="0"/>
              <w:left w:val="single" w:color="000000" w:sz="4" w:space="0"/>
              <w:bottom w:val="single" w:color="000000" w:sz="4" w:space="0"/>
              <w:right w:val="single" w:color="000000" w:sz="4" w:space="0"/>
            </w:tcBorders>
            <w:noWrap/>
            <w:vAlign w:val="center"/>
          </w:tcPr>
          <w:p w14:paraId="1D746582">
            <w:pPr>
              <w:jc w:val="center"/>
              <w:rPr>
                <w:rFonts w:hint="eastAsia" w:ascii="宋体" w:hAnsi="宋体"/>
                <w:color w:val="auto"/>
                <w:sz w:val="22"/>
                <w:szCs w:val="22"/>
                <w:highlight w:val="none"/>
              </w:rPr>
            </w:pPr>
          </w:p>
        </w:tc>
      </w:tr>
      <w:tr w14:paraId="560E8E63">
        <w:tblPrEx>
          <w:tblCellMar>
            <w:top w:w="0" w:type="dxa"/>
            <w:left w:w="108" w:type="dxa"/>
            <w:bottom w:w="0" w:type="dxa"/>
            <w:right w:w="108" w:type="dxa"/>
          </w:tblCellMar>
        </w:tblPrEx>
        <w:trPr>
          <w:trHeight w:val="580" w:hRule="atLeast"/>
        </w:trPr>
        <w:tc>
          <w:tcPr>
            <w:tcW w:w="693" w:type="dxa"/>
            <w:vMerge w:val="restart"/>
            <w:tcBorders>
              <w:top w:val="single" w:color="000000" w:sz="4" w:space="0"/>
              <w:left w:val="single" w:color="000000" w:sz="4" w:space="0"/>
              <w:bottom w:val="single" w:color="000000" w:sz="4" w:space="0"/>
              <w:right w:val="single" w:color="000000" w:sz="4" w:space="0"/>
            </w:tcBorders>
            <w:noWrap/>
            <w:vAlign w:val="center"/>
          </w:tcPr>
          <w:p w14:paraId="29F0C7EA">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102</w:t>
            </w:r>
          </w:p>
        </w:tc>
        <w:tc>
          <w:tcPr>
            <w:tcW w:w="1371" w:type="dxa"/>
            <w:vMerge w:val="restart"/>
            <w:tcBorders>
              <w:top w:val="single" w:color="000000" w:sz="4" w:space="0"/>
              <w:left w:val="single" w:color="000000" w:sz="4" w:space="0"/>
              <w:bottom w:val="single" w:color="000000" w:sz="4" w:space="0"/>
              <w:right w:val="single" w:color="000000" w:sz="4" w:space="0"/>
            </w:tcBorders>
            <w:vAlign w:val="center"/>
          </w:tcPr>
          <w:p w14:paraId="15321AF3">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不锈钢烟罩</w:t>
            </w:r>
          </w:p>
        </w:tc>
        <w:tc>
          <w:tcPr>
            <w:tcW w:w="5493" w:type="dxa"/>
            <w:tcBorders>
              <w:top w:val="single" w:color="000000" w:sz="4" w:space="0"/>
              <w:left w:val="single" w:color="000000" w:sz="4" w:space="0"/>
              <w:bottom w:val="single" w:color="000000" w:sz="4" w:space="0"/>
              <w:right w:val="single" w:color="000000" w:sz="4" w:space="0"/>
            </w:tcBorders>
            <w:vAlign w:val="center"/>
          </w:tcPr>
          <w:p w14:paraId="3E40A5EF">
            <w:pPr>
              <w:widowControl/>
              <w:jc w:val="left"/>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规格：≤8500*1500*500mm，不锈钢板材304厚度约1.2mm，折边压筋焊接而成，整体外观简洁大气美观实用，引领世界潮流，以现场实际摆放为准</w:t>
            </w:r>
          </w:p>
        </w:tc>
        <w:tc>
          <w:tcPr>
            <w:tcW w:w="640" w:type="dxa"/>
            <w:tcBorders>
              <w:top w:val="single" w:color="000000" w:sz="4" w:space="0"/>
              <w:left w:val="single" w:color="000000" w:sz="4" w:space="0"/>
              <w:bottom w:val="single" w:color="000000" w:sz="4" w:space="0"/>
              <w:right w:val="single" w:color="000000" w:sz="4" w:space="0"/>
            </w:tcBorders>
            <w:noWrap/>
            <w:vAlign w:val="center"/>
          </w:tcPr>
          <w:p w14:paraId="512A8A81">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平方</w:t>
            </w:r>
          </w:p>
        </w:tc>
        <w:tc>
          <w:tcPr>
            <w:tcW w:w="707" w:type="dxa"/>
            <w:tcBorders>
              <w:top w:val="single" w:color="000000" w:sz="4" w:space="0"/>
              <w:left w:val="single" w:color="000000" w:sz="4" w:space="0"/>
              <w:bottom w:val="single" w:color="000000" w:sz="4" w:space="0"/>
              <w:right w:val="single" w:color="000000" w:sz="4" w:space="0"/>
            </w:tcBorders>
            <w:noWrap/>
            <w:vAlign w:val="center"/>
          </w:tcPr>
          <w:p w14:paraId="6810580B">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12.75</w:t>
            </w:r>
          </w:p>
        </w:tc>
      </w:tr>
      <w:tr w14:paraId="562E9919">
        <w:tblPrEx>
          <w:tblCellMar>
            <w:top w:w="0" w:type="dxa"/>
            <w:left w:w="108" w:type="dxa"/>
            <w:bottom w:w="0" w:type="dxa"/>
            <w:right w:w="108" w:type="dxa"/>
          </w:tblCellMar>
        </w:tblPrEx>
        <w:trPr>
          <w:trHeight w:val="580" w:hRule="atLeast"/>
        </w:trPr>
        <w:tc>
          <w:tcPr>
            <w:tcW w:w="693" w:type="dxa"/>
            <w:vMerge w:val="continue"/>
            <w:tcBorders>
              <w:top w:val="single" w:color="000000" w:sz="4" w:space="0"/>
              <w:left w:val="single" w:color="000000" w:sz="4" w:space="0"/>
              <w:bottom w:val="single" w:color="000000" w:sz="4" w:space="0"/>
              <w:right w:val="single" w:color="000000" w:sz="4" w:space="0"/>
            </w:tcBorders>
            <w:noWrap/>
            <w:vAlign w:val="center"/>
          </w:tcPr>
          <w:p w14:paraId="0779577E">
            <w:pPr>
              <w:jc w:val="center"/>
              <w:rPr>
                <w:rFonts w:hint="eastAsia" w:ascii="宋体" w:hAnsi="宋体"/>
                <w:color w:val="auto"/>
                <w:sz w:val="22"/>
                <w:szCs w:val="22"/>
                <w:highlight w:val="none"/>
              </w:rPr>
            </w:pPr>
          </w:p>
        </w:tc>
        <w:tc>
          <w:tcPr>
            <w:tcW w:w="1371" w:type="dxa"/>
            <w:vMerge w:val="continue"/>
            <w:tcBorders>
              <w:top w:val="single" w:color="000000" w:sz="4" w:space="0"/>
              <w:left w:val="single" w:color="000000" w:sz="4" w:space="0"/>
              <w:bottom w:val="single" w:color="000000" w:sz="4" w:space="0"/>
              <w:right w:val="single" w:color="000000" w:sz="4" w:space="0"/>
            </w:tcBorders>
            <w:vAlign w:val="center"/>
          </w:tcPr>
          <w:p w14:paraId="551E22FC">
            <w:pPr>
              <w:jc w:val="center"/>
              <w:rPr>
                <w:rFonts w:hint="eastAsia" w:ascii="宋体" w:hAnsi="宋体"/>
                <w:color w:val="auto"/>
                <w:sz w:val="22"/>
                <w:szCs w:val="22"/>
                <w:highlight w:val="none"/>
              </w:rPr>
            </w:pPr>
          </w:p>
        </w:tc>
        <w:tc>
          <w:tcPr>
            <w:tcW w:w="5493" w:type="dxa"/>
            <w:tcBorders>
              <w:top w:val="single" w:color="000000" w:sz="4" w:space="0"/>
              <w:left w:val="single" w:color="000000" w:sz="4" w:space="0"/>
              <w:bottom w:val="single" w:color="000000" w:sz="4" w:space="0"/>
              <w:right w:val="single" w:color="000000" w:sz="4" w:space="0"/>
            </w:tcBorders>
            <w:vAlign w:val="center"/>
          </w:tcPr>
          <w:p w14:paraId="00310FD1">
            <w:pPr>
              <w:widowControl/>
              <w:jc w:val="left"/>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规格：≤7600*1500*500mm，不锈钢板材304厚度约1.2mm，折边压筋焊接而成，整体外观简洁大气美观实用，引领世界潮流，以现场实际摆放为准</w:t>
            </w:r>
          </w:p>
        </w:tc>
        <w:tc>
          <w:tcPr>
            <w:tcW w:w="640" w:type="dxa"/>
            <w:tcBorders>
              <w:top w:val="single" w:color="000000" w:sz="4" w:space="0"/>
              <w:left w:val="single" w:color="000000" w:sz="4" w:space="0"/>
              <w:bottom w:val="single" w:color="000000" w:sz="4" w:space="0"/>
              <w:right w:val="single" w:color="000000" w:sz="4" w:space="0"/>
            </w:tcBorders>
            <w:noWrap/>
            <w:vAlign w:val="center"/>
          </w:tcPr>
          <w:p w14:paraId="75387879">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平方</w:t>
            </w:r>
          </w:p>
        </w:tc>
        <w:tc>
          <w:tcPr>
            <w:tcW w:w="707" w:type="dxa"/>
            <w:tcBorders>
              <w:top w:val="single" w:color="000000" w:sz="4" w:space="0"/>
              <w:left w:val="single" w:color="000000" w:sz="4" w:space="0"/>
              <w:bottom w:val="single" w:color="000000" w:sz="4" w:space="0"/>
              <w:right w:val="single" w:color="000000" w:sz="4" w:space="0"/>
            </w:tcBorders>
            <w:noWrap/>
            <w:vAlign w:val="center"/>
          </w:tcPr>
          <w:p w14:paraId="1272B8F7">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11.4</w:t>
            </w:r>
          </w:p>
        </w:tc>
      </w:tr>
      <w:tr w14:paraId="03F628D0">
        <w:tblPrEx>
          <w:tblCellMar>
            <w:top w:w="0" w:type="dxa"/>
            <w:left w:w="108" w:type="dxa"/>
            <w:bottom w:w="0" w:type="dxa"/>
            <w:right w:w="108" w:type="dxa"/>
          </w:tblCellMar>
        </w:tblPrEx>
        <w:trPr>
          <w:trHeight w:val="580" w:hRule="atLeast"/>
        </w:trPr>
        <w:tc>
          <w:tcPr>
            <w:tcW w:w="693" w:type="dxa"/>
            <w:vMerge w:val="continue"/>
            <w:tcBorders>
              <w:top w:val="single" w:color="000000" w:sz="4" w:space="0"/>
              <w:left w:val="single" w:color="000000" w:sz="4" w:space="0"/>
              <w:bottom w:val="single" w:color="000000" w:sz="4" w:space="0"/>
              <w:right w:val="single" w:color="000000" w:sz="4" w:space="0"/>
            </w:tcBorders>
            <w:noWrap/>
            <w:vAlign w:val="center"/>
          </w:tcPr>
          <w:p w14:paraId="54B424DB">
            <w:pPr>
              <w:jc w:val="center"/>
              <w:rPr>
                <w:rFonts w:hint="eastAsia" w:ascii="宋体" w:hAnsi="宋体"/>
                <w:color w:val="auto"/>
                <w:sz w:val="22"/>
                <w:szCs w:val="22"/>
                <w:highlight w:val="none"/>
              </w:rPr>
            </w:pPr>
          </w:p>
        </w:tc>
        <w:tc>
          <w:tcPr>
            <w:tcW w:w="1371" w:type="dxa"/>
            <w:vMerge w:val="continue"/>
            <w:tcBorders>
              <w:top w:val="single" w:color="000000" w:sz="4" w:space="0"/>
              <w:left w:val="single" w:color="000000" w:sz="4" w:space="0"/>
              <w:bottom w:val="single" w:color="000000" w:sz="4" w:space="0"/>
              <w:right w:val="single" w:color="000000" w:sz="4" w:space="0"/>
            </w:tcBorders>
            <w:vAlign w:val="center"/>
          </w:tcPr>
          <w:p w14:paraId="1DF6B80F">
            <w:pPr>
              <w:jc w:val="center"/>
              <w:rPr>
                <w:rFonts w:hint="eastAsia" w:ascii="宋体" w:hAnsi="宋体"/>
                <w:color w:val="auto"/>
                <w:sz w:val="22"/>
                <w:szCs w:val="22"/>
                <w:highlight w:val="none"/>
              </w:rPr>
            </w:pPr>
          </w:p>
        </w:tc>
        <w:tc>
          <w:tcPr>
            <w:tcW w:w="5493" w:type="dxa"/>
            <w:tcBorders>
              <w:top w:val="single" w:color="000000" w:sz="4" w:space="0"/>
              <w:left w:val="single" w:color="000000" w:sz="4" w:space="0"/>
              <w:bottom w:val="single" w:color="000000" w:sz="4" w:space="0"/>
              <w:right w:val="single" w:color="000000" w:sz="4" w:space="0"/>
            </w:tcBorders>
            <w:vAlign w:val="center"/>
          </w:tcPr>
          <w:p w14:paraId="1CFFCA67">
            <w:pPr>
              <w:widowControl/>
              <w:jc w:val="left"/>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规格：≤5500*1000*500mm，不锈钢板材304厚度约1.2mm，折边压筋焊接而成，整体外观简洁大气美观实用，引领世界潮流，以现场实际摆放为准</w:t>
            </w:r>
          </w:p>
        </w:tc>
        <w:tc>
          <w:tcPr>
            <w:tcW w:w="640" w:type="dxa"/>
            <w:tcBorders>
              <w:top w:val="single" w:color="000000" w:sz="4" w:space="0"/>
              <w:left w:val="single" w:color="000000" w:sz="4" w:space="0"/>
              <w:bottom w:val="single" w:color="000000" w:sz="4" w:space="0"/>
              <w:right w:val="single" w:color="000000" w:sz="4" w:space="0"/>
            </w:tcBorders>
            <w:noWrap/>
            <w:vAlign w:val="center"/>
          </w:tcPr>
          <w:p w14:paraId="1C0498AD">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平方</w:t>
            </w:r>
          </w:p>
        </w:tc>
        <w:tc>
          <w:tcPr>
            <w:tcW w:w="707" w:type="dxa"/>
            <w:tcBorders>
              <w:top w:val="single" w:color="000000" w:sz="4" w:space="0"/>
              <w:left w:val="single" w:color="000000" w:sz="4" w:space="0"/>
              <w:bottom w:val="single" w:color="000000" w:sz="4" w:space="0"/>
              <w:right w:val="single" w:color="000000" w:sz="4" w:space="0"/>
            </w:tcBorders>
            <w:noWrap/>
            <w:vAlign w:val="center"/>
          </w:tcPr>
          <w:p w14:paraId="7761F4B8">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5.5</w:t>
            </w:r>
          </w:p>
        </w:tc>
      </w:tr>
      <w:tr w14:paraId="33D3CDFA">
        <w:tblPrEx>
          <w:tblCellMar>
            <w:top w:w="0" w:type="dxa"/>
            <w:left w:w="108" w:type="dxa"/>
            <w:bottom w:w="0" w:type="dxa"/>
            <w:right w:w="108" w:type="dxa"/>
          </w:tblCellMar>
        </w:tblPrEx>
        <w:trPr>
          <w:trHeight w:val="580" w:hRule="atLeast"/>
        </w:trPr>
        <w:tc>
          <w:tcPr>
            <w:tcW w:w="693" w:type="dxa"/>
            <w:tcBorders>
              <w:top w:val="single" w:color="000000" w:sz="4" w:space="0"/>
              <w:left w:val="single" w:color="000000" w:sz="4" w:space="0"/>
              <w:bottom w:val="single" w:color="000000" w:sz="4" w:space="0"/>
              <w:right w:val="single" w:color="000000" w:sz="4" w:space="0"/>
            </w:tcBorders>
            <w:noWrap/>
            <w:vAlign w:val="center"/>
          </w:tcPr>
          <w:p w14:paraId="158871AE">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103</w:t>
            </w:r>
          </w:p>
        </w:tc>
        <w:tc>
          <w:tcPr>
            <w:tcW w:w="1371" w:type="dxa"/>
            <w:tcBorders>
              <w:top w:val="single" w:color="000000" w:sz="4" w:space="0"/>
              <w:left w:val="single" w:color="000000" w:sz="4" w:space="0"/>
              <w:bottom w:val="single" w:color="000000" w:sz="4" w:space="0"/>
              <w:right w:val="single" w:color="000000" w:sz="4" w:space="0"/>
            </w:tcBorders>
            <w:vAlign w:val="center"/>
          </w:tcPr>
          <w:p w14:paraId="2E7DE9F1">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不锈钢滤油篦子（正反板、焊接而成）</w:t>
            </w:r>
          </w:p>
        </w:tc>
        <w:tc>
          <w:tcPr>
            <w:tcW w:w="5493" w:type="dxa"/>
            <w:tcBorders>
              <w:top w:val="single" w:color="000000" w:sz="4" w:space="0"/>
              <w:left w:val="single" w:color="000000" w:sz="4" w:space="0"/>
              <w:bottom w:val="single" w:color="000000" w:sz="4" w:space="0"/>
              <w:right w:val="single" w:color="000000" w:sz="4" w:space="0"/>
            </w:tcBorders>
            <w:vAlign w:val="center"/>
          </w:tcPr>
          <w:p w14:paraId="2F849233">
            <w:pPr>
              <w:widowControl/>
              <w:jc w:val="left"/>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不锈钢条形板材正反压弧焊接而成，留空隙易排烟流畅，整体美观，板材约1.2mm厚</w:t>
            </w:r>
          </w:p>
        </w:tc>
        <w:tc>
          <w:tcPr>
            <w:tcW w:w="640" w:type="dxa"/>
            <w:tcBorders>
              <w:top w:val="single" w:color="000000" w:sz="4" w:space="0"/>
              <w:left w:val="single" w:color="000000" w:sz="4" w:space="0"/>
              <w:bottom w:val="single" w:color="000000" w:sz="4" w:space="0"/>
              <w:right w:val="single" w:color="000000" w:sz="4" w:space="0"/>
            </w:tcBorders>
            <w:noWrap/>
            <w:vAlign w:val="center"/>
          </w:tcPr>
          <w:p w14:paraId="0BE98B97">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米</w:t>
            </w:r>
          </w:p>
        </w:tc>
        <w:tc>
          <w:tcPr>
            <w:tcW w:w="707" w:type="dxa"/>
            <w:tcBorders>
              <w:top w:val="single" w:color="000000" w:sz="4" w:space="0"/>
              <w:left w:val="single" w:color="000000" w:sz="4" w:space="0"/>
              <w:bottom w:val="single" w:color="000000" w:sz="4" w:space="0"/>
              <w:right w:val="single" w:color="000000" w:sz="4" w:space="0"/>
            </w:tcBorders>
            <w:noWrap/>
            <w:vAlign w:val="center"/>
          </w:tcPr>
          <w:p w14:paraId="199CEA43">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30</w:t>
            </w:r>
          </w:p>
        </w:tc>
      </w:tr>
      <w:tr w14:paraId="4787DABE">
        <w:tblPrEx>
          <w:tblCellMar>
            <w:top w:w="0" w:type="dxa"/>
            <w:left w:w="108" w:type="dxa"/>
            <w:bottom w:w="0" w:type="dxa"/>
            <w:right w:w="108" w:type="dxa"/>
          </w:tblCellMar>
        </w:tblPrEx>
        <w:trPr>
          <w:trHeight w:val="580" w:hRule="atLeast"/>
        </w:trPr>
        <w:tc>
          <w:tcPr>
            <w:tcW w:w="693" w:type="dxa"/>
            <w:tcBorders>
              <w:top w:val="single" w:color="000000" w:sz="4" w:space="0"/>
              <w:left w:val="single" w:color="000000" w:sz="4" w:space="0"/>
              <w:bottom w:val="single" w:color="000000" w:sz="4" w:space="0"/>
              <w:right w:val="single" w:color="000000" w:sz="4" w:space="0"/>
            </w:tcBorders>
            <w:noWrap/>
            <w:vAlign w:val="center"/>
          </w:tcPr>
          <w:p w14:paraId="5F91CE27">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104</w:t>
            </w:r>
          </w:p>
        </w:tc>
        <w:tc>
          <w:tcPr>
            <w:tcW w:w="1371" w:type="dxa"/>
            <w:tcBorders>
              <w:top w:val="single" w:color="000000" w:sz="4" w:space="0"/>
              <w:left w:val="single" w:color="000000" w:sz="4" w:space="0"/>
              <w:bottom w:val="single" w:color="000000" w:sz="4" w:space="0"/>
              <w:right w:val="single" w:color="000000" w:sz="4" w:space="0"/>
            </w:tcBorders>
            <w:vAlign w:val="center"/>
          </w:tcPr>
          <w:p w14:paraId="779EA24E">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不锈钢烟罩吊装吊链、挂钩、吊管</w:t>
            </w:r>
          </w:p>
        </w:tc>
        <w:tc>
          <w:tcPr>
            <w:tcW w:w="5493" w:type="dxa"/>
            <w:tcBorders>
              <w:top w:val="single" w:color="000000" w:sz="4" w:space="0"/>
              <w:left w:val="single" w:color="000000" w:sz="4" w:space="0"/>
              <w:bottom w:val="single" w:color="000000" w:sz="4" w:space="0"/>
              <w:right w:val="single" w:color="000000" w:sz="4" w:space="0"/>
            </w:tcBorders>
            <w:vAlign w:val="center"/>
          </w:tcPr>
          <w:p w14:paraId="1BC57902">
            <w:pPr>
              <w:widowControl/>
              <w:jc w:val="left"/>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椭圆形吊链、挂钩、不锈钢圆管、便于安装牢固，易打扫卫生</w:t>
            </w:r>
          </w:p>
        </w:tc>
        <w:tc>
          <w:tcPr>
            <w:tcW w:w="640" w:type="dxa"/>
            <w:tcBorders>
              <w:top w:val="single" w:color="000000" w:sz="4" w:space="0"/>
              <w:left w:val="single" w:color="000000" w:sz="4" w:space="0"/>
              <w:bottom w:val="single" w:color="000000" w:sz="4" w:space="0"/>
              <w:right w:val="single" w:color="000000" w:sz="4" w:space="0"/>
            </w:tcBorders>
            <w:noWrap/>
            <w:vAlign w:val="center"/>
          </w:tcPr>
          <w:p w14:paraId="01C00025">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套</w:t>
            </w:r>
          </w:p>
        </w:tc>
        <w:tc>
          <w:tcPr>
            <w:tcW w:w="707" w:type="dxa"/>
            <w:tcBorders>
              <w:top w:val="single" w:color="000000" w:sz="4" w:space="0"/>
              <w:left w:val="single" w:color="000000" w:sz="4" w:space="0"/>
              <w:bottom w:val="single" w:color="000000" w:sz="4" w:space="0"/>
              <w:right w:val="single" w:color="000000" w:sz="4" w:space="0"/>
            </w:tcBorders>
            <w:noWrap/>
            <w:vAlign w:val="center"/>
          </w:tcPr>
          <w:p w14:paraId="3DD24AAE">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16</w:t>
            </w:r>
          </w:p>
        </w:tc>
      </w:tr>
      <w:tr w14:paraId="415924E3">
        <w:tblPrEx>
          <w:tblCellMar>
            <w:top w:w="0" w:type="dxa"/>
            <w:left w:w="108" w:type="dxa"/>
            <w:bottom w:w="0" w:type="dxa"/>
            <w:right w:w="108" w:type="dxa"/>
          </w:tblCellMar>
        </w:tblPrEx>
        <w:trPr>
          <w:trHeight w:val="580" w:hRule="atLeast"/>
        </w:trPr>
        <w:tc>
          <w:tcPr>
            <w:tcW w:w="693" w:type="dxa"/>
            <w:tcBorders>
              <w:top w:val="single" w:color="000000" w:sz="4" w:space="0"/>
              <w:left w:val="single" w:color="000000" w:sz="4" w:space="0"/>
              <w:bottom w:val="single" w:color="000000" w:sz="4" w:space="0"/>
              <w:right w:val="single" w:color="000000" w:sz="4" w:space="0"/>
            </w:tcBorders>
            <w:noWrap/>
            <w:vAlign w:val="center"/>
          </w:tcPr>
          <w:p w14:paraId="41DF7A39">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105</w:t>
            </w:r>
          </w:p>
        </w:tc>
        <w:tc>
          <w:tcPr>
            <w:tcW w:w="1371" w:type="dxa"/>
            <w:tcBorders>
              <w:top w:val="single" w:color="000000" w:sz="4" w:space="0"/>
              <w:left w:val="single" w:color="000000" w:sz="4" w:space="0"/>
              <w:bottom w:val="single" w:color="000000" w:sz="4" w:space="0"/>
              <w:right w:val="single" w:color="000000" w:sz="4" w:space="0"/>
            </w:tcBorders>
            <w:vAlign w:val="center"/>
          </w:tcPr>
          <w:p w14:paraId="3560B652">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不锈钢烟罩夜视专用防爆LED灯</w:t>
            </w:r>
          </w:p>
        </w:tc>
        <w:tc>
          <w:tcPr>
            <w:tcW w:w="5493" w:type="dxa"/>
            <w:tcBorders>
              <w:top w:val="single" w:color="000000" w:sz="4" w:space="0"/>
              <w:left w:val="single" w:color="000000" w:sz="4" w:space="0"/>
              <w:bottom w:val="single" w:color="000000" w:sz="4" w:space="0"/>
              <w:right w:val="single" w:color="000000" w:sz="4" w:space="0"/>
            </w:tcBorders>
            <w:vAlign w:val="center"/>
          </w:tcPr>
          <w:p w14:paraId="5A3F4AEB">
            <w:pPr>
              <w:widowControl/>
              <w:jc w:val="left"/>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椭圆形LED防爆功能，增加 烟罩内部明亮空间，功率25W</w:t>
            </w:r>
          </w:p>
        </w:tc>
        <w:tc>
          <w:tcPr>
            <w:tcW w:w="640" w:type="dxa"/>
            <w:tcBorders>
              <w:top w:val="single" w:color="000000" w:sz="4" w:space="0"/>
              <w:left w:val="single" w:color="000000" w:sz="4" w:space="0"/>
              <w:bottom w:val="single" w:color="000000" w:sz="4" w:space="0"/>
              <w:right w:val="single" w:color="000000" w:sz="4" w:space="0"/>
            </w:tcBorders>
            <w:noWrap/>
            <w:vAlign w:val="center"/>
          </w:tcPr>
          <w:p w14:paraId="4929FF20">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个</w:t>
            </w:r>
          </w:p>
        </w:tc>
        <w:tc>
          <w:tcPr>
            <w:tcW w:w="707" w:type="dxa"/>
            <w:tcBorders>
              <w:top w:val="single" w:color="000000" w:sz="4" w:space="0"/>
              <w:left w:val="single" w:color="000000" w:sz="4" w:space="0"/>
              <w:bottom w:val="single" w:color="000000" w:sz="4" w:space="0"/>
              <w:right w:val="single" w:color="000000" w:sz="4" w:space="0"/>
            </w:tcBorders>
            <w:noWrap/>
            <w:vAlign w:val="center"/>
          </w:tcPr>
          <w:p w14:paraId="6B2D3BB9">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22</w:t>
            </w:r>
          </w:p>
        </w:tc>
      </w:tr>
      <w:tr w14:paraId="7E616D21">
        <w:tblPrEx>
          <w:tblCellMar>
            <w:top w:w="0" w:type="dxa"/>
            <w:left w:w="108" w:type="dxa"/>
            <w:bottom w:w="0" w:type="dxa"/>
            <w:right w:w="108" w:type="dxa"/>
          </w:tblCellMar>
        </w:tblPrEx>
        <w:trPr>
          <w:trHeight w:val="580" w:hRule="atLeast"/>
        </w:trPr>
        <w:tc>
          <w:tcPr>
            <w:tcW w:w="693" w:type="dxa"/>
            <w:vMerge w:val="restart"/>
            <w:tcBorders>
              <w:top w:val="single" w:color="000000" w:sz="4" w:space="0"/>
              <w:left w:val="single" w:color="000000" w:sz="4" w:space="0"/>
              <w:bottom w:val="single" w:color="000000" w:sz="4" w:space="0"/>
              <w:right w:val="single" w:color="000000" w:sz="4" w:space="0"/>
            </w:tcBorders>
            <w:noWrap/>
            <w:vAlign w:val="center"/>
          </w:tcPr>
          <w:p w14:paraId="13E8FBE6">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106</w:t>
            </w:r>
          </w:p>
        </w:tc>
        <w:tc>
          <w:tcPr>
            <w:tcW w:w="1371" w:type="dxa"/>
            <w:vMerge w:val="restart"/>
            <w:tcBorders>
              <w:top w:val="single" w:color="000000" w:sz="4" w:space="0"/>
              <w:left w:val="single" w:color="000000" w:sz="4" w:space="0"/>
              <w:bottom w:val="single" w:color="000000" w:sz="4" w:space="0"/>
              <w:right w:val="single" w:color="000000" w:sz="4" w:space="0"/>
            </w:tcBorders>
            <w:vAlign w:val="center"/>
          </w:tcPr>
          <w:p w14:paraId="6C145B74">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不锈钢集油收集箱</w:t>
            </w:r>
          </w:p>
        </w:tc>
        <w:tc>
          <w:tcPr>
            <w:tcW w:w="5493" w:type="dxa"/>
            <w:tcBorders>
              <w:top w:val="single" w:color="000000" w:sz="4" w:space="0"/>
              <w:left w:val="single" w:color="000000" w:sz="4" w:space="0"/>
              <w:bottom w:val="single" w:color="000000" w:sz="4" w:space="0"/>
              <w:right w:val="single" w:color="000000" w:sz="4" w:space="0"/>
            </w:tcBorders>
            <w:vAlign w:val="center"/>
          </w:tcPr>
          <w:p w14:paraId="6405541E">
            <w:pPr>
              <w:widowControl/>
              <w:jc w:val="left"/>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规格：≤700*700*700mm，不锈钢板材约1.2mm，压筋折边，压五环筋，增加管道硬度，烟流更加顺畅，美观、大方，以现场实际摆放为准</w:t>
            </w:r>
          </w:p>
        </w:tc>
        <w:tc>
          <w:tcPr>
            <w:tcW w:w="640" w:type="dxa"/>
            <w:tcBorders>
              <w:top w:val="single" w:color="000000" w:sz="4" w:space="0"/>
              <w:left w:val="single" w:color="000000" w:sz="4" w:space="0"/>
              <w:bottom w:val="single" w:color="000000" w:sz="4" w:space="0"/>
              <w:right w:val="single" w:color="000000" w:sz="4" w:space="0"/>
            </w:tcBorders>
            <w:noWrap/>
            <w:vAlign w:val="center"/>
          </w:tcPr>
          <w:p w14:paraId="3B790127">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米</w:t>
            </w:r>
          </w:p>
        </w:tc>
        <w:tc>
          <w:tcPr>
            <w:tcW w:w="707" w:type="dxa"/>
            <w:tcBorders>
              <w:top w:val="single" w:color="000000" w:sz="4" w:space="0"/>
              <w:left w:val="single" w:color="000000" w:sz="4" w:space="0"/>
              <w:bottom w:val="single" w:color="000000" w:sz="4" w:space="0"/>
              <w:right w:val="single" w:color="000000" w:sz="4" w:space="0"/>
            </w:tcBorders>
            <w:noWrap/>
            <w:vAlign w:val="center"/>
          </w:tcPr>
          <w:p w14:paraId="2C2E117B">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50</w:t>
            </w:r>
          </w:p>
        </w:tc>
      </w:tr>
      <w:tr w14:paraId="40EC500C">
        <w:tblPrEx>
          <w:tblCellMar>
            <w:top w:w="0" w:type="dxa"/>
            <w:left w:w="108" w:type="dxa"/>
            <w:bottom w:w="0" w:type="dxa"/>
            <w:right w:w="108" w:type="dxa"/>
          </w:tblCellMar>
        </w:tblPrEx>
        <w:trPr>
          <w:trHeight w:val="580" w:hRule="atLeast"/>
        </w:trPr>
        <w:tc>
          <w:tcPr>
            <w:tcW w:w="693" w:type="dxa"/>
            <w:vMerge w:val="continue"/>
            <w:tcBorders>
              <w:top w:val="single" w:color="000000" w:sz="4" w:space="0"/>
              <w:left w:val="single" w:color="000000" w:sz="4" w:space="0"/>
              <w:bottom w:val="single" w:color="000000" w:sz="4" w:space="0"/>
              <w:right w:val="single" w:color="000000" w:sz="4" w:space="0"/>
            </w:tcBorders>
            <w:noWrap/>
            <w:vAlign w:val="center"/>
          </w:tcPr>
          <w:p w14:paraId="7AA475D5">
            <w:pPr>
              <w:jc w:val="center"/>
              <w:rPr>
                <w:rFonts w:hint="eastAsia" w:ascii="宋体" w:hAnsi="宋体"/>
                <w:color w:val="auto"/>
                <w:sz w:val="22"/>
                <w:szCs w:val="22"/>
                <w:highlight w:val="none"/>
              </w:rPr>
            </w:pPr>
          </w:p>
        </w:tc>
        <w:tc>
          <w:tcPr>
            <w:tcW w:w="1371" w:type="dxa"/>
            <w:vMerge w:val="continue"/>
            <w:tcBorders>
              <w:top w:val="single" w:color="000000" w:sz="4" w:space="0"/>
              <w:left w:val="single" w:color="000000" w:sz="4" w:space="0"/>
              <w:bottom w:val="single" w:color="000000" w:sz="4" w:space="0"/>
              <w:right w:val="single" w:color="000000" w:sz="4" w:space="0"/>
            </w:tcBorders>
            <w:vAlign w:val="center"/>
          </w:tcPr>
          <w:p w14:paraId="12496D7C">
            <w:pPr>
              <w:jc w:val="center"/>
              <w:rPr>
                <w:rFonts w:hint="eastAsia" w:ascii="宋体" w:hAnsi="宋体"/>
                <w:color w:val="auto"/>
                <w:sz w:val="22"/>
                <w:szCs w:val="22"/>
                <w:highlight w:val="none"/>
              </w:rPr>
            </w:pPr>
          </w:p>
        </w:tc>
        <w:tc>
          <w:tcPr>
            <w:tcW w:w="5493" w:type="dxa"/>
            <w:tcBorders>
              <w:top w:val="single" w:color="000000" w:sz="4" w:space="0"/>
              <w:left w:val="single" w:color="000000" w:sz="4" w:space="0"/>
              <w:bottom w:val="single" w:color="000000" w:sz="4" w:space="0"/>
              <w:right w:val="single" w:color="000000" w:sz="4" w:space="0"/>
            </w:tcBorders>
            <w:vAlign w:val="center"/>
          </w:tcPr>
          <w:p w14:paraId="25F9E053">
            <w:pPr>
              <w:widowControl/>
              <w:jc w:val="left"/>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规格：≤600*600*600mm，不锈钢板材约1.2mm，压筋折边，压五环筋，增加管道硬度，烟流更加顺畅，美观、大方，以现场实际摆放为准</w:t>
            </w:r>
          </w:p>
        </w:tc>
        <w:tc>
          <w:tcPr>
            <w:tcW w:w="640" w:type="dxa"/>
            <w:tcBorders>
              <w:top w:val="single" w:color="000000" w:sz="4" w:space="0"/>
              <w:left w:val="single" w:color="000000" w:sz="4" w:space="0"/>
              <w:bottom w:val="single" w:color="000000" w:sz="4" w:space="0"/>
              <w:right w:val="single" w:color="000000" w:sz="4" w:space="0"/>
            </w:tcBorders>
            <w:noWrap/>
            <w:vAlign w:val="center"/>
          </w:tcPr>
          <w:p w14:paraId="7E1FA56B">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米</w:t>
            </w:r>
          </w:p>
        </w:tc>
        <w:tc>
          <w:tcPr>
            <w:tcW w:w="707" w:type="dxa"/>
            <w:tcBorders>
              <w:top w:val="single" w:color="000000" w:sz="4" w:space="0"/>
              <w:left w:val="single" w:color="000000" w:sz="4" w:space="0"/>
              <w:bottom w:val="single" w:color="000000" w:sz="4" w:space="0"/>
              <w:right w:val="single" w:color="000000" w:sz="4" w:space="0"/>
            </w:tcBorders>
            <w:noWrap/>
            <w:vAlign w:val="center"/>
          </w:tcPr>
          <w:p w14:paraId="1F19EED6">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6</w:t>
            </w:r>
          </w:p>
        </w:tc>
      </w:tr>
      <w:tr w14:paraId="7FA2FBA6">
        <w:tblPrEx>
          <w:tblCellMar>
            <w:top w:w="0" w:type="dxa"/>
            <w:left w:w="108" w:type="dxa"/>
            <w:bottom w:w="0" w:type="dxa"/>
            <w:right w:w="108" w:type="dxa"/>
          </w:tblCellMar>
        </w:tblPrEx>
        <w:trPr>
          <w:trHeight w:val="580" w:hRule="atLeast"/>
        </w:trPr>
        <w:tc>
          <w:tcPr>
            <w:tcW w:w="693" w:type="dxa"/>
            <w:tcBorders>
              <w:top w:val="single" w:color="000000" w:sz="4" w:space="0"/>
              <w:left w:val="single" w:color="000000" w:sz="4" w:space="0"/>
              <w:bottom w:val="single" w:color="000000" w:sz="4" w:space="0"/>
              <w:right w:val="single" w:color="000000" w:sz="4" w:space="0"/>
            </w:tcBorders>
            <w:noWrap/>
            <w:vAlign w:val="center"/>
          </w:tcPr>
          <w:p w14:paraId="44C7C110">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107</w:t>
            </w:r>
          </w:p>
        </w:tc>
        <w:tc>
          <w:tcPr>
            <w:tcW w:w="1371" w:type="dxa"/>
            <w:tcBorders>
              <w:top w:val="single" w:color="000000" w:sz="4" w:space="0"/>
              <w:left w:val="single" w:color="000000" w:sz="4" w:space="0"/>
              <w:bottom w:val="single" w:color="000000" w:sz="4" w:space="0"/>
              <w:right w:val="single" w:color="000000" w:sz="4" w:space="0"/>
            </w:tcBorders>
            <w:vAlign w:val="center"/>
          </w:tcPr>
          <w:p w14:paraId="3E466173">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不锈钢集油风向转换器           （室内）</w:t>
            </w:r>
          </w:p>
        </w:tc>
        <w:tc>
          <w:tcPr>
            <w:tcW w:w="5493" w:type="dxa"/>
            <w:tcBorders>
              <w:top w:val="single" w:color="000000" w:sz="4" w:space="0"/>
              <w:left w:val="single" w:color="000000" w:sz="4" w:space="0"/>
              <w:bottom w:val="single" w:color="000000" w:sz="4" w:space="0"/>
              <w:right w:val="single" w:color="000000" w:sz="4" w:space="0"/>
            </w:tcBorders>
            <w:vAlign w:val="center"/>
          </w:tcPr>
          <w:p w14:paraId="2D153C10">
            <w:pPr>
              <w:widowControl/>
              <w:jc w:val="left"/>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规格：≤700*700*700mm，不锈钢板材约1.2mm，压筋折边，压五环筋，增加管道硬度，烟流更加顺畅，美观、大方，以现场实际摆放为准</w:t>
            </w:r>
          </w:p>
        </w:tc>
        <w:tc>
          <w:tcPr>
            <w:tcW w:w="640" w:type="dxa"/>
            <w:tcBorders>
              <w:top w:val="single" w:color="000000" w:sz="4" w:space="0"/>
              <w:left w:val="single" w:color="000000" w:sz="4" w:space="0"/>
              <w:bottom w:val="single" w:color="000000" w:sz="4" w:space="0"/>
              <w:right w:val="single" w:color="000000" w:sz="4" w:space="0"/>
            </w:tcBorders>
            <w:noWrap/>
            <w:vAlign w:val="center"/>
          </w:tcPr>
          <w:p w14:paraId="22AE1000">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个</w:t>
            </w:r>
          </w:p>
        </w:tc>
        <w:tc>
          <w:tcPr>
            <w:tcW w:w="707" w:type="dxa"/>
            <w:tcBorders>
              <w:top w:val="single" w:color="000000" w:sz="4" w:space="0"/>
              <w:left w:val="single" w:color="000000" w:sz="4" w:space="0"/>
              <w:bottom w:val="single" w:color="000000" w:sz="4" w:space="0"/>
              <w:right w:val="single" w:color="000000" w:sz="4" w:space="0"/>
            </w:tcBorders>
            <w:noWrap/>
            <w:vAlign w:val="center"/>
          </w:tcPr>
          <w:p w14:paraId="0AA88FD8">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4</w:t>
            </w:r>
          </w:p>
        </w:tc>
      </w:tr>
      <w:tr w14:paraId="6FB1D677">
        <w:tblPrEx>
          <w:tblCellMar>
            <w:top w:w="0" w:type="dxa"/>
            <w:left w:w="108" w:type="dxa"/>
            <w:bottom w:w="0" w:type="dxa"/>
            <w:right w:w="108" w:type="dxa"/>
          </w:tblCellMar>
        </w:tblPrEx>
        <w:trPr>
          <w:trHeight w:val="580" w:hRule="atLeast"/>
        </w:trPr>
        <w:tc>
          <w:tcPr>
            <w:tcW w:w="693" w:type="dxa"/>
            <w:vMerge w:val="restart"/>
            <w:tcBorders>
              <w:top w:val="single" w:color="000000" w:sz="4" w:space="0"/>
              <w:left w:val="single" w:color="000000" w:sz="4" w:space="0"/>
              <w:bottom w:val="single" w:color="000000" w:sz="4" w:space="0"/>
              <w:right w:val="single" w:color="000000" w:sz="4" w:space="0"/>
            </w:tcBorders>
            <w:noWrap/>
            <w:vAlign w:val="center"/>
          </w:tcPr>
          <w:p w14:paraId="2A9D19A0">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108</w:t>
            </w:r>
          </w:p>
        </w:tc>
        <w:tc>
          <w:tcPr>
            <w:tcW w:w="1371" w:type="dxa"/>
            <w:vMerge w:val="restart"/>
            <w:tcBorders>
              <w:top w:val="single" w:color="000000" w:sz="4" w:space="0"/>
              <w:left w:val="single" w:color="000000" w:sz="4" w:space="0"/>
              <w:bottom w:val="single" w:color="000000" w:sz="4" w:space="0"/>
              <w:right w:val="single" w:color="000000" w:sz="4" w:space="0"/>
            </w:tcBorders>
            <w:vAlign w:val="center"/>
          </w:tcPr>
          <w:p w14:paraId="67ECCE96">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不锈钢风井内主管道</w:t>
            </w:r>
          </w:p>
        </w:tc>
        <w:tc>
          <w:tcPr>
            <w:tcW w:w="5493" w:type="dxa"/>
            <w:tcBorders>
              <w:top w:val="single" w:color="000000" w:sz="4" w:space="0"/>
              <w:left w:val="single" w:color="000000" w:sz="4" w:space="0"/>
              <w:bottom w:val="single" w:color="000000" w:sz="4" w:space="0"/>
              <w:right w:val="single" w:color="000000" w:sz="4" w:space="0"/>
            </w:tcBorders>
            <w:vAlign w:val="center"/>
          </w:tcPr>
          <w:p w14:paraId="02BE4AEE">
            <w:pPr>
              <w:widowControl/>
              <w:jc w:val="left"/>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规格：≤800*800*800mm，不锈钢板材约1.2mm，压筋折边，压五环筋，增加管道硬度，烟流更加顺畅，美观、大方，以现场实际摆放为准</w:t>
            </w:r>
          </w:p>
        </w:tc>
        <w:tc>
          <w:tcPr>
            <w:tcW w:w="640" w:type="dxa"/>
            <w:tcBorders>
              <w:top w:val="single" w:color="000000" w:sz="4" w:space="0"/>
              <w:left w:val="single" w:color="000000" w:sz="4" w:space="0"/>
              <w:bottom w:val="single" w:color="000000" w:sz="4" w:space="0"/>
              <w:right w:val="single" w:color="000000" w:sz="4" w:space="0"/>
            </w:tcBorders>
            <w:noWrap/>
            <w:vAlign w:val="center"/>
          </w:tcPr>
          <w:p w14:paraId="594D384B">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米</w:t>
            </w:r>
          </w:p>
        </w:tc>
        <w:tc>
          <w:tcPr>
            <w:tcW w:w="707" w:type="dxa"/>
            <w:tcBorders>
              <w:top w:val="single" w:color="000000" w:sz="4" w:space="0"/>
              <w:left w:val="single" w:color="000000" w:sz="4" w:space="0"/>
              <w:bottom w:val="single" w:color="000000" w:sz="4" w:space="0"/>
              <w:right w:val="single" w:color="000000" w:sz="4" w:space="0"/>
            </w:tcBorders>
            <w:noWrap/>
            <w:vAlign w:val="center"/>
          </w:tcPr>
          <w:p w14:paraId="0275790F">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102.4</w:t>
            </w:r>
          </w:p>
        </w:tc>
      </w:tr>
      <w:tr w14:paraId="67C3A0AE">
        <w:tblPrEx>
          <w:tblCellMar>
            <w:top w:w="0" w:type="dxa"/>
            <w:left w:w="108" w:type="dxa"/>
            <w:bottom w:w="0" w:type="dxa"/>
            <w:right w:w="108" w:type="dxa"/>
          </w:tblCellMar>
        </w:tblPrEx>
        <w:trPr>
          <w:trHeight w:val="580" w:hRule="atLeast"/>
        </w:trPr>
        <w:tc>
          <w:tcPr>
            <w:tcW w:w="693" w:type="dxa"/>
            <w:vMerge w:val="continue"/>
            <w:tcBorders>
              <w:top w:val="single" w:color="000000" w:sz="4" w:space="0"/>
              <w:left w:val="single" w:color="000000" w:sz="4" w:space="0"/>
              <w:bottom w:val="single" w:color="000000" w:sz="4" w:space="0"/>
              <w:right w:val="single" w:color="000000" w:sz="4" w:space="0"/>
            </w:tcBorders>
            <w:noWrap/>
            <w:vAlign w:val="center"/>
          </w:tcPr>
          <w:p w14:paraId="147D7EE8">
            <w:pPr>
              <w:jc w:val="center"/>
              <w:rPr>
                <w:rFonts w:hint="eastAsia" w:ascii="宋体" w:hAnsi="宋体"/>
                <w:color w:val="auto"/>
                <w:sz w:val="22"/>
                <w:szCs w:val="22"/>
                <w:highlight w:val="none"/>
              </w:rPr>
            </w:pPr>
          </w:p>
        </w:tc>
        <w:tc>
          <w:tcPr>
            <w:tcW w:w="1371" w:type="dxa"/>
            <w:vMerge w:val="continue"/>
            <w:tcBorders>
              <w:top w:val="single" w:color="000000" w:sz="4" w:space="0"/>
              <w:left w:val="single" w:color="000000" w:sz="4" w:space="0"/>
              <w:bottom w:val="single" w:color="000000" w:sz="4" w:space="0"/>
              <w:right w:val="single" w:color="000000" w:sz="4" w:space="0"/>
            </w:tcBorders>
            <w:vAlign w:val="center"/>
          </w:tcPr>
          <w:p w14:paraId="2D7A5570">
            <w:pPr>
              <w:jc w:val="center"/>
              <w:rPr>
                <w:rFonts w:hint="eastAsia" w:ascii="宋体" w:hAnsi="宋体"/>
                <w:color w:val="auto"/>
                <w:sz w:val="22"/>
                <w:szCs w:val="22"/>
                <w:highlight w:val="none"/>
              </w:rPr>
            </w:pPr>
          </w:p>
        </w:tc>
        <w:tc>
          <w:tcPr>
            <w:tcW w:w="5493" w:type="dxa"/>
            <w:tcBorders>
              <w:top w:val="single" w:color="000000" w:sz="4" w:space="0"/>
              <w:left w:val="single" w:color="000000" w:sz="4" w:space="0"/>
              <w:bottom w:val="single" w:color="000000" w:sz="4" w:space="0"/>
              <w:right w:val="single" w:color="000000" w:sz="4" w:space="0"/>
            </w:tcBorders>
            <w:vAlign w:val="center"/>
          </w:tcPr>
          <w:p w14:paraId="492C6448">
            <w:pPr>
              <w:widowControl/>
              <w:jc w:val="left"/>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规格：≤600*600*600mm，不锈钢板材约1.2mm，压筋折边，压五环筋，增加管道硬度，烟流更加顺畅，美观、大方，以现场实际摆放为准</w:t>
            </w:r>
          </w:p>
        </w:tc>
        <w:tc>
          <w:tcPr>
            <w:tcW w:w="640" w:type="dxa"/>
            <w:tcBorders>
              <w:top w:val="single" w:color="000000" w:sz="4" w:space="0"/>
              <w:left w:val="single" w:color="000000" w:sz="4" w:space="0"/>
              <w:bottom w:val="single" w:color="000000" w:sz="4" w:space="0"/>
              <w:right w:val="single" w:color="000000" w:sz="4" w:space="0"/>
            </w:tcBorders>
            <w:noWrap/>
            <w:vAlign w:val="center"/>
          </w:tcPr>
          <w:p w14:paraId="470FF9A5">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米</w:t>
            </w:r>
          </w:p>
        </w:tc>
        <w:tc>
          <w:tcPr>
            <w:tcW w:w="707" w:type="dxa"/>
            <w:tcBorders>
              <w:top w:val="single" w:color="000000" w:sz="4" w:space="0"/>
              <w:left w:val="single" w:color="000000" w:sz="4" w:space="0"/>
              <w:bottom w:val="single" w:color="000000" w:sz="4" w:space="0"/>
              <w:right w:val="single" w:color="000000" w:sz="4" w:space="0"/>
            </w:tcBorders>
            <w:noWrap/>
            <w:vAlign w:val="center"/>
          </w:tcPr>
          <w:p w14:paraId="4AE90077">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38.4</w:t>
            </w:r>
          </w:p>
        </w:tc>
      </w:tr>
      <w:tr w14:paraId="48F7A359">
        <w:tblPrEx>
          <w:tblCellMar>
            <w:top w:w="0" w:type="dxa"/>
            <w:left w:w="108" w:type="dxa"/>
            <w:bottom w:w="0" w:type="dxa"/>
            <w:right w:w="108" w:type="dxa"/>
          </w:tblCellMar>
        </w:tblPrEx>
        <w:trPr>
          <w:trHeight w:val="580" w:hRule="atLeast"/>
        </w:trPr>
        <w:tc>
          <w:tcPr>
            <w:tcW w:w="693" w:type="dxa"/>
            <w:vMerge w:val="restart"/>
            <w:tcBorders>
              <w:top w:val="single" w:color="000000" w:sz="4" w:space="0"/>
              <w:left w:val="single" w:color="000000" w:sz="4" w:space="0"/>
              <w:bottom w:val="single" w:color="000000" w:sz="4" w:space="0"/>
              <w:right w:val="single" w:color="000000" w:sz="4" w:space="0"/>
            </w:tcBorders>
            <w:noWrap/>
            <w:vAlign w:val="center"/>
          </w:tcPr>
          <w:p w14:paraId="56F8300A">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109</w:t>
            </w:r>
          </w:p>
        </w:tc>
        <w:tc>
          <w:tcPr>
            <w:tcW w:w="1371" w:type="dxa"/>
            <w:vMerge w:val="restart"/>
            <w:tcBorders>
              <w:top w:val="single" w:color="000000" w:sz="4" w:space="0"/>
              <w:left w:val="single" w:color="000000" w:sz="4" w:space="0"/>
              <w:bottom w:val="single" w:color="000000" w:sz="4" w:space="0"/>
              <w:right w:val="single" w:color="000000" w:sz="4" w:space="0"/>
            </w:tcBorders>
            <w:vAlign w:val="center"/>
          </w:tcPr>
          <w:p w14:paraId="0A57E101">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不锈钢风井主管道转换器</w:t>
            </w:r>
          </w:p>
        </w:tc>
        <w:tc>
          <w:tcPr>
            <w:tcW w:w="5493" w:type="dxa"/>
            <w:tcBorders>
              <w:top w:val="single" w:color="000000" w:sz="4" w:space="0"/>
              <w:left w:val="single" w:color="000000" w:sz="4" w:space="0"/>
              <w:bottom w:val="single" w:color="000000" w:sz="4" w:space="0"/>
              <w:right w:val="single" w:color="000000" w:sz="4" w:space="0"/>
            </w:tcBorders>
            <w:vAlign w:val="center"/>
          </w:tcPr>
          <w:p w14:paraId="685F9005">
            <w:pPr>
              <w:widowControl/>
              <w:jc w:val="left"/>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规格：≤800*800*800mm，不锈钢板材约1.2mm，压筋折边，压五环筋，增加管道硬度，烟流更加顺畅，美观、大方，以现场实际摆放为准</w:t>
            </w:r>
          </w:p>
        </w:tc>
        <w:tc>
          <w:tcPr>
            <w:tcW w:w="640" w:type="dxa"/>
            <w:tcBorders>
              <w:top w:val="single" w:color="000000" w:sz="4" w:space="0"/>
              <w:left w:val="single" w:color="000000" w:sz="4" w:space="0"/>
              <w:bottom w:val="single" w:color="000000" w:sz="4" w:space="0"/>
              <w:right w:val="single" w:color="000000" w:sz="4" w:space="0"/>
            </w:tcBorders>
            <w:noWrap/>
            <w:vAlign w:val="center"/>
          </w:tcPr>
          <w:p w14:paraId="3524F38C">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个</w:t>
            </w:r>
          </w:p>
        </w:tc>
        <w:tc>
          <w:tcPr>
            <w:tcW w:w="707" w:type="dxa"/>
            <w:tcBorders>
              <w:top w:val="single" w:color="000000" w:sz="4" w:space="0"/>
              <w:left w:val="single" w:color="000000" w:sz="4" w:space="0"/>
              <w:bottom w:val="single" w:color="000000" w:sz="4" w:space="0"/>
              <w:right w:val="single" w:color="000000" w:sz="4" w:space="0"/>
            </w:tcBorders>
            <w:noWrap/>
            <w:vAlign w:val="center"/>
          </w:tcPr>
          <w:p w14:paraId="65A012A1">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4</w:t>
            </w:r>
          </w:p>
        </w:tc>
      </w:tr>
      <w:tr w14:paraId="22B8D444">
        <w:tblPrEx>
          <w:tblCellMar>
            <w:top w:w="0" w:type="dxa"/>
            <w:left w:w="108" w:type="dxa"/>
            <w:bottom w:w="0" w:type="dxa"/>
            <w:right w:w="108" w:type="dxa"/>
          </w:tblCellMar>
        </w:tblPrEx>
        <w:trPr>
          <w:trHeight w:val="580" w:hRule="atLeast"/>
        </w:trPr>
        <w:tc>
          <w:tcPr>
            <w:tcW w:w="693" w:type="dxa"/>
            <w:vMerge w:val="continue"/>
            <w:tcBorders>
              <w:top w:val="single" w:color="000000" w:sz="4" w:space="0"/>
              <w:left w:val="single" w:color="000000" w:sz="4" w:space="0"/>
              <w:bottom w:val="single" w:color="000000" w:sz="4" w:space="0"/>
              <w:right w:val="single" w:color="000000" w:sz="4" w:space="0"/>
            </w:tcBorders>
            <w:noWrap/>
            <w:vAlign w:val="center"/>
          </w:tcPr>
          <w:p w14:paraId="5F4266A5">
            <w:pPr>
              <w:jc w:val="center"/>
              <w:rPr>
                <w:rFonts w:hint="eastAsia" w:ascii="宋体" w:hAnsi="宋体"/>
                <w:color w:val="auto"/>
                <w:sz w:val="22"/>
                <w:szCs w:val="22"/>
                <w:highlight w:val="none"/>
              </w:rPr>
            </w:pPr>
          </w:p>
        </w:tc>
        <w:tc>
          <w:tcPr>
            <w:tcW w:w="1371" w:type="dxa"/>
            <w:vMerge w:val="continue"/>
            <w:tcBorders>
              <w:top w:val="single" w:color="000000" w:sz="4" w:space="0"/>
              <w:left w:val="single" w:color="000000" w:sz="4" w:space="0"/>
              <w:bottom w:val="single" w:color="000000" w:sz="4" w:space="0"/>
              <w:right w:val="single" w:color="000000" w:sz="4" w:space="0"/>
            </w:tcBorders>
            <w:vAlign w:val="center"/>
          </w:tcPr>
          <w:p w14:paraId="1168B591">
            <w:pPr>
              <w:jc w:val="center"/>
              <w:rPr>
                <w:rFonts w:hint="eastAsia" w:ascii="宋体" w:hAnsi="宋体"/>
                <w:color w:val="auto"/>
                <w:sz w:val="22"/>
                <w:szCs w:val="22"/>
                <w:highlight w:val="none"/>
              </w:rPr>
            </w:pPr>
          </w:p>
        </w:tc>
        <w:tc>
          <w:tcPr>
            <w:tcW w:w="5493" w:type="dxa"/>
            <w:tcBorders>
              <w:top w:val="single" w:color="000000" w:sz="4" w:space="0"/>
              <w:left w:val="single" w:color="000000" w:sz="4" w:space="0"/>
              <w:bottom w:val="single" w:color="000000" w:sz="4" w:space="0"/>
              <w:right w:val="single" w:color="000000" w:sz="4" w:space="0"/>
            </w:tcBorders>
            <w:vAlign w:val="center"/>
          </w:tcPr>
          <w:p w14:paraId="790A252F">
            <w:pPr>
              <w:widowControl/>
              <w:jc w:val="left"/>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规格：≤600*600*600mm，不锈钢板材约1.2mm，压筋折边，压五环筋，增加管道硬度，烟流更加顺畅，美观、大方，以现场实际摆放为准</w:t>
            </w:r>
          </w:p>
        </w:tc>
        <w:tc>
          <w:tcPr>
            <w:tcW w:w="640" w:type="dxa"/>
            <w:tcBorders>
              <w:top w:val="single" w:color="000000" w:sz="4" w:space="0"/>
              <w:left w:val="single" w:color="000000" w:sz="4" w:space="0"/>
              <w:bottom w:val="single" w:color="000000" w:sz="4" w:space="0"/>
              <w:right w:val="single" w:color="000000" w:sz="4" w:space="0"/>
            </w:tcBorders>
            <w:noWrap/>
            <w:vAlign w:val="center"/>
          </w:tcPr>
          <w:p w14:paraId="15416E0B">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个</w:t>
            </w:r>
          </w:p>
        </w:tc>
        <w:tc>
          <w:tcPr>
            <w:tcW w:w="707" w:type="dxa"/>
            <w:tcBorders>
              <w:top w:val="single" w:color="000000" w:sz="4" w:space="0"/>
              <w:left w:val="single" w:color="000000" w:sz="4" w:space="0"/>
              <w:bottom w:val="single" w:color="000000" w:sz="4" w:space="0"/>
              <w:right w:val="single" w:color="000000" w:sz="4" w:space="0"/>
            </w:tcBorders>
            <w:noWrap/>
            <w:vAlign w:val="center"/>
          </w:tcPr>
          <w:p w14:paraId="0A275A1E">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2</w:t>
            </w:r>
          </w:p>
        </w:tc>
      </w:tr>
      <w:tr w14:paraId="10E1F46A">
        <w:tblPrEx>
          <w:tblCellMar>
            <w:top w:w="0" w:type="dxa"/>
            <w:left w:w="108" w:type="dxa"/>
            <w:bottom w:w="0" w:type="dxa"/>
            <w:right w:w="108" w:type="dxa"/>
          </w:tblCellMar>
        </w:tblPrEx>
        <w:trPr>
          <w:trHeight w:val="580" w:hRule="atLeast"/>
        </w:trPr>
        <w:tc>
          <w:tcPr>
            <w:tcW w:w="693" w:type="dxa"/>
            <w:tcBorders>
              <w:top w:val="single" w:color="000000" w:sz="4" w:space="0"/>
              <w:left w:val="single" w:color="000000" w:sz="4" w:space="0"/>
              <w:bottom w:val="single" w:color="000000" w:sz="4" w:space="0"/>
              <w:right w:val="single" w:color="000000" w:sz="4" w:space="0"/>
            </w:tcBorders>
            <w:noWrap/>
            <w:vAlign w:val="center"/>
          </w:tcPr>
          <w:p w14:paraId="27B4045B">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110</w:t>
            </w:r>
          </w:p>
        </w:tc>
        <w:tc>
          <w:tcPr>
            <w:tcW w:w="1371" w:type="dxa"/>
            <w:tcBorders>
              <w:top w:val="single" w:color="000000" w:sz="4" w:space="0"/>
              <w:left w:val="single" w:color="000000" w:sz="4" w:space="0"/>
              <w:bottom w:val="single" w:color="000000" w:sz="4" w:space="0"/>
              <w:right w:val="single" w:color="000000" w:sz="4" w:space="0"/>
            </w:tcBorders>
            <w:vAlign w:val="center"/>
          </w:tcPr>
          <w:p w14:paraId="4017CDC2">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不锈钢油烟净化器风向截流板</w:t>
            </w:r>
          </w:p>
        </w:tc>
        <w:tc>
          <w:tcPr>
            <w:tcW w:w="5493" w:type="dxa"/>
            <w:tcBorders>
              <w:top w:val="single" w:color="000000" w:sz="4" w:space="0"/>
              <w:left w:val="single" w:color="000000" w:sz="4" w:space="0"/>
              <w:bottom w:val="single" w:color="000000" w:sz="4" w:space="0"/>
              <w:right w:val="single" w:color="000000" w:sz="4" w:space="0"/>
            </w:tcBorders>
            <w:vAlign w:val="center"/>
          </w:tcPr>
          <w:p w14:paraId="6C3D55E1">
            <w:pPr>
              <w:widowControl/>
              <w:jc w:val="left"/>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不锈钢板材约1.2mm，压筋折边，压五环筋，增加管道硬度，烟流更加顺畅，美观、大方，以现场实际摆放为准</w:t>
            </w:r>
          </w:p>
        </w:tc>
        <w:tc>
          <w:tcPr>
            <w:tcW w:w="640" w:type="dxa"/>
            <w:tcBorders>
              <w:top w:val="single" w:color="000000" w:sz="4" w:space="0"/>
              <w:left w:val="single" w:color="000000" w:sz="4" w:space="0"/>
              <w:bottom w:val="single" w:color="000000" w:sz="4" w:space="0"/>
              <w:right w:val="single" w:color="000000" w:sz="4" w:space="0"/>
            </w:tcBorders>
            <w:noWrap/>
            <w:vAlign w:val="center"/>
          </w:tcPr>
          <w:p w14:paraId="081480BE">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套</w:t>
            </w:r>
          </w:p>
        </w:tc>
        <w:tc>
          <w:tcPr>
            <w:tcW w:w="707" w:type="dxa"/>
            <w:tcBorders>
              <w:top w:val="single" w:color="000000" w:sz="4" w:space="0"/>
              <w:left w:val="single" w:color="000000" w:sz="4" w:space="0"/>
              <w:bottom w:val="single" w:color="000000" w:sz="4" w:space="0"/>
              <w:right w:val="single" w:color="000000" w:sz="4" w:space="0"/>
            </w:tcBorders>
            <w:noWrap/>
            <w:vAlign w:val="center"/>
          </w:tcPr>
          <w:p w14:paraId="159BB0FF">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6</w:t>
            </w:r>
          </w:p>
        </w:tc>
      </w:tr>
      <w:tr w14:paraId="019D5B4C">
        <w:tblPrEx>
          <w:tblCellMar>
            <w:top w:w="0" w:type="dxa"/>
            <w:left w:w="108" w:type="dxa"/>
            <w:bottom w:w="0" w:type="dxa"/>
            <w:right w:w="108" w:type="dxa"/>
          </w:tblCellMar>
        </w:tblPrEx>
        <w:trPr>
          <w:trHeight w:val="580" w:hRule="atLeast"/>
        </w:trPr>
        <w:tc>
          <w:tcPr>
            <w:tcW w:w="693" w:type="dxa"/>
            <w:tcBorders>
              <w:top w:val="single" w:color="000000" w:sz="4" w:space="0"/>
              <w:left w:val="single" w:color="000000" w:sz="4" w:space="0"/>
              <w:bottom w:val="single" w:color="000000" w:sz="4" w:space="0"/>
              <w:right w:val="single" w:color="000000" w:sz="4" w:space="0"/>
            </w:tcBorders>
            <w:noWrap/>
            <w:vAlign w:val="center"/>
          </w:tcPr>
          <w:p w14:paraId="476A4ED0">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111</w:t>
            </w:r>
          </w:p>
        </w:tc>
        <w:tc>
          <w:tcPr>
            <w:tcW w:w="1371" w:type="dxa"/>
            <w:tcBorders>
              <w:top w:val="single" w:color="000000" w:sz="4" w:space="0"/>
              <w:left w:val="single" w:color="000000" w:sz="4" w:space="0"/>
              <w:bottom w:val="single" w:color="000000" w:sz="4" w:space="0"/>
              <w:right w:val="single" w:color="000000" w:sz="4" w:space="0"/>
            </w:tcBorders>
            <w:vAlign w:val="center"/>
          </w:tcPr>
          <w:p w14:paraId="545E6644">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吊丝、法兰</w:t>
            </w:r>
          </w:p>
        </w:tc>
        <w:tc>
          <w:tcPr>
            <w:tcW w:w="5493" w:type="dxa"/>
            <w:tcBorders>
              <w:top w:val="single" w:color="000000" w:sz="4" w:space="0"/>
              <w:left w:val="single" w:color="000000" w:sz="4" w:space="0"/>
              <w:bottom w:val="single" w:color="000000" w:sz="4" w:space="0"/>
              <w:right w:val="single" w:color="000000" w:sz="4" w:space="0"/>
            </w:tcBorders>
            <w:vAlign w:val="center"/>
          </w:tcPr>
          <w:p w14:paraId="44861D56">
            <w:pPr>
              <w:widowControl/>
              <w:jc w:val="left"/>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10号吊丝5*5角钢焊接，防腐处理，经久耐用</w:t>
            </w:r>
          </w:p>
        </w:tc>
        <w:tc>
          <w:tcPr>
            <w:tcW w:w="640" w:type="dxa"/>
            <w:tcBorders>
              <w:top w:val="single" w:color="000000" w:sz="4" w:space="0"/>
              <w:left w:val="single" w:color="000000" w:sz="4" w:space="0"/>
              <w:bottom w:val="single" w:color="000000" w:sz="4" w:space="0"/>
              <w:right w:val="single" w:color="000000" w:sz="4" w:space="0"/>
            </w:tcBorders>
            <w:noWrap/>
            <w:vAlign w:val="center"/>
          </w:tcPr>
          <w:p w14:paraId="682055E4">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套</w:t>
            </w:r>
          </w:p>
        </w:tc>
        <w:tc>
          <w:tcPr>
            <w:tcW w:w="707" w:type="dxa"/>
            <w:tcBorders>
              <w:top w:val="single" w:color="000000" w:sz="4" w:space="0"/>
              <w:left w:val="single" w:color="000000" w:sz="4" w:space="0"/>
              <w:bottom w:val="single" w:color="000000" w:sz="4" w:space="0"/>
              <w:right w:val="single" w:color="000000" w:sz="4" w:space="0"/>
            </w:tcBorders>
            <w:noWrap/>
            <w:vAlign w:val="center"/>
          </w:tcPr>
          <w:p w14:paraId="3B8BEA03">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100</w:t>
            </w:r>
          </w:p>
        </w:tc>
      </w:tr>
      <w:tr w14:paraId="13BC430C">
        <w:tblPrEx>
          <w:tblCellMar>
            <w:top w:w="0" w:type="dxa"/>
            <w:left w:w="108" w:type="dxa"/>
            <w:bottom w:w="0" w:type="dxa"/>
            <w:right w:w="108" w:type="dxa"/>
          </w:tblCellMar>
        </w:tblPrEx>
        <w:trPr>
          <w:trHeight w:val="580" w:hRule="atLeast"/>
        </w:trPr>
        <w:tc>
          <w:tcPr>
            <w:tcW w:w="693" w:type="dxa"/>
            <w:tcBorders>
              <w:top w:val="single" w:color="000000" w:sz="4" w:space="0"/>
              <w:left w:val="single" w:color="000000" w:sz="4" w:space="0"/>
              <w:bottom w:val="single" w:color="000000" w:sz="4" w:space="0"/>
              <w:right w:val="single" w:color="000000" w:sz="4" w:space="0"/>
            </w:tcBorders>
            <w:noWrap/>
            <w:vAlign w:val="center"/>
          </w:tcPr>
          <w:p w14:paraId="0CC41CCC">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112</w:t>
            </w:r>
          </w:p>
        </w:tc>
        <w:tc>
          <w:tcPr>
            <w:tcW w:w="1371" w:type="dxa"/>
            <w:tcBorders>
              <w:top w:val="single" w:color="000000" w:sz="4" w:space="0"/>
              <w:left w:val="single" w:color="000000" w:sz="4" w:space="0"/>
              <w:bottom w:val="single" w:color="000000" w:sz="4" w:space="0"/>
              <w:right w:val="single" w:color="000000" w:sz="4" w:space="0"/>
            </w:tcBorders>
            <w:vAlign w:val="center"/>
          </w:tcPr>
          <w:p w14:paraId="5A917BB3">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风机集油收纳板</w:t>
            </w:r>
          </w:p>
        </w:tc>
        <w:tc>
          <w:tcPr>
            <w:tcW w:w="5493" w:type="dxa"/>
            <w:tcBorders>
              <w:top w:val="single" w:color="000000" w:sz="4" w:space="0"/>
              <w:left w:val="single" w:color="000000" w:sz="4" w:space="0"/>
              <w:bottom w:val="single" w:color="000000" w:sz="4" w:space="0"/>
              <w:right w:val="single" w:color="000000" w:sz="4" w:space="0"/>
            </w:tcBorders>
            <w:vAlign w:val="center"/>
          </w:tcPr>
          <w:p w14:paraId="1A437336">
            <w:pPr>
              <w:widowControl/>
              <w:jc w:val="left"/>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不锈钢板材约1.2mm，压筋折边，压五环筋，增加管道硬度，烟流更加顺畅，美观、大方</w:t>
            </w:r>
          </w:p>
        </w:tc>
        <w:tc>
          <w:tcPr>
            <w:tcW w:w="640" w:type="dxa"/>
            <w:tcBorders>
              <w:top w:val="single" w:color="000000" w:sz="4" w:space="0"/>
              <w:left w:val="single" w:color="000000" w:sz="4" w:space="0"/>
              <w:bottom w:val="single" w:color="000000" w:sz="4" w:space="0"/>
              <w:right w:val="single" w:color="000000" w:sz="4" w:space="0"/>
            </w:tcBorders>
            <w:noWrap/>
            <w:vAlign w:val="center"/>
          </w:tcPr>
          <w:p w14:paraId="28A78D13">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套</w:t>
            </w:r>
          </w:p>
        </w:tc>
        <w:tc>
          <w:tcPr>
            <w:tcW w:w="707" w:type="dxa"/>
            <w:tcBorders>
              <w:top w:val="single" w:color="000000" w:sz="4" w:space="0"/>
              <w:left w:val="single" w:color="000000" w:sz="4" w:space="0"/>
              <w:bottom w:val="single" w:color="000000" w:sz="4" w:space="0"/>
              <w:right w:val="single" w:color="000000" w:sz="4" w:space="0"/>
            </w:tcBorders>
            <w:noWrap/>
            <w:vAlign w:val="center"/>
          </w:tcPr>
          <w:p w14:paraId="3EDBDD0E">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6</w:t>
            </w:r>
          </w:p>
        </w:tc>
      </w:tr>
      <w:tr w14:paraId="34B9CC91">
        <w:tblPrEx>
          <w:tblCellMar>
            <w:top w:w="0" w:type="dxa"/>
            <w:left w:w="108" w:type="dxa"/>
            <w:bottom w:w="0" w:type="dxa"/>
            <w:right w:w="108" w:type="dxa"/>
          </w:tblCellMar>
        </w:tblPrEx>
        <w:trPr>
          <w:trHeight w:val="580" w:hRule="atLeast"/>
        </w:trPr>
        <w:tc>
          <w:tcPr>
            <w:tcW w:w="693" w:type="dxa"/>
            <w:tcBorders>
              <w:top w:val="single" w:color="000000" w:sz="4" w:space="0"/>
              <w:left w:val="single" w:color="000000" w:sz="4" w:space="0"/>
              <w:bottom w:val="single" w:color="000000" w:sz="4" w:space="0"/>
              <w:right w:val="single" w:color="000000" w:sz="4" w:space="0"/>
            </w:tcBorders>
            <w:noWrap/>
            <w:vAlign w:val="center"/>
          </w:tcPr>
          <w:p w14:paraId="3864D87C">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113</w:t>
            </w:r>
          </w:p>
        </w:tc>
        <w:tc>
          <w:tcPr>
            <w:tcW w:w="1371" w:type="dxa"/>
            <w:tcBorders>
              <w:top w:val="single" w:color="000000" w:sz="4" w:space="0"/>
              <w:left w:val="single" w:color="000000" w:sz="4" w:space="0"/>
              <w:bottom w:val="single" w:color="000000" w:sz="4" w:space="0"/>
              <w:right w:val="single" w:color="000000" w:sz="4" w:space="0"/>
            </w:tcBorders>
            <w:vAlign w:val="center"/>
          </w:tcPr>
          <w:p w14:paraId="0FD1DE92">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安装软连接</w:t>
            </w:r>
          </w:p>
        </w:tc>
        <w:tc>
          <w:tcPr>
            <w:tcW w:w="5493" w:type="dxa"/>
            <w:tcBorders>
              <w:top w:val="single" w:color="000000" w:sz="4" w:space="0"/>
              <w:left w:val="single" w:color="000000" w:sz="4" w:space="0"/>
              <w:bottom w:val="single" w:color="000000" w:sz="4" w:space="0"/>
              <w:right w:val="single" w:color="000000" w:sz="4" w:space="0"/>
            </w:tcBorders>
            <w:vAlign w:val="center"/>
          </w:tcPr>
          <w:p w14:paraId="0154527F">
            <w:pPr>
              <w:widowControl/>
              <w:jc w:val="left"/>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4*4角钢高防腐，无异味，高密度帆布，加工而成</w:t>
            </w:r>
          </w:p>
        </w:tc>
        <w:tc>
          <w:tcPr>
            <w:tcW w:w="640" w:type="dxa"/>
            <w:tcBorders>
              <w:top w:val="single" w:color="000000" w:sz="4" w:space="0"/>
              <w:left w:val="single" w:color="000000" w:sz="4" w:space="0"/>
              <w:bottom w:val="single" w:color="000000" w:sz="4" w:space="0"/>
              <w:right w:val="single" w:color="000000" w:sz="4" w:space="0"/>
            </w:tcBorders>
            <w:noWrap/>
            <w:vAlign w:val="center"/>
          </w:tcPr>
          <w:p w14:paraId="1AED823E">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套</w:t>
            </w:r>
          </w:p>
        </w:tc>
        <w:tc>
          <w:tcPr>
            <w:tcW w:w="707" w:type="dxa"/>
            <w:tcBorders>
              <w:top w:val="single" w:color="000000" w:sz="4" w:space="0"/>
              <w:left w:val="single" w:color="000000" w:sz="4" w:space="0"/>
              <w:bottom w:val="single" w:color="000000" w:sz="4" w:space="0"/>
              <w:right w:val="single" w:color="000000" w:sz="4" w:space="0"/>
            </w:tcBorders>
            <w:noWrap/>
            <w:vAlign w:val="center"/>
          </w:tcPr>
          <w:p w14:paraId="24AA4F88">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6</w:t>
            </w:r>
          </w:p>
        </w:tc>
      </w:tr>
      <w:tr w14:paraId="7FB3EEDD">
        <w:tblPrEx>
          <w:tblCellMar>
            <w:top w:w="0" w:type="dxa"/>
            <w:left w:w="108" w:type="dxa"/>
            <w:bottom w:w="0" w:type="dxa"/>
            <w:right w:w="108" w:type="dxa"/>
          </w:tblCellMar>
        </w:tblPrEx>
        <w:trPr>
          <w:trHeight w:val="580" w:hRule="atLeast"/>
        </w:trPr>
        <w:tc>
          <w:tcPr>
            <w:tcW w:w="693" w:type="dxa"/>
            <w:tcBorders>
              <w:top w:val="single" w:color="000000" w:sz="4" w:space="0"/>
              <w:left w:val="single" w:color="000000" w:sz="4" w:space="0"/>
              <w:bottom w:val="single" w:color="000000" w:sz="4" w:space="0"/>
              <w:right w:val="single" w:color="000000" w:sz="4" w:space="0"/>
            </w:tcBorders>
            <w:noWrap/>
            <w:vAlign w:val="center"/>
          </w:tcPr>
          <w:p w14:paraId="56E9A2B1">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114</w:t>
            </w:r>
          </w:p>
        </w:tc>
        <w:tc>
          <w:tcPr>
            <w:tcW w:w="1371" w:type="dxa"/>
            <w:tcBorders>
              <w:top w:val="single" w:color="000000" w:sz="4" w:space="0"/>
              <w:left w:val="single" w:color="000000" w:sz="4" w:space="0"/>
              <w:bottom w:val="single" w:color="000000" w:sz="4" w:space="0"/>
              <w:right w:val="single" w:color="000000" w:sz="4" w:space="0"/>
            </w:tcBorders>
            <w:vAlign w:val="center"/>
          </w:tcPr>
          <w:p w14:paraId="5C13317C">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多功能风向转换器</w:t>
            </w:r>
          </w:p>
        </w:tc>
        <w:tc>
          <w:tcPr>
            <w:tcW w:w="5493" w:type="dxa"/>
            <w:tcBorders>
              <w:top w:val="single" w:color="000000" w:sz="4" w:space="0"/>
              <w:left w:val="single" w:color="000000" w:sz="4" w:space="0"/>
              <w:bottom w:val="single" w:color="000000" w:sz="4" w:space="0"/>
              <w:right w:val="single" w:color="000000" w:sz="4" w:space="0"/>
            </w:tcBorders>
            <w:vAlign w:val="center"/>
          </w:tcPr>
          <w:p w14:paraId="675E47A6">
            <w:pPr>
              <w:widowControl/>
              <w:jc w:val="left"/>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不锈钢板材约1.2mm，压筋折边，压五环筋，增加管道硬度，烟流更加顺畅，美观、大方</w:t>
            </w:r>
          </w:p>
        </w:tc>
        <w:tc>
          <w:tcPr>
            <w:tcW w:w="640" w:type="dxa"/>
            <w:tcBorders>
              <w:top w:val="single" w:color="000000" w:sz="4" w:space="0"/>
              <w:left w:val="single" w:color="000000" w:sz="4" w:space="0"/>
              <w:bottom w:val="single" w:color="000000" w:sz="4" w:space="0"/>
              <w:right w:val="single" w:color="000000" w:sz="4" w:space="0"/>
            </w:tcBorders>
            <w:noWrap/>
            <w:vAlign w:val="center"/>
          </w:tcPr>
          <w:p w14:paraId="26EF90D6">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套</w:t>
            </w:r>
          </w:p>
        </w:tc>
        <w:tc>
          <w:tcPr>
            <w:tcW w:w="707" w:type="dxa"/>
            <w:tcBorders>
              <w:top w:val="single" w:color="000000" w:sz="4" w:space="0"/>
              <w:left w:val="single" w:color="000000" w:sz="4" w:space="0"/>
              <w:bottom w:val="single" w:color="000000" w:sz="4" w:space="0"/>
              <w:right w:val="single" w:color="000000" w:sz="4" w:space="0"/>
            </w:tcBorders>
            <w:noWrap/>
            <w:vAlign w:val="center"/>
          </w:tcPr>
          <w:p w14:paraId="4F9419F0">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3</w:t>
            </w:r>
          </w:p>
        </w:tc>
      </w:tr>
      <w:tr w14:paraId="22358D5F">
        <w:tblPrEx>
          <w:tblCellMar>
            <w:top w:w="0" w:type="dxa"/>
            <w:left w:w="108" w:type="dxa"/>
            <w:bottom w:w="0" w:type="dxa"/>
            <w:right w:w="108" w:type="dxa"/>
          </w:tblCellMar>
        </w:tblPrEx>
        <w:trPr>
          <w:trHeight w:val="580" w:hRule="atLeast"/>
        </w:trPr>
        <w:tc>
          <w:tcPr>
            <w:tcW w:w="693" w:type="dxa"/>
            <w:tcBorders>
              <w:top w:val="single" w:color="000000" w:sz="4" w:space="0"/>
              <w:left w:val="single" w:color="000000" w:sz="4" w:space="0"/>
              <w:bottom w:val="single" w:color="000000" w:sz="4" w:space="0"/>
              <w:right w:val="single" w:color="000000" w:sz="4" w:space="0"/>
            </w:tcBorders>
            <w:noWrap/>
            <w:vAlign w:val="center"/>
          </w:tcPr>
          <w:p w14:paraId="34DF9CF5">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115</w:t>
            </w:r>
          </w:p>
        </w:tc>
        <w:tc>
          <w:tcPr>
            <w:tcW w:w="1371" w:type="dxa"/>
            <w:tcBorders>
              <w:top w:val="single" w:color="000000" w:sz="4" w:space="0"/>
              <w:left w:val="single" w:color="000000" w:sz="4" w:space="0"/>
              <w:bottom w:val="single" w:color="000000" w:sz="4" w:space="0"/>
              <w:right w:val="single" w:color="000000" w:sz="4" w:space="0"/>
            </w:tcBorders>
            <w:vAlign w:val="center"/>
          </w:tcPr>
          <w:p w14:paraId="01952279">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风井主管道固定法兰</w:t>
            </w:r>
          </w:p>
        </w:tc>
        <w:tc>
          <w:tcPr>
            <w:tcW w:w="5493" w:type="dxa"/>
            <w:tcBorders>
              <w:top w:val="single" w:color="000000" w:sz="4" w:space="0"/>
              <w:left w:val="single" w:color="000000" w:sz="4" w:space="0"/>
              <w:bottom w:val="single" w:color="000000" w:sz="4" w:space="0"/>
              <w:right w:val="single" w:color="000000" w:sz="4" w:space="0"/>
            </w:tcBorders>
            <w:vAlign w:val="center"/>
          </w:tcPr>
          <w:p w14:paraId="515829AA">
            <w:pPr>
              <w:widowControl/>
              <w:jc w:val="left"/>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5*5角钢切割焊接，防腐处理，易固定</w:t>
            </w:r>
          </w:p>
        </w:tc>
        <w:tc>
          <w:tcPr>
            <w:tcW w:w="640" w:type="dxa"/>
            <w:tcBorders>
              <w:top w:val="single" w:color="000000" w:sz="4" w:space="0"/>
              <w:left w:val="single" w:color="000000" w:sz="4" w:space="0"/>
              <w:bottom w:val="single" w:color="000000" w:sz="4" w:space="0"/>
              <w:right w:val="single" w:color="000000" w:sz="4" w:space="0"/>
            </w:tcBorders>
            <w:noWrap/>
            <w:vAlign w:val="center"/>
          </w:tcPr>
          <w:p w14:paraId="3E4330F5">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套</w:t>
            </w:r>
          </w:p>
        </w:tc>
        <w:tc>
          <w:tcPr>
            <w:tcW w:w="707" w:type="dxa"/>
            <w:tcBorders>
              <w:top w:val="single" w:color="000000" w:sz="4" w:space="0"/>
              <w:left w:val="single" w:color="000000" w:sz="4" w:space="0"/>
              <w:bottom w:val="single" w:color="000000" w:sz="4" w:space="0"/>
              <w:right w:val="single" w:color="000000" w:sz="4" w:space="0"/>
            </w:tcBorders>
            <w:noWrap/>
            <w:vAlign w:val="center"/>
          </w:tcPr>
          <w:p w14:paraId="32B9EFE9">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26</w:t>
            </w:r>
          </w:p>
        </w:tc>
      </w:tr>
      <w:tr w14:paraId="3036DEFC">
        <w:tblPrEx>
          <w:tblCellMar>
            <w:top w:w="0" w:type="dxa"/>
            <w:left w:w="108" w:type="dxa"/>
            <w:bottom w:w="0" w:type="dxa"/>
            <w:right w:w="108" w:type="dxa"/>
          </w:tblCellMar>
        </w:tblPrEx>
        <w:trPr>
          <w:trHeight w:val="580" w:hRule="atLeast"/>
        </w:trPr>
        <w:tc>
          <w:tcPr>
            <w:tcW w:w="693" w:type="dxa"/>
            <w:tcBorders>
              <w:top w:val="single" w:color="000000" w:sz="4" w:space="0"/>
              <w:left w:val="single" w:color="000000" w:sz="4" w:space="0"/>
              <w:bottom w:val="single" w:color="000000" w:sz="4" w:space="0"/>
              <w:right w:val="single" w:color="000000" w:sz="4" w:space="0"/>
            </w:tcBorders>
            <w:noWrap/>
            <w:vAlign w:val="center"/>
          </w:tcPr>
          <w:p w14:paraId="7B7D332D">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116</w:t>
            </w:r>
          </w:p>
        </w:tc>
        <w:tc>
          <w:tcPr>
            <w:tcW w:w="1371" w:type="dxa"/>
            <w:tcBorders>
              <w:top w:val="single" w:color="000000" w:sz="4" w:space="0"/>
              <w:left w:val="single" w:color="000000" w:sz="4" w:space="0"/>
              <w:bottom w:val="single" w:color="000000" w:sz="4" w:space="0"/>
              <w:right w:val="single" w:color="000000" w:sz="4" w:space="0"/>
            </w:tcBorders>
            <w:vAlign w:val="center"/>
          </w:tcPr>
          <w:p w14:paraId="0D2131FF">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重型设备固基座（风机、净化器）</w:t>
            </w:r>
          </w:p>
        </w:tc>
        <w:tc>
          <w:tcPr>
            <w:tcW w:w="5493" w:type="dxa"/>
            <w:tcBorders>
              <w:top w:val="single" w:color="000000" w:sz="4" w:space="0"/>
              <w:left w:val="single" w:color="000000" w:sz="4" w:space="0"/>
              <w:bottom w:val="single" w:color="000000" w:sz="4" w:space="0"/>
              <w:right w:val="single" w:color="000000" w:sz="4" w:space="0"/>
            </w:tcBorders>
            <w:vAlign w:val="center"/>
          </w:tcPr>
          <w:p w14:paraId="4D87C5CC">
            <w:pPr>
              <w:widowControl/>
              <w:jc w:val="left"/>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8*10槽钢切割焊接，防腐处理，增加重型设备稳定称重性</w:t>
            </w:r>
          </w:p>
        </w:tc>
        <w:tc>
          <w:tcPr>
            <w:tcW w:w="640" w:type="dxa"/>
            <w:tcBorders>
              <w:top w:val="single" w:color="000000" w:sz="4" w:space="0"/>
              <w:left w:val="single" w:color="000000" w:sz="4" w:space="0"/>
              <w:bottom w:val="single" w:color="000000" w:sz="4" w:space="0"/>
              <w:right w:val="single" w:color="000000" w:sz="4" w:space="0"/>
            </w:tcBorders>
            <w:noWrap/>
            <w:vAlign w:val="center"/>
          </w:tcPr>
          <w:p w14:paraId="6CBC0BDB">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套</w:t>
            </w:r>
          </w:p>
        </w:tc>
        <w:tc>
          <w:tcPr>
            <w:tcW w:w="707" w:type="dxa"/>
            <w:tcBorders>
              <w:top w:val="single" w:color="000000" w:sz="4" w:space="0"/>
              <w:left w:val="single" w:color="000000" w:sz="4" w:space="0"/>
              <w:bottom w:val="single" w:color="000000" w:sz="4" w:space="0"/>
              <w:right w:val="single" w:color="000000" w:sz="4" w:space="0"/>
            </w:tcBorders>
            <w:noWrap/>
            <w:vAlign w:val="center"/>
          </w:tcPr>
          <w:p w14:paraId="051FCE38">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6</w:t>
            </w:r>
          </w:p>
        </w:tc>
      </w:tr>
      <w:tr w14:paraId="13052557">
        <w:tblPrEx>
          <w:tblCellMar>
            <w:top w:w="0" w:type="dxa"/>
            <w:left w:w="108" w:type="dxa"/>
            <w:bottom w:w="0" w:type="dxa"/>
            <w:right w:w="108" w:type="dxa"/>
          </w:tblCellMar>
        </w:tblPrEx>
        <w:trPr>
          <w:trHeight w:val="580" w:hRule="atLeast"/>
        </w:trPr>
        <w:tc>
          <w:tcPr>
            <w:tcW w:w="693" w:type="dxa"/>
            <w:tcBorders>
              <w:top w:val="single" w:color="000000" w:sz="4" w:space="0"/>
              <w:left w:val="single" w:color="000000" w:sz="4" w:space="0"/>
              <w:bottom w:val="single" w:color="000000" w:sz="4" w:space="0"/>
              <w:right w:val="single" w:color="000000" w:sz="4" w:space="0"/>
            </w:tcBorders>
            <w:noWrap/>
            <w:vAlign w:val="center"/>
          </w:tcPr>
          <w:p w14:paraId="44153C91">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117</w:t>
            </w:r>
          </w:p>
        </w:tc>
        <w:tc>
          <w:tcPr>
            <w:tcW w:w="1371" w:type="dxa"/>
            <w:tcBorders>
              <w:top w:val="single" w:color="000000" w:sz="4" w:space="0"/>
              <w:left w:val="single" w:color="000000" w:sz="4" w:space="0"/>
              <w:bottom w:val="single" w:color="000000" w:sz="4" w:space="0"/>
              <w:right w:val="single" w:color="000000" w:sz="4" w:space="0"/>
            </w:tcBorders>
            <w:vAlign w:val="center"/>
          </w:tcPr>
          <w:p w14:paraId="7DC16A67">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重型设备减震缓冲器</w:t>
            </w:r>
          </w:p>
        </w:tc>
        <w:tc>
          <w:tcPr>
            <w:tcW w:w="5493" w:type="dxa"/>
            <w:tcBorders>
              <w:top w:val="single" w:color="000000" w:sz="4" w:space="0"/>
              <w:left w:val="single" w:color="000000" w:sz="4" w:space="0"/>
              <w:bottom w:val="single" w:color="000000" w:sz="4" w:space="0"/>
              <w:right w:val="single" w:color="000000" w:sz="4" w:space="0"/>
            </w:tcBorders>
            <w:vAlign w:val="center"/>
          </w:tcPr>
          <w:p w14:paraId="001BE88F">
            <w:pPr>
              <w:widowControl/>
              <w:jc w:val="left"/>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弹簧式承重减缓设备与固基座之间与地面的震动系数</w:t>
            </w:r>
          </w:p>
        </w:tc>
        <w:tc>
          <w:tcPr>
            <w:tcW w:w="640" w:type="dxa"/>
            <w:tcBorders>
              <w:top w:val="single" w:color="000000" w:sz="4" w:space="0"/>
              <w:left w:val="single" w:color="000000" w:sz="4" w:space="0"/>
              <w:bottom w:val="single" w:color="000000" w:sz="4" w:space="0"/>
              <w:right w:val="single" w:color="000000" w:sz="4" w:space="0"/>
            </w:tcBorders>
            <w:noWrap/>
            <w:vAlign w:val="center"/>
          </w:tcPr>
          <w:p w14:paraId="49B5623B">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套</w:t>
            </w:r>
          </w:p>
        </w:tc>
        <w:tc>
          <w:tcPr>
            <w:tcW w:w="707" w:type="dxa"/>
            <w:tcBorders>
              <w:top w:val="single" w:color="000000" w:sz="4" w:space="0"/>
              <w:left w:val="single" w:color="000000" w:sz="4" w:space="0"/>
              <w:bottom w:val="single" w:color="000000" w:sz="4" w:space="0"/>
              <w:right w:val="single" w:color="000000" w:sz="4" w:space="0"/>
            </w:tcBorders>
            <w:noWrap/>
            <w:vAlign w:val="center"/>
          </w:tcPr>
          <w:p w14:paraId="4E8658B0">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12</w:t>
            </w:r>
          </w:p>
        </w:tc>
      </w:tr>
      <w:tr w14:paraId="60B7DAE9">
        <w:tblPrEx>
          <w:tblCellMar>
            <w:top w:w="0" w:type="dxa"/>
            <w:left w:w="108" w:type="dxa"/>
            <w:bottom w:w="0" w:type="dxa"/>
            <w:right w:w="108" w:type="dxa"/>
          </w:tblCellMar>
        </w:tblPrEx>
        <w:trPr>
          <w:trHeight w:val="580" w:hRule="atLeast"/>
        </w:trPr>
        <w:tc>
          <w:tcPr>
            <w:tcW w:w="693" w:type="dxa"/>
            <w:tcBorders>
              <w:top w:val="single" w:color="000000" w:sz="4" w:space="0"/>
              <w:left w:val="single" w:color="000000" w:sz="4" w:space="0"/>
              <w:bottom w:val="single" w:color="000000" w:sz="4" w:space="0"/>
              <w:right w:val="single" w:color="000000" w:sz="4" w:space="0"/>
            </w:tcBorders>
            <w:noWrap/>
            <w:vAlign w:val="center"/>
          </w:tcPr>
          <w:p w14:paraId="4776466F">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118</w:t>
            </w:r>
          </w:p>
        </w:tc>
        <w:tc>
          <w:tcPr>
            <w:tcW w:w="1371" w:type="dxa"/>
            <w:tcBorders>
              <w:top w:val="single" w:color="000000" w:sz="4" w:space="0"/>
              <w:left w:val="single" w:color="000000" w:sz="4" w:space="0"/>
              <w:bottom w:val="single" w:color="000000" w:sz="4" w:space="0"/>
              <w:right w:val="single" w:color="000000" w:sz="4" w:space="0"/>
            </w:tcBorders>
            <w:vAlign w:val="center"/>
          </w:tcPr>
          <w:p w14:paraId="1F78E346">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国标铜芯6#电缆</w:t>
            </w:r>
          </w:p>
        </w:tc>
        <w:tc>
          <w:tcPr>
            <w:tcW w:w="5493" w:type="dxa"/>
            <w:tcBorders>
              <w:top w:val="single" w:color="000000" w:sz="4" w:space="0"/>
              <w:left w:val="single" w:color="000000" w:sz="4" w:space="0"/>
              <w:bottom w:val="single" w:color="000000" w:sz="4" w:space="0"/>
              <w:right w:val="single" w:color="000000" w:sz="4" w:space="0"/>
            </w:tcBorders>
            <w:vAlign w:val="center"/>
          </w:tcPr>
          <w:p w14:paraId="7BB3AAD3">
            <w:pPr>
              <w:widowControl/>
              <w:jc w:val="left"/>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国标细丝多根铜芯，易散温，防腐经久耐用</w:t>
            </w:r>
          </w:p>
        </w:tc>
        <w:tc>
          <w:tcPr>
            <w:tcW w:w="640" w:type="dxa"/>
            <w:tcBorders>
              <w:top w:val="single" w:color="000000" w:sz="4" w:space="0"/>
              <w:left w:val="single" w:color="000000" w:sz="4" w:space="0"/>
              <w:bottom w:val="single" w:color="000000" w:sz="4" w:space="0"/>
              <w:right w:val="single" w:color="000000" w:sz="4" w:space="0"/>
            </w:tcBorders>
            <w:noWrap/>
            <w:vAlign w:val="center"/>
          </w:tcPr>
          <w:p w14:paraId="36AD5BE9">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米</w:t>
            </w:r>
          </w:p>
        </w:tc>
        <w:tc>
          <w:tcPr>
            <w:tcW w:w="707" w:type="dxa"/>
            <w:tcBorders>
              <w:top w:val="single" w:color="000000" w:sz="4" w:space="0"/>
              <w:left w:val="single" w:color="000000" w:sz="4" w:space="0"/>
              <w:bottom w:val="single" w:color="000000" w:sz="4" w:space="0"/>
              <w:right w:val="single" w:color="000000" w:sz="4" w:space="0"/>
            </w:tcBorders>
            <w:noWrap/>
            <w:vAlign w:val="center"/>
          </w:tcPr>
          <w:p w14:paraId="33ABCBD8">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160</w:t>
            </w:r>
          </w:p>
        </w:tc>
      </w:tr>
      <w:tr w14:paraId="4F0CE46C">
        <w:tblPrEx>
          <w:tblCellMar>
            <w:top w:w="0" w:type="dxa"/>
            <w:left w:w="108" w:type="dxa"/>
            <w:bottom w:w="0" w:type="dxa"/>
            <w:right w:w="108" w:type="dxa"/>
          </w:tblCellMar>
        </w:tblPrEx>
        <w:trPr>
          <w:trHeight w:val="580" w:hRule="atLeast"/>
        </w:trPr>
        <w:tc>
          <w:tcPr>
            <w:tcW w:w="693" w:type="dxa"/>
            <w:tcBorders>
              <w:top w:val="single" w:color="000000" w:sz="4" w:space="0"/>
              <w:left w:val="single" w:color="000000" w:sz="4" w:space="0"/>
              <w:bottom w:val="single" w:color="000000" w:sz="4" w:space="0"/>
              <w:right w:val="single" w:color="000000" w:sz="4" w:space="0"/>
            </w:tcBorders>
            <w:noWrap/>
            <w:vAlign w:val="center"/>
          </w:tcPr>
          <w:p w14:paraId="0855F464">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119</w:t>
            </w:r>
          </w:p>
        </w:tc>
        <w:tc>
          <w:tcPr>
            <w:tcW w:w="1371" w:type="dxa"/>
            <w:tcBorders>
              <w:top w:val="single" w:color="000000" w:sz="4" w:space="0"/>
              <w:left w:val="single" w:color="000000" w:sz="4" w:space="0"/>
              <w:bottom w:val="single" w:color="000000" w:sz="4" w:space="0"/>
              <w:right w:val="single" w:color="000000" w:sz="4" w:space="0"/>
            </w:tcBorders>
            <w:vAlign w:val="center"/>
          </w:tcPr>
          <w:p w14:paraId="648D4857">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国标原厂电机缺相漏电保护器</w:t>
            </w:r>
          </w:p>
        </w:tc>
        <w:tc>
          <w:tcPr>
            <w:tcW w:w="5493" w:type="dxa"/>
            <w:tcBorders>
              <w:top w:val="single" w:color="000000" w:sz="4" w:space="0"/>
              <w:left w:val="single" w:color="000000" w:sz="4" w:space="0"/>
              <w:bottom w:val="single" w:color="000000" w:sz="4" w:space="0"/>
              <w:right w:val="single" w:color="000000" w:sz="4" w:space="0"/>
            </w:tcBorders>
            <w:vAlign w:val="center"/>
          </w:tcPr>
          <w:p w14:paraId="1B1D0B4C">
            <w:pPr>
              <w:widowControl/>
              <w:jc w:val="left"/>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一键启动，多功能指示，缺相漏电保护电机及厨房操作人员安全</w:t>
            </w:r>
          </w:p>
        </w:tc>
        <w:tc>
          <w:tcPr>
            <w:tcW w:w="640" w:type="dxa"/>
            <w:tcBorders>
              <w:top w:val="single" w:color="000000" w:sz="4" w:space="0"/>
              <w:left w:val="single" w:color="000000" w:sz="4" w:space="0"/>
              <w:bottom w:val="single" w:color="000000" w:sz="4" w:space="0"/>
              <w:right w:val="single" w:color="000000" w:sz="4" w:space="0"/>
            </w:tcBorders>
            <w:noWrap/>
            <w:vAlign w:val="center"/>
          </w:tcPr>
          <w:p w14:paraId="44472658">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台</w:t>
            </w:r>
          </w:p>
        </w:tc>
        <w:tc>
          <w:tcPr>
            <w:tcW w:w="707" w:type="dxa"/>
            <w:tcBorders>
              <w:top w:val="single" w:color="000000" w:sz="4" w:space="0"/>
              <w:left w:val="single" w:color="000000" w:sz="4" w:space="0"/>
              <w:bottom w:val="single" w:color="000000" w:sz="4" w:space="0"/>
              <w:right w:val="single" w:color="000000" w:sz="4" w:space="0"/>
            </w:tcBorders>
            <w:noWrap/>
            <w:vAlign w:val="center"/>
          </w:tcPr>
          <w:p w14:paraId="7896DF99">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3</w:t>
            </w:r>
          </w:p>
        </w:tc>
      </w:tr>
      <w:tr w14:paraId="56D9F217">
        <w:tblPrEx>
          <w:tblCellMar>
            <w:top w:w="0" w:type="dxa"/>
            <w:left w:w="108" w:type="dxa"/>
            <w:bottom w:w="0" w:type="dxa"/>
            <w:right w:w="108" w:type="dxa"/>
          </w:tblCellMar>
        </w:tblPrEx>
        <w:trPr>
          <w:trHeight w:val="580" w:hRule="atLeast"/>
        </w:trPr>
        <w:tc>
          <w:tcPr>
            <w:tcW w:w="693" w:type="dxa"/>
            <w:tcBorders>
              <w:top w:val="single" w:color="000000" w:sz="4" w:space="0"/>
              <w:left w:val="single" w:color="000000" w:sz="4" w:space="0"/>
              <w:bottom w:val="single" w:color="000000" w:sz="4" w:space="0"/>
              <w:right w:val="single" w:color="000000" w:sz="4" w:space="0"/>
            </w:tcBorders>
            <w:noWrap/>
            <w:vAlign w:val="center"/>
          </w:tcPr>
          <w:p w14:paraId="3CA3D62E">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120</w:t>
            </w:r>
          </w:p>
        </w:tc>
        <w:tc>
          <w:tcPr>
            <w:tcW w:w="1371" w:type="dxa"/>
            <w:tcBorders>
              <w:top w:val="single" w:color="000000" w:sz="4" w:space="0"/>
              <w:left w:val="single" w:color="000000" w:sz="4" w:space="0"/>
              <w:bottom w:val="single" w:color="000000" w:sz="4" w:space="0"/>
              <w:right w:val="single" w:color="000000" w:sz="4" w:space="0"/>
            </w:tcBorders>
            <w:vAlign w:val="center"/>
          </w:tcPr>
          <w:p w14:paraId="745C7F78">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开挖墙洞</w:t>
            </w:r>
          </w:p>
        </w:tc>
        <w:tc>
          <w:tcPr>
            <w:tcW w:w="5493" w:type="dxa"/>
            <w:tcBorders>
              <w:top w:val="single" w:color="000000" w:sz="4" w:space="0"/>
              <w:left w:val="single" w:color="000000" w:sz="4" w:space="0"/>
              <w:bottom w:val="single" w:color="000000" w:sz="4" w:space="0"/>
              <w:right w:val="single" w:color="000000" w:sz="4" w:space="0"/>
            </w:tcBorders>
            <w:vAlign w:val="center"/>
          </w:tcPr>
          <w:p w14:paraId="1B9319DA">
            <w:pPr>
              <w:widowControl/>
              <w:jc w:val="left"/>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根据排烟系统现有参数结合现场情况而成</w:t>
            </w:r>
          </w:p>
        </w:tc>
        <w:tc>
          <w:tcPr>
            <w:tcW w:w="640" w:type="dxa"/>
            <w:tcBorders>
              <w:top w:val="single" w:color="000000" w:sz="4" w:space="0"/>
              <w:left w:val="single" w:color="000000" w:sz="4" w:space="0"/>
              <w:bottom w:val="single" w:color="000000" w:sz="4" w:space="0"/>
              <w:right w:val="single" w:color="000000" w:sz="4" w:space="0"/>
            </w:tcBorders>
            <w:noWrap/>
            <w:vAlign w:val="center"/>
          </w:tcPr>
          <w:p w14:paraId="75539264">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项</w:t>
            </w:r>
          </w:p>
        </w:tc>
        <w:tc>
          <w:tcPr>
            <w:tcW w:w="707" w:type="dxa"/>
            <w:tcBorders>
              <w:top w:val="single" w:color="000000" w:sz="4" w:space="0"/>
              <w:left w:val="single" w:color="000000" w:sz="4" w:space="0"/>
              <w:bottom w:val="single" w:color="000000" w:sz="4" w:space="0"/>
              <w:right w:val="single" w:color="000000" w:sz="4" w:space="0"/>
            </w:tcBorders>
            <w:noWrap/>
            <w:vAlign w:val="center"/>
          </w:tcPr>
          <w:p w14:paraId="2223EA22">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3</w:t>
            </w:r>
          </w:p>
        </w:tc>
      </w:tr>
      <w:tr w14:paraId="615BF2EA">
        <w:tblPrEx>
          <w:tblCellMar>
            <w:top w:w="0" w:type="dxa"/>
            <w:left w:w="108" w:type="dxa"/>
            <w:bottom w:w="0" w:type="dxa"/>
            <w:right w:w="108" w:type="dxa"/>
          </w:tblCellMar>
        </w:tblPrEx>
        <w:trPr>
          <w:trHeight w:val="580" w:hRule="atLeast"/>
        </w:trPr>
        <w:tc>
          <w:tcPr>
            <w:tcW w:w="693" w:type="dxa"/>
            <w:vMerge w:val="restart"/>
            <w:tcBorders>
              <w:top w:val="single" w:color="000000" w:sz="4" w:space="0"/>
              <w:left w:val="single" w:color="000000" w:sz="4" w:space="0"/>
              <w:bottom w:val="single" w:color="000000" w:sz="4" w:space="0"/>
              <w:right w:val="single" w:color="000000" w:sz="4" w:space="0"/>
            </w:tcBorders>
            <w:noWrap/>
            <w:vAlign w:val="center"/>
          </w:tcPr>
          <w:p w14:paraId="02295119">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121</w:t>
            </w:r>
          </w:p>
        </w:tc>
        <w:tc>
          <w:tcPr>
            <w:tcW w:w="1371" w:type="dxa"/>
            <w:vMerge w:val="restart"/>
            <w:tcBorders>
              <w:top w:val="single" w:color="000000" w:sz="4" w:space="0"/>
              <w:left w:val="single" w:color="000000" w:sz="4" w:space="0"/>
              <w:bottom w:val="single" w:color="000000" w:sz="4" w:space="0"/>
              <w:right w:val="single" w:color="000000" w:sz="4" w:space="0"/>
            </w:tcBorders>
            <w:vAlign w:val="center"/>
          </w:tcPr>
          <w:p w14:paraId="0618DF69">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多翼式静音风机</w:t>
            </w:r>
          </w:p>
        </w:tc>
        <w:tc>
          <w:tcPr>
            <w:tcW w:w="5493" w:type="dxa"/>
            <w:tcBorders>
              <w:top w:val="single" w:color="000000" w:sz="4" w:space="0"/>
              <w:left w:val="single" w:color="000000" w:sz="4" w:space="0"/>
              <w:bottom w:val="single" w:color="000000" w:sz="4" w:space="0"/>
              <w:right w:val="single" w:color="000000" w:sz="4" w:space="0"/>
            </w:tcBorders>
            <w:vAlign w:val="center"/>
          </w:tcPr>
          <w:p w14:paraId="033F82E3">
            <w:pPr>
              <w:widowControl/>
              <w:jc w:val="left"/>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规格：15A，功率11KW,5.5KW 380V,风量大，压力适中，噪音小,外表美观大方，耐腐蚀</w:t>
            </w:r>
          </w:p>
        </w:tc>
        <w:tc>
          <w:tcPr>
            <w:tcW w:w="640" w:type="dxa"/>
            <w:tcBorders>
              <w:top w:val="single" w:color="000000" w:sz="4" w:space="0"/>
              <w:left w:val="single" w:color="000000" w:sz="4" w:space="0"/>
              <w:bottom w:val="single" w:color="000000" w:sz="4" w:space="0"/>
              <w:right w:val="single" w:color="000000" w:sz="4" w:space="0"/>
            </w:tcBorders>
            <w:noWrap/>
            <w:vAlign w:val="center"/>
          </w:tcPr>
          <w:p w14:paraId="368CEA5D">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台</w:t>
            </w:r>
          </w:p>
        </w:tc>
        <w:tc>
          <w:tcPr>
            <w:tcW w:w="707" w:type="dxa"/>
            <w:tcBorders>
              <w:top w:val="single" w:color="000000" w:sz="4" w:space="0"/>
              <w:left w:val="single" w:color="000000" w:sz="4" w:space="0"/>
              <w:bottom w:val="single" w:color="000000" w:sz="4" w:space="0"/>
              <w:right w:val="single" w:color="000000" w:sz="4" w:space="0"/>
            </w:tcBorders>
            <w:noWrap/>
            <w:vAlign w:val="center"/>
          </w:tcPr>
          <w:p w14:paraId="5707CD4D">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2</w:t>
            </w:r>
          </w:p>
        </w:tc>
      </w:tr>
      <w:tr w14:paraId="0C747004">
        <w:tblPrEx>
          <w:tblCellMar>
            <w:top w:w="0" w:type="dxa"/>
            <w:left w:w="108" w:type="dxa"/>
            <w:bottom w:w="0" w:type="dxa"/>
            <w:right w:w="108" w:type="dxa"/>
          </w:tblCellMar>
        </w:tblPrEx>
        <w:trPr>
          <w:trHeight w:val="580" w:hRule="atLeast"/>
        </w:trPr>
        <w:tc>
          <w:tcPr>
            <w:tcW w:w="693" w:type="dxa"/>
            <w:vMerge w:val="continue"/>
            <w:tcBorders>
              <w:top w:val="single" w:color="000000" w:sz="4" w:space="0"/>
              <w:left w:val="single" w:color="000000" w:sz="4" w:space="0"/>
              <w:bottom w:val="single" w:color="000000" w:sz="4" w:space="0"/>
              <w:right w:val="single" w:color="000000" w:sz="4" w:space="0"/>
            </w:tcBorders>
            <w:noWrap/>
            <w:vAlign w:val="center"/>
          </w:tcPr>
          <w:p w14:paraId="1F82E316">
            <w:pPr>
              <w:jc w:val="center"/>
              <w:rPr>
                <w:rFonts w:hint="eastAsia" w:ascii="宋体" w:hAnsi="宋体"/>
                <w:color w:val="auto"/>
                <w:sz w:val="22"/>
                <w:szCs w:val="22"/>
                <w:highlight w:val="none"/>
              </w:rPr>
            </w:pPr>
          </w:p>
        </w:tc>
        <w:tc>
          <w:tcPr>
            <w:tcW w:w="1371" w:type="dxa"/>
            <w:vMerge w:val="continue"/>
            <w:tcBorders>
              <w:top w:val="single" w:color="000000" w:sz="4" w:space="0"/>
              <w:left w:val="single" w:color="000000" w:sz="4" w:space="0"/>
              <w:bottom w:val="single" w:color="000000" w:sz="4" w:space="0"/>
              <w:right w:val="single" w:color="000000" w:sz="4" w:space="0"/>
            </w:tcBorders>
            <w:vAlign w:val="center"/>
          </w:tcPr>
          <w:p w14:paraId="7B4E81EE">
            <w:pPr>
              <w:jc w:val="center"/>
              <w:rPr>
                <w:rFonts w:hint="eastAsia" w:ascii="宋体" w:hAnsi="宋体"/>
                <w:color w:val="auto"/>
                <w:sz w:val="22"/>
                <w:szCs w:val="22"/>
                <w:highlight w:val="none"/>
              </w:rPr>
            </w:pPr>
          </w:p>
        </w:tc>
        <w:tc>
          <w:tcPr>
            <w:tcW w:w="5493" w:type="dxa"/>
            <w:tcBorders>
              <w:top w:val="single" w:color="000000" w:sz="4" w:space="0"/>
              <w:left w:val="single" w:color="000000" w:sz="4" w:space="0"/>
              <w:bottom w:val="single" w:color="000000" w:sz="4" w:space="0"/>
              <w:right w:val="single" w:color="000000" w:sz="4" w:space="0"/>
            </w:tcBorders>
            <w:vAlign w:val="center"/>
          </w:tcPr>
          <w:p w14:paraId="0DDB777B">
            <w:pPr>
              <w:widowControl/>
              <w:jc w:val="left"/>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规格：5.5A，功率11KW,5.5KW 380V,风量大，压力适中，噪音小,外表美观大方，耐腐蚀</w:t>
            </w:r>
          </w:p>
        </w:tc>
        <w:tc>
          <w:tcPr>
            <w:tcW w:w="640" w:type="dxa"/>
            <w:tcBorders>
              <w:top w:val="single" w:color="000000" w:sz="4" w:space="0"/>
              <w:left w:val="single" w:color="000000" w:sz="4" w:space="0"/>
              <w:bottom w:val="single" w:color="000000" w:sz="4" w:space="0"/>
              <w:right w:val="single" w:color="000000" w:sz="4" w:space="0"/>
            </w:tcBorders>
            <w:noWrap/>
            <w:vAlign w:val="center"/>
          </w:tcPr>
          <w:p w14:paraId="37837271">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台</w:t>
            </w:r>
          </w:p>
        </w:tc>
        <w:tc>
          <w:tcPr>
            <w:tcW w:w="707" w:type="dxa"/>
            <w:tcBorders>
              <w:top w:val="single" w:color="000000" w:sz="4" w:space="0"/>
              <w:left w:val="single" w:color="000000" w:sz="4" w:space="0"/>
              <w:bottom w:val="single" w:color="000000" w:sz="4" w:space="0"/>
              <w:right w:val="single" w:color="000000" w:sz="4" w:space="0"/>
            </w:tcBorders>
            <w:noWrap/>
            <w:vAlign w:val="center"/>
          </w:tcPr>
          <w:p w14:paraId="48CA1AD6">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1</w:t>
            </w:r>
          </w:p>
        </w:tc>
      </w:tr>
      <w:tr w14:paraId="0F92E1CC">
        <w:tblPrEx>
          <w:tblCellMar>
            <w:top w:w="0" w:type="dxa"/>
            <w:left w:w="108" w:type="dxa"/>
            <w:bottom w:w="0" w:type="dxa"/>
            <w:right w:w="108" w:type="dxa"/>
          </w:tblCellMar>
        </w:tblPrEx>
        <w:trPr>
          <w:trHeight w:val="580" w:hRule="atLeast"/>
        </w:trPr>
        <w:tc>
          <w:tcPr>
            <w:tcW w:w="693" w:type="dxa"/>
            <w:vMerge w:val="restart"/>
            <w:tcBorders>
              <w:top w:val="single" w:color="000000" w:sz="4" w:space="0"/>
              <w:left w:val="single" w:color="000000" w:sz="4" w:space="0"/>
              <w:bottom w:val="single" w:color="000000" w:sz="4" w:space="0"/>
              <w:right w:val="single" w:color="000000" w:sz="4" w:space="0"/>
            </w:tcBorders>
            <w:noWrap/>
            <w:vAlign w:val="center"/>
          </w:tcPr>
          <w:p w14:paraId="69FA0EFC">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122</w:t>
            </w:r>
          </w:p>
        </w:tc>
        <w:tc>
          <w:tcPr>
            <w:tcW w:w="1371" w:type="dxa"/>
            <w:vMerge w:val="restart"/>
            <w:tcBorders>
              <w:top w:val="single" w:color="000000" w:sz="4" w:space="0"/>
              <w:left w:val="single" w:color="000000" w:sz="4" w:space="0"/>
              <w:bottom w:val="single" w:color="000000" w:sz="4" w:space="0"/>
              <w:right w:val="single" w:color="000000" w:sz="4" w:space="0"/>
            </w:tcBorders>
            <w:vAlign w:val="center"/>
          </w:tcPr>
          <w:p w14:paraId="391DC8F7">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高效低空油烟净化器</w:t>
            </w:r>
          </w:p>
        </w:tc>
        <w:tc>
          <w:tcPr>
            <w:tcW w:w="5493" w:type="dxa"/>
            <w:tcBorders>
              <w:top w:val="single" w:color="000000" w:sz="4" w:space="0"/>
              <w:left w:val="single" w:color="000000" w:sz="4" w:space="0"/>
              <w:bottom w:val="single" w:color="000000" w:sz="4" w:space="0"/>
              <w:right w:val="single" w:color="000000" w:sz="4" w:space="0"/>
            </w:tcBorders>
            <w:vAlign w:val="center"/>
          </w:tcPr>
          <w:p w14:paraId="46B38964">
            <w:pPr>
              <w:widowControl/>
              <w:jc w:val="left"/>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规格：4A，不锈钢箱体，整体焊接，静音电源控制可自动调节电磁强度，放电均匀，实用寿命较长，检测合格达标</w:t>
            </w:r>
          </w:p>
        </w:tc>
        <w:tc>
          <w:tcPr>
            <w:tcW w:w="640" w:type="dxa"/>
            <w:tcBorders>
              <w:top w:val="single" w:color="000000" w:sz="4" w:space="0"/>
              <w:left w:val="single" w:color="000000" w:sz="4" w:space="0"/>
              <w:bottom w:val="single" w:color="000000" w:sz="4" w:space="0"/>
              <w:right w:val="single" w:color="000000" w:sz="4" w:space="0"/>
            </w:tcBorders>
            <w:noWrap/>
            <w:vAlign w:val="center"/>
          </w:tcPr>
          <w:p w14:paraId="70AA9D1D">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台</w:t>
            </w:r>
          </w:p>
        </w:tc>
        <w:tc>
          <w:tcPr>
            <w:tcW w:w="707" w:type="dxa"/>
            <w:tcBorders>
              <w:top w:val="single" w:color="000000" w:sz="4" w:space="0"/>
              <w:left w:val="single" w:color="000000" w:sz="4" w:space="0"/>
              <w:bottom w:val="single" w:color="000000" w:sz="4" w:space="0"/>
              <w:right w:val="single" w:color="000000" w:sz="4" w:space="0"/>
            </w:tcBorders>
            <w:noWrap/>
            <w:vAlign w:val="center"/>
          </w:tcPr>
          <w:p w14:paraId="5C5A4EEE">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2</w:t>
            </w:r>
          </w:p>
        </w:tc>
      </w:tr>
      <w:tr w14:paraId="5CA4F936">
        <w:tblPrEx>
          <w:tblCellMar>
            <w:top w:w="0" w:type="dxa"/>
            <w:left w:w="108" w:type="dxa"/>
            <w:bottom w:w="0" w:type="dxa"/>
            <w:right w:w="108" w:type="dxa"/>
          </w:tblCellMar>
        </w:tblPrEx>
        <w:trPr>
          <w:trHeight w:val="580" w:hRule="atLeast"/>
        </w:trPr>
        <w:tc>
          <w:tcPr>
            <w:tcW w:w="693" w:type="dxa"/>
            <w:vMerge w:val="continue"/>
            <w:tcBorders>
              <w:top w:val="single" w:color="000000" w:sz="4" w:space="0"/>
              <w:left w:val="single" w:color="000000" w:sz="4" w:space="0"/>
              <w:bottom w:val="single" w:color="000000" w:sz="4" w:space="0"/>
              <w:right w:val="single" w:color="000000" w:sz="4" w:space="0"/>
            </w:tcBorders>
            <w:noWrap/>
            <w:vAlign w:val="center"/>
          </w:tcPr>
          <w:p w14:paraId="10ED00B7">
            <w:pPr>
              <w:jc w:val="center"/>
              <w:rPr>
                <w:rFonts w:hint="eastAsia" w:ascii="宋体" w:hAnsi="宋体"/>
                <w:color w:val="auto"/>
                <w:sz w:val="22"/>
                <w:szCs w:val="22"/>
                <w:highlight w:val="none"/>
              </w:rPr>
            </w:pPr>
          </w:p>
        </w:tc>
        <w:tc>
          <w:tcPr>
            <w:tcW w:w="1371" w:type="dxa"/>
            <w:vMerge w:val="continue"/>
            <w:tcBorders>
              <w:top w:val="single" w:color="000000" w:sz="4" w:space="0"/>
              <w:left w:val="single" w:color="000000" w:sz="4" w:space="0"/>
              <w:bottom w:val="single" w:color="000000" w:sz="4" w:space="0"/>
              <w:right w:val="single" w:color="000000" w:sz="4" w:space="0"/>
            </w:tcBorders>
            <w:vAlign w:val="center"/>
          </w:tcPr>
          <w:p w14:paraId="6F412965">
            <w:pPr>
              <w:jc w:val="center"/>
              <w:rPr>
                <w:rFonts w:hint="eastAsia" w:ascii="宋体" w:hAnsi="宋体"/>
                <w:color w:val="auto"/>
                <w:sz w:val="22"/>
                <w:szCs w:val="22"/>
                <w:highlight w:val="none"/>
              </w:rPr>
            </w:pPr>
          </w:p>
        </w:tc>
        <w:tc>
          <w:tcPr>
            <w:tcW w:w="5493" w:type="dxa"/>
            <w:tcBorders>
              <w:top w:val="single" w:color="000000" w:sz="4" w:space="0"/>
              <w:left w:val="single" w:color="000000" w:sz="4" w:space="0"/>
              <w:bottom w:val="single" w:color="000000" w:sz="4" w:space="0"/>
              <w:right w:val="single" w:color="000000" w:sz="4" w:space="0"/>
            </w:tcBorders>
            <w:vAlign w:val="center"/>
          </w:tcPr>
          <w:p w14:paraId="31DDFB62">
            <w:pPr>
              <w:widowControl/>
              <w:jc w:val="left"/>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规格：8K，不锈钢箱体，整体焊接，静音电源控制可自动调节电磁强度，放电均匀，实用寿命较长，检测合格达标</w:t>
            </w:r>
          </w:p>
        </w:tc>
        <w:tc>
          <w:tcPr>
            <w:tcW w:w="640" w:type="dxa"/>
            <w:tcBorders>
              <w:top w:val="single" w:color="000000" w:sz="4" w:space="0"/>
              <w:left w:val="single" w:color="000000" w:sz="4" w:space="0"/>
              <w:bottom w:val="single" w:color="000000" w:sz="4" w:space="0"/>
              <w:right w:val="single" w:color="000000" w:sz="4" w:space="0"/>
            </w:tcBorders>
            <w:noWrap/>
            <w:vAlign w:val="center"/>
          </w:tcPr>
          <w:p w14:paraId="2C01A376">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台</w:t>
            </w:r>
          </w:p>
        </w:tc>
        <w:tc>
          <w:tcPr>
            <w:tcW w:w="707" w:type="dxa"/>
            <w:tcBorders>
              <w:top w:val="single" w:color="000000" w:sz="4" w:space="0"/>
              <w:left w:val="single" w:color="000000" w:sz="4" w:space="0"/>
              <w:bottom w:val="single" w:color="000000" w:sz="4" w:space="0"/>
              <w:right w:val="single" w:color="000000" w:sz="4" w:space="0"/>
            </w:tcBorders>
            <w:noWrap/>
            <w:vAlign w:val="center"/>
          </w:tcPr>
          <w:p w14:paraId="55E8BCEF">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1</w:t>
            </w:r>
          </w:p>
        </w:tc>
      </w:tr>
      <w:tr w14:paraId="376CC419">
        <w:tblPrEx>
          <w:tblCellMar>
            <w:top w:w="0" w:type="dxa"/>
            <w:left w:w="108" w:type="dxa"/>
            <w:bottom w:w="0" w:type="dxa"/>
            <w:right w:w="108" w:type="dxa"/>
          </w:tblCellMar>
        </w:tblPrEx>
        <w:trPr>
          <w:trHeight w:val="580" w:hRule="atLeast"/>
        </w:trPr>
        <w:tc>
          <w:tcPr>
            <w:tcW w:w="693" w:type="dxa"/>
            <w:tcBorders>
              <w:top w:val="single" w:color="000000" w:sz="4" w:space="0"/>
              <w:left w:val="single" w:color="000000" w:sz="4" w:space="0"/>
              <w:bottom w:val="single" w:color="000000" w:sz="4" w:space="0"/>
              <w:right w:val="single" w:color="000000" w:sz="4" w:space="0"/>
            </w:tcBorders>
            <w:noWrap/>
            <w:vAlign w:val="center"/>
          </w:tcPr>
          <w:p w14:paraId="3FF96508">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123</w:t>
            </w:r>
          </w:p>
        </w:tc>
        <w:tc>
          <w:tcPr>
            <w:tcW w:w="1371" w:type="dxa"/>
            <w:tcBorders>
              <w:top w:val="single" w:color="000000" w:sz="4" w:space="0"/>
              <w:left w:val="single" w:color="000000" w:sz="4" w:space="0"/>
              <w:bottom w:val="single" w:color="000000" w:sz="4" w:space="0"/>
              <w:right w:val="single" w:color="000000" w:sz="4" w:space="0"/>
            </w:tcBorders>
            <w:vAlign w:val="center"/>
          </w:tcPr>
          <w:p w14:paraId="5DA5CAA2">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不锈钢集油箱堵头</w:t>
            </w:r>
          </w:p>
        </w:tc>
        <w:tc>
          <w:tcPr>
            <w:tcW w:w="5493" w:type="dxa"/>
            <w:tcBorders>
              <w:top w:val="single" w:color="000000" w:sz="4" w:space="0"/>
              <w:left w:val="single" w:color="000000" w:sz="4" w:space="0"/>
              <w:bottom w:val="single" w:color="000000" w:sz="4" w:space="0"/>
              <w:right w:val="single" w:color="000000" w:sz="4" w:space="0"/>
            </w:tcBorders>
            <w:vAlign w:val="center"/>
          </w:tcPr>
          <w:p w14:paraId="3C5B83D1">
            <w:pPr>
              <w:widowControl/>
              <w:jc w:val="left"/>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不锈钢板材约1.2mm，压筋折边，压五环筋，增加管道硬度，烟流更加顺畅，美观、大方</w:t>
            </w:r>
          </w:p>
        </w:tc>
        <w:tc>
          <w:tcPr>
            <w:tcW w:w="640" w:type="dxa"/>
            <w:tcBorders>
              <w:top w:val="single" w:color="000000" w:sz="4" w:space="0"/>
              <w:left w:val="single" w:color="000000" w:sz="4" w:space="0"/>
              <w:bottom w:val="single" w:color="000000" w:sz="4" w:space="0"/>
              <w:right w:val="single" w:color="000000" w:sz="4" w:space="0"/>
            </w:tcBorders>
            <w:noWrap/>
            <w:vAlign w:val="center"/>
          </w:tcPr>
          <w:p w14:paraId="1DDCB009">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个</w:t>
            </w:r>
          </w:p>
        </w:tc>
        <w:tc>
          <w:tcPr>
            <w:tcW w:w="707" w:type="dxa"/>
            <w:tcBorders>
              <w:top w:val="single" w:color="000000" w:sz="4" w:space="0"/>
              <w:left w:val="single" w:color="000000" w:sz="4" w:space="0"/>
              <w:bottom w:val="single" w:color="000000" w:sz="4" w:space="0"/>
              <w:right w:val="single" w:color="000000" w:sz="4" w:space="0"/>
            </w:tcBorders>
            <w:noWrap/>
            <w:vAlign w:val="center"/>
          </w:tcPr>
          <w:p w14:paraId="365A0B35">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4</w:t>
            </w:r>
          </w:p>
        </w:tc>
      </w:tr>
      <w:tr w14:paraId="21A2383C">
        <w:tblPrEx>
          <w:tblCellMar>
            <w:top w:w="0" w:type="dxa"/>
            <w:left w:w="108" w:type="dxa"/>
            <w:bottom w:w="0" w:type="dxa"/>
            <w:right w:w="108" w:type="dxa"/>
          </w:tblCellMar>
        </w:tblPrEx>
        <w:trPr>
          <w:trHeight w:val="580" w:hRule="atLeast"/>
        </w:trPr>
        <w:tc>
          <w:tcPr>
            <w:tcW w:w="693" w:type="dxa"/>
            <w:tcBorders>
              <w:top w:val="single" w:color="000000" w:sz="4" w:space="0"/>
              <w:left w:val="single" w:color="000000" w:sz="4" w:space="0"/>
              <w:bottom w:val="single" w:color="000000" w:sz="4" w:space="0"/>
              <w:right w:val="single" w:color="000000" w:sz="4" w:space="0"/>
            </w:tcBorders>
            <w:noWrap/>
            <w:vAlign w:val="center"/>
          </w:tcPr>
          <w:p w14:paraId="62ABD6BC">
            <w:pPr>
              <w:widowControl/>
              <w:jc w:val="center"/>
              <w:textAlignment w:val="center"/>
              <w:rPr>
                <w:rFonts w:hint="eastAsia" w:ascii="宋体" w:hAnsi="宋体"/>
                <w:color w:val="auto"/>
                <w:kern w:val="0"/>
                <w:sz w:val="22"/>
                <w:szCs w:val="22"/>
                <w:highlight w:val="none"/>
                <w:lang w:bidi="ar"/>
              </w:rPr>
            </w:pPr>
            <w:r>
              <w:rPr>
                <w:rFonts w:hint="eastAsia" w:ascii="宋体" w:hAnsi="宋体"/>
                <w:color w:val="auto"/>
                <w:kern w:val="0"/>
                <w:sz w:val="22"/>
                <w:szCs w:val="22"/>
                <w:highlight w:val="none"/>
                <w:lang w:bidi="ar"/>
              </w:rPr>
              <w:t>三</w:t>
            </w:r>
          </w:p>
        </w:tc>
        <w:tc>
          <w:tcPr>
            <w:tcW w:w="1371" w:type="dxa"/>
            <w:tcBorders>
              <w:top w:val="single" w:color="000000" w:sz="4" w:space="0"/>
              <w:left w:val="single" w:color="000000" w:sz="4" w:space="0"/>
              <w:bottom w:val="single" w:color="000000" w:sz="4" w:space="0"/>
              <w:right w:val="single" w:color="000000" w:sz="4" w:space="0"/>
            </w:tcBorders>
            <w:vAlign w:val="center"/>
          </w:tcPr>
          <w:p w14:paraId="7559DA76">
            <w:pPr>
              <w:widowControl/>
              <w:jc w:val="center"/>
              <w:textAlignment w:val="center"/>
              <w:rPr>
                <w:rFonts w:hint="eastAsia" w:ascii="宋体" w:hAnsi="宋体"/>
                <w:color w:val="auto"/>
                <w:sz w:val="22"/>
                <w:szCs w:val="22"/>
                <w:highlight w:val="none"/>
              </w:rPr>
            </w:pPr>
            <w:r>
              <w:rPr>
                <w:rFonts w:hint="eastAsia" w:ascii="宋体" w:hAnsi="宋体"/>
                <w:color w:val="auto"/>
                <w:kern w:val="0"/>
                <w:sz w:val="22"/>
                <w:szCs w:val="22"/>
                <w:highlight w:val="none"/>
                <w:lang w:bidi="ar"/>
              </w:rPr>
              <w:t>餐桌椅</w:t>
            </w:r>
          </w:p>
        </w:tc>
        <w:tc>
          <w:tcPr>
            <w:tcW w:w="5493" w:type="dxa"/>
            <w:tcBorders>
              <w:top w:val="single" w:color="000000" w:sz="4" w:space="0"/>
              <w:left w:val="single" w:color="000000" w:sz="4" w:space="0"/>
              <w:bottom w:val="single" w:color="000000" w:sz="4" w:space="0"/>
              <w:right w:val="single" w:color="000000" w:sz="4" w:space="0"/>
            </w:tcBorders>
            <w:vAlign w:val="center"/>
          </w:tcPr>
          <w:p w14:paraId="131EDDDA">
            <w:pPr>
              <w:widowControl/>
              <w:jc w:val="left"/>
              <w:textAlignment w:val="center"/>
              <w:rPr>
                <w:rFonts w:hint="eastAsia" w:ascii="宋体" w:hAnsi="宋体"/>
                <w:color w:val="auto"/>
                <w:kern w:val="0"/>
                <w:sz w:val="22"/>
                <w:szCs w:val="22"/>
                <w:highlight w:val="none"/>
                <w:lang w:bidi="ar"/>
              </w:rPr>
            </w:pPr>
          </w:p>
        </w:tc>
        <w:tc>
          <w:tcPr>
            <w:tcW w:w="640" w:type="dxa"/>
            <w:tcBorders>
              <w:top w:val="single" w:color="000000" w:sz="4" w:space="0"/>
              <w:left w:val="single" w:color="000000" w:sz="4" w:space="0"/>
              <w:bottom w:val="single" w:color="000000" w:sz="4" w:space="0"/>
              <w:right w:val="single" w:color="000000" w:sz="4" w:space="0"/>
            </w:tcBorders>
            <w:noWrap/>
            <w:vAlign w:val="center"/>
          </w:tcPr>
          <w:p w14:paraId="2231A6C6">
            <w:pPr>
              <w:widowControl/>
              <w:jc w:val="center"/>
              <w:textAlignment w:val="center"/>
              <w:rPr>
                <w:rFonts w:hint="eastAsia" w:ascii="宋体" w:hAnsi="宋体"/>
                <w:color w:val="auto"/>
                <w:kern w:val="0"/>
                <w:sz w:val="22"/>
                <w:szCs w:val="22"/>
                <w:highlight w:val="none"/>
                <w:lang w:bidi="ar"/>
              </w:rPr>
            </w:pPr>
          </w:p>
        </w:tc>
        <w:tc>
          <w:tcPr>
            <w:tcW w:w="707" w:type="dxa"/>
            <w:tcBorders>
              <w:top w:val="single" w:color="000000" w:sz="4" w:space="0"/>
              <w:left w:val="single" w:color="000000" w:sz="4" w:space="0"/>
              <w:bottom w:val="single" w:color="000000" w:sz="4" w:space="0"/>
              <w:right w:val="single" w:color="000000" w:sz="4" w:space="0"/>
            </w:tcBorders>
            <w:noWrap/>
            <w:vAlign w:val="center"/>
          </w:tcPr>
          <w:p w14:paraId="65D7C4B5">
            <w:pPr>
              <w:widowControl/>
              <w:jc w:val="center"/>
              <w:textAlignment w:val="center"/>
              <w:rPr>
                <w:rFonts w:hint="eastAsia" w:ascii="宋体" w:hAnsi="宋体"/>
                <w:color w:val="auto"/>
                <w:kern w:val="0"/>
                <w:sz w:val="22"/>
                <w:szCs w:val="22"/>
                <w:highlight w:val="none"/>
                <w:lang w:bidi="ar"/>
              </w:rPr>
            </w:pPr>
          </w:p>
        </w:tc>
      </w:tr>
      <w:tr w14:paraId="4F2F9206">
        <w:tblPrEx>
          <w:tblCellMar>
            <w:top w:w="0" w:type="dxa"/>
            <w:left w:w="108" w:type="dxa"/>
            <w:bottom w:w="0" w:type="dxa"/>
            <w:right w:w="108" w:type="dxa"/>
          </w:tblCellMar>
        </w:tblPrEx>
        <w:trPr>
          <w:trHeight w:val="580" w:hRule="atLeast"/>
        </w:trPr>
        <w:tc>
          <w:tcPr>
            <w:tcW w:w="693" w:type="dxa"/>
            <w:tcBorders>
              <w:top w:val="single" w:color="000000" w:sz="4" w:space="0"/>
              <w:left w:val="single" w:color="000000" w:sz="4" w:space="0"/>
              <w:bottom w:val="single" w:color="000000" w:sz="4" w:space="0"/>
              <w:right w:val="single" w:color="000000" w:sz="4" w:space="0"/>
            </w:tcBorders>
            <w:noWrap/>
            <w:vAlign w:val="center"/>
          </w:tcPr>
          <w:p w14:paraId="67541F86">
            <w:pPr>
              <w:widowControl/>
              <w:jc w:val="center"/>
              <w:textAlignment w:val="center"/>
              <w:rPr>
                <w:rFonts w:hint="eastAsia" w:ascii="宋体" w:hAnsi="宋体"/>
                <w:color w:val="auto"/>
                <w:kern w:val="0"/>
                <w:sz w:val="22"/>
                <w:szCs w:val="22"/>
                <w:highlight w:val="none"/>
                <w:lang w:bidi="ar"/>
              </w:rPr>
            </w:pPr>
            <w:r>
              <w:rPr>
                <w:rFonts w:hint="eastAsia" w:ascii="宋体" w:hAnsi="宋体"/>
                <w:color w:val="auto"/>
                <w:kern w:val="0"/>
                <w:sz w:val="22"/>
                <w:szCs w:val="22"/>
                <w:highlight w:val="none"/>
                <w:lang w:bidi="ar"/>
              </w:rPr>
              <w:t>124</w:t>
            </w:r>
          </w:p>
        </w:tc>
        <w:tc>
          <w:tcPr>
            <w:tcW w:w="1371" w:type="dxa"/>
            <w:vMerge w:val="restart"/>
            <w:tcBorders>
              <w:top w:val="single" w:color="000000" w:sz="4" w:space="0"/>
              <w:left w:val="single" w:color="000000" w:sz="4" w:space="0"/>
              <w:right w:val="single" w:color="000000" w:sz="4" w:space="0"/>
            </w:tcBorders>
            <w:vAlign w:val="center"/>
          </w:tcPr>
          <w:p w14:paraId="214A4DB2">
            <w:pPr>
              <w:widowControl/>
              <w:jc w:val="center"/>
              <w:textAlignment w:val="center"/>
              <w:rPr>
                <w:rFonts w:hint="eastAsia" w:ascii="宋体" w:hAnsi="宋体"/>
                <w:color w:val="auto"/>
                <w:kern w:val="0"/>
                <w:sz w:val="22"/>
                <w:szCs w:val="22"/>
                <w:highlight w:val="none"/>
                <w:lang w:bidi="ar"/>
              </w:rPr>
            </w:pPr>
            <w:r>
              <w:rPr>
                <w:rFonts w:hint="eastAsia" w:ascii="宋体" w:hAnsi="宋体"/>
                <w:color w:val="auto"/>
                <w:kern w:val="0"/>
                <w:sz w:val="22"/>
                <w:szCs w:val="22"/>
                <w:highlight w:val="none"/>
                <w:lang w:bidi="ar"/>
              </w:rPr>
              <w:t>餐桌椅</w:t>
            </w:r>
          </w:p>
        </w:tc>
        <w:tc>
          <w:tcPr>
            <w:tcW w:w="5493" w:type="dxa"/>
            <w:tcBorders>
              <w:top w:val="single" w:color="000000" w:sz="4" w:space="0"/>
              <w:left w:val="single" w:color="000000" w:sz="4" w:space="0"/>
              <w:bottom w:val="single" w:color="000000" w:sz="4" w:space="0"/>
              <w:right w:val="single" w:color="000000" w:sz="4" w:space="0"/>
            </w:tcBorders>
            <w:vAlign w:val="center"/>
          </w:tcPr>
          <w:p w14:paraId="3A935C5D">
            <w:pPr>
              <w:widowControl/>
              <w:jc w:val="left"/>
              <w:textAlignment w:val="center"/>
              <w:rPr>
                <w:rFonts w:hint="eastAsia" w:ascii="宋体" w:hAnsi="宋体"/>
                <w:color w:val="auto"/>
                <w:kern w:val="0"/>
                <w:sz w:val="22"/>
                <w:szCs w:val="22"/>
                <w:highlight w:val="none"/>
                <w:lang w:bidi="ar"/>
              </w:rPr>
            </w:pPr>
            <w:r>
              <w:rPr>
                <w:rFonts w:hint="eastAsia" w:ascii="宋体" w:hAnsi="宋体"/>
                <w:color w:val="auto"/>
                <w:kern w:val="0"/>
                <w:sz w:val="22"/>
                <w:szCs w:val="22"/>
                <w:highlight w:val="none"/>
                <w:lang w:bidi="ar"/>
              </w:rPr>
              <w:t>桌体桌架为5×5的方管支撑，管壁厚度为≥1.2mm厚度，桌脚为13cm喇叭脚.管壁厚度为足≥1.0mm厚度</w:t>
            </w:r>
          </w:p>
        </w:tc>
        <w:tc>
          <w:tcPr>
            <w:tcW w:w="640" w:type="dxa"/>
            <w:vMerge w:val="restart"/>
            <w:tcBorders>
              <w:top w:val="single" w:color="000000" w:sz="4" w:space="0"/>
              <w:left w:val="single" w:color="000000" w:sz="4" w:space="0"/>
              <w:right w:val="single" w:color="000000" w:sz="4" w:space="0"/>
            </w:tcBorders>
            <w:noWrap/>
            <w:vAlign w:val="center"/>
          </w:tcPr>
          <w:p w14:paraId="424B2630">
            <w:pPr>
              <w:widowControl/>
              <w:jc w:val="center"/>
              <w:textAlignment w:val="center"/>
              <w:rPr>
                <w:rFonts w:hint="eastAsia" w:ascii="宋体" w:hAnsi="宋体"/>
                <w:color w:val="auto"/>
                <w:kern w:val="0"/>
                <w:sz w:val="22"/>
                <w:szCs w:val="22"/>
                <w:highlight w:val="none"/>
                <w:lang w:bidi="ar"/>
              </w:rPr>
            </w:pPr>
            <w:r>
              <w:rPr>
                <w:rFonts w:hint="eastAsia" w:ascii="宋体" w:hAnsi="宋体"/>
                <w:color w:val="auto"/>
                <w:kern w:val="0"/>
                <w:sz w:val="22"/>
                <w:szCs w:val="22"/>
                <w:highlight w:val="none"/>
                <w:lang w:bidi="ar"/>
              </w:rPr>
              <w:t>套</w:t>
            </w:r>
          </w:p>
        </w:tc>
        <w:tc>
          <w:tcPr>
            <w:tcW w:w="707" w:type="dxa"/>
            <w:vMerge w:val="restart"/>
            <w:tcBorders>
              <w:top w:val="single" w:color="000000" w:sz="4" w:space="0"/>
              <w:left w:val="single" w:color="000000" w:sz="4" w:space="0"/>
              <w:right w:val="single" w:color="000000" w:sz="4" w:space="0"/>
            </w:tcBorders>
            <w:noWrap/>
            <w:vAlign w:val="center"/>
          </w:tcPr>
          <w:p w14:paraId="5804E770">
            <w:pPr>
              <w:widowControl/>
              <w:jc w:val="center"/>
              <w:textAlignment w:val="center"/>
              <w:rPr>
                <w:rFonts w:hint="eastAsia" w:ascii="宋体" w:hAnsi="宋体"/>
                <w:color w:val="auto"/>
                <w:kern w:val="0"/>
                <w:sz w:val="22"/>
                <w:szCs w:val="22"/>
                <w:highlight w:val="none"/>
                <w:lang w:bidi="ar"/>
              </w:rPr>
            </w:pPr>
            <w:r>
              <w:rPr>
                <w:rFonts w:hint="eastAsia" w:ascii="宋体" w:hAnsi="宋体"/>
                <w:color w:val="auto"/>
                <w:kern w:val="0"/>
                <w:sz w:val="22"/>
                <w:szCs w:val="22"/>
                <w:highlight w:val="none"/>
                <w:lang w:bidi="ar"/>
              </w:rPr>
              <w:t>600</w:t>
            </w:r>
          </w:p>
        </w:tc>
      </w:tr>
      <w:tr w14:paraId="657D8CD8">
        <w:tblPrEx>
          <w:tblCellMar>
            <w:top w:w="0" w:type="dxa"/>
            <w:left w:w="108" w:type="dxa"/>
            <w:bottom w:w="0" w:type="dxa"/>
            <w:right w:w="108" w:type="dxa"/>
          </w:tblCellMar>
        </w:tblPrEx>
        <w:trPr>
          <w:trHeight w:val="580" w:hRule="atLeast"/>
        </w:trPr>
        <w:tc>
          <w:tcPr>
            <w:tcW w:w="693" w:type="dxa"/>
            <w:tcBorders>
              <w:top w:val="single" w:color="000000" w:sz="4" w:space="0"/>
              <w:left w:val="single" w:color="000000" w:sz="4" w:space="0"/>
              <w:bottom w:val="single" w:color="000000" w:sz="4" w:space="0"/>
              <w:right w:val="single" w:color="000000" w:sz="4" w:space="0"/>
            </w:tcBorders>
            <w:noWrap/>
            <w:vAlign w:val="center"/>
          </w:tcPr>
          <w:p w14:paraId="6F01BDF4">
            <w:pPr>
              <w:widowControl/>
              <w:jc w:val="center"/>
              <w:textAlignment w:val="center"/>
              <w:rPr>
                <w:rFonts w:hint="eastAsia" w:ascii="宋体" w:hAnsi="宋体"/>
                <w:color w:val="auto"/>
                <w:kern w:val="0"/>
                <w:sz w:val="22"/>
                <w:szCs w:val="22"/>
                <w:highlight w:val="none"/>
                <w:lang w:bidi="ar"/>
              </w:rPr>
            </w:pPr>
            <w:r>
              <w:rPr>
                <w:rFonts w:hint="eastAsia" w:ascii="宋体" w:hAnsi="宋体"/>
                <w:color w:val="auto"/>
                <w:kern w:val="0"/>
                <w:sz w:val="22"/>
                <w:szCs w:val="22"/>
                <w:highlight w:val="none"/>
                <w:lang w:bidi="ar"/>
              </w:rPr>
              <w:t>125</w:t>
            </w:r>
          </w:p>
        </w:tc>
        <w:tc>
          <w:tcPr>
            <w:tcW w:w="1371" w:type="dxa"/>
            <w:vMerge w:val="continue"/>
            <w:tcBorders>
              <w:left w:val="single" w:color="000000" w:sz="4" w:space="0"/>
              <w:bottom w:val="single" w:color="000000" w:sz="4" w:space="0"/>
              <w:right w:val="single" w:color="000000" w:sz="4" w:space="0"/>
            </w:tcBorders>
            <w:vAlign w:val="center"/>
          </w:tcPr>
          <w:p w14:paraId="30E12850">
            <w:pPr>
              <w:widowControl/>
              <w:jc w:val="center"/>
              <w:textAlignment w:val="center"/>
              <w:rPr>
                <w:rFonts w:hint="eastAsia" w:ascii="宋体" w:hAnsi="宋体"/>
                <w:color w:val="auto"/>
                <w:kern w:val="0"/>
                <w:sz w:val="22"/>
                <w:szCs w:val="22"/>
                <w:highlight w:val="none"/>
                <w:lang w:bidi="ar"/>
              </w:rPr>
            </w:pPr>
          </w:p>
        </w:tc>
        <w:tc>
          <w:tcPr>
            <w:tcW w:w="5493" w:type="dxa"/>
            <w:tcBorders>
              <w:top w:val="single" w:color="000000" w:sz="4" w:space="0"/>
              <w:left w:val="single" w:color="000000" w:sz="4" w:space="0"/>
              <w:bottom w:val="single" w:color="000000" w:sz="4" w:space="0"/>
              <w:right w:val="single" w:color="000000" w:sz="4" w:space="0"/>
            </w:tcBorders>
            <w:vAlign w:val="center"/>
          </w:tcPr>
          <w:p w14:paraId="48D4437A">
            <w:pPr>
              <w:widowControl/>
              <w:jc w:val="left"/>
              <w:textAlignment w:val="center"/>
              <w:rPr>
                <w:rFonts w:hint="eastAsia" w:ascii="宋体" w:hAnsi="宋体"/>
                <w:color w:val="auto"/>
                <w:kern w:val="0"/>
                <w:sz w:val="22"/>
                <w:szCs w:val="22"/>
                <w:highlight w:val="none"/>
                <w:lang w:bidi="ar"/>
              </w:rPr>
            </w:pPr>
            <w:r>
              <w:rPr>
                <w:rFonts w:hint="eastAsia" w:ascii="宋体" w:hAnsi="宋体"/>
                <w:color w:val="auto"/>
                <w:kern w:val="0"/>
                <w:sz w:val="22"/>
                <w:szCs w:val="22"/>
                <w:highlight w:val="none"/>
                <w:lang w:bidi="ar"/>
              </w:rPr>
              <w:t>桌面规格:约1200mm×600mm×38mm.高度≤7500mm，桌面颜色为橡胶木原木色，材质为橡胶木，对面椅聚中间间距为1350mm，单排椅面间距为（中心）650mm，长条凳面规格约长1200mm×300mm宽×30mm厚度，坐面高度450mm</w:t>
            </w:r>
          </w:p>
          <w:p w14:paraId="122D84ED">
            <w:pPr>
              <w:widowControl/>
              <w:jc w:val="left"/>
              <w:textAlignment w:val="center"/>
              <w:rPr>
                <w:rFonts w:hint="eastAsia" w:ascii="宋体" w:hAnsi="宋体"/>
                <w:color w:val="auto"/>
                <w:szCs w:val="21"/>
                <w:highlight w:val="none"/>
              </w:rPr>
            </w:pPr>
            <w:r>
              <w:rPr>
                <w:rFonts w:hint="eastAsia" w:ascii="宋体" w:hAnsi="宋体"/>
                <w:color w:val="auto"/>
                <w:szCs w:val="21"/>
                <w:highlight w:val="none"/>
              </w:rPr>
              <w:t>参考图例（仅供参考）：</w:t>
            </w:r>
          </w:p>
          <w:p w14:paraId="77513742">
            <w:pPr>
              <w:widowControl/>
              <w:jc w:val="left"/>
              <w:textAlignment w:val="center"/>
              <w:rPr>
                <w:rFonts w:hint="eastAsia" w:ascii="宋体" w:hAnsi="宋体"/>
                <w:color w:val="auto"/>
                <w:szCs w:val="21"/>
                <w:highlight w:val="none"/>
              </w:rPr>
            </w:pPr>
            <w:r>
              <w:rPr>
                <w:rFonts w:hint="eastAsia" w:ascii="宋体" w:hAnsi="宋体"/>
                <w:color w:val="auto"/>
                <w:szCs w:val="21"/>
                <w:highlight w:val="none"/>
              </w:rPr>
              <w:drawing>
                <wp:inline distT="0" distB="0" distL="114300" distR="114300">
                  <wp:extent cx="3086100" cy="2139315"/>
                  <wp:effectExtent l="0" t="0" r="7620" b="9525"/>
                  <wp:docPr id="18" name="图片 18" descr="34d47b9898e689beb1eb382eb8d359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34d47b9898e689beb1eb382eb8d3594d"/>
                          <pic:cNvPicPr>
                            <a:picLocks noChangeAspect="1"/>
                          </pic:cNvPicPr>
                        </pic:nvPicPr>
                        <pic:blipFill>
                          <a:blip r:embed="rId14"/>
                          <a:stretch>
                            <a:fillRect/>
                          </a:stretch>
                        </pic:blipFill>
                        <pic:spPr>
                          <a:xfrm>
                            <a:off x="0" y="0"/>
                            <a:ext cx="3086100" cy="2139315"/>
                          </a:xfrm>
                          <a:prstGeom prst="rect">
                            <a:avLst/>
                          </a:prstGeom>
                        </pic:spPr>
                      </pic:pic>
                    </a:graphicData>
                  </a:graphic>
                </wp:inline>
              </w:drawing>
            </w:r>
          </w:p>
        </w:tc>
        <w:tc>
          <w:tcPr>
            <w:tcW w:w="640" w:type="dxa"/>
            <w:vMerge w:val="continue"/>
            <w:tcBorders>
              <w:left w:val="single" w:color="000000" w:sz="4" w:space="0"/>
              <w:bottom w:val="single" w:color="000000" w:sz="4" w:space="0"/>
              <w:right w:val="single" w:color="000000" w:sz="4" w:space="0"/>
            </w:tcBorders>
            <w:noWrap/>
            <w:vAlign w:val="center"/>
          </w:tcPr>
          <w:p w14:paraId="01C1E3E7">
            <w:pPr>
              <w:widowControl/>
              <w:jc w:val="center"/>
              <w:textAlignment w:val="center"/>
              <w:rPr>
                <w:rFonts w:hint="eastAsia" w:ascii="宋体" w:hAnsi="宋体"/>
                <w:color w:val="auto"/>
                <w:kern w:val="0"/>
                <w:sz w:val="22"/>
                <w:szCs w:val="22"/>
                <w:highlight w:val="none"/>
                <w:lang w:bidi="ar"/>
              </w:rPr>
            </w:pPr>
          </w:p>
        </w:tc>
        <w:tc>
          <w:tcPr>
            <w:tcW w:w="707" w:type="dxa"/>
            <w:vMerge w:val="continue"/>
            <w:tcBorders>
              <w:left w:val="single" w:color="000000" w:sz="4" w:space="0"/>
              <w:bottom w:val="single" w:color="000000" w:sz="4" w:space="0"/>
              <w:right w:val="single" w:color="000000" w:sz="4" w:space="0"/>
            </w:tcBorders>
            <w:noWrap/>
            <w:vAlign w:val="center"/>
          </w:tcPr>
          <w:p w14:paraId="0650D164">
            <w:pPr>
              <w:widowControl/>
              <w:jc w:val="center"/>
              <w:textAlignment w:val="center"/>
              <w:rPr>
                <w:rFonts w:hint="eastAsia" w:ascii="宋体" w:hAnsi="宋体"/>
                <w:color w:val="auto"/>
                <w:kern w:val="0"/>
                <w:sz w:val="22"/>
                <w:szCs w:val="22"/>
                <w:highlight w:val="none"/>
                <w:lang w:bidi="ar"/>
              </w:rPr>
            </w:pPr>
          </w:p>
        </w:tc>
      </w:tr>
      <w:bookmarkEnd w:id="2"/>
    </w:tbl>
    <w:p w14:paraId="6565C783">
      <w:pPr>
        <w:spacing w:line="360" w:lineRule="auto"/>
        <w:rPr>
          <w:rFonts w:ascii="仿宋_GB2312" w:hAnsi="Times New Roman" w:eastAsia="仿宋_GB2312" w:cs="仿宋_GB2312"/>
          <w:b/>
          <w:bCs/>
          <w:color w:val="auto"/>
          <w:szCs w:val="21"/>
          <w:highlight w:val="none"/>
          <w:shd w:val="clear" w:color="auto" w:fill="FFFFFF"/>
        </w:rPr>
      </w:pPr>
    </w:p>
    <w:sectPr>
      <w:footerReference r:id="rId3" w:type="default"/>
      <w:pgSz w:w="11906" w:h="16838"/>
      <w:pgMar w:top="1440" w:right="1440" w:bottom="144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Times">
    <w:altName w:val="Times New Roman"/>
    <w:panose1 w:val="02020603050405020304"/>
    <w:charset w:val="00"/>
    <w:family w:val="roman"/>
    <w:pitch w:val="default"/>
    <w:sig w:usb0="00000000" w:usb1="00000000" w:usb2="00000009" w:usb3="00000000" w:csb0="000001FF" w:csb1="00000000"/>
  </w:font>
  <w:font w:name="Cambria Math">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auto"/>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88346A">
    <w:pPr>
      <w:pStyle w:val="14"/>
      <w:ind w:firstLine="360"/>
    </w:pPr>
    <w:r>
      <mc:AlternateContent>
        <mc:Choice Requires="wps">
          <w:drawing>
            <wp:anchor distT="0" distB="0" distL="114300" distR="114300" simplePos="0" relativeHeight="25168998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DFB74C">
                          <w:pPr>
                            <w:pStyle w:val="14"/>
                          </w:pPr>
                          <w:r>
                            <w:t xml:space="preserve">第 </w:t>
                          </w:r>
                          <w:r>
                            <w:fldChar w:fldCharType="begin"/>
                          </w:r>
                          <w:r>
                            <w:instrText xml:space="preserve"> PAGE  \* MERGEFORMAT </w:instrText>
                          </w:r>
                          <w:r>
                            <w:fldChar w:fldCharType="separate"/>
                          </w:r>
                          <w:r>
                            <w:t>1</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99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14:paraId="68DFB74C">
                    <w:pPr>
                      <w:pStyle w:val="14"/>
                    </w:pPr>
                    <w:r>
                      <w:t xml:space="preserve">第 </w:t>
                    </w:r>
                    <w:r>
                      <w:fldChar w:fldCharType="begin"/>
                    </w:r>
                    <w:r>
                      <w:instrText xml:space="preserve"> PAGE  \* MERGEFORMAT </w:instrText>
                    </w:r>
                    <w:r>
                      <w:fldChar w:fldCharType="separate"/>
                    </w:r>
                    <w:r>
                      <w:t>1</w:t>
                    </w:r>
                    <w:r>
                      <w:fldChar w:fldCharType="end"/>
                    </w:r>
                    <w:r>
                      <w:t xml:space="preserve"> 页</w:t>
                    </w:r>
                  </w:p>
                </w:txbxContent>
              </v:textbox>
            </v:shape>
          </w:pict>
        </mc:Fallback>
      </mc:AlternateContent>
    </w:r>
    <w:r>
      <mc:AlternateContent>
        <mc:Choice Requires="wps">
          <w:drawing>
            <wp:anchor distT="0" distB="0" distL="0" distR="0" simplePos="0" relativeHeight="2516879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100" name="文本框 4"/>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1BBDEBC6">
                          <w:pPr>
                            <w:pStyle w:val="14"/>
                          </w:pPr>
                        </w:p>
                      </w:txbxContent>
                    </wps:txbx>
                    <wps:bodyPr wrap="none" lIns="0" tIns="0" rIns="0" bIns="0">
                      <a:spAutoFit/>
                    </wps:bodyPr>
                  </wps:wsp>
                </a:graphicData>
              </a:graphic>
            </wp:anchor>
          </w:drawing>
        </mc:Choice>
        <mc:Fallback>
          <w:pict>
            <v:rect id="文本框 4" o:spid="_x0000_s1026" o:spt="1" style="position:absolute;left:0pt;margin-top:0pt;height:144pt;width:144pt;mso-position-horizontal:center;mso-position-horizontal-relative:margin;mso-wrap-style:none;z-index:251687936;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uXW5UtAAAAAFAQAADwAAAAAAAAABACAAAAAiAAAAZHJzL2Rvd25yZXYueG1sUEsBAhQAFAAAAAgA&#10;h07iQGRKQbW7AQAAewMAAA4AAAAAAAAAAQAgAAAAHwEAAGRycy9lMm9Eb2MueG1sUEsFBgAAAAAG&#10;AAYAWQEAAEwFAAAAAA==&#10;">
              <v:fill on="f" focussize="0,0"/>
              <v:stroke on="f"/>
              <v:imagedata o:title=""/>
              <o:lock v:ext="edit" aspectratio="f"/>
              <v:textbox inset="0mm,0mm,0mm,0mm" style="mso-fit-shape-to-text:t;">
                <w:txbxContent>
                  <w:p w14:paraId="1BBDEBC6">
                    <w:pPr>
                      <w:pStyle w:val="14"/>
                    </w:pPr>
                  </w:p>
                </w:txbxContent>
              </v:textbox>
            </v:rect>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1062F08"/>
    <w:multiLevelType w:val="singleLevel"/>
    <w:tmpl w:val="91062F08"/>
    <w:lvl w:ilvl="0" w:tentative="0">
      <w:start w:val="1"/>
      <w:numFmt w:val="chineseCounting"/>
      <w:suff w:val="nothing"/>
      <w:lvlText w:val="%1、"/>
      <w:lvlJc w:val="left"/>
      <w:rPr>
        <w:rFonts w:hint="eastAsia"/>
      </w:rPr>
    </w:lvl>
  </w:abstractNum>
  <w:abstractNum w:abstractNumId="1">
    <w:nsid w:val="F0885694"/>
    <w:multiLevelType w:val="multilevel"/>
    <w:tmpl w:val="F0885694"/>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
    <w:nsid w:val="F5D7D3E5"/>
    <w:multiLevelType w:val="multilevel"/>
    <w:tmpl w:val="F5D7D3E5"/>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
    <w:nsid w:val="0029534A"/>
    <w:multiLevelType w:val="multilevel"/>
    <w:tmpl w:val="0029534A"/>
    <w:lvl w:ilvl="0" w:tentative="0">
      <w:start w:val="1"/>
      <w:numFmt w:val="decimal"/>
      <w:lvlText w:val="%1、"/>
      <w:lvlJc w:val="left"/>
      <w:pPr>
        <w:ind w:left="440" w:hanging="440"/>
      </w:pPr>
      <w:rPr>
        <w:rFonts w:hint="default"/>
      </w:rPr>
    </w:lvl>
    <w:lvl w:ilvl="1" w:tentative="0">
      <w:start w:val="1"/>
      <w:numFmt w:val="decimal"/>
      <w:lvlText w:val="%2、"/>
      <w:lvlJc w:val="left"/>
      <w:pPr>
        <w:ind w:left="440" w:hanging="440"/>
      </w:pPr>
      <w:rPr>
        <w:rFonts w:hint="default"/>
      </w:r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4">
    <w:nsid w:val="004F0000"/>
    <w:multiLevelType w:val="multilevel"/>
    <w:tmpl w:val="004F0000"/>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5">
    <w:nsid w:val="00590543"/>
    <w:multiLevelType w:val="multilevel"/>
    <w:tmpl w:val="00590543"/>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6">
    <w:nsid w:val="00700707"/>
    <w:multiLevelType w:val="multilevel"/>
    <w:tmpl w:val="00700707"/>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7">
    <w:nsid w:val="00917711"/>
    <w:multiLevelType w:val="multilevel"/>
    <w:tmpl w:val="00917711"/>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8">
    <w:nsid w:val="00DE7077"/>
    <w:multiLevelType w:val="multilevel"/>
    <w:tmpl w:val="00DE7077"/>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9">
    <w:nsid w:val="00EA3282"/>
    <w:multiLevelType w:val="multilevel"/>
    <w:tmpl w:val="00EA3282"/>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0">
    <w:nsid w:val="018B6B1F"/>
    <w:multiLevelType w:val="multilevel"/>
    <w:tmpl w:val="018B6B1F"/>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1">
    <w:nsid w:val="01D14B37"/>
    <w:multiLevelType w:val="multilevel"/>
    <w:tmpl w:val="01D14B37"/>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2">
    <w:nsid w:val="02731DB8"/>
    <w:multiLevelType w:val="multilevel"/>
    <w:tmpl w:val="02731DB8"/>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3">
    <w:nsid w:val="02AE7415"/>
    <w:multiLevelType w:val="multilevel"/>
    <w:tmpl w:val="02AE7415"/>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4">
    <w:nsid w:val="03544CD0"/>
    <w:multiLevelType w:val="multilevel"/>
    <w:tmpl w:val="03544CD0"/>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5">
    <w:nsid w:val="03BF57ED"/>
    <w:multiLevelType w:val="multilevel"/>
    <w:tmpl w:val="03BF57ED"/>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6">
    <w:nsid w:val="03E93E1C"/>
    <w:multiLevelType w:val="multilevel"/>
    <w:tmpl w:val="03E93E1C"/>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7">
    <w:nsid w:val="04044246"/>
    <w:multiLevelType w:val="multilevel"/>
    <w:tmpl w:val="04044246"/>
    <w:lvl w:ilvl="0" w:tentative="0">
      <w:start w:val="1"/>
      <w:numFmt w:val="decimal"/>
      <w:lvlText w:val="%1、"/>
      <w:lvlJc w:val="left"/>
      <w:pPr>
        <w:ind w:left="440" w:hanging="440"/>
      </w:pPr>
      <w:rPr>
        <w:rFonts w:hint="default"/>
      </w:rPr>
    </w:lvl>
    <w:lvl w:ilvl="1" w:tentative="0">
      <w:start w:val="1"/>
      <w:numFmt w:val="decimalEnclosedCircle"/>
      <w:lvlText w:val="%2"/>
      <w:lvlJc w:val="left"/>
      <w:pPr>
        <w:ind w:left="800" w:hanging="360"/>
      </w:pPr>
      <w:rPr>
        <w:rFonts w:hint="eastAsia"/>
      </w:r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8">
    <w:nsid w:val="043A525B"/>
    <w:multiLevelType w:val="multilevel"/>
    <w:tmpl w:val="043A525B"/>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9">
    <w:nsid w:val="044D3161"/>
    <w:multiLevelType w:val="multilevel"/>
    <w:tmpl w:val="044D3161"/>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0">
    <w:nsid w:val="04527151"/>
    <w:multiLevelType w:val="multilevel"/>
    <w:tmpl w:val="04527151"/>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1">
    <w:nsid w:val="0485005C"/>
    <w:multiLevelType w:val="multilevel"/>
    <w:tmpl w:val="0485005C"/>
    <w:lvl w:ilvl="0" w:tentative="0">
      <w:start w:val="1"/>
      <w:numFmt w:val="decimal"/>
      <w:lvlText w:val="%1、"/>
      <w:lvlJc w:val="left"/>
      <w:pPr>
        <w:ind w:left="440" w:hanging="440"/>
      </w:pPr>
      <w:rPr>
        <w:rFonts w:hint="default"/>
      </w:rPr>
    </w:lvl>
    <w:lvl w:ilvl="1" w:tentative="0">
      <w:start w:val="1"/>
      <w:numFmt w:val="decimal"/>
      <w:lvlText w:val="%2、"/>
      <w:lvlJc w:val="left"/>
      <w:pPr>
        <w:ind w:left="440" w:hanging="440"/>
      </w:pPr>
      <w:rPr>
        <w:rFonts w:hint="default"/>
      </w:r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2">
    <w:nsid w:val="04D57FEE"/>
    <w:multiLevelType w:val="multilevel"/>
    <w:tmpl w:val="04D57FEE"/>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3">
    <w:nsid w:val="057D4B09"/>
    <w:multiLevelType w:val="multilevel"/>
    <w:tmpl w:val="057D4B09"/>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4">
    <w:nsid w:val="05F77F54"/>
    <w:multiLevelType w:val="multilevel"/>
    <w:tmpl w:val="05F77F54"/>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5">
    <w:nsid w:val="06082288"/>
    <w:multiLevelType w:val="multilevel"/>
    <w:tmpl w:val="06082288"/>
    <w:lvl w:ilvl="0" w:tentative="0">
      <w:start w:val="1"/>
      <w:numFmt w:val="decimal"/>
      <w:lvlText w:val="%1、"/>
      <w:lvlJc w:val="left"/>
      <w:pPr>
        <w:ind w:left="440" w:hanging="440"/>
      </w:pPr>
      <w:rPr>
        <w:rFonts w:hint="default"/>
      </w:rPr>
    </w:lvl>
    <w:lvl w:ilvl="1" w:tentative="0">
      <w:start w:val="6"/>
      <w:numFmt w:val="bullet"/>
      <w:lvlText w:val="★"/>
      <w:lvlJc w:val="left"/>
      <w:pPr>
        <w:ind w:left="800" w:hanging="360"/>
      </w:pPr>
      <w:rPr>
        <w:rFonts w:hint="eastAsia" w:ascii="宋体" w:hAnsi="宋体" w:eastAsia="宋体" w:cs="宋体"/>
      </w:r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6">
    <w:nsid w:val="061A54F9"/>
    <w:multiLevelType w:val="multilevel"/>
    <w:tmpl w:val="061A54F9"/>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7">
    <w:nsid w:val="061D35AC"/>
    <w:multiLevelType w:val="multilevel"/>
    <w:tmpl w:val="061D35AC"/>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8">
    <w:nsid w:val="066451B5"/>
    <w:multiLevelType w:val="multilevel"/>
    <w:tmpl w:val="066451B5"/>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9">
    <w:nsid w:val="069E1A18"/>
    <w:multiLevelType w:val="multilevel"/>
    <w:tmpl w:val="069E1A18"/>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decimal"/>
      <w:lvlText w:val="%3、"/>
      <w:lvlJc w:val="left"/>
      <w:pPr>
        <w:ind w:left="440" w:hanging="440"/>
      </w:pPr>
      <w:rPr>
        <w:rFonts w:hint="default"/>
      </w:r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0">
    <w:nsid w:val="06E127E7"/>
    <w:multiLevelType w:val="multilevel"/>
    <w:tmpl w:val="06E127E7"/>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decimal"/>
      <w:lvlText w:val="%3、"/>
      <w:lvlJc w:val="left"/>
      <w:pPr>
        <w:ind w:left="440" w:hanging="440"/>
      </w:pPr>
      <w:rPr>
        <w:rFonts w:hint="default"/>
      </w:r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1">
    <w:nsid w:val="06F211BF"/>
    <w:multiLevelType w:val="multilevel"/>
    <w:tmpl w:val="06F211BF"/>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2">
    <w:nsid w:val="07E76088"/>
    <w:multiLevelType w:val="multilevel"/>
    <w:tmpl w:val="07E76088"/>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3">
    <w:nsid w:val="081A0C1D"/>
    <w:multiLevelType w:val="multilevel"/>
    <w:tmpl w:val="081A0C1D"/>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4">
    <w:nsid w:val="082A588B"/>
    <w:multiLevelType w:val="multilevel"/>
    <w:tmpl w:val="082A588B"/>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5">
    <w:nsid w:val="082C4372"/>
    <w:multiLevelType w:val="multilevel"/>
    <w:tmpl w:val="082C4372"/>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6">
    <w:nsid w:val="08747A41"/>
    <w:multiLevelType w:val="multilevel"/>
    <w:tmpl w:val="08747A41"/>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7">
    <w:nsid w:val="096A4EBB"/>
    <w:multiLevelType w:val="multilevel"/>
    <w:tmpl w:val="096A4EBB"/>
    <w:lvl w:ilvl="0" w:tentative="0">
      <w:start w:val="1"/>
      <w:numFmt w:val="decimal"/>
      <w:lvlText w:val="%1"/>
      <w:lvlJc w:val="left"/>
      <w:pPr>
        <w:ind w:left="425" w:hanging="425"/>
      </w:pPr>
    </w:lvl>
    <w:lvl w:ilvl="1" w:tentative="0">
      <w:start w:val="1"/>
      <w:numFmt w:val="decimal"/>
      <w:lvlText w:val="%2、"/>
      <w:lvlJc w:val="left"/>
      <w:pPr>
        <w:ind w:left="440" w:hanging="440"/>
      </w:pPr>
      <w:rPr>
        <w:rFonts w:hint="default"/>
      </w:rPr>
    </w:lvl>
    <w:lvl w:ilvl="2" w:tentative="0">
      <w:start w:val="1"/>
      <w:numFmt w:val="decimal"/>
      <w:lvlText w:val="%1.%2.%3"/>
      <w:lvlJc w:val="left"/>
      <w:pPr>
        <w:ind w:left="1418" w:hanging="567"/>
      </w:pPr>
    </w:lvl>
    <w:lvl w:ilvl="3" w:tentative="0">
      <w:start w:val="1"/>
      <w:numFmt w:val="decimal"/>
      <w:lvlText w:val="%1.%2.%3.%4"/>
      <w:lvlJc w:val="left"/>
      <w:pPr>
        <w:ind w:left="1984" w:hanging="708"/>
      </w:pPr>
    </w:lvl>
    <w:lvl w:ilvl="4" w:tentative="0">
      <w:start w:val="1"/>
      <w:numFmt w:val="decimal"/>
      <w:lvlText w:val="%1.%2.%3.%4.%5"/>
      <w:lvlJc w:val="left"/>
      <w:pPr>
        <w:ind w:left="2551" w:hanging="850"/>
      </w:pPr>
    </w:lvl>
    <w:lvl w:ilvl="5" w:tentative="0">
      <w:start w:val="1"/>
      <w:numFmt w:val="decimal"/>
      <w:lvlText w:val="%1.%2.%3.%4.%5.%6"/>
      <w:lvlJc w:val="left"/>
      <w:pPr>
        <w:ind w:left="3260"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abstractNum w:abstractNumId="38">
    <w:nsid w:val="09DC7967"/>
    <w:multiLevelType w:val="multilevel"/>
    <w:tmpl w:val="09DC7967"/>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9">
    <w:nsid w:val="0A422DAF"/>
    <w:multiLevelType w:val="multilevel"/>
    <w:tmpl w:val="0A422DAF"/>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40">
    <w:nsid w:val="0AB21014"/>
    <w:multiLevelType w:val="multilevel"/>
    <w:tmpl w:val="0AB21014"/>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41">
    <w:nsid w:val="0AD36196"/>
    <w:multiLevelType w:val="multilevel"/>
    <w:tmpl w:val="0AD36196"/>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42">
    <w:nsid w:val="0B2D6E90"/>
    <w:multiLevelType w:val="multilevel"/>
    <w:tmpl w:val="0B2D6E90"/>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43">
    <w:nsid w:val="0B555BBB"/>
    <w:multiLevelType w:val="multilevel"/>
    <w:tmpl w:val="0B555BBB"/>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44">
    <w:nsid w:val="0BE212B0"/>
    <w:multiLevelType w:val="multilevel"/>
    <w:tmpl w:val="0BE212B0"/>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45">
    <w:nsid w:val="0C2E7C41"/>
    <w:multiLevelType w:val="multilevel"/>
    <w:tmpl w:val="0C2E7C41"/>
    <w:lvl w:ilvl="0" w:tentative="0">
      <w:start w:val="1"/>
      <w:numFmt w:val="decimal"/>
      <w:lvlText w:val="%1、"/>
      <w:lvlJc w:val="left"/>
      <w:pPr>
        <w:ind w:left="440" w:hanging="440"/>
      </w:pPr>
      <w:rPr>
        <w:rFonts w:hint="default"/>
      </w:rPr>
    </w:lvl>
    <w:lvl w:ilvl="1" w:tentative="0">
      <w:start w:val="5"/>
      <w:numFmt w:val="bullet"/>
      <w:lvlText w:val="★"/>
      <w:lvlJc w:val="left"/>
      <w:pPr>
        <w:ind w:left="800" w:hanging="360"/>
      </w:pPr>
      <w:rPr>
        <w:rFonts w:hint="eastAsia" w:ascii="宋体" w:hAnsi="宋体" w:eastAsia="宋体" w:cs="宋体"/>
      </w:r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46">
    <w:nsid w:val="0C5B3EC4"/>
    <w:multiLevelType w:val="multilevel"/>
    <w:tmpl w:val="0C5B3EC4"/>
    <w:lvl w:ilvl="0" w:tentative="0">
      <w:start w:val="1"/>
      <w:numFmt w:val="decimal"/>
      <w:lvlText w:val="%1、"/>
      <w:lvlJc w:val="left"/>
      <w:pPr>
        <w:ind w:left="440" w:hanging="440"/>
      </w:pPr>
      <w:rPr>
        <w:rFonts w:hint="default"/>
      </w:rPr>
    </w:lvl>
    <w:lvl w:ilvl="1" w:tentative="0">
      <w:start w:val="1"/>
      <w:numFmt w:val="decimal"/>
      <w:lvlText w:val="%2、"/>
      <w:lvlJc w:val="left"/>
      <w:pPr>
        <w:ind w:left="440" w:hanging="440"/>
      </w:pPr>
      <w:rPr>
        <w:rFonts w:hint="default"/>
      </w:r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47">
    <w:nsid w:val="0C9F68D5"/>
    <w:multiLevelType w:val="multilevel"/>
    <w:tmpl w:val="0C9F68D5"/>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48">
    <w:nsid w:val="0CD31FBE"/>
    <w:multiLevelType w:val="multilevel"/>
    <w:tmpl w:val="0CD31FBE"/>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49">
    <w:nsid w:val="0D0E088E"/>
    <w:multiLevelType w:val="multilevel"/>
    <w:tmpl w:val="0D0E088E"/>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50">
    <w:nsid w:val="0D1C0ED0"/>
    <w:multiLevelType w:val="multilevel"/>
    <w:tmpl w:val="0D1C0ED0"/>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decimal"/>
      <w:lvlText w:val="%3、"/>
      <w:lvlJc w:val="left"/>
      <w:pPr>
        <w:ind w:left="440" w:hanging="440"/>
      </w:pPr>
      <w:rPr>
        <w:rFonts w:hint="default"/>
      </w:r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51">
    <w:nsid w:val="0D2906E9"/>
    <w:multiLevelType w:val="multilevel"/>
    <w:tmpl w:val="0D2906E9"/>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52">
    <w:nsid w:val="0D4E25D2"/>
    <w:multiLevelType w:val="multilevel"/>
    <w:tmpl w:val="0D4E25D2"/>
    <w:lvl w:ilvl="0" w:tentative="0">
      <w:start w:val="1"/>
      <w:numFmt w:val="decimal"/>
      <w:lvlText w:val="%1、"/>
      <w:lvlJc w:val="left"/>
      <w:pPr>
        <w:ind w:left="440" w:hanging="440"/>
      </w:pPr>
      <w:rPr>
        <w:rFonts w:hint="default"/>
      </w:rPr>
    </w:lvl>
    <w:lvl w:ilvl="1" w:tentative="0">
      <w:start w:val="1"/>
      <w:numFmt w:val="decimal"/>
      <w:lvlText w:val="%2、"/>
      <w:lvlJc w:val="left"/>
      <w:pPr>
        <w:ind w:left="440" w:hanging="440"/>
      </w:pPr>
      <w:rPr>
        <w:rFonts w:hint="default"/>
      </w:r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53">
    <w:nsid w:val="0DA4096D"/>
    <w:multiLevelType w:val="multilevel"/>
    <w:tmpl w:val="0DA4096D"/>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54">
    <w:nsid w:val="0E17295D"/>
    <w:multiLevelType w:val="multilevel"/>
    <w:tmpl w:val="0E17295D"/>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55">
    <w:nsid w:val="0E877447"/>
    <w:multiLevelType w:val="multilevel"/>
    <w:tmpl w:val="0E877447"/>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56">
    <w:nsid w:val="0ECB4243"/>
    <w:multiLevelType w:val="multilevel"/>
    <w:tmpl w:val="0ECB4243"/>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57">
    <w:nsid w:val="0F0722BD"/>
    <w:multiLevelType w:val="multilevel"/>
    <w:tmpl w:val="0F0722BD"/>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58">
    <w:nsid w:val="0F072CA6"/>
    <w:multiLevelType w:val="multilevel"/>
    <w:tmpl w:val="0F072CA6"/>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59">
    <w:nsid w:val="0F0D2063"/>
    <w:multiLevelType w:val="multilevel"/>
    <w:tmpl w:val="0F0D2063"/>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60">
    <w:nsid w:val="10AE0B2D"/>
    <w:multiLevelType w:val="multilevel"/>
    <w:tmpl w:val="10AE0B2D"/>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61">
    <w:nsid w:val="110B0CE2"/>
    <w:multiLevelType w:val="multilevel"/>
    <w:tmpl w:val="110B0CE2"/>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62">
    <w:nsid w:val="11690DFD"/>
    <w:multiLevelType w:val="multilevel"/>
    <w:tmpl w:val="11690DFD"/>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63">
    <w:nsid w:val="1185524D"/>
    <w:multiLevelType w:val="multilevel"/>
    <w:tmpl w:val="1185524D"/>
    <w:lvl w:ilvl="0" w:tentative="0">
      <w:start w:val="1"/>
      <w:numFmt w:val="decimal"/>
      <w:lvlText w:val="%1、"/>
      <w:lvlJc w:val="left"/>
      <w:pPr>
        <w:ind w:left="440" w:hanging="440"/>
      </w:pPr>
      <w:rPr>
        <w:rFonts w:hint="default"/>
      </w:rPr>
    </w:lvl>
    <w:lvl w:ilvl="1" w:tentative="0">
      <w:start w:val="1"/>
      <w:numFmt w:val="upperLetter"/>
      <w:lvlText w:val="%2."/>
      <w:lvlJc w:val="left"/>
      <w:pPr>
        <w:ind w:left="800" w:hanging="360"/>
      </w:pPr>
      <w:rPr>
        <w:rFonts w:hint="eastAsia"/>
      </w:r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64">
    <w:nsid w:val="120570D8"/>
    <w:multiLevelType w:val="multilevel"/>
    <w:tmpl w:val="120570D8"/>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65">
    <w:nsid w:val="12F2747C"/>
    <w:multiLevelType w:val="multilevel"/>
    <w:tmpl w:val="12F2747C"/>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66">
    <w:nsid w:val="130E29E8"/>
    <w:multiLevelType w:val="multilevel"/>
    <w:tmpl w:val="130E29E8"/>
    <w:lvl w:ilvl="0" w:tentative="0">
      <w:start w:val="1"/>
      <w:numFmt w:val="decimal"/>
      <w:lvlText w:val="%1、"/>
      <w:lvlJc w:val="left"/>
      <w:pPr>
        <w:ind w:left="440" w:hanging="440"/>
      </w:pPr>
      <w:rPr>
        <w:rFonts w:hint="default"/>
      </w:rPr>
    </w:lvl>
    <w:lvl w:ilvl="1" w:tentative="0">
      <w:start w:val="1"/>
      <w:numFmt w:val="decimal"/>
      <w:lvlText w:val="%2、"/>
      <w:lvlJc w:val="left"/>
      <w:pPr>
        <w:ind w:left="440" w:hanging="440"/>
      </w:pPr>
      <w:rPr>
        <w:rFonts w:hint="default"/>
      </w:r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67">
    <w:nsid w:val="13932630"/>
    <w:multiLevelType w:val="multilevel"/>
    <w:tmpl w:val="13932630"/>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68">
    <w:nsid w:val="13A260FC"/>
    <w:multiLevelType w:val="multilevel"/>
    <w:tmpl w:val="13A260FC"/>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69">
    <w:nsid w:val="146A4E81"/>
    <w:multiLevelType w:val="multilevel"/>
    <w:tmpl w:val="146A4E81"/>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decimal"/>
      <w:lvlText w:val="%3、"/>
      <w:lvlJc w:val="left"/>
      <w:pPr>
        <w:ind w:left="440" w:hanging="440"/>
      </w:pPr>
      <w:rPr>
        <w:rFonts w:hint="default"/>
      </w:r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70">
    <w:nsid w:val="14971150"/>
    <w:multiLevelType w:val="multilevel"/>
    <w:tmpl w:val="14971150"/>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71">
    <w:nsid w:val="14A244FA"/>
    <w:multiLevelType w:val="multilevel"/>
    <w:tmpl w:val="14A244FA"/>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72">
    <w:nsid w:val="14EB1F1B"/>
    <w:multiLevelType w:val="multilevel"/>
    <w:tmpl w:val="14EB1F1B"/>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decimal"/>
      <w:lvlText w:val="%3、"/>
      <w:lvlJc w:val="left"/>
      <w:pPr>
        <w:ind w:left="440" w:hanging="440"/>
      </w:pPr>
      <w:rPr>
        <w:rFonts w:hint="default"/>
      </w:r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73">
    <w:nsid w:val="15B8A527"/>
    <w:multiLevelType w:val="multilevel"/>
    <w:tmpl w:val="15B8A527"/>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74">
    <w:nsid w:val="15CD111C"/>
    <w:multiLevelType w:val="multilevel"/>
    <w:tmpl w:val="15CD111C"/>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75">
    <w:nsid w:val="15E76CD0"/>
    <w:multiLevelType w:val="multilevel"/>
    <w:tmpl w:val="15E76CD0"/>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76">
    <w:nsid w:val="15F749DF"/>
    <w:multiLevelType w:val="multilevel"/>
    <w:tmpl w:val="15F749DF"/>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decimal"/>
      <w:lvlText w:val="%3、"/>
      <w:lvlJc w:val="left"/>
      <w:pPr>
        <w:ind w:left="440" w:hanging="440"/>
      </w:pPr>
      <w:rPr>
        <w:rFonts w:hint="default"/>
      </w:r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77">
    <w:nsid w:val="160151E0"/>
    <w:multiLevelType w:val="multilevel"/>
    <w:tmpl w:val="160151E0"/>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78">
    <w:nsid w:val="169508BB"/>
    <w:multiLevelType w:val="multilevel"/>
    <w:tmpl w:val="169508BB"/>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decimal"/>
      <w:lvlText w:val="%3、"/>
      <w:lvlJc w:val="left"/>
      <w:pPr>
        <w:ind w:left="440" w:hanging="440"/>
      </w:pPr>
      <w:rPr>
        <w:rFonts w:hint="default"/>
      </w:r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79">
    <w:nsid w:val="16B37F6A"/>
    <w:multiLevelType w:val="multilevel"/>
    <w:tmpl w:val="16B37F6A"/>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80">
    <w:nsid w:val="16C1101B"/>
    <w:multiLevelType w:val="multilevel"/>
    <w:tmpl w:val="16C1101B"/>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81">
    <w:nsid w:val="16DA51E4"/>
    <w:multiLevelType w:val="multilevel"/>
    <w:tmpl w:val="16DA51E4"/>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82">
    <w:nsid w:val="180C3BC2"/>
    <w:multiLevelType w:val="multilevel"/>
    <w:tmpl w:val="180C3BC2"/>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83">
    <w:nsid w:val="18650396"/>
    <w:multiLevelType w:val="multilevel"/>
    <w:tmpl w:val="18650396"/>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440" w:hanging="440"/>
      </w:pPr>
      <w:rPr>
        <w:rFonts w:hint="default"/>
      </w:r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84">
    <w:nsid w:val="18B8123A"/>
    <w:multiLevelType w:val="multilevel"/>
    <w:tmpl w:val="18B8123A"/>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85">
    <w:nsid w:val="18BE6F55"/>
    <w:multiLevelType w:val="multilevel"/>
    <w:tmpl w:val="18BE6F55"/>
    <w:lvl w:ilvl="0" w:tentative="0">
      <w:start w:val="1"/>
      <w:numFmt w:val="decimal"/>
      <w:lvlText w:val="%1、"/>
      <w:lvlJc w:val="left"/>
      <w:pPr>
        <w:ind w:left="440" w:hanging="440"/>
      </w:pPr>
      <w:rPr>
        <w:rFonts w:hint="default"/>
      </w:rPr>
    </w:lvl>
    <w:lvl w:ilvl="1" w:tentative="0">
      <w:start w:val="1"/>
      <w:numFmt w:val="decimal"/>
      <w:lvlText w:val="%2、"/>
      <w:lvlJc w:val="left"/>
      <w:pPr>
        <w:ind w:left="440" w:hanging="440"/>
      </w:pPr>
      <w:rPr>
        <w:rFonts w:hint="default"/>
      </w:r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86">
    <w:nsid w:val="18F35D82"/>
    <w:multiLevelType w:val="multilevel"/>
    <w:tmpl w:val="18F35D82"/>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decimal"/>
      <w:lvlText w:val="%3、"/>
      <w:lvlJc w:val="left"/>
      <w:pPr>
        <w:ind w:left="440" w:hanging="440"/>
      </w:pPr>
      <w:rPr>
        <w:rFonts w:hint="default"/>
      </w:r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87">
    <w:nsid w:val="19482611"/>
    <w:multiLevelType w:val="multilevel"/>
    <w:tmpl w:val="19482611"/>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88">
    <w:nsid w:val="196624A3"/>
    <w:multiLevelType w:val="multilevel"/>
    <w:tmpl w:val="196624A3"/>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89">
    <w:nsid w:val="19BC6DC8"/>
    <w:multiLevelType w:val="multilevel"/>
    <w:tmpl w:val="19BC6DC8"/>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90">
    <w:nsid w:val="19CF559F"/>
    <w:multiLevelType w:val="multilevel"/>
    <w:tmpl w:val="19CF559F"/>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91">
    <w:nsid w:val="1A4874B0"/>
    <w:multiLevelType w:val="multilevel"/>
    <w:tmpl w:val="1A4874B0"/>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92">
    <w:nsid w:val="1A4D3272"/>
    <w:multiLevelType w:val="multilevel"/>
    <w:tmpl w:val="1A4D3272"/>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decimal"/>
      <w:lvlText w:val="%3、"/>
      <w:lvlJc w:val="left"/>
      <w:pPr>
        <w:ind w:left="440" w:hanging="440"/>
      </w:pPr>
      <w:rPr>
        <w:rFonts w:hint="default"/>
      </w:r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93">
    <w:nsid w:val="1A9B74A4"/>
    <w:multiLevelType w:val="multilevel"/>
    <w:tmpl w:val="1A9B74A4"/>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94">
    <w:nsid w:val="1C286B19"/>
    <w:multiLevelType w:val="multilevel"/>
    <w:tmpl w:val="1C286B19"/>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95">
    <w:nsid w:val="1C540536"/>
    <w:multiLevelType w:val="multilevel"/>
    <w:tmpl w:val="1C540536"/>
    <w:lvl w:ilvl="0" w:tentative="0">
      <w:start w:val="1"/>
      <w:numFmt w:val="decimal"/>
      <w:lvlText w:val="%1、"/>
      <w:lvlJc w:val="left"/>
      <w:pPr>
        <w:ind w:left="440" w:hanging="440"/>
      </w:pPr>
      <w:rPr>
        <w:rFonts w:hint="default"/>
      </w:rPr>
    </w:lvl>
    <w:lvl w:ilvl="1" w:tentative="0">
      <w:start w:val="1"/>
      <w:numFmt w:val="decimal"/>
      <w:lvlText w:val="%2）"/>
      <w:lvlJc w:val="left"/>
      <w:pPr>
        <w:ind w:left="800" w:hanging="360"/>
      </w:pPr>
      <w:rPr>
        <w:rFonts w:hint="eastAsia"/>
      </w:r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96">
    <w:nsid w:val="1C5A4D1A"/>
    <w:multiLevelType w:val="multilevel"/>
    <w:tmpl w:val="1C5A4D1A"/>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97">
    <w:nsid w:val="1C701F6D"/>
    <w:multiLevelType w:val="multilevel"/>
    <w:tmpl w:val="1C701F6D"/>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98">
    <w:nsid w:val="1C9075E8"/>
    <w:multiLevelType w:val="multilevel"/>
    <w:tmpl w:val="1C9075E8"/>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99">
    <w:nsid w:val="1CFD40C2"/>
    <w:multiLevelType w:val="multilevel"/>
    <w:tmpl w:val="1CFD40C2"/>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00">
    <w:nsid w:val="1D5F0A21"/>
    <w:multiLevelType w:val="multilevel"/>
    <w:tmpl w:val="1D5F0A21"/>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decimal"/>
      <w:lvlText w:val="%3、"/>
      <w:lvlJc w:val="left"/>
      <w:pPr>
        <w:ind w:left="440" w:hanging="440"/>
      </w:pPr>
      <w:rPr>
        <w:rFonts w:hint="default"/>
      </w:r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01">
    <w:nsid w:val="1D684C4D"/>
    <w:multiLevelType w:val="multilevel"/>
    <w:tmpl w:val="1D684C4D"/>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02">
    <w:nsid w:val="1D701158"/>
    <w:multiLevelType w:val="multilevel"/>
    <w:tmpl w:val="1D701158"/>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03">
    <w:nsid w:val="1DBA1328"/>
    <w:multiLevelType w:val="multilevel"/>
    <w:tmpl w:val="1DBA1328"/>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04">
    <w:nsid w:val="1DD77C55"/>
    <w:multiLevelType w:val="multilevel"/>
    <w:tmpl w:val="1DD77C55"/>
    <w:lvl w:ilvl="0" w:tentative="0">
      <w:start w:val="1"/>
      <w:numFmt w:val="decimal"/>
      <w:lvlText w:val="%1、"/>
      <w:lvlJc w:val="left"/>
      <w:pPr>
        <w:ind w:left="440" w:hanging="440"/>
      </w:pPr>
      <w:rPr>
        <w:rFonts w:hint="default"/>
      </w:rPr>
    </w:lvl>
    <w:lvl w:ilvl="1" w:tentative="0">
      <w:start w:val="1"/>
      <w:numFmt w:val="decimal"/>
      <w:lvlText w:val="%2、"/>
      <w:lvlJc w:val="left"/>
      <w:pPr>
        <w:ind w:left="440" w:hanging="440"/>
      </w:pPr>
      <w:rPr>
        <w:rFonts w:hint="default"/>
      </w:r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05">
    <w:nsid w:val="1DE477AF"/>
    <w:multiLevelType w:val="multilevel"/>
    <w:tmpl w:val="1DE477AF"/>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06">
    <w:nsid w:val="1DFA441C"/>
    <w:multiLevelType w:val="multilevel"/>
    <w:tmpl w:val="1DFA441C"/>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07">
    <w:nsid w:val="1E4855B8"/>
    <w:multiLevelType w:val="multilevel"/>
    <w:tmpl w:val="1E4855B8"/>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08">
    <w:nsid w:val="1E7D4C9E"/>
    <w:multiLevelType w:val="multilevel"/>
    <w:tmpl w:val="1E7D4C9E"/>
    <w:lvl w:ilvl="0" w:tentative="0">
      <w:start w:val="1"/>
      <w:numFmt w:val="decimal"/>
      <w:lvlText w:val="%1、"/>
      <w:lvlJc w:val="left"/>
      <w:pPr>
        <w:ind w:left="440" w:hanging="440"/>
      </w:pPr>
      <w:rPr>
        <w:rFonts w:hint="default"/>
      </w:rPr>
    </w:lvl>
    <w:lvl w:ilvl="1" w:tentative="0">
      <w:start w:val="1"/>
      <w:numFmt w:val="decimalEnclosedCircle"/>
      <w:lvlText w:val="%2"/>
      <w:lvlJc w:val="left"/>
      <w:pPr>
        <w:ind w:left="800" w:hanging="360"/>
      </w:pPr>
      <w:rPr>
        <w:rFonts w:hint="eastAsia"/>
      </w:r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09">
    <w:nsid w:val="1F7B7B5F"/>
    <w:multiLevelType w:val="multilevel"/>
    <w:tmpl w:val="1F7B7B5F"/>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10">
    <w:nsid w:val="201C0210"/>
    <w:multiLevelType w:val="multilevel"/>
    <w:tmpl w:val="201C0210"/>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11">
    <w:nsid w:val="2073022E"/>
    <w:multiLevelType w:val="multilevel"/>
    <w:tmpl w:val="2073022E"/>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12">
    <w:nsid w:val="208E104E"/>
    <w:multiLevelType w:val="multilevel"/>
    <w:tmpl w:val="208E104E"/>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13">
    <w:nsid w:val="209700BB"/>
    <w:multiLevelType w:val="multilevel"/>
    <w:tmpl w:val="209700BB"/>
    <w:lvl w:ilvl="0" w:tentative="0">
      <w:start w:val="1"/>
      <w:numFmt w:val="decimal"/>
      <w:lvlText w:val="%1、"/>
      <w:lvlJc w:val="left"/>
      <w:pPr>
        <w:ind w:left="440" w:hanging="440"/>
      </w:pPr>
      <w:rPr>
        <w:rFonts w:hint="default"/>
      </w:rPr>
    </w:lvl>
    <w:lvl w:ilvl="1" w:tentative="0">
      <w:start w:val="1"/>
      <w:numFmt w:val="decimal"/>
      <w:lvlText w:val="%2、"/>
      <w:lvlJc w:val="left"/>
      <w:pPr>
        <w:ind w:left="440" w:hanging="440"/>
      </w:pPr>
      <w:rPr>
        <w:rFonts w:hint="default"/>
      </w:r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14">
    <w:nsid w:val="20AE6535"/>
    <w:multiLevelType w:val="multilevel"/>
    <w:tmpl w:val="20AE6535"/>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15">
    <w:nsid w:val="20F64120"/>
    <w:multiLevelType w:val="multilevel"/>
    <w:tmpl w:val="20F64120"/>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16">
    <w:nsid w:val="21242B5F"/>
    <w:multiLevelType w:val="multilevel"/>
    <w:tmpl w:val="21242B5F"/>
    <w:lvl w:ilvl="0" w:tentative="0">
      <w:start w:val="1"/>
      <w:numFmt w:val="decimal"/>
      <w:lvlText w:val="%1、"/>
      <w:lvlJc w:val="left"/>
      <w:pPr>
        <w:ind w:left="440" w:hanging="440"/>
      </w:pPr>
      <w:rPr>
        <w:rFonts w:hint="default"/>
      </w:rPr>
    </w:lvl>
    <w:lvl w:ilvl="1" w:tentative="0">
      <w:start w:val="1"/>
      <w:numFmt w:val="decimal"/>
      <w:lvlText w:val="%2、"/>
      <w:lvlJc w:val="left"/>
      <w:pPr>
        <w:ind w:left="440" w:hanging="440"/>
      </w:pPr>
      <w:rPr>
        <w:rFonts w:hint="default"/>
      </w:r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17">
    <w:nsid w:val="2166020D"/>
    <w:multiLevelType w:val="multilevel"/>
    <w:tmpl w:val="2166020D"/>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18">
    <w:nsid w:val="21684AEB"/>
    <w:multiLevelType w:val="multilevel"/>
    <w:tmpl w:val="21684AEB"/>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19">
    <w:nsid w:val="21A72DD4"/>
    <w:multiLevelType w:val="multilevel"/>
    <w:tmpl w:val="21A72DD4"/>
    <w:lvl w:ilvl="0" w:tentative="0">
      <w:start w:val="1"/>
      <w:numFmt w:val="decimal"/>
      <w:lvlText w:val="%1、"/>
      <w:lvlJc w:val="left"/>
      <w:pPr>
        <w:ind w:left="440" w:hanging="440"/>
      </w:pPr>
      <w:rPr>
        <w:rFonts w:hint="default"/>
      </w:rPr>
    </w:lvl>
    <w:lvl w:ilvl="1" w:tentative="0">
      <w:start w:val="1"/>
      <w:numFmt w:val="decimal"/>
      <w:lvlText w:val="%2、"/>
      <w:lvlJc w:val="left"/>
      <w:pPr>
        <w:ind w:left="440" w:hanging="440"/>
      </w:pPr>
      <w:rPr>
        <w:rFonts w:hint="default"/>
      </w:r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20">
    <w:nsid w:val="228F7615"/>
    <w:multiLevelType w:val="multilevel"/>
    <w:tmpl w:val="228F7615"/>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21">
    <w:nsid w:val="229313BE"/>
    <w:multiLevelType w:val="multilevel"/>
    <w:tmpl w:val="229313BE"/>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22">
    <w:nsid w:val="22E84EF2"/>
    <w:multiLevelType w:val="multilevel"/>
    <w:tmpl w:val="22E84EF2"/>
    <w:lvl w:ilvl="0" w:tentative="0">
      <w:start w:val="1"/>
      <w:numFmt w:val="decimal"/>
      <w:lvlText w:val="%1、"/>
      <w:lvlJc w:val="left"/>
      <w:pPr>
        <w:ind w:left="440" w:hanging="440"/>
      </w:pPr>
      <w:rPr>
        <w:rFonts w:hint="default"/>
      </w:rPr>
    </w:lvl>
    <w:lvl w:ilvl="1" w:tentative="0">
      <w:start w:val="8"/>
      <w:numFmt w:val="bullet"/>
      <w:lvlText w:val="•"/>
      <w:lvlJc w:val="left"/>
      <w:pPr>
        <w:ind w:left="800" w:hanging="360"/>
      </w:pPr>
      <w:rPr>
        <w:rFonts w:hint="eastAsia" w:ascii="宋体" w:hAnsi="宋体" w:eastAsia="宋体" w:cs="宋体"/>
      </w:r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23">
    <w:nsid w:val="230701BD"/>
    <w:multiLevelType w:val="multilevel"/>
    <w:tmpl w:val="230701BD"/>
    <w:lvl w:ilvl="0" w:tentative="0">
      <w:start w:val="1"/>
      <w:numFmt w:val="decimal"/>
      <w:lvlText w:val="%1、"/>
      <w:lvlJc w:val="left"/>
      <w:pPr>
        <w:ind w:left="440" w:hanging="440"/>
      </w:pPr>
      <w:rPr>
        <w:rFonts w:hint="default"/>
      </w:rPr>
    </w:lvl>
    <w:lvl w:ilvl="1" w:tentative="0">
      <w:start w:val="1"/>
      <w:numFmt w:val="decimal"/>
      <w:lvlText w:val="%2."/>
      <w:lvlJc w:val="left"/>
      <w:pPr>
        <w:ind w:left="800" w:hanging="360"/>
      </w:pPr>
      <w:rPr>
        <w:rFonts w:hint="eastAsia"/>
      </w:r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24">
    <w:nsid w:val="23360446"/>
    <w:multiLevelType w:val="multilevel"/>
    <w:tmpl w:val="23360446"/>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25">
    <w:nsid w:val="24156C6D"/>
    <w:multiLevelType w:val="multilevel"/>
    <w:tmpl w:val="24156C6D"/>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26">
    <w:nsid w:val="242E2B08"/>
    <w:multiLevelType w:val="multilevel"/>
    <w:tmpl w:val="242E2B08"/>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27">
    <w:nsid w:val="24BC0A7B"/>
    <w:multiLevelType w:val="multilevel"/>
    <w:tmpl w:val="24BC0A7B"/>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28">
    <w:nsid w:val="24C9667A"/>
    <w:multiLevelType w:val="multilevel"/>
    <w:tmpl w:val="24C9667A"/>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29">
    <w:nsid w:val="24D52D13"/>
    <w:multiLevelType w:val="multilevel"/>
    <w:tmpl w:val="24D52D13"/>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30">
    <w:nsid w:val="24FD2BDF"/>
    <w:multiLevelType w:val="multilevel"/>
    <w:tmpl w:val="24FD2BDF"/>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31">
    <w:nsid w:val="252E0081"/>
    <w:multiLevelType w:val="multilevel"/>
    <w:tmpl w:val="252E0081"/>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32">
    <w:nsid w:val="25393787"/>
    <w:multiLevelType w:val="multilevel"/>
    <w:tmpl w:val="25393787"/>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decimal"/>
      <w:lvlText w:val="%3、"/>
      <w:lvlJc w:val="left"/>
      <w:pPr>
        <w:ind w:left="440" w:hanging="440"/>
      </w:pPr>
      <w:rPr>
        <w:rFonts w:hint="default"/>
      </w:r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33">
    <w:nsid w:val="256719D8"/>
    <w:multiLevelType w:val="multilevel"/>
    <w:tmpl w:val="256719D8"/>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decimal"/>
      <w:lvlText w:val="%3、"/>
      <w:lvlJc w:val="left"/>
      <w:pPr>
        <w:ind w:left="440" w:hanging="440"/>
      </w:pPr>
      <w:rPr>
        <w:rFonts w:hint="default"/>
      </w:r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34">
    <w:nsid w:val="257540C2"/>
    <w:multiLevelType w:val="multilevel"/>
    <w:tmpl w:val="257540C2"/>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decimal"/>
      <w:lvlText w:val="%3、"/>
      <w:lvlJc w:val="left"/>
      <w:pPr>
        <w:ind w:left="440" w:hanging="440"/>
      </w:pPr>
      <w:rPr>
        <w:rFonts w:hint="default"/>
      </w:r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35">
    <w:nsid w:val="2581744C"/>
    <w:multiLevelType w:val="multilevel"/>
    <w:tmpl w:val="2581744C"/>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36">
    <w:nsid w:val="26287335"/>
    <w:multiLevelType w:val="multilevel"/>
    <w:tmpl w:val="26287335"/>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37">
    <w:nsid w:val="262C1001"/>
    <w:multiLevelType w:val="multilevel"/>
    <w:tmpl w:val="262C1001"/>
    <w:lvl w:ilvl="0" w:tentative="0">
      <w:start w:val="1"/>
      <w:numFmt w:val="decimal"/>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38">
    <w:nsid w:val="26983BDE"/>
    <w:multiLevelType w:val="multilevel"/>
    <w:tmpl w:val="26983BDE"/>
    <w:lvl w:ilvl="0" w:tentative="0">
      <w:start w:val="1"/>
      <w:numFmt w:val="decimal"/>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39">
    <w:nsid w:val="26BC25D7"/>
    <w:multiLevelType w:val="multilevel"/>
    <w:tmpl w:val="26BC25D7"/>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40">
    <w:nsid w:val="26E8480B"/>
    <w:multiLevelType w:val="multilevel"/>
    <w:tmpl w:val="26E8480B"/>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41">
    <w:nsid w:val="274F4CBA"/>
    <w:multiLevelType w:val="multilevel"/>
    <w:tmpl w:val="274F4CBA"/>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42">
    <w:nsid w:val="2859238B"/>
    <w:multiLevelType w:val="multilevel"/>
    <w:tmpl w:val="2859238B"/>
    <w:lvl w:ilvl="0" w:tentative="0">
      <w:start w:val="1"/>
      <w:numFmt w:val="decimal"/>
      <w:lvlText w:val="%1、"/>
      <w:lvlJc w:val="left"/>
      <w:pPr>
        <w:ind w:left="440" w:hanging="440"/>
      </w:pPr>
      <w:rPr>
        <w:rFonts w:hint="default"/>
      </w:rPr>
    </w:lvl>
    <w:lvl w:ilvl="1" w:tentative="0">
      <w:start w:val="1"/>
      <w:numFmt w:val="decimal"/>
      <w:lvlText w:val="%2)"/>
      <w:lvlJc w:val="left"/>
      <w:pPr>
        <w:ind w:left="800" w:hanging="360"/>
      </w:pPr>
      <w:rPr>
        <w:rFonts w:hint="eastAsia"/>
      </w:r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43">
    <w:nsid w:val="28F87D61"/>
    <w:multiLevelType w:val="multilevel"/>
    <w:tmpl w:val="28F87D61"/>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44">
    <w:nsid w:val="28FB4D83"/>
    <w:multiLevelType w:val="multilevel"/>
    <w:tmpl w:val="28FB4D83"/>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45">
    <w:nsid w:val="298F0DCF"/>
    <w:multiLevelType w:val="multilevel"/>
    <w:tmpl w:val="298F0DCF"/>
    <w:lvl w:ilvl="0" w:tentative="0">
      <w:start w:val="1"/>
      <w:numFmt w:val="decimal"/>
      <w:lvlText w:val="%1、"/>
      <w:lvlJc w:val="left"/>
      <w:pPr>
        <w:ind w:left="440" w:hanging="440"/>
      </w:pPr>
      <w:rPr>
        <w:rFonts w:hint="default"/>
      </w:rPr>
    </w:lvl>
    <w:lvl w:ilvl="1" w:tentative="0">
      <w:start w:val="1"/>
      <w:numFmt w:val="decimal"/>
      <w:lvlText w:val="%2、"/>
      <w:lvlJc w:val="left"/>
      <w:pPr>
        <w:ind w:left="440" w:hanging="440"/>
      </w:pPr>
      <w:rPr>
        <w:rFonts w:hint="default"/>
      </w:rPr>
    </w:lvl>
    <w:lvl w:ilvl="2" w:tentative="0">
      <w:start w:val="1"/>
      <w:numFmt w:val="japaneseCounting"/>
      <w:lvlText w:val="%3、"/>
      <w:lvlJc w:val="left"/>
      <w:pPr>
        <w:ind w:left="1330" w:hanging="450"/>
      </w:pPr>
      <w:rPr>
        <w:rFonts w:hint="default"/>
      </w:rPr>
    </w:lvl>
    <w:lvl w:ilvl="3" w:tentative="0">
      <w:start w:val="1"/>
      <w:numFmt w:val="decimalEnclosedCircle"/>
      <w:lvlText w:val="%4"/>
      <w:lvlJc w:val="left"/>
      <w:pPr>
        <w:ind w:left="1680" w:hanging="360"/>
      </w:pPr>
      <w:rPr>
        <w:rFonts w:hint="eastAsia"/>
      </w:r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46">
    <w:nsid w:val="29F71067"/>
    <w:multiLevelType w:val="multilevel"/>
    <w:tmpl w:val="29F71067"/>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47">
    <w:nsid w:val="2A1061F5"/>
    <w:multiLevelType w:val="multilevel"/>
    <w:tmpl w:val="2A1061F5"/>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48">
    <w:nsid w:val="2A651B85"/>
    <w:multiLevelType w:val="multilevel"/>
    <w:tmpl w:val="2A651B85"/>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49">
    <w:nsid w:val="2ABF0F21"/>
    <w:multiLevelType w:val="multilevel"/>
    <w:tmpl w:val="2ABF0F21"/>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50">
    <w:nsid w:val="2AC3332D"/>
    <w:multiLevelType w:val="multilevel"/>
    <w:tmpl w:val="2AC3332D"/>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51">
    <w:nsid w:val="2B271F52"/>
    <w:multiLevelType w:val="multilevel"/>
    <w:tmpl w:val="2B271F52"/>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52">
    <w:nsid w:val="2B9D6CEA"/>
    <w:multiLevelType w:val="multilevel"/>
    <w:tmpl w:val="2B9D6CEA"/>
    <w:lvl w:ilvl="0" w:tentative="0">
      <w:start w:val="1"/>
      <w:numFmt w:val="decimal"/>
      <w:lvlText w:val="%1"/>
      <w:lvlJc w:val="left"/>
      <w:pPr>
        <w:ind w:left="425" w:hanging="425"/>
      </w:pPr>
    </w:lvl>
    <w:lvl w:ilvl="1" w:tentative="0">
      <w:start w:val="1"/>
      <w:numFmt w:val="decimal"/>
      <w:lvlText w:val="%2、"/>
      <w:lvlJc w:val="left"/>
      <w:pPr>
        <w:ind w:left="440" w:hanging="440"/>
      </w:pPr>
      <w:rPr>
        <w:rFonts w:hint="default"/>
      </w:rPr>
    </w:lvl>
    <w:lvl w:ilvl="2" w:tentative="0">
      <w:start w:val="1"/>
      <w:numFmt w:val="decimal"/>
      <w:lvlText w:val="%1.%2.%3"/>
      <w:lvlJc w:val="left"/>
      <w:pPr>
        <w:ind w:left="1418" w:hanging="567"/>
      </w:pPr>
    </w:lvl>
    <w:lvl w:ilvl="3" w:tentative="0">
      <w:start w:val="1"/>
      <w:numFmt w:val="decimal"/>
      <w:lvlText w:val="%1.%2.%3.%4"/>
      <w:lvlJc w:val="left"/>
      <w:pPr>
        <w:ind w:left="1984" w:hanging="708"/>
      </w:pPr>
    </w:lvl>
    <w:lvl w:ilvl="4" w:tentative="0">
      <w:start w:val="1"/>
      <w:numFmt w:val="decimal"/>
      <w:lvlText w:val="%1.%2.%3.%4.%5"/>
      <w:lvlJc w:val="left"/>
      <w:pPr>
        <w:ind w:left="2551" w:hanging="850"/>
      </w:pPr>
    </w:lvl>
    <w:lvl w:ilvl="5" w:tentative="0">
      <w:start w:val="1"/>
      <w:numFmt w:val="decimal"/>
      <w:lvlText w:val="%1.%2.%3.%4.%5.%6"/>
      <w:lvlJc w:val="left"/>
      <w:pPr>
        <w:ind w:left="3260"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abstractNum w:abstractNumId="153">
    <w:nsid w:val="2BC611A4"/>
    <w:multiLevelType w:val="multilevel"/>
    <w:tmpl w:val="2BC611A4"/>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decimal"/>
      <w:lvlText w:val="%3、"/>
      <w:lvlJc w:val="left"/>
      <w:pPr>
        <w:ind w:left="440" w:hanging="440"/>
      </w:pPr>
      <w:rPr>
        <w:rFonts w:hint="default"/>
      </w:r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54">
    <w:nsid w:val="2BE077A0"/>
    <w:multiLevelType w:val="multilevel"/>
    <w:tmpl w:val="2BE077A0"/>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55">
    <w:nsid w:val="2C467179"/>
    <w:multiLevelType w:val="multilevel"/>
    <w:tmpl w:val="2C467179"/>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56">
    <w:nsid w:val="2C97561F"/>
    <w:multiLevelType w:val="multilevel"/>
    <w:tmpl w:val="2C97561F"/>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57">
    <w:nsid w:val="2D3C07F7"/>
    <w:multiLevelType w:val="multilevel"/>
    <w:tmpl w:val="2D3C07F7"/>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58">
    <w:nsid w:val="2D584CF7"/>
    <w:multiLevelType w:val="multilevel"/>
    <w:tmpl w:val="2D584CF7"/>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59">
    <w:nsid w:val="2DAA0AC4"/>
    <w:multiLevelType w:val="multilevel"/>
    <w:tmpl w:val="2DAA0AC4"/>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60">
    <w:nsid w:val="2DB94F58"/>
    <w:multiLevelType w:val="multilevel"/>
    <w:tmpl w:val="2DB94F58"/>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61">
    <w:nsid w:val="2E3430DB"/>
    <w:multiLevelType w:val="multilevel"/>
    <w:tmpl w:val="2E3430DB"/>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62">
    <w:nsid w:val="2E7B5A00"/>
    <w:multiLevelType w:val="multilevel"/>
    <w:tmpl w:val="2E7B5A00"/>
    <w:lvl w:ilvl="0" w:tentative="0">
      <w:start w:val="1"/>
      <w:numFmt w:val="decimal"/>
      <w:lvlText w:val="%1、"/>
      <w:lvlJc w:val="left"/>
      <w:pPr>
        <w:ind w:left="440" w:hanging="440"/>
      </w:pPr>
      <w:rPr>
        <w:rFonts w:hint="default"/>
      </w:rPr>
    </w:lvl>
    <w:lvl w:ilvl="1" w:tentative="0">
      <w:start w:val="1"/>
      <w:numFmt w:val="decimal"/>
      <w:lvlText w:val="%2、"/>
      <w:lvlJc w:val="left"/>
      <w:pPr>
        <w:ind w:left="440" w:hanging="440"/>
      </w:pPr>
      <w:rPr>
        <w:rFonts w:hint="default"/>
      </w:r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63">
    <w:nsid w:val="2F2D06C2"/>
    <w:multiLevelType w:val="multilevel"/>
    <w:tmpl w:val="2F2D06C2"/>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64">
    <w:nsid w:val="2F42412F"/>
    <w:multiLevelType w:val="multilevel"/>
    <w:tmpl w:val="2F42412F"/>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65">
    <w:nsid w:val="30567EE5"/>
    <w:multiLevelType w:val="multilevel"/>
    <w:tmpl w:val="30567EE5"/>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decimal"/>
      <w:lvlText w:val="%3、"/>
      <w:lvlJc w:val="left"/>
      <w:pPr>
        <w:ind w:left="440" w:hanging="440"/>
      </w:pPr>
      <w:rPr>
        <w:rFonts w:hint="default"/>
      </w:r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66">
    <w:nsid w:val="308632E8"/>
    <w:multiLevelType w:val="multilevel"/>
    <w:tmpl w:val="308632E8"/>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67">
    <w:nsid w:val="31233DE0"/>
    <w:multiLevelType w:val="multilevel"/>
    <w:tmpl w:val="31233DE0"/>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68">
    <w:nsid w:val="3149736D"/>
    <w:multiLevelType w:val="multilevel"/>
    <w:tmpl w:val="3149736D"/>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69">
    <w:nsid w:val="315C609B"/>
    <w:multiLevelType w:val="multilevel"/>
    <w:tmpl w:val="315C609B"/>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70">
    <w:nsid w:val="31C21704"/>
    <w:multiLevelType w:val="multilevel"/>
    <w:tmpl w:val="31C21704"/>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decimal"/>
      <w:lvlText w:val="%3、"/>
      <w:lvlJc w:val="left"/>
      <w:pPr>
        <w:ind w:left="440" w:hanging="440"/>
      </w:pPr>
      <w:rPr>
        <w:rFonts w:hint="default"/>
      </w:r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71">
    <w:nsid w:val="32202EFB"/>
    <w:multiLevelType w:val="multilevel"/>
    <w:tmpl w:val="32202EFB"/>
    <w:lvl w:ilvl="0" w:tentative="0">
      <w:start w:val="1"/>
      <w:numFmt w:val="decimal"/>
      <w:lvlText w:val="%1、"/>
      <w:lvlJc w:val="left"/>
      <w:pPr>
        <w:ind w:left="440" w:hanging="440"/>
      </w:pPr>
      <w:rPr>
        <w:rFonts w:hint="default"/>
      </w:rPr>
    </w:lvl>
    <w:lvl w:ilvl="1" w:tentative="0">
      <w:start w:val="1"/>
      <w:numFmt w:val="decimal"/>
      <w:lvlText w:val="%2、"/>
      <w:lvlJc w:val="left"/>
      <w:pPr>
        <w:ind w:left="440" w:hanging="440"/>
      </w:pPr>
      <w:rPr>
        <w:rFonts w:hint="default"/>
      </w:r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72">
    <w:nsid w:val="32330BAA"/>
    <w:multiLevelType w:val="multilevel"/>
    <w:tmpl w:val="32330BAA"/>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73">
    <w:nsid w:val="32D00EE8"/>
    <w:multiLevelType w:val="multilevel"/>
    <w:tmpl w:val="32D00EE8"/>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74">
    <w:nsid w:val="32E66CE8"/>
    <w:multiLevelType w:val="multilevel"/>
    <w:tmpl w:val="32E66CE8"/>
    <w:lvl w:ilvl="0" w:tentative="0">
      <w:start w:val="1"/>
      <w:numFmt w:val="decimal"/>
      <w:lvlText w:val="%1、"/>
      <w:lvlJc w:val="left"/>
      <w:pPr>
        <w:ind w:left="440" w:hanging="440"/>
      </w:pPr>
      <w:rPr>
        <w:rFonts w:hint="default"/>
      </w:rPr>
    </w:lvl>
    <w:lvl w:ilvl="1" w:tentative="0">
      <w:start w:val="1"/>
      <w:numFmt w:val="decimalEnclosedCircle"/>
      <w:lvlText w:val="%2"/>
      <w:lvlJc w:val="left"/>
      <w:pPr>
        <w:ind w:left="800" w:hanging="360"/>
      </w:pPr>
      <w:rPr>
        <w:rFonts w:hint="eastAsia"/>
      </w:r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75">
    <w:nsid w:val="33481008"/>
    <w:multiLevelType w:val="multilevel"/>
    <w:tmpl w:val="33481008"/>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76">
    <w:nsid w:val="3371356F"/>
    <w:multiLevelType w:val="multilevel"/>
    <w:tmpl w:val="3371356F"/>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77">
    <w:nsid w:val="337F4F77"/>
    <w:multiLevelType w:val="multilevel"/>
    <w:tmpl w:val="337F4F77"/>
    <w:lvl w:ilvl="0" w:tentative="0">
      <w:start w:val="1"/>
      <w:numFmt w:val="decimal"/>
      <w:lvlText w:val="%1、"/>
      <w:lvlJc w:val="left"/>
      <w:pPr>
        <w:ind w:left="440" w:hanging="440"/>
      </w:pPr>
      <w:rPr>
        <w:rFonts w:hint="default"/>
      </w:rPr>
    </w:lvl>
    <w:lvl w:ilvl="1" w:tentative="0">
      <w:start w:val="1"/>
      <w:numFmt w:val="decimal"/>
      <w:lvlText w:val="%2）"/>
      <w:lvlJc w:val="left"/>
      <w:pPr>
        <w:ind w:left="800" w:hanging="360"/>
      </w:pPr>
      <w:rPr>
        <w:rFonts w:hint="eastAsia"/>
      </w:r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78">
    <w:nsid w:val="345843E6"/>
    <w:multiLevelType w:val="multilevel"/>
    <w:tmpl w:val="345843E6"/>
    <w:lvl w:ilvl="0" w:tentative="0">
      <w:start w:val="1"/>
      <w:numFmt w:val="decimal"/>
      <w:lvlText w:val="%1、"/>
      <w:lvlJc w:val="left"/>
      <w:pPr>
        <w:ind w:left="440" w:hanging="440"/>
      </w:pPr>
      <w:rPr>
        <w:rFonts w:hint="default"/>
      </w:rPr>
    </w:lvl>
    <w:lvl w:ilvl="1" w:tentative="0">
      <w:start w:val="1"/>
      <w:numFmt w:val="decimal"/>
      <w:lvlText w:val="%2、"/>
      <w:lvlJc w:val="left"/>
      <w:pPr>
        <w:ind w:left="440" w:hanging="440"/>
      </w:pPr>
      <w:rPr>
        <w:rFonts w:hint="default"/>
      </w:r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79">
    <w:nsid w:val="3527494D"/>
    <w:multiLevelType w:val="multilevel"/>
    <w:tmpl w:val="3527494D"/>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80">
    <w:nsid w:val="354C62E6"/>
    <w:multiLevelType w:val="multilevel"/>
    <w:tmpl w:val="354C62E6"/>
    <w:lvl w:ilvl="0" w:tentative="0">
      <w:start w:val="1"/>
      <w:numFmt w:val="decimal"/>
      <w:lvlText w:val="%1、"/>
      <w:lvlJc w:val="left"/>
      <w:pPr>
        <w:ind w:left="440" w:hanging="440"/>
      </w:pPr>
      <w:rPr>
        <w:rFonts w:hint="default"/>
      </w:rPr>
    </w:lvl>
    <w:lvl w:ilvl="1" w:tentative="0">
      <w:start w:val="1"/>
      <w:numFmt w:val="decimal"/>
      <w:lvlText w:val="%2、"/>
      <w:lvlJc w:val="left"/>
      <w:pPr>
        <w:ind w:left="440" w:hanging="440"/>
      </w:pPr>
      <w:rPr>
        <w:rFonts w:hint="default"/>
      </w:r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81">
    <w:nsid w:val="36051F10"/>
    <w:multiLevelType w:val="multilevel"/>
    <w:tmpl w:val="36051F10"/>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82">
    <w:nsid w:val="36466860"/>
    <w:multiLevelType w:val="multilevel"/>
    <w:tmpl w:val="36466860"/>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83">
    <w:nsid w:val="364D53A8"/>
    <w:multiLevelType w:val="multilevel"/>
    <w:tmpl w:val="364D53A8"/>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84">
    <w:nsid w:val="364D7205"/>
    <w:multiLevelType w:val="multilevel"/>
    <w:tmpl w:val="364D7205"/>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85">
    <w:nsid w:val="365E009C"/>
    <w:multiLevelType w:val="multilevel"/>
    <w:tmpl w:val="365E009C"/>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86">
    <w:nsid w:val="36702062"/>
    <w:multiLevelType w:val="multilevel"/>
    <w:tmpl w:val="36702062"/>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decimal"/>
      <w:lvlText w:val="%3、"/>
      <w:lvlJc w:val="left"/>
      <w:pPr>
        <w:ind w:left="440" w:hanging="440"/>
      </w:pPr>
      <w:rPr>
        <w:rFonts w:hint="default"/>
      </w:r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87">
    <w:nsid w:val="36E65FF2"/>
    <w:multiLevelType w:val="multilevel"/>
    <w:tmpl w:val="36E65FF2"/>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88">
    <w:nsid w:val="377249BD"/>
    <w:multiLevelType w:val="multilevel"/>
    <w:tmpl w:val="377249BD"/>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decimal"/>
      <w:lvlText w:val="%3、"/>
      <w:lvlJc w:val="left"/>
      <w:pPr>
        <w:ind w:left="440" w:hanging="440"/>
      </w:pPr>
      <w:rPr>
        <w:rFonts w:hint="default"/>
      </w:r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89">
    <w:nsid w:val="38125485"/>
    <w:multiLevelType w:val="multilevel"/>
    <w:tmpl w:val="38125485"/>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90">
    <w:nsid w:val="38875412"/>
    <w:multiLevelType w:val="multilevel"/>
    <w:tmpl w:val="38875412"/>
    <w:lvl w:ilvl="0" w:tentative="0">
      <w:start w:val="1"/>
      <w:numFmt w:val="decimal"/>
      <w:lvlText w:val="%1"/>
      <w:lvlJc w:val="left"/>
      <w:pPr>
        <w:ind w:left="425" w:hanging="425"/>
      </w:pPr>
    </w:lvl>
    <w:lvl w:ilvl="1" w:tentative="0">
      <w:start w:val="1"/>
      <w:numFmt w:val="decimal"/>
      <w:lvlText w:val="%2、"/>
      <w:lvlJc w:val="left"/>
      <w:pPr>
        <w:ind w:left="440" w:hanging="440"/>
      </w:pPr>
      <w:rPr>
        <w:rFonts w:hint="default"/>
      </w:rPr>
    </w:lvl>
    <w:lvl w:ilvl="2" w:tentative="0">
      <w:start w:val="1"/>
      <w:numFmt w:val="decimal"/>
      <w:lvlText w:val="%1.%2.%3"/>
      <w:lvlJc w:val="left"/>
      <w:pPr>
        <w:ind w:left="1418" w:hanging="567"/>
      </w:pPr>
    </w:lvl>
    <w:lvl w:ilvl="3" w:tentative="0">
      <w:start w:val="1"/>
      <w:numFmt w:val="decimal"/>
      <w:lvlText w:val="%1.%2.%3.%4"/>
      <w:lvlJc w:val="left"/>
      <w:pPr>
        <w:ind w:left="1984" w:hanging="708"/>
      </w:pPr>
    </w:lvl>
    <w:lvl w:ilvl="4" w:tentative="0">
      <w:start w:val="1"/>
      <w:numFmt w:val="decimal"/>
      <w:lvlText w:val="%1.%2.%3.%4.%5"/>
      <w:lvlJc w:val="left"/>
      <w:pPr>
        <w:ind w:left="2551" w:hanging="850"/>
      </w:pPr>
    </w:lvl>
    <w:lvl w:ilvl="5" w:tentative="0">
      <w:start w:val="1"/>
      <w:numFmt w:val="decimal"/>
      <w:lvlText w:val="%1.%2.%3.%4.%5.%6"/>
      <w:lvlJc w:val="left"/>
      <w:pPr>
        <w:ind w:left="3260"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abstractNum w:abstractNumId="191">
    <w:nsid w:val="38E90249"/>
    <w:multiLevelType w:val="multilevel"/>
    <w:tmpl w:val="38E90249"/>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92">
    <w:nsid w:val="394144EE"/>
    <w:multiLevelType w:val="multilevel"/>
    <w:tmpl w:val="394144EE"/>
    <w:lvl w:ilvl="0" w:tentative="0">
      <w:start w:val="1"/>
      <w:numFmt w:val="decimal"/>
      <w:lvlText w:val="%1、"/>
      <w:lvlJc w:val="left"/>
      <w:pPr>
        <w:ind w:left="440" w:hanging="440"/>
      </w:pPr>
      <w:rPr>
        <w:rFonts w:hint="default"/>
      </w:rPr>
    </w:lvl>
    <w:lvl w:ilvl="1" w:tentative="0">
      <w:start w:val="1"/>
      <w:numFmt w:val="decimal"/>
      <w:lvlText w:val="%2、"/>
      <w:lvlJc w:val="left"/>
      <w:pPr>
        <w:ind w:left="440" w:hanging="440"/>
      </w:pPr>
      <w:rPr>
        <w:rFonts w:hint="default"/>
      </w:r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93">
    <w:nsid w:val="3953570F"/>
    <w:multiLevelType w:val="multilevel"/>
    <w:tmpl w:val="3953570F"/>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decimal"/>
      <w:lvlText w:val="%3、"/>
      <w:lvlJc w:val="left"/>
      <w:pPr>
        <w:ind w:left="440" w:hanging="440"/>
      </w:pPr>
      <w:rPr>
        <w:rFonts w:hint="default"/>
      </w:r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94">
    <w:nsid w:val="396D4737"/>
    <w:multiLevelType w:val="multilevel"/>
    <w:tmpl w:val="396D4737"/>
    <w:lvl w:ilvl="0" w:tentative="0">
      <w:start w:val="1"/>
      <w:numFmt w:val="decimal"/>
      <w:lvlText w:val="%1、"/>
      <w:lvlJc w:val="left"/>
      <w:pPr>
        <w:ind w:left="440" w:hanging="440"/>
      </w:pPr>
      <w:rPr>
        <w:rFonts w:hint="default"/>
      </w:rPr>
    </w:lvl>
    <w:lvl w:ilvl="1" w:tentative="0">
      <w:start w:val="2"/>
      <w:numFmt w:val="bullet"/>
      <w:lvlText w:val="★"/>
      <w:lvlJc w:val="left"/>
      <w:pPr>
        <w:ind w:left="800" w:hanging="360"/>
      </w:pPr>
      <w:rPr>
        <w:rFonts w:hint="eastAsia" w:ascii="宋体" w:hAnsi="宋体" w:eastAsia="宋体" w:cs="宋体"/>
      </w:r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95">
    <w:nsid w:val="397F6A4E"/>
    <w:multiLevelType w:val="multilevel"/>
    <w:tmpl w:val="397F6A4E"/>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96">
    <w:nsid w:val="3A83706F"/>
    <w:multiLevelType w:val="multilevel"/>
    <w:tmpl w:val="3A83706F"/>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97">
    <w:nsid w:val="3B2C4FE5"/>
    <w:multiLevelType w:val="multilevel"/>
    <w:tmpl w:val="3B2C4FE5"/>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98">
    <w:nsid w:val="3C0A1BE0"/>
    <w:multiLevelType w:val="multilevel"/>
    <w:tmpl w:val="3C0A1BE0"/>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99">
    <w:nsid w:val="3C780659"/>
    <w:multiLevelType w:val="multilevel"/>
    <w:tmpl w:val="3C780659"/>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00">
    <w:nsid w:val="3D9A77FE"/>
    <w:multiLevelType w:val="multilevel"/>
    <w:tmpl w:val="3D9A77FE"/>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01">
    <w:nsid w:val="3E1A2E03"/>
    <w:multiLevelType w:val="multilevel"/>
    <w:tmpl w:val="3E1A2E03"/>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02">
    <w:nsid w:val="3E61455D"/>
    <w:multiLevelType w:val="multilevel"/>
    <w:tmpl w:val="3E61455D"/>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03">
    <w:nsid w:val="3E700B60"/>
    <w:multiLevelType w:val="multilevel"/>
    <w:tmpl w:val="3E700B60"/>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04">
    <w:nsid w:val="3E871359"/>
    <w:multiLevelType w:val="multilevel"/>
    <w:tmpl w:val="3E871359"/>
    <w:lvl w:ilvl="0" w:tentative="0">
      <w:start w:val="1"/>
      <w:numFmt w:val="decimal"/>
      <w:lvlText w:val="%1、"/>
      <w:lvlJc w:val="left"/>
      <w:pPr>
        <w:ind w:left="440" w:hanging="440"/>
      </w:pPr>
      <w:rPr>
        <w:rFonts w:hint="default"/>
      </w:rPr>
    </w:lvl>
    <w:lvl w:ilvl="1" w:tentative="0">
      <w:start w:val="1"/>
      <w:numFmt w:val="decimal"/>
      <w:lvlText w:val="%2、"/>
      <w:lvlJc w:val="left"/>
      <w:pPr>
        <w:ind w:left="440" w:hanging="440"/>
      </w:pPr>
      <w:rPr>
        <w:rFonts w:hint="default"/>
      </w:r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05">
    <w:nsid w:val="3EC95BE2"/>
    <w:multiLevelType w:val="multilevel"/>
    <w:tmpl w:val="3EC95BE2"/>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06">
    <w:nsid w:val="3ECF45F4"/>
    <w:multiLevelType w:val="multilevel"/>
    <w:tmpl w:val="3ECF45F4"/>
    <w:lvl w:ilvl="0" w:tentative="0">
      <w:start w:val="1"/>
      <w:numFmt w:val="decimal"/>
      <w:lvlText w:val="%1、"/>
      <w:lvlJc w:val="left"/>
      <w:pPr>
        <w:ind w:left="440" w:hanging="440"/>
      </w:pPr>
      <w:rPr>
        <w:rFonts w:hint="default"/>
      </w:rPr>
    </w:lvl>
    <w:lvl w:ilvl="1" w:tentative="0">
      <w:start w:val="1"/>
      <w:numFmt w:val="decimal"/>
      <w:lvlText w:val="%2、"/>
      <w:lvlJc w:val="left"/>
      <w:pPr>
        <w:ind w:left="440" w:hanging="440"/>
      </w:pPr>
      <w:rPr>
        <w:rFonts w:hint="default"/>
      </w:r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07">
    <w:nsid w:val="3EE46C83"/>
    <w:multiLevelType w:val="multilevel"/>
    <w:tmpl w:val="3EE46C83"/>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08">
    <w:nsid w:val="3F112669"/>
    <w:multiLevelType w:val="multilevel"/>
    <w:tmpl w:val="3F112669"/>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09">
    <w:nsid w:val="3F5E3D38"/>
    <w:multiLevelType w:val="multilevel"/>
    <w:tmpl w:val="3F5E3D38"/>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10">
    <w:nsid w:val="40F40DA3"/>
    <w:multiLevelType w:val="multilevel"/>
    <w:tmpl w:val="40F40DA3"/>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11">
    <w:nsid w:val="41F0558D"/>
    <w:multiLevelType w:val="multilevel"/>
    <w:tmpl w:val="41F0558D"/>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12">
    <w:nsid w:val="420623DE"/>
    <w:multiLevelType w:val="multilevel"/>
    <w:tmpl w:val="420623DE"/>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13">
    <w:nsid w:val="42951C46"/>
    <w:multiLevelType w:val="multilevel"/>
    <w:tmpl w:val="42951C46"/>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14">
    <w:nsid w:val="42A50149"/>
    <w:multiLevelType w:val="multilevel"/>
    <w:tmpl w:val="42A50149"/>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15">
    <w:nsid w:val="435C5A5A"/>
    <w:multiLevelType w:val="multilevel"/>
    <w:tmpl w:val="435C5A5A"/>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16">
    <w:nsid w:val="43EF60A0"/>
    <w:multiLevelType w:val="multilevel"/>
    <w:tmpl w:val="43EF60A0"/>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decimal"/>
      <w:lvlText w:val="%3、"/>
      <w:lvlJc w:val="left"/>
      <w:pPr>
        <w:ind w:left="440" w:hanging="440"/>
      </w:pPr>
      <w:rPr>
        <w:rFonts w:hint="default"/>
      </w:r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17">
    <w:nsid w:val="449370B7"/>
    <w:multiLevelType w:val="multilevel"/>
    <w:tmpl w:val="449370B7"/>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18">
    <w:nsid w:val="44E55091"/>
    <w:multiLevelType w:val="multilevel"/>
    <w:tmpl w:val="44E55091"/>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19">
    <w:nsid w:val="458F49D4"/>
    <w:multiLevelType w:val="multilevel"/>
    <w:tmpl w:val="458F49D4"/>
    <w:lvl w:ilvl="0" w:tentative="0">
      <w:start w:val="1"/>
      <w:numFmt w:val="decimal"/>
      <w:lvlText w:val="%1、"/>
      <w:lvlJc w:val="left"/>
      <w:pPr>
        <w:ind w:left="440" w:hanging="440"/>
      </w:pPr>
      <w:rPr>
        <w:rFonts w:hint="default"/>
      </w:rPr>
    </w:lvl>
    <w:lvl w:ilvl="1" w:tentative="0">
      <w:start w:val="1"/>
      <w:numFmt w:val="decimal"/>
      <w:lvlText w:val="%2、"/>
      <w:lvlJc w:val="left"/>
      <w:pPr>
        <w:ind w:left="440" w:hanging="440"/>
      </w:pPr>
      <w:rPr>
        <w:rFonts w:hint="default"/>
      </w:r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20">
    <w:nsid w:val="45977132"/>
    <w:multiLevelType w:val="multilevel"/>
    <w:tmpl w:val="45977132"/>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21">
    <w:nsid w:val="46975C52"/>
    <w:multiLevelType w:val="multilevel"/>
    <w:tmpl w:val="46975C52"/>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22">
    <w:nsid w:val="46A14A59"/>
    <w:multiLevelType w:val="multilevel"/>
    <w:tmpl w:val="46A14A59"/>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23">
    <w:nsid w:val="47FB2662"/>
    <w:multiLevelType w:val="multilevel"/>
    <w:tmpl w:val="47FB2662"/>
    <w:lvl w:ilvl="0" w:tentative="0">
      <w:start w:val="1"/>
      <w:numFmt w:val="decimal"/>
      <w:lvlText w:val="%1、"/>
      <w:lvlJc w:val="left"/>
      <w:pPr>
        <w:ind w:left="440" w:hanging="440"/>
      </w:pPr>
      <w:rPr>
        <w:rFonts w:hint="default"/>
      </w:rPr>
    </w:lvl>
    <w:lvl w:ilvl="1" w:tentative="0">
      <w:start w:val="1"/>
      <w:numFmt w:val="japaneseCounting"/>
      <w:lvlText w:val="%2、"/>
      <w:lvlJc w:val="left"/>
      <w:pPr>
        <w:ind w:left="860" w:hanging="420"/>
      </w:pPr>
      <w:rPr>
        <w:rFonts w:hint="default"/>
      </w:r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24">
    <w:nsid w:val="47FF5243"/>
    <w:multiLevelType w:val="multilevel"/>
    <w:tmpl w:val="47FF5243"/>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25">
    <w:nsid w:val="483A10BE"/>
    <w:multiLevelType w:val="multilevel"/>
    <w:tmpl w:val="483A10BE"/>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26">
    <w:nsid w:val="48593674"/>
    <w:multiLevelType w:val="multilevel"/>
    <w:tmpl w:val="48593674"/>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27">
    <w:nsid w:val="48BF1244"/>
    <w:multiLevelType w:val="multilevel"/>
    <w:tmpl w:val="48BF1244"/>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28">
    <w:nsid w:val="48F6433E"/>
    <w:multiLevelType w:val="multilevel"/>
    <w:tmpl w:val="48F6433E"/>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29">
    <w:nsid w:val="49A63425"/>
    <w:multiLevelType w:val="multilevel"/>
    <w:tmpl w:val="49A63425"/>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30">
    <w:nsid w:val="49C37835"/>
    <w:multiLevelType w:val="multilevel"/>
    <w:tmpl w:val="49C37835"/>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31">
    <w:nsid w:val="49EC36EF"/>
    <w:multiLevelType w:val="multilevel"/>
    <w:tmpl w:val="49EC36EF"/>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decimal"/>
      <w:lvlText w:val="%3、"/>
      <w:lvlJc w:val="left"/>
      <w:pPr>
        <w:ind w:left="440" w:hanging="440"/>
      </w:pPr>
      <w:rPr>
        <w:rFonts w:hint="default"/>
      </w:r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32">
    <w:nsid w:val="4A403550"/>
    <w:multiLevelType w:val="multilevel"/>
    <w:tmpl w:val="4A403550"/>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decimal"/>
      <w:lvlText w:val="%3、"/>
      <w:lvlJc w:val="left"/>
      <w:pPr>
        <w:ind w:left="440" w:hanging="440"/>
      </w:pPr>
      <w:rPr>
        <w:rFonts w:hint="default"/>
      </w:r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33">
    <w:nsid w:val="4B8903B4"/>
    <w:multiLevelType w:val="multilevel"/>
    <w:tmpl w:val="4B8903B4"/>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34">
    <w:nsid w:val="4BEB4B8A"/>
    <w:multiLevelType w:val="multilevel"/>
    <w:tmpl w:val="4BEB4B8A"/>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35">
    <w:nsid w:val="4BED1ACA"/>
    <w:multiLevelType w:val="multilevel"/>
    <w:tmpl w:val="4BED1ACA"/>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decimal"/>
      <w:lvlText w:val="%3、"/>
      <w:lvlJc w:val="left"/>
      <w:pPr>
        <w:ind w:left="440" w:hanging="440"/>
      </w:pPr>
      <w:rPr>
        <w:rFonts w:hint="default"/>
      </w:r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36">
    <w:nsid w:val="4CBF0A79"/>
    <w:multiLevelType w:val="multilevel"/>
    <w:tmpl w:val="4CBF0A79"/>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37">
    <w:nsid w:val="4CCA2CA9"/>
    <w:multiLevelType w:val="multilevel"/>
    <w:tmpl w:val="4CCA2CA9"/>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38">
    <w:nsid w:val="4D236D56"/>
    <w:multiLevelType w:val="multilevel"/>
    <w:tmpl w:val="4D236D56"/>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39">
    <w:nsid w:val="4D376E0F"/>
    <w:multiLevelType w:val="multilevel"/>
    <w:tmpl w:val="4D376E0F"/>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40">
    <w:nsid w:val="4D5B73B0"/>
    <w:multiLevelType w:val="multilevel"/>
    <w:tmpl w:val="4D5B73B0"/>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41">
    <w:nsid w:val="4D98121C"/>
    <w:multiLevelType w:val="multilevel"/>
    <w:tmpl w:val="4D98121C"/>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42">
    <w:nsid w:val="4DAF0139"/>
    <w:multiLevelType w:val="multilevel"/>
    <w:tmpl w:val="4DAF0139"/>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43">
    <w:nsid w:val="4EAB40A1"/>
    <w:multiLevelType w:val="multilevel"/>
    <w:tmpl w:val="4EAB40A1"/>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44">
    <w:nsid w:val="4EDB7FDB"/>
    <w:multiLevelType w:val="multilevel"/>
    <w:tmpl w:val="4EDB7FDB"/>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decimal"/>
      <w:lvlText w:val="%3、"/>
      <w:lvlJc w:val="left"/>
      <w:pPr>
        <w:ind w:left="440" w:hanging="440"/>
      </w:pPr>
      <w:rPr>
        <w:rFonts w:hint="default"/>
      </w:r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45">
    <w:nsid w:val="4F3E3B46"/>
    <w:multiLevelType w:val="multilevel"/>
    <w:tmpl w:val="4F3E3B46"/>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46">
    <w:nsid w:val="4F715955"/>
    <w:multiLevelType w:val="multilevel"/>
    <w:tmpl w:val="4F715955"/>
    <w:lvl w:ilvl="0" w:tentative="0">
      <w:start w:val="1"/>
      <w:numFmt w:val="decimal"/>
      <w:lvlText w:val="%1、"/>
      <w:lvlJc w:val="left"/>
      <w:pPr>
        <w:ind w:left="440" w:hanging="440"/>
      </w:pPr>
      <w:rPr>
        <w:rFonts w:hint="default"/>
      </w:rPr>
    </w:lvl>
    <w:lvl w:ilvl="1" w:tentative="0">
      <w:start w:val="8"/>
      <w:numFmt w:val="bullet"/>
      <w:lvlText w:val="•"/>
      <w:lvlJc w:val="left"/>
      <w:pPr>
        <w:ind w:left="800" w:hanging="360"/>
      </w:pPr>
      <w:rPr>
        <w:rFonts w:hint="eastAsia" w:ascii="宋体" w:hAnsi="宋体" w:eastAsia="宋体" w:cs="宋体"/>
      </w:r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47">
    <w:nsid w:val="4FE66FFE"/>
    <w:multiLevelType w:val="multilevel"/>
    <w:tmpl w:val="4FE66FFE"/>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48">
    <w:nsid w:val="4FF12435"/>
    <w:multiLevelType w:val="multilevel"/>
    <w:tmpl w:val="4FF12435"/>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49">
    <w:nsid w:val="500B7677"/>
    <w:multiLevelType w:val="multilevel"/>
    <w:tmpl w:val="500B7677"/>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50">
    <w:nsid w:val="5024414A"/>
    <w:multiLevelType w:val="multilevel"/>
    <w:tmpl w:val="5024414A"/>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51">
    <w:nsid w:val="50244A99"/>
    <w:multiLevelType w:val="multilevel"/>
    <w:tmpl w:val="50244A99"/>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decimal"/>
      <w:lvlText w:val="%3、"/>
      <w:lvlJc w:val="left"/>
      <w:pPr>
        <w:ind w:left="440" w:hanging="440"/>
      </w:pPr>
      <w:rPr>
        <w:rFonts w:hint="default"/>
      </w:r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52">
    <w:nsid w:val="502C67F5"/>
    <w:multiLevelType w:val="multilevel"/>
    <w:tmpl w:val="502C67F5"/>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53">
    <w:nsid w:val="50CF6B16"/>
    <w:multiLevelType w:val="multilevel"/>
    <w:tmpl w:val="50CF6B16"/>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54">
    <w:nsid w:val="50F20C3F"/>
    <w:multiLevelType w:val="multilevel"/>
    <w:tmpl w:val="50F20C3F"/>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55">
    <w:nsid w:val="512659EF"/>
    <w:multiLevelType w:val="multilevel"/>
    <w:tmpl w:val="512659EF"/>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56">
    <w:nsid w:val="515F676A"/>
    <w:multiLevelType w:val="multilevel"/>
    <w:tmpl w:val="515F676A"/>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57">
    <w:nsid w:val="51B13F9C"/>
    <w:multiLevelType w:val="multilevel"/>
    <w:tmpl w:val="51B13F9C"/>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58">
    <w:nsid w:val="52217325"/>
    <w:multiLevelType w:val="multilevel"/>
    <w:tmpl w:val="52217325"/>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59">
    <w:nsid w:val="523D2EA4"/>
    <w:multiLevelType w:val="multilevel"/>
    <w:tmpl w:val="523D2EA4"/>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60">
    <w:nsid w:val="5298483D"/>
    <w:multiLevelType w:val="multilevel"/>
    <w:tmpl w:val="5298483D"/>
    <w:lvl w:ilvl="0" w:tentative="0">
      <w:start w:val="1"/>
      <w:numFmt w:val="decimal"/>
      <w:lvlText w:val="%1、"/>
      <w:lvlJc w:val="left"/>
      <w:pPr>
        <w:ind w:left="440" w:hanging="440"/>
      </w:pPr>
      <w:rPr>
        <w:rFonts w:hint="default"/>
      </w:rPr>
    </w:lvl>
    <w:lvl w:ilvl="1" w:tentative="0">
      <w:start w:val="1"/>
      <w:numFmt w:val="decimalEnclosedCircle"/>
      <w:lvlText w:val="%2"/>
      <w:lvlJc w:val="left"/>
      <w:pPr>
        <w:ind w:left="800" w:hanging="360"/>
      </w:pPr>
      <w:rPr>
        <w:rFonts w:hint="eastAsia"/>
      </w:r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61">
    <w:nsid w:val="52E850C4"/>
    <w:multiLevelType w:val="multilevel"/>
    <w:tmpl w:val="52E850C4"/>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62">
    <w:nsid w:val="52FF5012"/>
    <w:multiLevelType w:val="multilevel"/>
    <w:tmpl w:val="52FF5012"/>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63">
    <w:nsid w:val="532A2E09"/>
    <w:multiLevelType w:val="multilevel"/>
    <w:tmpl w:val="532A2E09"/>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64">
    <w:nsid w:val="53924546"/>
    <w:multiLevelType w:val="multilevel"/>
    <w:tmpl w:val="53924546"/>
    <w:lvl w:ilvl="0" w:tentative="0">
      <w:start w:val="1"/>
      <w:numFmt w:val="decimal"/>
      <w:lvlText w:val="%1、"/>
      <w:lvlJc w:val="left"/>
      <w:pPr>
        <w:ind w:left="440" w:hanging="440"/>
      </w:pPr>
      <w:rPr>
        <w:rFonts w:hint="default"/>
      </w:rPr>
    </w:lvl>
    <w:lvl w:ilvl="1" w:tentative="0">
      <w:start w:val="1"/>
      <w:numFmt w:val="decimalEnclosedCircle"/>
      <w:lvlText w:val="%2"/>
      <w:lvlJc w:val="left"/>
      <w:pPr>
        <w:ind w:left="800" w:hanging="360"/>
      </w:pPr>
      <w:rPr>
        <w:rFonts w:hint="eastAsia"/>
      </w:r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65">
    <w:nsid w:val="53B0590E"/>
    <w:multiLevelType w:val="multilevel"/>
    <w:tmpl w:val="53B0590E"/>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66">
    <w:nsid w:val="54191D1D"/>
    <w:multiLevelType w:val="multilevel"/>
    <w:tmpl w:val="54191D1D"/>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67">
    <w:nsid w:val="545175AC"/>
    <w:multiLevelType w:val="multilevel"/>
    <w:tmpl w:val="545175AC"/>
    <w:lvl w:ilvl="0" w:tentative="0">
      <w:start w:val="1"/>
      <w:numFmt w:val="decimal"/>
      <w:lvlText w:val="%1"/>
      <w:lvlJc w:val="left"/>
      <w:pPr>
        <w:ind w:left="425" w:hanging="425"/>
      </w:pPr>
    </w:lvl>
    <w:lvl w:ilvl="1" w:tentative="0">
      <w:start w:val="1"/>
      <w:numFmt w:val="decimal"/>
      <w:lvlText w:val="%2、"/>
      <w:lvlJc w:val="left"/>
      <w:pPr>
        <w:ind w:left="440" w:hanging="440"/>
      </w:pPr>
      <w:rPr>
        <w:rFonts w:hint="default"/>
      </w:rPr>
    </w:lvl>
    <w:lvl w:ilvl="2" w:tentative="0">
      <w:start w:val="1"/>
      <w:numFmt w:val="decimal"/>
      <w:lvlText w:val="%1.%2.%3"/>
      <w:lvlJc w:val="left"/>
      <w:pPr>
        <w:ind w:left="1418" w:hanging="567"/>
      </w:pPr>
    </w:lvl>
    <w:lvl w:ilvl="3" w:tentative="0">
      <w:start w:val="1"/>
      <w:numFmt w:val="decimal"/>
      <w:lvlText w:val="%1.%2.%3.%4"/>
      <w:lvlJc w:val="left"/>
      <w:pPr>
        <w:ind w:left="1984" w:hanging="708"/>
      </w:pPr>
    </w:lvl>
    <w:lvl w:ilvl="4" w:tentative="0">
      <w:start w:val="1"/>
      <w:numFmt w:val="decimal"/>
      <w:lvlText w:val="%1.%2.%3.%4.%5"/>
      <w:lvlJc w:val="left"/>
      <w:pPr>
        <w:ind w:left="2551" w:hanging="850"/>
      </w:pPr>
    </w:lvl>
    <w:lvl w:ilvl="5" w:tentative="0">
      <w:start w:val="1"/>
      <w:numFmt w:val="decimal"/>
      <w:lvlText w:val="%1.%2.%3.%4.%5.%6"/>
      <w:lvlJc w:val="left"/>
      <w:pPr>
        <w:ind w:left="3260"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abstractNum w:abstractNumId="268">
    <w:nsid w:val="54B5620E"/>
    <w:multiLevelType w:val="multilevel"/>
    <w:tmpl w:val="54B5620E"/>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decimal"/>
      <w:lvlText w:val="%3、"/>
      <w:lvlJc w:val="left"/>
      <w:pPr>
        <w:ind w:left="440" w:hanging="440"/>
      </w:pPr>
      <w:rPr>
        <w:rFonts w:hint="default"/>
      </w:r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69">
    <w:nsid w:val="550B4E31"/>
    <w:multiLevelType w:val="multilevel"/>
    <w:tmpl w:val="550B4E31"/>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70">
    <w:nsid w:val="551B3DDD"/>
    <w:multiLevelType w:val="multilevel"/>
    <w:tmpl w:val="551B3DDD"/>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71">
    <w:nsid w:val="557F42EC"/>
    <w:multiLevelType w:val="multilevel"/>
    <w:tmpl w:val="557F42EC"/>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72">
    <w:nsid w:val="56136F5F"/>
    <w:multiLevelType w:val="multilevel"/>
    <w:tmpl w:val="56136F5F"/>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73">
    <w:nsid w:val="566A729C"/>
    <w:multiLevelType w:val="multilevel"/>
    <w:tmpl w:val="566A729C"/>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74">
    <w:nsid w:val="566A74E3"/>
    <w:multiLevelType w:val="multilevel"/>
    <w:tmpl w:val="566A74E3"/>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75">
    <w:nsid w:val="5771603F"/>
    <w:multiLevelType w:val="multilevel"/>
    <w:tmpl w:val="5771603F"/>
    <w:lvl w:ilvl="0" w:tentative="0">
      <w:start w:val="1"/>
      <w:numFmt w:val="decimal"/>
      <w:lvlText w:val="%1、"/>
      <w:lvlJc w:val="left"/>
      <w:pPr>
        <w:ind w:left="440" w:hanging="440"/>
      </w:pPr>
      <w:rPr>
        <w:rFonts w:hint="default"/>
      </w:rPr>
    </w:lvl>
    <w:lvl w:ilvl="1" w:tentative="0">
      <w:start w:val="1"/>
      <w:numFmt w:val="decimal"/>
      <w:lvlText w:val="%2、"/>
      <w:lvlJc w:val="left"/>
      <w:pPr>
        <w:ind w:left="440" w:hanging="440"/>
      </w:pPr>
      <w:rPr>
        <w:rFonts w:hint="default"/>
      </w:r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76">
    <w:nsid w:val="57757618"/>
    <w:multiLevelType w:val="multilevel"/>
    <w:tmpl w:val="57757618"/>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77">
    <w:nsid w:val="58115948"/>
    <w:multiLevelType w:val="multilevel"/>
    <w:tmpl w:val="58115948"/>
    <w:lvl w:ilvl="0" w:tentative="0">
      <w:start w:val="1"/>
      <w:numFmt w:val="decimal"/>
      <w:lvlText w:val="%1"/>
      <w:lvlJc w:val="left"/>
      <w:pPr>
        <w:ind w:left="425" w:hanging="425"/>
      </w:pPr>
    </w:lvl>
    <w:lvl w:ilvl="1" w:tentative="0">
      <w:start w:val="1"/>
      <w:numFmt w:val="decimal"/>
      <w:lvlText w:val="%2、"/>
      <w:lvlJc w:val="left"/>
      <w:pPr>
        <w:ind w:left="440" w:hanging="440"/>
      </w:pPr>
      <w:rPr>
        <w:rFonts w:hint="default"/>
      </w:rPr>
    </w:lvl>
    <w:lvl w:ilvl="2" w:tentative="0">
      <w:start w:val="1"/>
      <w:numFmt w:val="decimal"/>
      <w:lvlText w:val="%1.%2.%3"/>
      <w:lvlJc w:val="left"/>
      <w:pPr>
        <w:ind w:left="1418" w:hanging="567"/>
      </w:pPr>
    </w:lvl>
    <w:lvl w:ilvl="3" w:tentative="0">
      <w:start w:val="1"/>
      <w:numFmt w:val="decimal"/>
      <w:lvlText w:val="%1.%2.%3.%4"/>
      <w:lvlJc w:val="left"/>
      <w:pPr>
        <w:ind w:left="1984" w:hanging="708"/>
      </w:pPr>
    </w:lvl>
    <w:lvl w:ilvl="4" w:tentative="0">
      <w:start w:val="1"/>
      <w:numFmt w:val="decimal"/>
      <w:lvlText w:val="%1.%2.%3.%4.%5"/>
      <w:lvlJc w:val="left"/>
      <w:pPr>
        <w:ind w:left="2551" w:hanging="850"/>
      </w:pPr>
    </w:lvl>
    <w:lvl w:ilvl="5" w:tentative="0">
      <w:start w:val="1"/>
      <w:numFmt w:val="decimal"/>
      <w:lvlText w:val="%1.%2.%3.%4.%5.%6"/>
      <w:lvlJc w:val="left"/>
      <w:pPr>
        <w:ind w:left="3260"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abstractNum w:abstractNumId="278">
    <w:nsid w:val="587B41EF"/>
    <w:multiLevelType w:val="multilevel"/>
    <w:tmpl w:val="587B41EF"/>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79">
    <w:nsid w:val="588C3FF0"/>
    <w:multiLevelType w:val="multilevel"/>
    <w:tmpl w:val="588C3FF0"/>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80">
    <w:nsid w:val="589E7480"/>
    <w:multiLevelType w:val="multilevel"/>
    <w:tmpl w:val="589E7480"/>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81">
    <w:nsid w:val="59240089"/>
    <w:multiLevelType w:val="multilevel"/>
    <w:tmpl w:val="59240089"/>
    <w:lvl w:ilvl="0" w:tentative="0">
      <w:start w:val="1"/>
      <w:numFmt w:val="decimal"/>
      <w:lvlText w:val="%1、"/>
      <w:lvlJc w:val="left"/>
      <w:pPr>
        <w:ind w:left="440" w:hanging="440"/>
      </w:pPr>
      <w:rPr>
        <w:rFonts w:hint="default"/>
      </w:rPr>
    </w:lvl>
    <w:lvl w:ilvl="1" w:tentative="0">
      <w:start w:val="5"/>
      <w:numFmt w:val="bullet"/>
      <w:lvlText w:val="▲"/>
      <w:lvlJc w:val="left"/>
      <w:pPr>
        <w:ind w:left="800" w:hanging="360"/>
      </w:pPr>
      <w:rPr>
        <w:rFonts w:hint="eastAsia" w:ascii="宋体" w:hAnsi="宋体" w:eastAsia="宋体" w:cs="宋体"/>
      </w:r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82">
    <w:nsid w:val="593937EA"/>
    <w:multiLevelType w:val="multilevel"/>
    <w:tmpl w:val="593937EA"/>
    <w:lvl w:ilvl="0" w:tentative="0">
      <w:start w:val="1"/>
      <w:numFmt w:val="decimal"/>
      <w:lvlText w:val="%1、"/>
      <w:lvlJc w:val="left"/>
      <w:pPr>
        <w:ind w:left="440" w:hanging="440"/>
      </w:pPr>
      <w:rPr>
        <w:rFonts w:hint="default"/>
      </w:rPr>
    </w:lvl>
    <w:lvl w:ilvl="1" w:tentative="0">
      <w:start w:val="1"/>
      <w:numFmt w:val="decimal"/>
      <w:lvlText w:val="%2）"/>
      <w:lvlJc w:val="left"/>
      <w:pPr>
        <w:ind w:left="800" w:hanging="360"/>
      </w:pPr>
      <w:rPr>
        <w:rFonts w:hint="eastAsia"/>
      </w:r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83">
    <w:nsid w:val="593E751A"/>
    <w:multiLevelType w:val="multilevel"/>
    <w:tmpl w:val="593E751A"/>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84">
    <w:nsid w:val="59E500CC"/>
    <w:multiLevelType w:val="multilevel"/>
    <w:tmpl w:val="59E500CC"/>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decimal"/>
      <w:lvlText w:val="%3、"/>
      <w:lvlJc w:val="left"/>
      <w:pPr>
        <w:ind w:left="440" w:hanging="440"/>
      </w:pPr>
      <w:rPr>
        <w:rFonts w:hint="default"/>
      </w:r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85">
    <w:nsid w:val="5A1826C2"/>
    <w:multiLevelType w:val="multilevel"/>
    <w:tmpl w:val="5A1826C2"/>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86">
    <w:nsid w:val="5AB63237"/>
    <w:multiLevelType w:val="multilevel"/>
    <w:tmpl w:val="5AB63237"/>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decimal"/>
      <w:lvlText w:val="%3、"/>
      <w:lvlJc w:val="left"/>
      <w:pPr>
        <w:ind w:left="440" w:hanging="440"/>
      </w:pPr>
      <w:rPr>
        <w:rFonts w:hint="default"/>
      </w:r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87">
    <w:nsid w:val="5B767EBC"/>
    <w:multiLevelType w:val="multilevel"/>
    <w:tmpl w:val="5B767EBC"/>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88">
    <w:nsid w:val="5BB579BC"/>
    <w:multiLevelType w:val="multilevel"/>
    <w:tmpl w:val="5BB579BC"/>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89">
    <w:nsid w:val="5C002AD2"/>
    <w:multiLevelType w:val="multilevel"/>
    <w:tmpl w:val="5C002AD2"/>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90">
    <w:nsid w:val="5C0F787E"/>
    <w:multiLevelType w:val="multilevel"/>
    <w:tmpl w:val="5C0F787E"/>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91">
    <w:nsid w:val="5C6C7187"/>
    <w:multiLevelType w:val="multilevel"/>
    <w:tmpl w:val="5C6C7187"/>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92">
    <w:nsid w:val="5CD23C16"/>
    <w:multiLevelType w:val="multilevel"/>
    <w:tmpl w:val="5CD23C16"/>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93">
    <w:nsid w:val="5CD93D2C"/>
    <w:multiLevelType w:val="multilevel"/>
    <w:tmpl w:val="5CD93D2C"/>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94">
    <w:nsid w:val="5D901EC6"/>
    <w:multiLevelType w:val="multilevel"/>
    <w:tmpl w:val="5D901EC6"/>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95">
    <w:nsid w:val="5DC80F0D"/>
    <w:multiLevelType w:val="multilevel"/>
    <w:tmpl w:val="5DC80F0D"/>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96">
    <w:nsid w:val="5DDE481C"/>
    <w:multiLevelType w:val="multilevel"/>
    <w:tmpl w:val="5DDE481C"/>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97">
    <w:nsid w:val="5DE024A8"/>
    <w:multiLevelType w:val="multilevel"/>
    <w:tmpl w:val="5DE024A8"/>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98">
    <w:nsid w:val="5DFE3135"/>
    <w:multiLevelType w:val="multilevel"/>
    <w:tmpl w:val="5DFE3135"/>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99">
    <w:nsid w:val="5E37389C"/>
    <w:multiLevelType w:val="multilevel"/>
    <w:tmpl w:val="5E37389C"/>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00">
    <w:nsid w:val="5E52372E"/>
    <w:multiLevelType w:val="multilevel"/>
    <w:tmpl w:val="5E52372E"/>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decimal"/>
      <w:lvlText w:val="%3、"/>
      <w:lvlJc w:val="left"/>
      <w:pPr>
        <w:ind w:left="440" w:hanging="440"/>
      </w:pPr>
      <w:rPr>
        <w:rFonts w:hint="default"/>
      </w:r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01">
    <w:nsid w:val="5EAF3053"/>
    <w:multiLevelType w:val="multilevel"/>
    <w:tmpl w:val="5EAF3053"/>
    <w:lvl w:ilvl="0" w:tentative="0">
      <w:start w:val="1"/>
      <w:numFmt w:val="decimal"/>
      <w:lvlText w:val="%1、"/>
      <w:lvlJc w:val="left"/>
      <w:pPr>
        <w:ind w:left="440" w:hanging="440"/>
      </w:pPr>
      <w:rPr>
        <w:rFonts w:hint="default"/>
      </w:rPr>
    </w:lvl>
    <w:lvl w:ilvl="1" w:tentative="0">
      <w:start w:val="1"/>
      <w:numFmt w:val="decimal"/>
      <w:lvlText w:val="（%2）"/>
      <w:lvlJc w:val="left"/>
      <w:pPr>
        <w:ind w:left="1160" w:hanging="720"/>
      </w:pPr>
      <w:rPr>
        <w:rFonts w:hint="default"/>
      </w:r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02">
    <w:nsid w:val="5ECD2C60"/>
    <w:multiLevelType w:val="multilevel"/>
    <w:tmpl w:val="5ECD2C60"/>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03">
    <w:nsid w:val="5F9B0E3A"/>
    <w:multiLevelType w:val="multilevel"/>
    <w:tmpl w:val="5F9B0E3A"/>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04">
    <w:nsid w:val="5FBA356D"/>
    <w:multiLevelType w:val="multilevel"/>
    <w:tmpl w:val="5FBA356D"/>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05">
    <w:nsid w:val="608233F1"/>
    <w:multiLevelType w:val="multilevel"/>
    <w:tmpl w:val="608233F1"/>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06">
    <w:nsid w:val="612F0FEB"/>
    <w:multiLevelType w:val="multilevel"/>
    <w:tmpl w:val="612F0FEB"/>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07">
    <w:nsid w:val="61363128"/>
    <w:multiLevelType w:val="multilevel"/>
    <w:tmpl w:val="61363128"/>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08">
    <w:nsid w:val="61484726"/>
    <w:multiLevelType w:val="multilevel"/>
    <w:tmpl w:val="61484726"/>
    <w:lvl w:ilvl="0" w:tentative="0">
      <w:start w:val="1"/>
      <w:numFmt w:val="decimal"/>
      <w:lvlText w:val="%1、"/>
      <w:lvlJc w:val="left"/>
      <w:pPr>
        <w:ind w:left="440" w:hanging="440"/>
      </w:pPr>
      <w:rPr>
        <w:rFonts w:hint="default"/>
      </w:rPr>
    </w:lvl>
    <w:lvl w:ilvl="1" w:tentative="0">
      <w:start w:val="1"/>
      <w:numFmt w:val="decimal"/>
      <w:lvlText w:val="%2、"/>
      <w:lvlJc w:val="left"/>
      <w:pPr>
        <w:ind w:left="440" w:hanging="440"/>
      </w:pPr>
      <w:rPr>
        <w:rFonts w:hint="default"/>
      </w:r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09">
    <w:nsid w:val="61553E3A"/>
    <w:multiLevelType w:val="multilevel"/>
    <w:tmpl w:val="61553E3A"/>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440" w:hanging="440"/>
      </w:pPr>
      <w:rPr>
        <w:rFonts w:hint="default"/>
      </w:r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10">
    <w:nsid w:val="61565989"/>
    <w:multiLevelType w:val="multilevel"/>
    <w:tmpl w:val="61565989"/>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11">
    <w:nsid w:val="61DE49D3"/>
    <w:multiLevelType w:val="multilevel"/>
    <w:tmpl w:val="61DE49D3"/>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12">
    <w:nsid w:val="628F610D"/>
    <w:multiLevelType w:val="multilevel"/>
    <w:tmpl w:val="628F610D"/>
    <w:lvl w:ilvl="0" w:tentative="0">
      <w:start w:val="1"/>
      <w:numFmt w:val="decimal"/>
      <w:lvlText w:val="%1、"/>
      <w:lvlJc w:val="left"/>
      <w:pPr>
        <w:ind w:left="440" w:hanging="440"/>
      </w:pPr>
      <w:rPr>
        <w:rFonts w:hint="default"/>
      </w:rPr>
    </w:lvl>
    <w:lvl w:ilvl="1" w:tentative="0">
      <w:start w:val="1"/>
      <w:numFmt w:val="decimal"/>
      <w:lvlText w:val="%2、"/>
      <w:lvlJc w:val="left"/>
      <w:pPr>
        <w:ind w:left="440" w:hanging="440"/>
      </w:pPr>
      <w:rPr>
        <w:rFonts w:hint="default"/>
      </w:r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13">
    <w:nsid w:val="62D43317"/>
    <w:multiLevelType w:val="multilevel"/>
    <w:tmpl w:val="62D43317"/>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14">
    <w:nsid w:val="63200991"/>
    <w:multiLevelType w:val="multilevel"/>
    <w:tmpl w:val="63200991"/>
    <w:lvl w:ilvl="0" w:tentative="0">
      <w:start w:val="1"/>
      <w:numFmt w:val="decimal"/>
      <w:lvlText w:val="%1、"/>
      <w:lvlJc w:val="left"/>
      <w:pPr>
        <w:ind w:left="440" w:hanging="440"/>
      </w:pPr>
      <w:rPr>
        <w:rFonts w:hint="default"/>
      </w:rPr>
    </w:lvl>
    <w:lvl w:ilvl="1" w:tentative="0">
      <w:start w:val="1"/>
      <w:numFmt w:val="decimal"/>
      <w:lvlText w:val="%2、"/>
      <w:lvlJc w:val="left"/>
      <w:pPr>
        <w:ind w:left="440" w:hanging="440"/>
      </w:pPr>
      <w:rPr>
        <w:rFonts w:hint="default"/>
      </w:r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15">
    <w:nsid w:val="63353086"/>
    <w:multiLevelType w:val="multilevel"/>
    <w:tmpl w:val="63353086"/>
    <w:lvl w:ilvl="0" w:tentative="0">
      <w:start w:val="1"/>
      <w:numFmt w:val="decimal"/>
      <w:lvlText w:val="%1、"/>
      <w:lvlJc w:val="left"/>
      <w:pPr>
        <w:ind w:left="440" w:hanging="440"/>
      </w:pPr>
      <w:rPr>
        <w:rFonts w:hint="default"/>
      </w:rPr>
    </w:lvl>
    <w:lvl w:ilvl="1" w:tentative="0">
      <w:start w:val="1"/>
      <w:numFmt w:val="decimal"/>
      <w:lvlText w:val="%2."/>
      <w:lvlJc w:val="left"/>
      <w:pPr>
        <w:ind w:left="800" w:hanging="360"/>
      </w:pPr>
      <w:rPr>
        <w:rFonts w:hint="eastAsia"/>
      </w:r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16">
    <w:nsid w:val="6348125D"/>
    <w:multiLevelType w:val="multilevel"/>
    <w:tmpl w:val="6348125D"/>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17">
    <w:nsid w:val="63906072"/>
    <w:multiLevelType w:val="multilevel"/>
    <w:tmpl w:val="63906072"/>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18">
    <w:nsid w:val="63E17255"/>
    <w:multiLevelType w:val="multilevel"/>
    <w:tmpl w:val="63E17255"/>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19">
    <w:nsid w:val="63E523E3"/>
    <w:multiLevelType w:val="multilevel"/>
    <w:tmpl w:val="63E523E3"/>
    <w:lvl w:ilvl="0" w:tentative="0">
      <w:start w:val="1"/>
      <w:numFmt w:val="decimal"/>
      <w:lvlText w:val="%1、"/>
      <w:lvlJc w:val="left"/>
      <w:pPr>
        <w:ind w:left="440" w:hanging="440"/>
      </w:pPr>
      <w:rPr>
        <w:rFonts w:hint="default"/>
      </w:rPr>
    </w:lvl>
    <w:lvl w:ilvl="1" w:tentative="0">
      <w:start w:val="8"/>
      <w:numFmt w:val="bullet"/>
      <w:lvlText w:val="•"/>
      <w:lvlJc w:val="left"/>
      <w:pPr>
        <w:ind w:left="800" w:hanging="360"/>
      </w:pPr>
      <w:rPr>
        <w:rFonts w:hint="eastAsia" w:ascii="宋体" w:hAnsi="宋体" w:eastAsia="宋体" w:cs="宋体"/>
      </w:r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20">
    <w:nsid w:val="63E92BD7"/>
    <w:multiLevelType w:val="multilevel"/>
    <w:tmpl w:val="63E92BD7"/>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21">
    <w:nsid w:val="63F1715E"/>
    <w:multiLevelType w:val="multilevel"/>
    <w:tmpl w:val="63F1715E"/>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22">
    <w:nsid w:val="640A2D8B"/>
    <w:multiLevelType w:val="multilevel"/>
    <w:tmpl w:val="640A2D8B"/>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23">
    <w:nsid w:val="640F7233"/>
    <w:multiLevelType w:val="multilevel"/>
    <w:tmpl w:val="640F7233"/>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24">
    <w:nsid w:val="64350B1B"/>
    <w:multiLevelType w:val="multilevel"/>
    <w:tmpl w:val="64350B1B"/>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25">
    <w:nsid w:val="65110952"/>
    <w:multiLevelType w:val="multilevel"/>
    <w:tmpl w:val="65110952"/>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26">
    <w:nsid w:val="659E37B4"/>
    <w:multiLevelType w:val="multilevel"/>
    <w:tmpl w:val="659E37B4"/>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27">
    <w:nsid w:val="65CC0F11"/>
    <w:multiLevelType w:val="multilevel"/>
    <w:tmpl w:val="65CC0F11"/>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28">
    <w:nsid w:val="66547037"/>
    <w:multiLevelType w:val="multilevel"/>
    <w:tmpl w:val="66547037"/>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29">
    <w:nsid w:val="669B1460"/>
    <w:multiLevelType w:val="multilevel"/>
    <w:tmpl w:val="669B1460"/>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30">
    <w:nsid w:val="66D552CE"/>
    <w:multiLevelType w:val="multilevel"/>
    <w:tmpl w:val="66D552CE"/>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31">
    <w:nsid w:val="66E3672B"/>
    <w:multiLevelType w:val="multilevel"/>
    <w:tmpl w:val="66E3672B"/>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decimal"/>
      <w:lvlText w:val="%3、"/>
      <w:lvlJc w:val="left"/>
      <w:pPr>
        <w:ind w:left="440" w:hanging="440"/>
      </w:pPr>
      <w:rPr>
        <w:rFonts w:hint="default"/>
      </w:r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32">
    <w:nsid w:val="672D6974"/>
    <w:multiLevelType w:val="multilevel"/>
    <w:tmpl w:val="672D6974"/>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decimal"/>
      <w:lvlText w:val="%3、"/>
      <w:lvlJc w:val="left"/>
      <w:pPr>
        <w:ind w:left="440" w:hanging="440"/>
      </w:pPr>
      <w:rPr>
        <w:rFonts w:hint="default"/>
      </w:r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33">
    <w:nsid w:val="67BE2DF1"/>
    <w:multiLevelType w:val="multilevel"/>
    <w:tmpl w:val="67BE2DF1"/>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34">
    <w:nsid w:val="684E32ED"/>
    <w:multiLevelType w:val="multilevel"/>
    <w:tmpl w:val="684E32ED"/>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35">
    <w:nsid w:val="69094F86"/>
    <w:multiLevelType w:val="multilevel"/>
    <w:tmpl w:val="69094F86"/>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36">
    <w:nsid w:val="69426379"/>
    <w:multiLevelType w:val="multilevel"/>
    <w:tmpl w:val="69426379"/>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decimal"/>
      <w:lvlText w:val="%3、"/>
      <w:lvlJc w:val="left"/>
      <w:pPr>
        <w:ind w:left="440" w:hanging="440"/>
      </w:pPr>
      <w:rPr>
        <w:rFonts w:hint="default"/>
      </w:r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37">
    <w:nsid w:val="694703A4"/>
    <w:multiLevelType w:val="multilevel"/>
    <w:tmpl w:val="694703A4"/>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38">
    <w:nsid w:val="694A03F6"/>
    <w:multiLevelType w:val="multilevel"/>
    <w:tmpl w:val="694A03F6"/>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decimal"/>
      <w:lvlText w:val="%3、"/>
      <w:lvlJc w:val="left"/>
      <w:pPr>
        <w:ind w:left="440" w:hanging="440"/>
      </w:pPr>
      <w:rPr>
        <w:rFonts w:hint="default"/>
      </w:r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39">
    <w:nsid w:val="69900EE9"/>
    <w:multiLevelType w:val="multilevel"/>
    <w:tmpl w:val="69900EE9"/>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40">
    <w:nsid w:val="69DA2097"/>
    <w:multiLevelType w:val="multilevel"/>
    <w:tmpl w:val="69DA2097"/>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41">
    <w:nsid w:val="6A2B27CB"/>
    <w:multiLevelType w:val="multilevel"/>
    <w:tmpl w:val="6A2B27CB"/>
    <w:lvl w:ilvl="0" w:tentative="0">
      <w:start w:val="1"/>
      <w:numFmt w:val="decimal"/>
      <w:lvlText w:val="%1、"/>
      <w:lvlJc w:val="left"/>
      <w:pPr>
        <w:ind w:left="440" w:hanging="440"/>
      </w:pPr>
      <w:rPr>
        <w:rFonts w:hint="default"/>
      </w:rPr>
    </w:lvl>
    <w:lvl w:ilvl="1" w:tentative="0">
      <w:start w:val="2"/>
      <w:numFmt w:val="bullet"/>
      <w:lvlText w:val="★"/>
      <w:lvlJc w:val="left"/>
      <w:pPr>
        <w:ind w:left="800" w:hanging="360"/>
      </w:pPr>
      <w:rPr>
        <w:rFonts w:hint="eastAsia" w:ascii="宋体" w:hAnsi="宋体" w:eastAsia="宋体" w:cs="宋体"/>
      </w:r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42">
    <w:nsid w:val="6B4E5DD9"/>
    <w:multiLevelType w:val="multilevel"/>
    <w:tmpl w:val="6B4E5DD9"/>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43">
    <w:nsid w:val="6B991D7A"/>
    <w:multiLevelType w:val="multilevel"/>
    <w:tmpl w:val="6B991D7A"/>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44">
    <w:nsid w:val="6BD16E8B"/>
    <w:multiLevelType w:val="multilevel"/>
    <w:tmpl w:val="6BD16E8B"/>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45">
    <w:nsid w:val="6C247874"/>
    <w:multiLevelType w:val="multilevel"/>
    <w:tmpl w:val="6C247874"/>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46">
    <w:nsid w:val="6C3165CD"/>
    <w:multiLevelType w:val="multilevel"/>
    <w:tmpl w:val="6C3165CD"/>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47">
    <w:nsid w:val="6C5E0DDF"/>
    <w:multiLevelType w:val="multilevel"/>
    <w:tmpl w:val="6C5E0DDF"/>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48">
    <w:nsid w:val="6C9D0350"/>
    <w:multiLevelType w:val="multilevel"/>
    <w:tmpl w:val="6C9D0350"/>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49">
    <w:nsid w:val="6CDA48D8"/>
    <w:multiLevelType w:val="multilevel"/>
    <w:tmpl w:val="6CDA48D8"/>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50">
    <w:nsid w:val="6D1B63E4"/>
    <w:multiLevelType w:val="multilevel"/>
    <w:tmpl w:val="6D1B63E4"/>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51">
    <w:nsid w:val="6D215197"/>
    <w:multiLevelType w:val="multilevel"/>
    <w:tmpl w:val="6D215197"/>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52">
    <w:nsid w:val="6D4F376F"/>
    <w:multiLevelType w:val="multilevel"/>
    <w:tmpl w:val="6D4F376F"/>
    <w:lvl w:ilvl="0" w:tentative="0">
      <w:start w:val="1"/>
      <w:numFmt w:val="decimal"/>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53">
    <w:nsid w:val="6DBD3A3A"/>
    <w:multiLevelType w:val="multilevel"/>
    <w:tmpl w:val="6DBD3A3A"/>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54">
    <w:nsid w:val="6E1F5AA4"/>
    <w:multiLevelType w:val="multilevel"/>
    <w:tmpl w:val="6E1F5AA4"/>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55">
    <w:nsid w:val="6E452F28"/>
    <w:multiLevelType w:val="multilevel"/>
    <w:tmpl w:val="6E452F28"/>
    <w:lvl w:ilvl="0" w:tentative="0">
      <w:start w:val="1"/>
      <w:numFmt w:val="decimal"/>
      <w:lvlText w:val="%1、"/>
      <w:lvlJc w:val="left"/>
      <w:pPr>
        <w:ind w:left="440" w:hanging="440"/>
      </w:pPr>
      <w:rPr>
        <w:rFonts w:hint="default"/>
      </w:rPr>
    </w:lvl>
    <w:lvl w:ilvl="1" w:tentative="0">
      <w:start w:val="1"/>
      <w:numFmt w:val="decimal"/>
      <w:lvlText w:val="%2、"/>
      <w:lvlJc w:val="left"/>
      <w:pPr>
        <w:ind w:left="440" w:hanging="440"/>
      </w:pPr>
      <w:rPr>
        <w:rFonts w:hint="default"/>
      </w:r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56">
    <w:nsid w:val="6E7F4B16"/>
    <w:multiLevelType w:val="multilevel"/>
    <w:tmpl w:val="6E7F4B16"/>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57">
    <w:nsid w:val="6F071CC1"/>
    <w:multiLevelType w:val="multilevel"/>
    <w:tmpl w:val="6F071CC1"/>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58">
    <w:nsid w:val="6F2073D0"/>
    <w:multiLevelType w:val="multilevel"/>
    <w:tmpl w:val="6F2073D0"/>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59">
    <w:nsid w:val="6F817BAA"/>
    <w:multiLevelType w:val="multilevel"/>
    <w:tmpl w:val="6F817BAA"/>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60">
    <w:nsid w:val="70245B5A"/>
    <w:multiLevelType w:val="multilevel"/>
    <w:tmpl w:val="70245B5A"/>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61">
    <w:nsid w:val="707B795A"/>
    <w:multiLevelType w:val="multilevel"/>
    <w:tmpl w:val="707B795A"/>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62">
    <w:nsid w:val="71330776"/>
    <w:multiLevelType w:val="multilevel"/>
    <w:tmpl w:val="71330776"/>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63">
    <w:nsid w:val="71342EAC"/>
    <w:multiLevelType w:val="multilevel"/>
    <w:tmpl w:val="71342EAC"/>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64">
    <w:nsid w:val="71E35ED1"/>
    <w:multiLevelType w:val="multilevel"/>
    <w:tmpl w:val="71E35ED1"/>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65">
    <w:nsid w:val="71E81E7B"/>
    <w:multiLevelType w:val="multilevel"/>
    <w:tmpl w:val="71E81E7B"/>
    <w:lvl w:ilvl="0" w:tentative="0">
      <w:start w:val="1"/>
      <w:numFmt w:val="decimal"/>
      <w:lvlText w:val="%1、"/>
      <w:lvlJc w:val="left"/>
      <w:pPr>
        <w:ind w:left="440" w:hanging="440"/>
      </w:pPr>
      <w:rPr>
        <w:rFonts w:hint="default"/>
      </w:rPr>
    </w:lvl>
    <w:lvl w:ilvl="1" w:tentative="0">
      <w:start w:val="5"/>
      <w:numFmt w:val="bullet"/>
      <w:lvlText w:val="★"/>
      <w:lvlJc w:val="left"/>
      <w:pPr>
        <w:ind w:left="800" w:hanging="360"/>
      </w:pPr>
      <w:rPr>
        <w:rFonts w:hint="eastAsia" w:ascii="宋体" w:hAnsi="宋体" w:eastAsia="宋体" w:cs="宋体"/>
      </w:r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66">
    <w:nsid w:val="72046105"/>
    <w:multiLevelType w:val="multilevel"/>
    <w:tmpl w:val="72046105"/>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67">
    <w:nsid w:val="724D3930"/>
    <w:multiLevelType w:val="multilevel"/>
    <w:tmpl w:val="724D3930"/>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68">
    <w:nsid w:val="726670D1"/>
    <w:multiLevelType w:val="multilevel"/>
    <w:tmpl w:val="726670D1"/>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69">
    <w:nsid w:val="726857FA"/>
    <w:multiLevelType w:val="multilevel"/>
    <w:tmpl w:val="726857FA"/>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440" w:hanging="440"/>
      </w:pPr>
      <w:rPr>
        <w:rFonts w:hint="default"/>
      </w:r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70">
    <w:nsid w:val="727A77B5"/>
    <w:multiLevelType w:val="multilevel"/>
    <w:tmpl w:val="727A77B5"/>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71">
    <w:nsid w:val="729E6E92"/>
    <w:multiLevelType w:val="multilevel"/>
    <w:tmpl w:val="729E6E92"/>
    <w:lvl w:ilvl="0" w:tentative="0">
      <w:start w:val="1"/>
      <w:numFmt w:val="decimal"/>
      <w:lvlText w:val="%1、"/>
      <w:lvlJc w:val="left"/>
      <w:pPr>
        <w:ind w:left="440" w:hanging="440"/>
      </w:pPr>
      <w:rPr>
        <w:rFonts w:hint="default"/>
      </w:rPr>
    </w:lvl>
    <w:lvl w:ilvl="1" w:tentative="0">
      <w:start w:val="1"/>
      <w:numFmt w:val="decimal"/>
      <w:lvlText w:val="%2、"/>
      <w:lvlJc w:val="left"/>
      <w:pPr>
        <w:ind w:left="440" w:hanging="440"/>
      </w:pPr>
      <w:rPr>
        <w:rFonts w:hint="default"/>
      </w:r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72">
    <w:nsid w:val="7310780D"/>
    <w:multiLevelType w:val="multilevel"/>
    <w:tmpl w:val="7310780D"/>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73">
    <w:nsid w:val="731A6C74"/>
    <w:multiLevelType w:val="multilevel"/>
    <w:tmpl w:val="731A6C74"/>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74">
    <w:nsid w:val="73AC6880"/>
    <w:multiLevelType w:val="multilevel"/>
    <w:tmpl w:val="73AC6880"/>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75">
    <w:nsid w:val="73D04C08"/>
    <w:multiLevelType w:val="multilevel"/>
    <w:tmpl w:val="73D04C08"/>
    <w:lvl w:ilvl="0" w:tentative="0">
      <w:start w:val="1"/>
      <w:numFmt w:val="decimal"/>
      <w:lvlText w:val="%1、"/>
      <w:lvlJc w:val="left"/>
      <w:pPr>
        <w:ind w:left="440" w:hanging="440"/>
      </w:pPr>
      <w:rPr>
        <w:rFonts w:hint="default"/>
      </w:rPr>
    </w:lvl>
    <w:lvl w:ilvl="1" w:tentative="0">
      <w:start w:val="1"/>
      <w:numFmt w:val="decimal"/>
      <w:lvlText w:val="%2、"/>
      <w:lvlJc w:val="left"/>
      <w:pPr>
        <w:ind w:left="440" w:hanging="440"/>
      </w:pPr>
      <w:rPr>
        <w:rFonts w:hint="default"/>
      </w:r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76">
    <w:nsid w:val="7418199B"/>
    <w:multiLevelType w:val="multilevel"/>
    <w:tmpl w:val="7418199B"/>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77">
    <w:nsid w:val="741D3DDA"/>
    <w:multiLevelType w:val="multilevel"/>
    <w:tmpl w:val="741D3DDA"/>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78">
    <w:nsid w:val="7458352C"/>
    <w:multiLevelType w:val="multilevel"/>
    <w:tmpl w:val="7458352C"/>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79">
    <w:nsid w:val="74BD3EA5"/>
    <w:multiLevelType w:val="multilevel"/>
    <w:tmpl w:val="74BD3EA5"/>
    <w:lvl w:ilvl="0" w:tentative="0">
      <w:start w:val="1"/>
      <w:numFmt w:val="decimal"/>
      <w:lvlText w:val="%1、"/>
      <w:lvlJc w:val="left"/>
      <w:pPr>
        <w:ind w:left="440" w:hanging="440"/>
      </w:pPr>
      <w:rPr>
        <w:rFonts w:hint="default"/>
      </w:rPr>
    </w:lvl>
    <w:lvl w:ilvl="1" w:tentative="0">
      <w:start w:val="1"/>
      <w:numFmt w:val="decimal"/>
      <w:lvlText w:val="%2、"/>
      <w:lvlJc w:val="left"/>
      <w:pPr>
        <w:ind w:left="440" w:hanging="440"/>
      </w:pPr>
      <w:rPr>
        <w:rFonts w:hint="default"/>
      </w:r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80">
    <w:nsid w:val="74C042BE"/>
    <w:multiLevelType w:val="multilevel"/>
    <w:tmpl w:val="74C042BE"/>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81">
    <w:nsid w:val="752F5274"/>
    <w:multiLevelType w:val="multilevel"/>
    <w:tmpl w:val="752F5274"/>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82">
    <w:nsid w:val="75354E8D"/>
    <w:multiLevelType w:val="multilevel"/>
    <w:tmpl w:val="75354E8D"/>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83">
    <w:nsid w:val="755936DB"/>
    <w:multiLevelType w:val="multilevel"/>
    <w:tmpl w:val="755936DB"/>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decimal"/>
      <w:lvlText w:val="%3、"/>
      <w:lvlJc w:val="left"/>
      <w:pPr>
        <w:ind w:left="440" w:hanging="440"/>
      </w:pPr>
      <w:rPr>
        <w:rFonts w:hint="default"/>
      </w:r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84">
    <w:nsid w:val="75686C2C"/>
    <w:multiLevelType w:val="multilevel"/>
    <w:tmpl w:val="75686C2C"/>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85">
    <w:nsid w:val="75C13367"/>
    <w:multiLevelType w:val="multilevel"/>
    <w:tmpl w:val="75C13367"/>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86">
    <w:nsid w:val="75CC6E81"/>
    <w:multiLevelType w:val="multilevel"/>
    <w:tmpl w:val="75CC6E81"/>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87">
    <w:nsid w:val="762A07E5"/>
    <w:multiLevelType w:val="multilevel"/>
    <w:tmpl w:val="762A07E5"/>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88">
    <w:nsid w:val="763D601E"/>
    <w:multiLevelType w:val="multilevel"/>
    <w:tmpl w:val="763D601E"/>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89">
    <w:nsid w:val="77402BBF"/>
    <w:multiLevelType w:val="multilevel"/>
    <w:tmpl w:val="77402BBF"/>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decimal"/>
      <w:lvlText w:val="%3、"/>
      <w:lvlJc w:val="left"/>
      <w:pPr>
        <w:ind w:left="440" w:hanging="440"/>
      </w:pPr>
      <w:rPr>
        <w:rFonts w:hint="default"/>
      </w:r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90">
    <w:nsid w:val="775250F9"/>
    <w:multiLevelType w:val="multilevel"/>
    <w:tmpl w:val="775250F9"/>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91">
    <w:nsid w:val="77681277"/>
    <w:multiLevelType w:val="multilevel"/>
    <w:tmpl w:val="77681277"/>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decimal"/>
      <w:lvlText w:val="%3、"/>
      <w:lvlJc w:val="left"/>
      <w:pPr>
        <w:ind w:left="440" w:hanging="440"/>
      </w:pPr>
      <w:rPr>
        <w:rFonts w:hint="default"/>
      </w:r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92">
    <w:nsid w:val="77762EC0"/>
    <w:multiLevelType w:val="singleLevel"/>
    <w:tmpl w:val="77762EC0"/>
    <w:lvl w:ilvl="0" w:tentative="0">
      <w:start w:val="1"/>
      <w:numFmt w:val="decimal"/>
      <w:suff w:val="nothing"/>
      <w:lvlText w:val="%1．"/>
      <w:lvlJc w:val="left"/>
    </w:lvl>
  </w:abstractNum>
  <w:abstractNum w:abstractNumId="393">
    <w:nsid w:val="77E26C3B"/>
    <w:multiLevelType w:val="multilevel"/>
    <w:tmpl w:val="77E26C3B"/>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94">
    <w:nsid w:val="780D5F87"/>
    <w:multiLevelType w:val="multilevel"/>
    <w:tmpl w:val="780D5F87"/>
    <w:lvl w:ilvl="0" w:tentative="0">
      <w:start w:val="1"/>
      <w:numFmt w:val="decimal"/>
      <w:lvlText w:val="%1、"/>
      <w:lvlJc w:val="left"/>
      <w:pPr>
        <w:ind w:left="440" w:hanging="440"/>
      </w:pPr>
      <w:rPr>
        <w:rFonts w:hint="default"/>
      </w:rPr>
    </w:lvl>
    <w:lvl w:ilvl="1" w:tentative="0">
      <w:start w:val="1"/>
      <w:numFmt w:val="decimal"/>
      <w:lvlText w:val="%2)"/>
      <w:lvlJc w:val="left"/>
      <w:pPr>
        <w:ind w:left="800" w:hanging="360"/>
      </w:pPr>
      <w:rPr>
        <w:rFonts w:hint="eastAsia"/>
      </w:r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95">
    <w:nsid w:val="79CA0DBF"/>
    <w:multiLevelType w:val="multilevel"/>
    <w:tmpl w:val="79CA0DBF"/>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96">
    <w:nsid w:val="7A1B201D"/>
    <w:multiLevelType w:val="multilevel"/>
    <w:tmpl w:val="7A1B201D"/>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97">
    <w:nsid w:val="7A3C1FB7"/>
    <w:multiLevelType w:val="multilevel"/>
    <w:tmpl w:val="7A3C1FB7"/>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98">
    <w:nsid w:val="7A53168E"/>
    <w:multiLevelType w:val="multilevel"/>
    <w:tmpl w:val="7A53168E"/>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99">
    <w:nsid w:val="7AB83758"/>
    <w:multiLevelType w:val="multilevel"/>
    <w:tmpl w:val="7AB83758"/>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decimal"/>
      <w:lvlText w:val="%3、"/>
      <w:lvlJc w:val="left"/>
      <w:pPr>
        <w:ind w:left="440" w:hanging="440"/>
      </w:pPr>
      <w:rPr>
        <w:rFonts w:hint="default"/>
      </w:r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400">
    <w:nsid w:val="7BAF4231"/>
    <w:multiLevelType w:val="multilevel"/>
    <w:tmpl w:val="7BAF4231"/>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401">
    <w:nsid w:val="7BBD44A2"/>
    <w:multiLevelType w:val="multilevel"/>
    <w:tmpl w:val="7BBD44A2"/>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402">
    <w:nsid w:val="7C423D4B"/>
    <w:multiLevelType w:val="multilevel"/>
    <w:tmpl w:val="7C423D4B"/>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403">
    <w:nsid w:val="7C424BCE"/>
    <w:multiLevelType w:val="multilevel"/>
    <w:tmpl w:val="7C424BCE"/>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404">
    <w:nsid w:val="7C7A2551"/>
    <w:multiLevelType w:val="multilevel"/>
    <w:tmpl w:val="7C7A2551"/>
    <w:lvl w:ilvl="0" w:tentative="0">
      <w:start w:val="1"/>
      <w:numFmt w:val="decimal"/>
      <w:lvlText w:val="%1、"/>
      <w:lvlJc w:val="left"/>
      <w:pPr>
        <w:ind w:left="440" w:hanging="440"/>
      </w:pPr>
      <w:rPr>
        <w:rFonts w:hint="default"/>
      </w:rPr>
    </w:lvl>
    <w:lvl w:ilvl="1" w:tentative="0">
      <w:start w:val="1"/>
      <w:numFmt w:val="decimal"/>
      <w:lvlText w:val="%2、"/>
      <w:lvlJc w:val="left"/>
      <w:pPr>
        <w:ind w:left="440" w:hanging="440"/>
      </w:pPr>
      <w:rPr>
        <w:rFonts w:hint="default"/>
      </w:r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405">
    <w:nsid w:val="7D2E3366"/>
    <w:multiLevelType w:val="multilevel"/>
    <w:tmpl w:val="7D2E3366"/>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decimal"/>
      <w:lvlText w:val="%3、"/>
      <w:lvlJc w:val="left"/>
      <w:pPr>
        <w:ind w:left="440" w:hanging="440"/>
      </w:pPr>
      <w:rPr>
        <w:rFonts w:hint="default"/>
      </w:r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406">
    <w:nsid w:val="7D766F68"/>
    <w:multiLevelType w:val="multilevel"/>
    <w:tmpl w:val="7D766F68"/>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407">
    <w:nsid w:val="7DA20920"/>
    <w:multiLevelType w:val="multilevel"/>
    <w:tmpl w:val="7DA20920"/>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408">
    <w:nsid w:val="7DC25F0A"/>
    <w:multiLevelType w:val="multilevel"/>
    <w:tmpl w:val="7DC25F0A"/>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409">
    <w:nsid w:val="7ED056DB"/>
    <w:multiLevelType w:val="multilevel"/>
    <w:tmpl w:val="7ED056DB"/>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decimal"/>
      <w:lvlText w:val="%3、"/>
      <w:lvlJc w:val="left"/>
      <w:pPr>
        <w:ind w:left="440" w:hanging="440"/>
      </w:pPr>
      <w:rPr>
        <w:rFonts w:hint="default"/>
      </w:r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410">
    <w:nsid w:val="7F540A78"/>
    <w:multiLevelType w:val="multilevel"/>
    <w:tmpl w:val="7F540A78"/>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411">
    <w:nsid w:val="7F7755D3"/>
    <w:multiLevelType w:val="multilevel"/>
    <w:tmpl w:val="7F7755D3"/>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412">
    <w:nsid w:val="7F831605"/>
    <w:multiLevelType w:val="multilevel"/>
    <w:tmpl w:val="7F831605"/>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413">
    <w:nsid w:val="7F867C92"/>
    <w:multiLevelType w:val="multilevel"/>
    <w:tmpl w:val="7F867C92"/>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414">
    <w:nsid w:val="7FB7719B"/>
    <w:multiLevelType w:val="multilevel"/>
    <w:tmpl w:val="7FB7719B"/>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num w:numId="1">
    <w:abstractNumId w:val="406"/>
  </w:num>
  <w:num w:numId="2">
    <w:abstractNumId w:val="337"/>
  </w:num>
  <w:num w:numId="3">
    <w:abstractNumId w:val="398"/>
  </w:num>
  <w:num w:numId="4">
    <w:abstractNumId w:val="247"/>
  </w:num>
  <w:num w:numId="5">
    <w:abstractNumId w:val="111"/>
  </w:num>
  <w:num w:numId="6">
    <w:abstractNumId w:val="229"/>
  </w:num>
  <w:num w:numId="7">
    <w:abstractNumId w:val="127"/>
  </w:num>
  <w:num w:numId="8">
    <w:abstractNumId w:val="23"/>
  </w:num>
  <w:num w:numId="9">
    <w:abstractNumId w:val="22"/>
  </w:num>
  <w:num w:numId="10">
    <w:abstractNumId w:val="349"/>
  </w:num>
  <w:num w:numId="11">
    <w:abstractNumId w:val="207"/>
  </w:num>
  <w:num w:numId="12">
    <w:abstractNumId w:val="262"/>
  </w:num>
  <w:num w:numId="13">
    <w:abstractNumId w:val="301"/>
  </w:num>
  <w:num w:numId="14">
    <w:abstractNumId w:val="55"/>
  </w:num>
  <w:num w:numId="15">
    <w:abstractNumId w:val="396"/>
  </w:num>
  <w:num w:numId="16">
    <w:abstractNumId w:val="7"/>
  </w:num>
  <w:num w:numId="17">
    <w:abstractNumId w:val="403"/>
  </w:num>
  <w:num w:numId="18">
    <w:abstractNumId w:val="382"/>
  </w:num>
  <w:num w:numId="19">
    <w:abstractNumId w:val="163"/>
  </w:num>
  <w:num w:numId="20">
    <w:abstractNumId w:val="299"/>
  </w:num>
  <w:num w:numId="21">
    <w:abstractNumId w:val="285"/>
  </w:num>
  <w:num w:numId="22">
    <w:abstractNumId w:val="8"/>
  </w:num>
  <w:num w:numId="23">
    <w:abstractNumId w:val="99"/>
  </w:num>
  <w:num w:numId="24">
    <w:abstractNumId w:val="330"/>
  </w:num>
  <w:num w:numId="25">
    <w:abstractNumId w:val="243"/>
  </w:num>
  <w:num w:numId="26">
    <w:abstractNumId w:val="120"/>
  </w:num>
  <w:num w:numId="27">
    <w:abstractNumId w:val="358"/>
  </w:num>
  <w:num w:numId="28">
    <w:abstractNumId w:val="362"/>
  </w:num>
  <w:num w:numId="29">
    <w:abstractNumId w:val="121"/>
  </w:num>
  <w:num w:numId="30">
    <w:abstractNumId w:val="376"/>
  </w:num>
  <w:num w:numId="31">
    <w:abstractNumId w:val="156"/>
  </w:num>
  <w:num w:numId="32">
    <w:abstractNumId w:val="400"/>
  </w:num>
  <w:num w:numId="33">
    <w:abstractNumId w:val="74"/>
  </w:num>
  <w:num w:numId="34">
    <w:abstractNumId w:val="407"/>
  </w:num>
  <w:num w:numId="35">
    <w:abstractNumId w:val="296"/>
  </w:num>
  <w:num w:numId="36">
    <w:abstractNumId w:val="221"/>
  </w:num>
  <w:num w:numId="37">
    <w:abstractNumId w:val="189"/>
  </w:num>
  <w:num w:numId="38">
    <w:abstractNumId w:val="185"/>
  </w:num>
  <w:num w:numId="39">
    <w:abstractNumId w:val="397"/>
  </w:num>
  <w:num w:numId="40">
    <w:abstractNumId w:val="326"/>
  </w:num>
  <w:num w:numId="41">
    <w:abstractNumId w:val="154"/>
  </w:num>
  <w:num w:numId="42">
    <w:abstractNumId w:val="44"/>
  </w:num>
  <w:num w:numId="43">
    <w:abstractNumId w:val="276"/>
  </w:num>
  <w:num w:numId="44">
    <w:abstractNumId w:val="117"/>
  </w:num>
  <w:num w:numId="45">
    <w:abstractNumId w:val="327"/>
  </w:num>
  <w:num w:numId="46">
    <w:abstractNumId w:val="270"/>
  </w:num>
  <w:num w:numId="47">
    <w:abstractNumId w:val="33"/>
  </w:num>
  <w:num w:numId="48">
    <w:abstractNumId w:val="217"/>
  </w:num>
  <w:num w:numId="49">
    <w:abstractNumId w:val="293"/>
  </w:num>
  <w:num w:numId="50">
    <w:abstractNumId w:val="168"/>
  </w:num>
  <w:num w:numId="51">
    <w:abstractNumId w:val="82"/>
  </w:num>
  <w:num w:numId="52">
    <w:abstractNumId w:val="203"/>
  </w:num>
  <w:num w:numId="53">
    <w:abstractNumId w:val="128"/>
  </w:num>
  <w:num w:numId="54">
    <w:abstractNumId w:val="191"/>
  </w:num>
  <w:num w:numId="55">
    <w:abstractNumId w:val="340"/>
  </w:num>
  <w:num w:numId="56">
    <w:abstractNumId w:val="40"/>
  </w:num>
  <w:num w:numId="57">
    <w:abstractNumId w:val="14"/>
  </w:num>
  <w:num w:numId="58">
    <w:abstractNumId w:val="15"/>
  </w:num>
  <w:num w:numId="59">
    <w:abstractNumId w:val="164"/>
  </w:num>
  <w:num w:numId="60">
    <w:abstractNumId w:val="307"/>
  </w:num>
  <w:num w:numId="61">
    <w:abstractNumId w:val="353"/>
  </w:num>
  <w:num w:numId="62">
    <w:abstractNumId w:val="61"/>
  </w:num>
  <w:num w:numId="63">
    <w:abstractNumId w:val="248"/>
  </w:num>
  <w:num w:numId="64">
    <w:abstractNumId w:val="136"/>
  </w:num>
  <w:num w:numId="65">
    <w:abstractNumId w:val="147"/>
  </w:num>
  <w:num w:numId="66">
    <w:abstractNumId w:val="381"/>
  </w:num>
  <w:num w:numId="67">
    <w:abstractNumId w:val="54"/>
  </w:num>
  <w:num w:numId="68">
    <w:abstractNumId w:val="410"/>
  </w:num>
  <w:num w:numId="69">
    <w:abstractNumId w:val="209"/>
  </w:num>
  <w:num w:numId="70">
    <w:abstractNumId w:val="140"/>
  </w:num>
  <w:num w:numId="71">
    <w:abstractNumId w:val="182"/>
  </w:num>
  <w:num w:numId="72">
    <w:abstractNumId w:val="68"/>
  </w:num>
  <w:num w:numId="73">
    <w:abstractNumId w:val="272"/>
  </w:num>
  <w:num w:numId="74">
    <w:abstractNumId w:val="283"/>
  </w:num>
  <w:num w:numId="75">
    <w:abstractNumId w:val="88"/>
  </w:num>
  <w:num w:numId="76">
    <w:abstractNumId w:val="373"/>
  </w:num>
  <w:num w:numId="77">
    <w:abstractNumId w:val="176"/>
  </w:num>
  <w:num w:numId="78">
    <w:abstractNumId w:val="344"/>
  </w:num>
  <w:num w:numId="79">
    <w:abstractNumId w:val="323"/>
  </w:num>
  <w:num w:numId="80">
    <w:abstractNumId w:val="393"/>
  </w:num>
  <w:num w:numId="81">
    <w:abstractNumId w:val="226"/>
  </w:num>
  <w:num w:numId="82">
    <w:abstractNumId w:val="125"/>
  </w:num>
  <w:num w:numId="83">
    <w:abstractNumId w:val="222"/>
  </w:num>
  <w:num w:numId="84">
    <w:abstractNumId w:val="234"/>
  </w:num>
  <w:num w:numId="85">
    <w:abstractNumId w:val="107"/>
  </w:num>
  <w:num w:numId="86">
    <w:abstractNumId w:val="80"/>
  </w:num>
  <w:num w:numId="87">
    <w:abstractNumId w:val="201"/>
  </w:num>
  <w:num w:numId="88">
    <w:abstractNumId w:val="302"/>
  </w:num>
  <w:num w:numId="89">
    <w:abstractNumId w:val="18"/>
  </w:num>
  <w:num w:numId="90">
    <w:abstractNumId w:val="289"/>
  </w:num>
  <w:num w:numId="91">
    <w:abstractNumId w:val="43"/>
  </w:num>
  <w:num w:numId="92">
    <w:abstractNumId w:val="146"/>
  </w:num>
  <w:num w:numId="93">
    <w:abstractNumId w:val="59"/>
  </w:num>
  <w:num w:numId="94">
    <w:abstractNumId w:val="365"/>
  </w:num>
  <w:num w:numId="95">
    <w:abstractNumId w:val="45"/>
  </w:num>
  <w:num w:numId="96">
    <w:abstractNumId w:val="368"/>
  </w:num>
  <w:num w:numId="97">
    <w:abstractNumId w:val="241"/>
  </w:num>
  <w:num w:numId="98">
    <w:abstractNumId w:val="89"/>
  </w:num>
  <w:num w:numId="99">
    <w:abstractNumId w:val="390"/>
  </w:num>
  <w:num w:numId="100">
    <w:abstractNumId w:val="245"/>
  </w:num>
  <w:num w:numId="101">
    <w:abstractNumId w:val="339"/>
  </w:num>
  <w:num w:numId="102">
    <w:abstractNumId w:val="321"/>
  </w:num>
  <w:num w:numId="103">
    <w:abstractNumId w:val="105"/>
  </w:num>
  <w:num w:numId="104">
    <w:abstractNumId w:val="294"/>
  </w:num>
  <w:num w:numId="105">
    <w:abstractNumId w:val="322"/>
  </w:num>
  <w:num w:numId="106">
    <w:abstractNumId w:val="93"/>
  </w:num>
  <w:num w:numId="107">
    <w:abstractNumId w:val="179"/>
  </w:num>
  <w:num w:numId="108">
    <w:abstractNumId w:val="310"/>
  </w:num>
  <w:num w:numId="109">
    <w:abstractNumId w:val="26"/>
  </w:num>
  <w:num w:numId="110">
    <w:abstractNumId w:val="359"/>
  </w:num>
  <w:num w:numId="111">
    <w:abstractNumId w:val="261"/>
  </w:num>
  <w:num w:numId="112">
    <w:abstractNumId w:val="374"/>
  </w:num>
  <w:num w:numId="113">
    <w:abstractNumId w:val="329"/>
  </w:num>
  <w:num w:numId="114">
    <w:abstractNumId w:val="171"/>
  </w:num>
  <w:num w:numId="115">
    <w:abstractNumId w:val="94"/>
  </w:num>
  <w:num w:numId="116">
    <w:abstractNumId w:val="64"/>
  </w:num>
  <w:num w:numId="117">
    <w:abstractNumId w:val="236"/>
  </w:num>
  <w:num w:numId="118">
    <w:abstractNumId w:val="318"/>
  </w:num>
  <w:num w:numId="119">
    <w:abstractNumId w:val="129"/>
  </w:num>
  <w:num w:numId="120">
    <w:abstractNumId w:val="96"/>
  </w:num>
  <w:num w:numId="121">
    <w:abstractNumId w:val="215"/>
  </w:num>
  <w:num w:numId="122">
    <w:abstractNumId w:val="184"/>
  </w:num>
  <w:num w:numId="123">
    <w:abstractNumId w:val="352"/>
  </w:num>
  <w:num w:numId="124">
    <w:abstractNumId w:val="48"/>
  </w:num>
  <w:num w:numId="125">
    <w:abstractNumId w:val="249"/>
  </w:num>
  <w:num w:numId="126">
    <w:abstractNumId w:val="195"/>
  </w:num>
  <w:num w:numId="127">
    <w:abstractNumId w:val="51"/>
  </w:num>
  <w:num w:numId="128">
    <w:abstractNumId w:val="288"/>
  </w:num>
  <w:num w:numId="129">
    <w:abstractNumId w:val="238"/>
  </w:num>
  <w:num w:numId="130">
    <w:abstractNumId w:val="361"/>
  </w:num>
  <w:num w:numId="131">
    <w:abstractNumId w:val="256"/>
  </w:num>
  <w:num w:numId="132">
    <w:abstractNumId w:val="225"/>
  </w:num>
  <w:num w:numId="133">
    <w:abstractNumId w:val="237"/>
  </w:num>
  <w:num w:numId="134">
    <w:abstractNumId w:val="112"/>
  </w:num>
  <w:num w:numId="135">
    <w:abstractNumId w:val="254"/>
  </w:num>
  <w:num w:numId="136">
    <w:abstractNumId w:val="348"/>
  </w:num>
  <w:num w:numId="137">
    <w:abstractNumId w:val="138"/>
  </w:num>
  <w:num w:numId="138">
    <w:abstractNumId w:val="342"/>
  </w:num>
  <w:num w:numId="139">
    <w:abstractNumId w:val="91"/>
  </w:num>
  <w:num w:numId="140">
    <w:abstractNumId w:val="200"/>
  </w:num>
  <w:num w:numId="141">
    <w:abstractNumId w:val="199"/>
  </w:num>
  <w:num w:numId="142">
    <w:abstractNumId w:val="375"/>
  </w:num>
  <w:num w:numId="143">
    <w:abstractNumId w:val="42"/>
  </w:num>
  <w:num w:numId="144">
    <w:abstractNumId w:val="250"/>
  </w:num>
  <w:num w:numId="145">
    <w:abstractNumId w:val="53"/>
  </w:num>
  <w:num w:numId="146">
    <w:abstractNumId w:val="32"/>
  </w:num>
  <w:num w:numId="147">
    <w:abstractNumId w:val="79"/>
  </w:num>
  <w:num w:numId="148">
    <w:abstractNumId w:val="113"/>
  </w:num>
  <w:num w:numId="149">
    <w:abstractNumId w:val="162"/>
  </w:num>
  <w:num w:numId="150">
    <w:abstractNumId w:val="286"/>
  </w:num>
  <w:num w:numId="151">
    <w:abstractNumId w:val="39"/>
  </w:num>
  <w:num w:numId="152">
    <w:abstractNumId w:val="131"/>
  </w:num>
  <w:num w:numId="153">
    <w:abstractNumId w:val="370"/>
  </w:num>
  <w:num w:numId="154">
    <w:abstractNumId w:val="347"/>
  </w:num>
  <w:num w:numId="155">
    <w:abstractNumId w:val="165"/>
  </w:num>
  <w:num w:numId="156">
    <w:abstractNumId w:val="251"/>
  </w:num>
  <w:num w:numId="157">
    <w:abstractNumId w:val="186"/>
  </w:num>
  <w:num w:numId="158">
    <w:abstractNumId w:val="232"/>
  </w:num>
  <w:num w:numId="159">
    <w:abstractNumId w:val="284"/>
  </w:num>
  <w:num w:numId="160">
    <w:abstractNumId w:val="231"/>
  </w:num>
  <w:num w:numId="161">
    <w:abstractNumId w:val="100"/>
  </w:num>
  <w:num w:numId="162">
    <w:abstractNumId w:val="78"/>
  </w:num>
  <w:num w:numId="163">
    <w:abstractNumId w:val="216"/>
  </w:num>
  <w:num w:numId="164">
    <w:abstractNumId w:val="277"/>
  </w:num>
  <w:num w:numId="165">
    <w:abstractNumId w:val="57"/>
  </w:num>
  <w:num w:numId="166">
    <w:abstractNumId w:val="9"/>
  </w:num>
  <w:num w:numId="167">
    <w:abstractNumId w:val="409"/>
  </w:num>
  <w:num w:numId="168">
    <w:abstractNumId w:val="36"/>
  </w:num>
  <w:num w:numId="169">
    <w:abstractNumId w:val="384"/>
  </w:num>
  <w:num w:numId="170">
    <w:abstractNumId w:val="280"/>
  </w:num>
  <w:num w:numId="171">
    <w:abstractNumId w:val="315"/>
  </w:num>
  <w:num w:numId="172">
    <w:abstractNumId w:val="333"/>
  </w:num>
  <w:num w:numId="173">
    <w:abstractNumId w:val="85"/>
  </w:num>
  <w:num w:numId="174">
    <w:abstractNumId w:val="308"/>
  </w:num>
  <w:num w:numId="175">
    <w:abstractNumId w:val="180"/>
  </w:num>
  <w:num w:numId="176">
    <w:abstractNumId w:val="287"/>
  </w:num>
  <w:num w:numId="177">
    <w:abstractNumId w:val="52"/>
  </w:num>
  <w:num w:numId="178">
    <w:abstractNumId w:val="371"/>
  </w:num>
  <w:num w:numId="179">
    <w:abstractNumId w:val="414"/>
  </w:num>
  <w:num w:numId="180">
    <w:abstractNumId w:val="314"/>
  </w:num>
  <w:num w:numId="181">
    <w:abstractNumId w:val="311"/>
  </w:num>
  <w:num w:numId="182">
    <w:abstractNumId w:val="134"/>
  </w:num>
  <w:num w:numId="183">
    <w:abstractNumId w:val="331"/>
  </w:num>
  <w:num w:numId="184">
    <w:abstractNumId w:val="383"/>
  </w:num>
  <w:num w:numId="185">
    <w:abstractNumId w:val="153"/>
  </w:num>
  <w:num w:numId="186">
    <w:abstractNumId w:val="132"/>
  </w:num>
  <w:num w:numId="187">
    <w:abstractNumId w:val="268"/>
  </w:num>
  <w:num w:numId="188">
    <w:abstractNumId w:val="193"/>
  </w:num>
  <w:num w:numId="189">
    <w:abstractNumId w:val="405"/>
  </w:num>
  <w:num w:numId="190">
    <w:abstractNumId w:val="332"/>
  </w:num>
  <w:num w:numId="191">
    <w:abstractNumId w:val="152"/>
  </w:num>
  <w:num w:numId="192">
    <w:abstractNumId w:val="350"/>
  </w:num>
  <w:num w:numId="193">
    <w:abstractNumId w:val="87"/>
  </w:num>
  <w:num w:numId="194">
    <w:abstractNumId w:val="50"/>
  </w:num>
  <w:num w:numId="195">
    <w:abstractNumId w:val="196"/>
  </w:num>
  <w:num w:numId="196">
    <w:abstractNumId w:val="317"/>
  </w:num>
  <w:num w:numId="197">
    <w:abstractNumId w:val="130"/>
  </w:num>
  <w:num w:numId="198">
    <w:abstractNumId w:val="123"/>
  </w:num>
  <w:num w:numId="199">
    <w:abstractNumId w:val="255"/>
  </w:num>
  <w:num w:numId="200">
    <w:abstractNumId w:val="178"/>
  </w:num>
  <w:num w:numId="201">
    <w:abstractNumId w:val="49"/>
  </w:num>
  <w:num w:numId="202">
    <w:abstractNumId w:val="151"/>
  </w:num>
  <w:num w:numId="203">
    <w:abstractNumId w:val="278"/>
  </w:num>
  <w:num w:numId="204">
    <w:abstractNumId w:val="160"/>
  </w:num>
  <w:num w:numId="205">
    <w:abstractNumId w:val="161"/>
  </w:num>
  <w:num w:numId="206">
    <w:abstractNumId w:val="81"/>
  </w:num>
  <w:num w:numId="207">
    <w:abstractNumId w:val="139"/>
  </w:num>
  <w:num w:numId="208">
    <w:abstractNumId w:val="76"/>
  </w:num>
  <w:num w:numId="209">
    <w:abstractNumId w:val="69"/>
  </w:num>
  <w:num w:numId="210">
    <w:abstractNumId w:val="92"/>
  </w:num>
  <w:num w:numId="211">
    <w:abstractNumId w:val="86"/>
  </w:num>
  <w:num w:numId="212">
    <w:abstractNumId w:val="235"/>
  </w:num>
  <w:num w:numId="213">
    <w:abstractNumId w:val="29"/>
  </w:num>
  <w:num w:numId="214">
    <w:abstractNumId w:val="413"/>
  </w:num>
  <w:num w:numId="215">
    <w:abstractNumId w:val="391"/>
  </w:num>
  <w:num w:numId="216">
    <w:abstractNumId w:val="336"/>
  </w:num>
  <w:num w:numId="217">
    <w:abstractNumId w:val="267"/>
  </w:num>
  <w:num w:numId="218">
    <w:abstractNumId w:val="385"/>
  </w:num>
  <w:num w:numId="219">
    <w:abstractNumId w:val="328"/>
  </w:num>
  <w:num w:numId="220">
    <w:abstractNumId w:val="379"/>
  </w:num>
  <w:num w:numId="221">
    <w:abstractNumId w:val="253"/>
  </w:num>
  <w:num w:numId="222">
    <w:abstractNumId w:val="259"/>
  </w:num>
  <w:num w:numId="223">
    <w:abstractNumId w:val="4"/>
  </w:num>
  <w:num w:numId="224">
    <w:abstractNumId w:val="334"/>
  </w:num>
  <w:num w:numId="225">
    <w:abstractNumId w:val="377"/>
  </w:num>
  <w:num w:numId="226">
    <w:abstractNumId w:val="399"/>
  </w:num>
  <w:num w:numId="227">
    <w:abstractNumId w:val="274"/>
  </w:num>
  <w:num w:numId="228">
    <w:abstractNumId w:val="244"/>
  </w:num>
  <w:num w:numId="229">
    <w:abstractNumId w:val="351"/>
  </w:num>
  <w:num w:numId="230">
    <w:abstractNumId w:val="133"/>
  </w:num>
  <w:num w:numId="231">
    <w:abstractNumId w:val="77"/>
  </w:num>
  <w:num w:numId="232">
    <w:abstractNumId w:val="167"/>
  </w:num>
  <w:num w:numId="233">
    <w:abstractNumId w:val="300"/>
  </w:num>
  <w:num w:numId="234">
    <w:abstractNumId w:val="266"/>
  </w:num>
  <w:num w:numId="235">
    <w:abstractNumId w:val="190"/>
  </w:num>
  <w:num w:numId="236">
    <w:abstractNumId w:val="412"/>
  </w:num>
  <w:num w:numId="237">
    <w:abstractNumId w:val="335"/>
  </w:num>
  <w:num w:numId="238">
    <w:abstractNumId w:val="145"/>
  </w:num>
  <w:num w:numId="239">
    <w:abstractNumId w:val="240"/>
  </w:num>
  <w:num w:numId="240">
    <w:abstractNumId w:val="173"/>
  </w:num>
  <w:num w:numId="241">
    <w:abstractNumId w:val="220"/>
  </w:num>
  <w:num w:numId="242">
    <w:abstractNumId w:val="273"/>
  </w:num>
  <w:num w:numId="243">
    <w:abstractNumId w:val="98"/>
  </w:num>
  <w:num w:numId="244">
    <w:abstractNumId w:val="291"/>
  </w:num>
  <w:num w:numId="245">
    <w:abstractNumId w:val="12"/>
  </w:num>
  <w:num w:numId="246">
    <w:abstractNumId w:val="303"/>
  </w:num>
  <w:num w:numId="247">
    <w:abstractNumId w:val="157"/>
  </w:num>
  <w:num w:numId="248">
    <w:abstractNumId w:val="90"/>
  </w:num>
  <w:num w:numId="249">
    <w:abstractNumId w:val="372"/>
  </w:num>
  <w:num w:numId="250">
    <w:abstractNumId w:val="119"/>
  </w:num>
  <w:num w:numId="251">
    <w:abstractNumId w:val="104"/>
  </w:num>
  <w:num w:numId="252">
    <w:abstractNumId w:val="386"/>
  </w:num>
  <w:num w:numId="253">
    <w:abstractNumId w:val="320"/>
  </w:num>
  <w:num w:numId="254">
    <w:abstractNumId w:val="265"/>
  </w:num>
  <w:num w:numId="255">
    <w:abstractNumId w:val="202"/>
  </w:num>
  <w:num w:numId="256">
    <w:abstractNumId w:val="141"/>
  </w:num>
  <w:num w:numId="257">
    <w:abstractNumId w:val="208"/>
  </w:num>
  <w:num w:numId="258">
    <w:abstractNumId w:val="11"/>
  </w:num>
  <w:num w:numId="259">
    <w:abstractNumId w:val="194"/>
  </w:num>
  <w:num w:numId="260">
    <w:abstractNumId w:val="70"/>
  </w:num>
  <w:num w:numId="261">
    <w:abstractNumId w:val="118"/>
  </w:num>
  <w:num w:numId="262">
    <w:abstractNumId w:val="378"/>
  </w:num>
  <w:num w:numId="263">
    <w:abstractNumId w:val="106"/>
  </w:num>
  <w:num w:numId="264">
    <w:abstractNumId w:val="30"/>
  </w:num>
  <w:num w:numId="265">
    <w:abstractNumId w:val="150"/>
  </w:num>
  <w:num w:numId="266">
    <w:abstractNumId w:val="338"/>
  </w:num>
  <w:num w:numId="267">
    <w:abstractNumId w:val="411"/>
  </w:num>
  <w:num w:numId="268">
    <w:abstractNumId w:val="72"/>
  </w:num>
  <w:num w:numId="269">
    <w:abstractNumId w:val="84"/>
  </w:num>
  <w:num w:numId="270">
    <w:abstractNumId w:val="175"/>
  </w:num>
  <w:num w:numId="271">
    <w:abstractNumId w:val="389"/>
  </w:num>
  <w:num w:numId="272">
    <w:abstractNumId w:val="172"/>
  </w:num>
  <w:num w:numId="273">
    <w:abstractNumId w:val="37"/>
  </w:num>
  <w:num w:numId="274">
    <w:abstractNumId w:val="218"/>
  </w:num>
  <w:num w:numId="275">
    <w:abstractNumId w:val="6"/>
  </w:num>
  <w:num w:numId="276">
    <w:abstractNumId w:val="198"/>
  </w:num>
  <w:num w:numId="277">
    <w:abstractNumId w:val="83"/>
  </w:num>
  <w:num w:numId="278">
    <w:abstractNumId w:val="144"/>
  </w:num>
  <w:num w:numId="279">
    <w:abstractNumId w:val="269"/>
  </w:num>
  <w:num w:numId="280">
    <w:abstractNumId w:val="388"/>
  </w:num>
  <w:num w:numId="281">
    <w:abstractNumId w:val="341"/>
  </w:num>
  <w:num w:numId="282">
    <w:abstractNumId w:val="155"/>
  </w:num>
  <w:num w:numId="283">
    <w:abstractNumId w:val="34"/>
  </w:num>
  <w:num w:numId="284">
    <w:abstractNumId w:val="309"/>
  </w:num>
  <w:num w:numId="285">
    <w:abstractNumId w:val="369"/>
  </w:num>
  <w:num w:numId="286">
    <w:abstractNumId w:val="263"/>
  </w:num>
  <w:num w:numId="287">
    <w:abstractNumId w:val="27"/>
  </w:num>
  <w:num w:numId="288">
    <w:abstractNumId w:val="102"/>
  </w:num>
  <w:num w:numId="289">
    <w:abstractNumId w:val="114"/>
  </w:num>
  <w:num w:numId="290">
    <w:abstractNumId w:val="124"/>
  </w:num>
  <w:num w:numId="291">
    <w:abstractNumId w:val="363"/>
  </w:num>
  <w:num w:numId="292">
    <w:abstractNumId w:val="292"/>
  </w:num>
  <w:num w:numId="293">
    <w:abstractNumId w:val="110"/>
  </w:num>
  <w:num w:numId="294">
    <w:abstractNumId w:val="228"/>
  </w:num>
  <w:num w:numId="295">
    <w:abstractNumId w:val="387"/>
  </w:num>
  <w:num w:numId="296">
    <w:abstractNumId w:val="408"/>
  </w:num>
  <w:num w:numId="297">
    <w:abstractNumId w:val="166"/>
  </w:num>
  <w:num w:numId="298">
    <w:abstractNumId w:val="2"/>
  </w:num>
  <w:num w:numId="299">
    <w:abstractNumId w:val="73"/>
  </w:num>
  <w:num w:numId="300">
    <w:abstractNumId w:val="28"/>
  </w:num>
  <w:num w:numId="301">
    <w:abstractNumId w:val="401"/>
  </w:num>
  <w:num w:numId="302">
    <w:abstractNumId w:val="181"/>
  </w:num>
  <w:num w:numId="303">
    <w:abstractNumId w:val="66"/>
  </w:num>
  <w:num w:numId="304">
    <w:abstractNumId w:val="395"/>
  </w:num>
  <w:num w:numId="305">
    <w:abstractNumId w:val="159"/>
  </w:num>
  <w:num w:numId="306">
    <w:abstractNumId w:val="271"/>
  </w:num>
  <w:num w:numId="307">
    <w:abstractNumId w:val="192"/>
  </w:num>
  <w:num w:numId="308">
    <w:abstractNumId w:val="75"/>
  </w:num>
  <w:num w:numId="309">
    <w:abstractNumId w:val="3"/>
  </w:num>
  <w:num w:numId="310">
    <w:abstractNumId w:val="116"/>
  </w:num>
  <w:num w:numId="311">
    <w:abstractNumId w:val="354"/>
  </w:num>
  <w:num w:numId="312">
    <w:abstractNumId w:val="212"/>
  </w:num>
  <w:num w:numId="313">
    <w:abstractNumId w:val="357"/>
  </w:num>
  <w:num w:numId="314">
    <w:abstractNumId w:val="63"/>
  </w:num>
  <w:num w:numId="315">
    <w:abstractNumId w:val="19"/>
  </w:num>
  <w:num w:numId="316">
    <w:abstractNumId w:val="223"/>
  </w:num>
  <w:num w:numId="317">
    <w:abstractNumId w:val="306"/>
  </w:num>
  <w:num w:numId="318">
    <w:abstractNumId w:val="17"/>
  </w:num>
  <w:num w:numId="319">
    <w:abstractNumId w:val="297"/>
  </w:num>
  <w:num w:numId="320">
    <w:abstractNumId w:val="25"/>
  </w:num>
  <w:num w:numId="321">
    <w:abstractNumId w:val="264"/>
  </w:num>
  <w:num w:numId="322">
    <w:abstractNumId w:val="108"/>
  </w:num>
  <w:num w:numId="323">
    <w:abstractNumId w:val="174"/>
  </w:num>
  <w:num w:numId="324">
    <w:abstractNumId w:val="260"/>
  </w:num>
  <w:num w:numId="325">
    <w:abstractNumId w:val="281"/>
  </w:num>
  <w:num w:numId="326">
    <w:abstractNumId w:val="282"/>
  </w:num>
  <w:num w:numId="327">
    <w:abstractNumId w:val="177"/>
  </w:num>
  <w:num w:numId="328">
    <w:abstractNumId w:val="95"/>
  </w:num>
  <w:num w:numId="329">
    <w:abstractNumId w:val="103"/>
  </w:num>
  <w:num w:numId="330">
    <w:abstractNumId w:val="213"/>
  </w:num>
  <w:num w:numId="331">
    <w:abstractNumId w:val="404"/>
  </w:num>
  <w:num w:numId="332">
    <w:abstractNumId w:val="279"/>
  </w:num>
  <w:num w:numId="333">
    <w:abstractNumId w:val="233"/>
  </w:num>
  <w:num w:numId="334">
    <w:abstractNumId w:val="67"/>
  </w:num>
  <w:num w:numId="335">
    <w:abstractNumId w:val="71"/>
  </w:num>
  <w:num w:numId="336">
    <w:abstractNumId w:val="211"/>
  </w:num>
  <w:num w:numId="337">
    <w:abstractNumId w:val="0"/>
  </w:num>
  <w:num w:numId="338">
    <w:abstractNumId w:val="392"/>
  </w:num>
  <w:num w:numId="339">
    <w:abstractNumId w:val="313"/>
  </w:num>
  <w:num w:numId="340">
    <w:abstractNumId w:val="355"/>
  </w:num>
  <w:num w:numId="341">
    <w:abstractNumId w:val="304"/>
  </w:num>
  <w:num w:numId="342">
    <w:abstractNumId w:val="149"/>
  </w:num>
  <w:num w:numId="343">
    <w:abstractNumId w:val="158"/>
  </w:num>
  <w:num w:numId="344">
    <w:abstractNumId w:val="346"/>
  </w:num>
  <w:num w:numId="345">
    <w:abstractNumId w:val="143"/>
  </w:num>
  <w:num w:numId="346">
    <w:abstractNumId w:val="394"/>
  </w:num>
  <w:num w:numId="347">
    <w:abstractNumId w:val="142"/>
  </w:num>
  <w:num w:numId="348">
    <w:abstractNumId w:val="380"/>
  </w:num>
  <w:num w:numId="349">
    <w:abstractNumId w:val="47"/>
  </w:num>
  <w:num w:numId="350">
    <w:abstractNumId w:val="97"/>
  </w:num>
  <w:num w:numId="351">
    <w:abstractNumId w:val="206"/>
  </w:num>
  <w:num w:numId="352">
    <w:abstractNumId w:val="204"/>
  </w:num>
  <w:num w:numId="353">
    <w:abstractNumId w:val="227"/>
  </w:num>
  <w:num w:numId="354">
    <w:abstractNumId w:val="21"/>
  </w:num>
  <w:num w:numId="355">
    <w:abstractNumId w:val="275"/>
  </w:num>
  <w:num w:numId="356">
    <w:abstractNumId w:val="46"/>
  </w:num>
  <w:num w:numId="357">
    <w:abstractNumId w:val="219"/>
  </w:num>
  <w:num w:numId="358">
    <w:abstractNumId w:val="312"/>
  </w:num>
  <w:num w:numId="359">
    <w:abstractNumId w:val="356"/>
  </w:num>
  <w:num w:numId="360">
    <w:abstractNumId w:val="65"/>
  </w:num>
  <w:num w:numId="361">
    <w:abstractNumId w:val="360"/>
  </w:num>
  <w:num w:numId="362">
    <w:abstractNumId w:val="295"/>
  </w:num>
  <w:num w:numId="363">
    <w:abstractNumId w:val="298"/>
  </w:num>
  <w:num w:numId="364">
    <w:abstractNumId w:val="325"/>
  </w:num>
  <w:num w:numId="365">
    <w:abstractNumId w:val="257"/>
  </w:num>
  <w:num w:numId="366">
    <w:abstractNumId w:val="187"/>
  </w:num>
  <w:num w:numId="367">
    <w:abstractNumId w:val="5"/>
  </w:num>
  <w:num w:numId="368">
    <w:abstractNumId w:val="197"/>
  </w:num>
  <w:num w:numId="369">
    <w:abstractNumId w:val="366"/>
  </w:num>
  <w:num w:numId="370">
    <w:abstractNumId w:val="230"/>
  </w:num>
  <w:num w:numId="371">
    <w:abstractNumId w:val="169"/>
  </w:num>
  <w:num w:numId="372">
    <w:abstractNumId w:val="35"/>
  </w:num>
  <w:num w:numId="373">
    <w:abstractNumId w:val="364"/>
  </w:num>
  <w:num w:numId="374">
    <w:abstractNumId w:val="62"/>
  </w:num>
  <w:num w:numId="375">
    <w:abstractNumId w:val="38"/>
  </w:num>
  <w:num w:numId="376">
    <w:abstractNumId w:val="31"/>
  </w:num>
  <w:num w:numId="377">
    <w:abstractNumId w:val="402"/>
  </w:num>
  <w:num w:numId="378">
    <w:abstractNumId w:val="41"/>
  </w:num>
  <w:num w:numId="379">
    <w:abstractNumId w:val="343"/>
  </w:num>
  <w:num w:numId="380">
    <w:abstractNumId w:val="345"/>
  </w:num>
  <w:num w:numId="381">
    <w:abstractNumId w:val="56"/>
  </w:num>
  <w:num w:numId="382">
    <w:abstractNumId w:val="188"/>
  </w:num>
  <w:num w:numId="383">
    <w:abstractNumId w:val="242"/>
  </w:num>
  <w:num w:numId="384">
    <w:abstractNumId w:val="290"/>
  </w:num>
  <w:num w:numId="385">
    <w:abstractNumId w:val="183"/>
  </w:num>
  <w:num w:numId="386">
    <w:abstractNumId w:val="60"/>
  </w:num>
  <w:num w:numId="387">
    <w:abstractNumId w:val="319"/>
  </w:num>
  <w:num w:numId="388">
    <w:abstractNumId w:val="305"/>
  </w:num>
  <w:num w:numId="389">
    <w:abstractNumId w:val="1"/>
  </w:num>
  <w:num w:numId="390">
    <w:abstractNumId w:val="16"/>
  </w:num>
  <w:num w:numId="391">
    <w:abstractNumId w:val="246"/>
  </w:num>
  <w:num w:numId="392">
    <w:abstractNumId w:val="101"/>
  </w:num>
  <w:num w:numId="393">
    <w:abstractNumId w:val="122"/>
  </w:num>
  <w:num w:numId="394">
    <w:abstractNumId w:val="224"/>
  </w:num>
  <w:num w:numId="395">
    <w:abstractNumId w:val="109"/>
  </w:num>
  <w:num w:numId="396">
    <w:abstractNumId w:val="10"/>
  </w:num>
  <w:num w:numId="397">
    <w:abstractNumId w:val="205"/>
  </w:num>
  <w:num w:numId="398">
    <w:abstractNumId w:val="20"/>
  </w:num>
  <w:num w:numId="399">
    <w:abstractNumId w:val="148"/>
  </w:num>
  <w:num w:numId="400">
    <w:abstractNumId w:val="115"/>
  </w:num>
  <w:num w:numId="401">
    <w:abstractNumId w:val="316"/>
  </w:num>
  <w:num w:numId="402">
    <w:abstractNumId w:val="170"/>
  </w:num>
  <w:num w:numId="403">
    <w:abstractNumId w:val="13"/>
  </w:num>
  <w:num w:numId="404">
    <w:abstractNumId w:val="135"/>
  </w:num>
  <w:num w:numId="405">
    <w:abstractNumId w:val="239"/>
  </w:num>
  <w:num w:numId="406">
    <w:abstractNumId w:val="24"/>
  </w:num>
  <w:num w:numId="407">
    <w:abstractNumId w:val="252"/>
  </w:num>
  <w:num w:numId="408">
    <w:abstractNumId w:val="324"/>
  </w:num>
  <w:num w:numId="409">
    <w:abstractNumId w:val="126"/>
  </w:num>
  <w:num w:numId="410">
    <w:abstractNumId w:val="58"/>
  </w:num>
  <w:num w:numId="411">
    <w:abstractNumId w:val="258"/>
  </w:num>
  <w:num w:numId="412">
    <w:abstractNumId w:val="214"/>
  </w:num>
  <w:num w:numId="413">
    <w:abstractNumId w:val="367"/>
  </w:num>
  <w:num w:numId="414">
    <w:abstractNumId w:val="137"/>
  </w:num>
  <w:num w:numId="415">
    <w:abstractNumId w:val="2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72BA"/>
    <w:rsid w:val="000811D0"/>
    <w:rsid w:val="001E031D"/>
    <w:rsid w:val="00231F6A"/>
    <w:rsid w:val="002E0584"/>
    <w:rsid w:val="003022F9"/>
    <w:rsid w:val="003451C5"/>
    <w:rsid w:val="003C4B47"/>
    <w:rsid w:val="004845F5"/>
    <w:rsid w:val="00573D31"/>
    <w:rsid w:val="005F6AF6"/>
    <w:rsid w:val="006948F4"/>
    <w:rsid w:val="00834F67"/>
    <w:rsid w:val="00842C89"/>
    <w:rsid w:val="008D095A"/>
    <w:rsid w:val="009104CB"/>
    <w:rsid w:val="00A17B27"/>
    <w:rsid w:val="00A60FFF"/>
    <w:rsid w:val="00B15005"/>
    <w:rsid w:val="00BA2B7C"/>
    <w:rsid w:val="00BC2ABF"/>
    <w:rsid w:val="00CB6B77"/>
    <w:rsid w:val="00D3477F"/>
    <w:rsid w:val="00D94C7A"/>
    <w:rsid w:val="00DC75BB"/>
    <w:rsid w:val="00ED72BA"/>
    <w:rsid w:val="014608B1"/>
    <w:rsid w:val="01FD0A59"/>
    <w:rsid w:val="0317619C"/>
    <w:rsid w:val="03A013D6"/>
    <w:rsid w:val="042F0BE9"/>
    <w:rsid w:val="04E00203"/>
    <w:rsid w:val="0505364C"/>
    <w:rsid w:val="05FD6E9F"/>
    <w:rsid w:val="075929C6"/>
    <w:rsid w:val="07FF198F"/>
    <w:rsid w:val="0810328A"/>
    <w:rsid w:val="084C25A7"/>
    <w:rsid w:val="0878022B"/>
    <w:rsid w:val="09777232"/>
    <w:rsid w:val="0A0C1573"/>
    <w:rsid w:val="0A2A214E"/>
    <w:rsid w:val="0AC554DF"/>
    <w:rsid w:val="0AFC3057"/>
    <w:rsid w:val="0B6F7B86"/>
    <w:rsid w:val="0B702BBF"/>
    <w:rsid w:val="0B786DDA"/>
    <w:rsid w:val="0BAC6ABA"/>
    <w:rsid w:val="0BB057D9"/>
    <w:rsid w:val="0BB772BD"/>
    <w:rsid w:val="0C397871"/>
    <w:rsid w:val="0D682F64"/>
    <w:rsid w:val="0E285ADE"/>
    <w:rsid w:val="12256CB2"/>
    <w:rsid w:val="12872ED8"/>
    <w:rsid w:val="12BC7153"/>
    <w:rsid w:val="12CA499C"/>
    <w:rsid w:val="12DE3BE3"/>
    <w:rsid w:val="134D2A44"/>
    <w:rsid w:val="136E0B07"/>
    <w:rsid w:val="14DA1BB4"/>
    <w:rsid w:val="15285C67"/>
    <w:rsid w:val="16FA2A27"/>
    <w:rsid w:val="17DE3128"/>
    <w:rsid w:val="19225FF6"/>
    <w:rsid w:val="19794926"/>
    <w:rsid w:val="1A8C36A7"/>
    <w:rsid w:val="1C4F3541"/>
    <w:rsid w:val="1D772EFB"/>
    <w:rsid w:val="1EF44211"/>
    <w:rsid w:val="1F7F0E30"/>
    <w:rsid w:val="1F87359B"/>
    <w:rsid w:val="1FA70B15"/>
    <w:rsid w:val="21626848"/>
    <w:rsid w:val="21A56FE5"/>
    <w:rsid w:val="21F06B9F"/>
    <w:rsid w:val="22014D3F"/>
    <w:rsid w:val="226E3614"/>
    <w:rsid w:val="229C21F4"/>
    <w:rsid w:val="22B97B4D"/>
    <w:rsid w:val="242B1B96"/>
    <w:rsid w:val="248519F8"/>
    <w:rsid w:val="248A77E5"/>
    <w:rsid w:val="24A92CBB"/>
    <w:rsid w:val="25D519BA"/>
    <w:rsid w:val="25F65376"/>
    <w:rsid w:val="26902F4F"/>
    <w:rsid w:val="26991402"/>
    <w:rsid w:val="26C20BB6"/>
    <w:rsid w:val="27D8369C"/>
    <w:rsid w:val="28693F7B"/>
    <w:rsid w:val="286A224A"/>
    <w:rsid w:val="28A75CCE"/>
    <w:rsid w:val="28F2292F"/>
    <w:rsid w:val="28F273D2"/>
    <w:rsid w:val="29413C8F"/>
    <w:rsid w:val="29884E6D"/>
    <w:rsid w:val="29FC235B"/>
    <w:rsid w:val="2A0D0D54"/>
    <w:rsid w:val="2B9A6A9C"/>
    <w:rsid w:val="2BE62AC9"/>
    <w:rsid w:val="2BF71EFC"/>
    <w:rsid w:val="2C5B7104"/>
    <w:rsid w:val="2D690864"/>
    <w:rsid w:val="2D7F58AB"/>
    <w:rsid w:val="2E0F5222"/>
    <w:rsid w:val="2F9C2C6D"/>
    <w:rsid w:val="2FB53D62"/>
    <w:rsid w:val="312013D5"/>
    <w:rsid w:val="312475E8"/>
    <w:rsid w:val="32254276"/>
    <w:rsid w:val="32415041"/>
    <w:rsid w:val="330736E5"/>
    <w:rsid w:val="33814122"/>
    <w:rsid w:val="339C26B5"/>
    <w:rsid w:val="33EC572B"/>
    <w:rsid w:val="343E5F1E"/>
    <w:rsid w:val="35BF6971"/>
    <w:rsid w:val="35D51330"/>
    <w:rsid w:val="35F36DBD"/>
    <w:rsid w:val="36604E75"/>
    <w:rsid w:val="37692CB0"/>
    <w:rsid w:val="37705B91"/>
    <w:rsid w:val="3785166E"/>
    <w:rsid w:val="384D7B75"/>
    <w:rsid w:val="388471B1"/>
    <w:rsid w:val="396D1F23"/>
    <w:rsid w:val="39827B7B"/>
    <w:rsid w:val="3A3A4ECB"/>
    <w:rsid w:val="3A7A54C0"/>
    <w:rsid w:val="3A9247DB"/>
    <w:rsid w:val="3A9F746F"/>
    <w:rsid w:val="3AEC21B2"/>
    <w:rsid w:val="3B5E0972"/>
    <w:rsid w:val="3D091A7E"/>
    <w:rsid w:val="3ECF7E9E"/>
    <w:rsid w:val="3EF21DDE"/>
    <w:rsid w:val="3FC7045D"/>
    <w:rsid w:val="400D6CC1"/>
    <w:rsid w:val="409E3041"/>
    <w:rsid w:val="40C51FE4"/>
    <w:rsid w:val="4105002A"/>
    <w:rsid w:val="41DF489C"/>
    <w:rsid w:val="42D54800"/>
    <w:rsid w:val="42F11753"/>
    <w:rsid w:val="4388580A"/>
    <w:rsid w:val="441A4B53"/>
    <w:rsid w:val="4461261A"/>
    <w:rsid w:val="446F67BA"/>
    <w:rsid w:val="44BB0577"/>
    <w:rsid w:val="45460489"/>
    <w:rsid w:val="45802262"/>
    <w:rsid w:val="46390FFA"/>
    <w:rsid w:val="47226A5D"/>
    <w:rsid w:val="473C46BE"/>
    <w:rsid w:val="47F6293F"/>
    <w:rsid w:val="4901705F"/>
    <w:rsid w:val="4A1B033C"/>
    <w:rsid w:val="4A5A0B84"/>
    <w:rsid w:val="4BB562B6"/>
    <w:rsid w:val="4C4F3673"/>
    <w:rsid w:val="4C66217A"/>
    <w:rsid w:val="4D0765D2"/>
    <w:rsid w:val="4E10069A"/>
    <w:rsid w:val="4E3C2704"/>
    <w:rsid w:val="52BF067B"/>
    <w:rsid w:val="53DC5337"/>
    <w:rsid w:val="54037419"/>
    <w:rsid w:val="54287B0C"/>
    <w:rsid w:val="54660E4D"/>
    <w:rsid w:val="54847611"/>
    <w:rsid w:val="5485018C"/>
    <w:rsid w:val="54D67CFA"/>
    <w:rsid w:val="55532E16"/>
    <w:rsid w:val="570779BB"/>
    <w:rsid w:val="576239B1"/>
    <w:rsid w:val="57DD1426"/>
    <w:rsid w:val="59523610"/>
    <w:rsid w:val="59E71D4C"/>
    <w:rsid w:val="5A2621A9"/>
    <w:rsid w:val="5AAF64A5"/>
    <w:rsid w:val="5AD227B6"/>
    <w:rsid w:val="5B63120E"/>
    <w:rsid w:val="5DD75122"/>
    <w:rsid w:val="5DE12CE2"/>
    <w:rsid w:val="5E0A0DA1"/>
    <w:rsid w:val="5E4B5315"/>
    <w:rsid w:val="5ED0260C"/>
    <w:rsid w:val="5EE546FB"/>
    <w:rsid w:val="5FAE5655"/>
    <w:rsid w:val="607407BF"/>
    <w:rsid w:val="60B564F4"/>
    <w:rsid w:val="60F64C5F"/>
    <w:rsid w:val="61B768F2"/>
    <w:rsid w:val="6298786F"/>
    <w:rsid w:val="642F51DF"/>
    <w:rsid w:val="64794F48"/>
    <w:rsid w:val="653B36E9"/>
    <w:rsid w:val="65E4627A"/>
    <w:rsid w:val="65F853C2"/>
    <w:rsid w:val="66BA73A8"/>
    <w:rsid w:val="674306B3"/>
    <w:rsid w:val="6803326D"/>
    <w:rsid w:val="681678B8"/>
    <w:rsid w:val="6A8F2A33"/>
    <w:rsid w:val="6AE04108"/>
    <w:rsid w:val="6C141AAD"/>
    <w:rsid w:val="6CD3786B"/>
    <w:rsid w:val="6D273A8A"/>
    <w:rsid w:val="6D8335E3"/>
    <w:rsid w:val="6DFF125A"/>
    <w:rsid w:val="6E3C15AE"/>
    <w:rsid w:val="6F014EF9"/>
    <w:rsid w:val="70455963"/>
    <w:rsid w:val="70772F6C"/>
    <w:rsid w:val="708B7819"/>
    <w:rsid w:val="70E61BF2"/>
    <w:rsid w:val="711E7982"/>
    <w:rsid w:val="72753939"/>
    <w:rsid w:val="72CA3941"/>
    <w:rsid w:val="74406698"/>
    <w:rsid w:val="74E67E6E"/>
    <w:rsid w:val="753F35B3"/>
    <w:rsid w:val="75421081"/>
    <w:rsid w:val="769770A0"/>
    <w:rsid w:val="776514B6"/>
    <w:rsid w:val="788F3390"/>
    <w:rsid w:val="78B80B14"/>
    <w:rsid w:val="791E6E6A"/>
    <w:rsid w:val="7A11580D"/>
    <w:rsid w:val="7ADE5A5D"/>
    <w:rsid w:val="7B805DA2"/>
    <w:rsid w:val="7C7150ED"/>
    <w:rsid w:val="7D1433B0"/>
    <w:rsid w:val="7D323EBA"/>
    <w:rsid w:val="7D582E8F"/>
    <w:rsid w:val="7D9C5BA4"/>
    <w:rsid w:val="7E374C5C"/>
    <w:rsid w:val="7E4A2B93"/>
    <w:rsid w:val="7F4D391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nhideWhenUsed="0" w:uiPriority="99"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宋体"/>
      <w:kern w:val="2"/>
      <w:sz w:val="21"/>
      <w:szCs w:val="24"/>
      <w:lang w:val="en-US" w:eastAsia="zh-CN" w:bidi="ar-SA"/>
    </w:rPr>
  </w:style>
  <w:style w:type="paragraph" w:styleId="2">
    <w:name w:val="heading 1"/>
    <w:basedOn w:val="1"/>
    <w:next w:val="1"/>
    <w:link w:val="40"/>
    <w:qFormat/>
    <w:uiPriority w:val="0"/>
    <w:pPr>
      <w:spacing w:line="543" w:lineRule="exact"/>
      <w:ind w:left="147"/>
      <w:jc w:val="center"/>
      <w:outlineLvl w:val="0"/>
    </w:pPr>
    <w:rPr>
      <w:rFonts w:ascii="微软雅黑" w:hAnsi="微软雅黑" w:eastAsia="微软雅黑" w:cs="微软雅黑"/>
      <w:b/>
      <w:bCs/>
      <w:sz w:val="32"/>
      <w:szCs w:val="32"/>
    </w:rPr>
  </w:style>
  <w:style w:type="paragraph" w:styleId="3">
    <w:name w:val="heading 2"/>
    <w:basedOn w:val="1"/>
    <w:next w:val="1"/>
    <w:link w:val="41"/>
    <w:qFormat/>
    <w:uiPriority w:val="0"/>
    <w:pPr>
      <w:keepNext/>
      <w:jc w:val="center"/>
      <w:outlineLvl w:val="1"/>
    </w:pPr>
    <w:rPr>
      <w:rFonts w:ascii="宋体" w:hAnsi="宋体"/>
      <w:sz w:val="28"/>
    </w:rPr>
  </w:style>
  <w:style w:type="paragraph" w:styleId="4">
    <w:name w:val="heading 3"/>
    <w:basedOn w:val="1"/>
    <w:next w:val="1"/>
    <w:link w:val="42"/>
    <w:qFormat/>
    <w:uiPriority w:val="0"/>
    <w:pPr>
      <w:keepNext/>
      <w:keepLines/>
      <w:spacing w:before="260" w:after="260" w:line="413" w:lineRule="auto"/>
      <w:outlineLvl w:val="2"/>
    </w:pPr>
    <w:rPr>
      <w:b/>
      <w:sz w:val="32"/>
    </w:rPr>
  </w:style>
  <w:style w:type="paragraph" w:styleId="5">
    <w:name w:val="heading 4"/>
    <w:basedOn w:val="1"/>
    <w:next w:val="1"/>
    <w:qFormat/>
    <w:uiPriority w:val="0"/>
    <w:pPr>
      <w:keepNext/>
      <w:keepLines/>
      <w:spacing w:before="280" w:after="290" w:line="374" w:lineRule="auto"/>
      <w:outlineLvl w:val="3"/>
    </w:pPr>
    <w:rPr>
      <w:rFonts w:ascii="Arial" w:hAnsi="Arial" w:eastAsia="黑体"/>
      <w:b/>
      <w:bCs/>
      <w:sz w:val="28"/>
      <w:szCs w:val="28"/>
    </w:rPr>
  </w:style>
  <w:style w:type="character" w:default="1" w:styleId="26">
    <w:name w:val="Default Paragraph Font"/>
    <w:semiHidden/>
    <w:unhideWhenUsed/>
    <w:qFormat/>
    <w:uiPriority w:val="1"/>
  </w:style>
  <w:style w:type="table" w:default="1" w:styleId="24">
    <w:name w:val="Normal Table"/>
    <w:semiHidden/>
    <w:unhideWhenUsed/>
    <w:qFormat/>
    <w:uiPriority w:val="99"/>
    <w:tblPr>
      <w:tblCellMar>
        <w:top w:w="0" w:type="dxa"/>
        <w:left w:w="108" w:type="dxa"/>
        <w:bottom w:w="0" w:type="dxa"/>
        <w:right w:w="108" w:type="dxa"/>
      </w:tblCellMar>
    </w:tblPr>
  </w:style>
  <w:style w:type="paragraph" w:styleId="6">
    <w:name w:val="Normal Indent"/>
    <w:basedOn w:val="1"/>
    <w:qFormat/>
    <w:uiPriority w:val="0"/>
    <w:pPr>
      <w:ind w:firstLine="420" w:firstLineChars="200"/>
    </w:pPr>
  </w:style>
  <w:style w:type="paragraph" w:styleId="7">
    <w:name w:val="caption"/>
    <w:basedOn w:val="1"/>
    <w:next w:val="1"/>
    <w:qFormat/>
    <w:uiPriority w:val="0"/>
    <w:rPr>
      <w:rFonts w:ascii="Cambria" w:hAnsi="Cambria" w:eastAsia="黑体"/>
      <w:sz w:val="20"/>
      <w:szCs w:val="20"/>
    </w:rPr>
  </w:style>
  <w:style w:type="paragraph" w:styleId="8">
    <w:name w:val="annotation text"/>
    <w:basedOn w:val="1"/>
    <w:link w:val="54"/>
    <w:qFormat/>
    <w:uiPriority w:val="0"/>
    <w:pPr>
      <w:jc w:val="left"/>
    </w:pPr>
  </w:style>
  <w:style w:type="paragraph" w:styleId="9">
    <w:name w:val="Body Text"/>
    <w:basedOn w:val="1"/>
    <w:qFormat/>
    <w:uiPriority w:val="99"/>
    <w:pPr>
      <w:spacing w:after="120"/>
    </w:pPr>
  </w:style>
  <w:style w:type="paragraph" w:styleId="10">
    <w:name w:val="Body Text Indent"/>
    <w:basedOn w:val="1"/>
    <w:qFormat/>
    <w:uiPriority w:val="99"/>
    <w:pPr>
      <w:spacing w:after="120"/>
      <w:ind w:left="420" w:leftChars="200"/>
    </w:pPr>
  </w:style>
  <w:style w:type="paragraph" w:styleId="11">
    <w:name w:val="Plain Text"/>
    <w:basedOn w:val="1"/>
    <w:qFormat/>
    <w:uiPriority w:val="0"/>
    <w:rPr>
      <w:rFonts w:ascii="宋体" w:hAnsi="Courier New"/>
      <w:szCs w:val="20"/>
    </w:rPr>
  </w:style>
  <w:style w:type="paragraph" w:styleId="12">
    <w:name w:val="Date"/>
    <w:basedOn w:val="1"/>
    <w:next w:val="1"/>
    <w:qFormat/>
    <w:uiPriority w:val="0"/>
    <w:pPr>
      <w:adjustRightInd w:val="0"/>
      <w:spacing w:line="360" w:lineRule="atLeast"/>
      <w:textAlignment w:val="baseline"/>
    </w:pPr>
    <w:rPr>
      <w:kern w:val="0"/>
      <w:sz w:val="28"/>
      <w:szCs w:val="28"/>
    </w:rPr>
  </w:style>
  <w:style w:type="paragraph" w:styleId="13">
    <w:name w:val="Body Text Indent 2"/>
    <w:basedOn w:val="1"/>
    <w:qFormat/>
    <w:uiPriority w:val="0"/>
    <w:pPr>
      <w:spacing w:after="120" w:line="480" w:lineRule="auto"/>
      <w:ind w:left="420"/>
    </w:pPr>
    <w:rPr>
      <w:szCs w:val="20"/>
    </w:rPr>
  </w:style>
  <w:style w:type="paragraph" w:styleId="14">
    <w:name w:val="footer"/>
    <w:basedOn w:val="1"/>
    <w:qFormat/>
    <w:uiPriority w:val="0"/>
    <w:pPr>
      <w:tabs>
        <w:tab w:val="center" w:pos="4153"/>
        <w:tab w:val="right" w:pos="8306"/>
      </w:tabs>
      <w:snapToGrid w:val="0"/>
    </w:pPr>
    <w:rPr>
      <w:sz w:val="18"/>
      <w:szCs w:val="18"/>
    </w:rPr>
  </w:style>
  <w:style w:type="paragraph" w:styleId="1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6">
    <w:name w:val="toc 1"/>
    <w:basedOn w:val="1"/>
    <w:next w:val="1"/>
    <w:qFormat/>
    <w:uiPriority w:val="0"/>
  </w:style>
  <w:style w:type="paragraph" w:styleId="17">
    <w:name w:val="footnote text"/>
    <w:basedOn w:val="1"/>
    <w:qFormat/>
    <w:uiPriority w:val="99"/>
    <w:pPr>
      <w:snapToGrid w:val="0"/>
      <w:jc w:val="left"/>
    </w:pPr>
    <w:rPr>
      <w:sz w:val="18"/>
      <w:szCs w:val="18"/>
    </w:rPr>
  </w:style>
  <w:style w:type="paragraph" w:styleId="18">
    <w:name w:val="toc 2"/>
    <w:basedOn w:val="1"/>
    <w:next w:val="1"/>
    <w:qFormat/>
    <w:uiPriority w:val="0"/>
    <w:pPr>
      <w:ind w:left="420" w:leftChars="200"/>
    </w:pPr>
  </w:style>
  <w:style w:type="paragraph" w:styleId="19">
    <w:name w:val="Body Text 2"/>
    <w:basedOn w:val="1"/>
    <w:next w:val="9"/>
    <w:qFormat/>
    <w:uiPriority w:val="0"/>
    <w:pPr>
      <w:spacing w:after="120" w:line="480" w:lineRule="auto"/>
    </w:pPr>
  </w:style>
  <w:style w:type="paragraph" w:styleId="20">
    <w:name w:val="Normal (Web)"/>
    <w:basedOn w:val="1"/>
    <w:qFormat/>
    <w:uiPriority w:val="0"/>
    <w:pPr>
      <w:spacing w:before="100" w:beforeAutospacing="1" w:after="100" w:afterAutospacing="1"/>
      <w:jc w:val="left"/>
    </w:pPr>
    <w:rPr>
      <w:kern w:val="0"/>
    </w:rPr>
  </w:style>
  <w:style w:type="paragraph" w:styleId="21">
    <w:name w:val="annotation subject"/>
    <w:basedOn w:val="8"/>
    <w:next w:val="8"/>
    <w:link w:val="55"/>
    <w:qFormat/>
    <w:uiPriority w:val="0"/>
    <w:rPr>
      <w:b/>
      <w:bCs/>
    </w:rPr>
  </w:style>
  <w:style w:type="paragraph" w:styleId="22">
    <w:name w:val="Body Text First Indent"/>
    <w:basedOn w:val="9"/>
    <w:next w:val="1"/>
    <w:qFormat/>
    <w:uiPriority w:val="99"/>
    <w:pPr>
      <w:ind w:firstLine="420" w:firstLineChars="100"/>
    </w:pPr>
    <w:rPr>
      <w:sz w:val="24"/>
    </w:rPr>
  </w:style>
  <w:style w:type="paragraph" w:styleId="23">
    <w:name w:val="Body Text First Indent 2"/>
    <w:basedOn w:val="10"/>
    <w:qFormat/>
    <w:uiPriority w:val="0"/>
    <w:pPr>
      <w:ind w:firstLine="420" w:firstLineChars="200"/>
    </w:pPr>
    <w:rPr>
      <w:rFonts w:ascii="Times New Roman"/>
    </w:rPr>
  </w:style>
  <w:style w:type="table" w:styleId="25">
    <w:name w:val="Table Grid"/>
    <w:basedOn w:val="2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7">
    <w:name w:val="Strong"/>
    <w:qFormat/>
    <w:uiPriority w:val="0"/>
    <w:rPr>
      <w:b/>
      <w:bCs/>
    </w:rPr>
  </w:style>
  <w:style w:type="character" w:styleId="28">
    <w:name w:val="page number"/>
    <w:qFormat/>
    <w:uiPriority w:val="0"/>
    <w:rPr>
      <w:lang w:eastAsia="en-US"/>
    </w:rPr>
  </w:style>
  <w:style w:type="character" w:styleId="29">
    <w:name w:val="annotation reference"/>
    <w:basedOn w:val="26"/>
    <w:qFormat/>
    <w:uiPriority w:val="0"/>
    <w:rPr>
      <w:sz w:val="21"/>
      <w:szCs w:val="21"/>
    </w:rPr>
  </w:style>
  <w:style w:type="paragraph" w:customStyle="1" w:styleId="30">
    <w:name w:val="无间隔1"/>
    <w:basedOn w:val="31"/>
    <w:next w:val="7"/>
    <w:qFormat/>
    <w:uiPriority w:val="0"/>
    <w:rPr>
      <w:szCs w:val="22"/>
    </w:rPr>
  </w:style>
  <w:style w:type="paragraph" w:customStyle="1" w:styleId="31">
    <w:name w:val="正文_1"/>
    <w:next w:val="1"/>
    <w:qFormat/>
    <w:uiPriority w:val="0"/>
    <w:pPr>
      <w:widowControl w:val="0"/>
      <w:jc w:val="both"/>
    </w:pPr>
    <w:rPr>
      <w:rFonts w:ascii="Calibri" w:hAnsi="Calibri" w:eastAsia="宋体" w:cs="Times New Roman"/>
      <w:kern w:val="2"/>
      <w:sz w:val="21"/>
      <w:szCs w:val="24"/>
      <w:lang w:val="en-US" w:eastAsia="zh-CN" w:bidi="ar-SA"/>
    </w:rPr>
  </w:style>
  <w:style w:type="paragraph" w:customStyle="1" w:styleId="32">
    <w:name w:val="Default"/>
    <w:next w:val="33"/>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33">
    <w:name w:val="Char Char10 Char Char Char Char"/>
    <w:basedOn w:val="1"/>
    <w:next w:val="34"/>
    <w:qFormat/>
    <w:uiPriority w:val="0"/>
    <w:rPr>
      <w:kern w:val="0"/>
    </w:rPr>
  </w:style>
  <w:style w:type="paragraph" w:customStyle="1" w:styleId="34">
    <w:name w:val="xl87"/>
    <w:basedOn w:val="1"/>
    <w:next w:val="35"/>
    <w:qFormat/>
    <w:uiPriority w:val="0"/>
    <w:pPr>
      <w:widowControl/>
      <w:shd w:val="clear" w:color="FFFFFF" w:fill="FFFFFF"/>
      <w:spacing w:before="280" w:after="280"/>
      <w:jc w:val="right"/>
    </w:pPr>
    <w:rPr>
      <w:rFonts w:ascii="宋体"/>
      <w:kern w:val="0"/>
      <w:sz w:val="24"/>
    </w:rPr>
  </w:style>
  <w:style w:type="paragraph" w:customStyle="1" w:styleId="35">
    <w:name w:val="xl72"/>
    <w:basedOn w:val="1"/>
    <w:next w:val="12"/>
    <w:qFormat/>
    <w:uiPriority w:val="0"/>
    <w:pPr>
      <w:widowControl/>
      <w:shd w:val="clear" w:color="FFFFFF" w:fill="FFFFFF"/>
      <w:spacing w:before="280" w:after="280"/>
      <w:jc w:val="right"/>
    </w:pPr>
    <w:rPr>
      <w:rFonts w:ascii="宋体"/>
      <w:kern w:val="0"/>
      <w:sz w:val="24"/>
    </w:rPr>
  </w:style>
  <w:style w:type="paragraph" w:customStyle="1" w:styleId="36">
    <w:name w:val="Table Paragraph"/>
    <w:basedOn w:val="1"/>
    <w:qFormat/>
    <w:uiPriority w:val="0"/>
  </w:style>
  <w:style w:type="paragraph" w:customStyle="1" w:styleId="37">
    <w:name w:val="TOC Heading1"/>
    <w:next w:val="1"/>
    <w:qFormat/>
    <w:uiPriority w:val="0"/>
    <w:pPr>
      <w:wordWrap w:val="0"/>
    </w:pPr>
    <w:rPr>
      <w:rFonts w:ascii="Calibri" w:hAnsi="Calibri" w:eastAsia="宋体" w:cs="Times New Roman"/>
      <w:sz w:val="32"/>
      <w:szCs w:val="22"/>
      <w:lang w:val="en-US" w:eastAsia="zh-CN" w:bidi="ar-SA"/>
    </w:rPr>
  </w:style>
  <w:style w:type="paragraph" w:customStyle="1" w:styleId="38">
    <w:name w:val="样式 标题 2 + Times New Roman 四号 非加粗 段前: 5 磅 段后: 0 磅 行距: 固定值 20..."/>
    <w:basedOn w:val="3"/>
    <w:qFormat/>
    <w:uiPriority w:val="0"/>
    <w:pPr>
      <w:keepLines/>
      <w:spacing w:before="100" w:line="400" w:lineRule="exact"/>
    </w:pPr>
    <w:rPr>
      <w:rFonts w:ascii="Times New Roman" w:hAnsi="Times New Roman" w:eastAsia="黑体"/>
    </w:rPr>
  </w:style>
  <w:style w:type="paragraph" w:customStyle="1" w:styleId="39">
    <w:name w:val="列表段落1"/>
    <w:basedOn w:val="1"/>
    <w:qFormat/>
    <w:uiPriority w:val="0"/>
    <w:pPr>
      <w:ind w:firstLine="420" w:firstLineChars="200"/>
    </w:pPr>
    <w:rPr>
      <w:kern w:val="0"/>
      <w:sz w:val="20"/>
    </w:rPr>
  </w:style>
  <w:style w:type="character" w:customStyle="1" w:styleId="40">
    <w:name w:val="标题 1 字符"/>
    <w:link w:val="2"/>
    <w:qFormat/>
    <w:uiPriority w:val="0"/>
    <w:rPr>
      <w:rFonts w:ascii="微软雅黑" w:hAnsi="微软雅黑" w:eastAsia="微软雅黑" w:cs="微软雅黑"/>
      <w:b/>
      <w:bCs/>
      <w:sz w:val="32"/>
      <w:szCs w:val="32"/>
    </w:rPr>
  </w:style>
  <w:style w:type="character" w:customStyle="1" w:styleId="41">
    <w:name w:val="标题 2 字符"/>
    <w:link w:val="3"/>
    <w:qFormat/>
    <w:uiPriority w:val="0"/>
    <w:rPr>
      <w:rFonts w:ascii="宋体" w:hAnsi="宋体"/>
      <w:sz w:val="28"/>
    </w:rPr>
  </w:style>
  <w:style w:type="character" w:customStyle="1" w:styleId="42">
    <w:name w:val="标题 3 字符"/>
    <w:link w:val="4"/>
    <w:qFormat/>
    <w:uiPriority w:val="0"/>
    <w:rPr>
      <w:b/>
      <w:sz w:val="32"/>
    </w:rPr>
  </w:style>
  <w:style w:type="paragraph" w:customStyle="1" w:styleId="43">
    <w:name w:val="文档正文"/>
    <w:basedOn w:val="1"/>
    <w:qFormat/>
    <w:uiPriority w:val="0"/>
    <w:pPr>
      <w:spacing w:line="360" w:lineRule="auto"/>
      <w:ind w:firstLine="200" w:firstLineChars="200"/>
    </w:pPr>
    <w:rPr>
      <w:rFonts w:ascii="宋体" w:hAnsi="宋体"/>
      <w:sz w:val="24"/>
    </w:rPr>
  </w:style>
  <w:style w:type="paragraph" w:customStyle="1" w:styleId="44">
    <w:name w:val="!正文"/>
    <w:basedOn w:val="1"/>
    <w:qFormat/>
    <w:uiPriority w:val="0"/>
    <w:pPr>
      <w:spacing w:line="360" w:lineRule="auto"/>
      <w:ind w:firstLine="480" w:firstLineChars="200"/>
    </w:pPr>
    <w:rPr>
      <w:rFonts w:ascii="宋体" w:hAnsi="宋体"/>
      <w:sz w:val="24"/>
    </w:rPr>
  </w:style>
  <w:style w:type="paragraph" w:customStyle="1" w:styleId="45">
    <w:name w:val="表格文字"/>
    <w:basedOn w:val="1"/>
    <w:next w:val="9"/>
    <w:qFormat/>
    <w:uiPriority w:val="0"/>
    <w:pPr>
      <w:spacing w:before="25" w:after="25" w:line="300" w:lineRule="auto"/>
    </w:pPr>
    <w:rPr>
      <w:rFonts w:ascii="Times" w:hAnsi="Times" w:cs="Times"/>
      <w:spacing w:val="10"/>
      <w:sz w:val="24"/>
    </w:rPr>
  </w:style>
  <w:style w:type="paragraph" w:customStyle="1" w:styleId="46">
    <w:name w:val="WPSOffice手动目录 1"/>
    <w:qFormat/>
    <w:uiPriority w:val="0"/>
    <w:rPr>
      <w:rFonts w:ascii="Times New Roman" w:hAnsi="Times New Roman" w:eastAsia="宋体" w:cs="Times New Roman"/>
      <w:lang w:val="en-US" w:eastAsia="zh-CN" w:bidi="ar-SA"/>
    </w:rPr>
  </w:style>
  <w:style w:type="paragraph" w:customStyle="1" w:styleId="47">
    <w:name w:val="WPSOffice手动目录 2"/>
    <w:qFormat/>
    <w:uiPriority w:val="0"/>
    <w:pPr>
      <w:ind w:left="200" w:leftChars="200"/>
    </w:pPr>
    <w:rPr>
      <w:rFonts w:ascii="Times New Roman" w:hAnsi="Times New Roman" w:eastAsia="宋体" w:cs="Times New Roman"/>
      <w:lang w:val="en-US" w:eastAsia="zh-CN" w:bidi="ar-SA"/>
    </w:rPr>
  </w:style>
  <w:style w:type="table" w:customStyle="1" w:styleId="48">
    <w:name w:val="Table Normal"/>
    <w:qFormat/>
    <w:uiPriority w:val="0"/>
    <w:tblPr>
      <w:tblCellMar>
        <w:top w:w="0" w:type="dxa"/>
        <w:left w:w="0" w:type="dxa"/>
        <w:bottom w:w="0" w:type="dxa"/>
        <w:right w:w="0" w:type="dxa"/>
      </w:tblCellMar>
    </w:tblPr>
  </w:style>
  <w:style w:type="paragraph" w:customStyle="1" w:styleId="49">
    <w:name w:val="Table Text"/>
    <w:basedOn w:val="1"/>
    <w:qFormat/>
    <w:uiPriority w:val="0"/>
    <w:rPr>
      <w:rFonts w:ascii="宋体" w:hAnsi="宋体"/>
      <w:szCs w:val="21"/>
      <w:lang w:eastAsia="en-US"/>
    </w:rPr>
  </w:style>
  <w:style w:type="paragraph" w:customStyle="1" w:styleId="50">
    <w:name w:val="表格字体-居中"/>
    <w:basedOn w:val="1"/>
    <w:next w:val="1"/>
    <w:qFormat/>
    <w:uiPriority w:val="0"/>
    <w:pPr>
      <w:jc w:val="center"/>
    </w:pPr>
  </w:style>
  <w:style w:type="character" w:customStyle="1" w:styleId="51">
    <w:name w:val="first-child"/>
    <w:basedOn w:val="26"/>
    <w:qFormat/>
    <w:uiPriority w:val="0"/>
  </w:style>
  <w:style w:type="character" w:customStyle="1" w:styleId="52">
    <w:name w:val="layui-layer-tabnow"/>
    <w:basedOn w:val="26"/>
    <w:qFormat/>
    <w:uiPriority w:val="0"/>
    <w:rPr>
      <w:bdr w:val="single" w:color="CCCCCC" w:sz="4" w:space="0"/>
      <w:shd w:val="clear" w:color="auto" w:fill="FFFFFF"/>
    </w:rPr>
  </w:style>
  <w:style w:type="paragraph" w:styleId="53">
    <w:name w:val="List Paragraph"/>
    <w:basedOn w:val="1"/>
    <w:unhideWhenUsed/>
    <w:qFormat/>
    <w:uiPriority w:val="99"/>
    <w:pPr>
      <w:ind w:firstLine="420" w:firstLineChars="200"/>
    </w:pPr>
    <w:rPr>
      <w:rFonts w:ascii="Times New Roman" w:hAnsi="Times New Roman" w:cs="Times New Roman"/>
    </w:rPr>
  </w:style>
  <w:style w:type="character" w:customStyle="1" w:styleId="54">
    <w:name w:val="批注文字 字符"/>
    <w:basedOn w:val="26"/>
    <w:link w:val="8"/>
    <w:qFormat/>
    <w:uiPriority w:val="0"/>
    <w:rPr>
      <w:rFonts w:ascii="Calibri" w:hAnsi="Calibri" w:cs="宋体"/>
      <w:kern w:val="2"/>
      <w:sz w:val="21"/>
      <w:szCs w:val="24"/>
    </w:rPr>
  </w:style>
  <w:style w:type="character" w:customStyle="1" w:styleId="55">
    <w:name w:val="批注主题 字符"/>
    <w:basedOn w:val="54"/>
    <w:link w:val="21"/>
    <w:qFormat/>
    <w:uiPriority w:val="0"/>
    <w:rPr>
      <w:rFonts w:ascii="Calibri" w:hAnsi="Calibri" w:cs="宋体"/>
      <w:b/>
      <w:bCs/>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2.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10.jpe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mcd:customData xmlns="http://www.wps.cn/android/officeDocument/2013/mofficeCustomData" xmlns:mcd="http://www.wps.cn/android/officeDocument/2013/mofficeCustomData" version="2">
  <mcd:comments/>
</mcd: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DB390D2-E1C3-42B0-A2C2-2BD4EC538115}">
  <ds:schemaRefs/>
</ds:datastoreItem>
</file>

<file path=docProps/app.xml><?xml version="1.0" encoding="utf-8"?>
<Properties xmlns="http://schemas.openxmlformats.org/officeDocument/2006/extended-properties" xmlns:vt="http://schemas.openxmlformats.org/officeDocument/2006/docPropsVTypes">
  <Template>Normal.dotm</Template>
  <Pages>245</Pages>
  <Words>6897</Words>
  <Characters>8022</Characters>
  <Lines>2149</Lines>
  <Paragraphs>605</Paragraphs>
  <TotalTime>16</TotalTime>
  <ScaleCrop>false</ScaleCrop>
  <LinksUpToDate>false</LinksUpToDate>
  <CharactersWithSpaces>8121</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2026-07-07T08:16:00Z</dcterms:created>
  <dc:creator>unis</dc:creator>
  <cp:lastModifiedBy>unis</cp:lastModifiedBy>
  <cp:lastPrinted>2025-07-24T00:33:00Z</cp:lastPrinted>
  <dcterms:modified xsi:type="dcterms:W3CDTF">2026-07-09T03:51:58Z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7E334D1F0BC34ACDA488ADCC986475A4_13</vt:lpwstr>
  </property>
  <property fmtid="{D5CDD505-2E9C-101B-9397-08002B2CF9AE}" pid="4" name="KSOTemplateDocerSaveRecord">
    <vt:lpwstr>eyJoZGlkIjoiMGMzZDI3ODI2ZjM1ODYwZTkyNGZiNjE2YjQ4ZmIxNmIiLCJ1c2VySWQiOiIzMjMwMTc5NjkifQ==</vt:lpwstr>
  </property>
</Properties>
</file>