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FE81B">
      <w:pPr>
        <w:shd w:val="clear" w:color="auto" w:fill="auto"/>
        <w:spacing w:line="360" w:lineRule="auto"/>
        <w:ind w:left="0" w:leftChars="0" w:firstLine="0" w:firstLineChars="0"/>
        <w:jc w:val="center"/>
        <w:rPr>
          <w:rFonts w:hint="eastAsia" w:ascii="宋体" w:hAnsi="宋体" w:eastAsia="宋体" w:cs="宋体"/>
          <w:b/>
          <w:color w:val="auto"/>
          <w:sz w:val="28"/>
          <w:szCs w:val="21"/>
          <w:highlight w:val="none"/>
        </w:rPr>
      </w:pPr>
      <w:r>
        <w:rPr>
          <w:rFonts w:hint="eastAsia" w:ascii="宋体" w:hAnsi="宋体" w:cs="宋体"/>
          <w:b/>
          <w:bCs/>
          <w:color w:val="auto"/>
          <w:spacing w:val="20"/>
          <w:sz w:val="48"/>
          <w:szCs w:val="48"/>
          <w:highlight w:val="none"/>
          <w:lang w:eastAsia="zh-CN"/>
        </w:rPr>
        <w:t>潢川县灌区水库事务中心潢川县2026年度小型水库大坝安全鉴定项目</w:t>
      </w:r>
    </w:p>
    <w:p w14:paraId="3A289E33">
      <w:pPr>
        <w:pStyle w:val="51"/>
        <w:shd w:val="clear" w:color="auto" w:fill="auto"/>
        <w:rPr>
          <w:rFonts w:hint="eastAsia" w:ascii="宋体" w:hAnsi="宋体" w:eastAsia="宋体" w:cs="宋体"/>
          <w:b/>
          <w:color w:val="auto"/>
          <w:sz w:val="30"/>
          <w:highlight w:val="none"/>
        </w:rPr>
      </w:pPr>
    </w:p>
    <w:p w14:paraId="59D38055">
      <w:pPr>
        <w:pStyle w:val="51"/>
        <w:shd w:val="clear" w:color="auto" w:fill="auto"/>
        <w:ind w:left="0" w:leftChars="0" w:firstLine="0" w:firstLineChars="0"/>
        <w:rPr>
          <w:rFonts w:hint="eastAsia" w:ascii="宋体" w:hAnsi="宋体" w:eastAsia="宋体" w:cs="宋体"/>
          <w:b/>
          <w:color w:val="auto"/>
          <w:sz w:val="30"/>
          <w:highlight w:val="none"/>
        </w:rPr>
      </w:pPr>
    </w:p>
    <w:p w14:paraId="0431CC0B">
      <w:pPr>
        <w:pStyle w:val="51"/>
        <w:shd w:val="clear" w:color="auto" w:fill="auto"/>
        <w:rPr>
          <w:rFonts w:hint="eastAsia" w:ascii="宋体" w:hAnsi="宋体" w:eastAsia="宋体" w:cs="宋体"/>
          <w:b/>
          <w:color w:val="auto"/>
          <w:sz w:val="30"/>
          <w:highlight w:val="none"/>
        </w:rPr>
      </w:pPr>
    </w:p>
    <w:p w14:paraId="3D7BE0B6">
      <w:pPr>
        <w:shd w:val="clear" w:color="auto" w:fill="auto"/>
        <w:spacing w:line="360" w:lineRule="auto"/>
        <w:ind w:firstLine="2891" w:firstLineChars="300"/>
        <w:jc w:val="both"/>
        <w:rPr>
          <w:rFonts w:hint="eastAsia" w:ascii="宋体" w:hAnsi="宋体" w:eastAsia="宋体" w:cs="宋体"/>
          <w:b/>
          <w:color w:val="auto"/>
          <w:sz w:val="96"/>
          <w:szCs w:val="96"/>
          <w:highlight w:val="none"/>
          <w:lang w:eastAsia="zh-CN"/>
        </w:rPr>
      </w:pPr>
      <w:r>
        <w:rPr>
          <w:rFonts w:hint="eastAsia" w:ascii="宋体" w:hAnsi="宋体" w:cs="宋体"/>
          <w:b/>
          <w:color w:val="auto"/>
          <w:sz w:val="96"/>
          <w:szCs w:val="96"/>
          <w:highlight w:val="none"/>
          <w:lang w:eastAsia="zh-CN"/>
        </w:rPr>
        <w:t>磋商文件</w:t>
      </w:r>
    </w:p>
    <w:p w14:paraId="3A7CA080">
      <w:pPr>
        <w:shd w:val="clear" w:color="auto" w:fill="auto"/>
        <w:spacing w:line="360" w:lineRule="auto"/>
        <w:ind w:firstLine="3134" w:firstLineChars="1200"/>
        <w:jc w:val="both"/>
        <w:rPr>
          <w:rFonts w:hint="default" w:ascii="宋体" w:hAnsi="宋体" w:eastAsia="宋体" w:cs="宋体"/>
          <w:color w:val="auto"/>
          <w:sz w:val="96"/>
          <w:szCs w:val="96"/>
          <w:highlight w:val="none"/>
          <w:lang w:val="en-US" w:eastAsia="zh-CN"/>
        </w:rPr>
      </w:pPr>
      <w:r>
        <w:rPr>
          <w:rFonts w:hint="eastAsia" w:ascii="宋体" w:hAnsi="宋体" w:eastAsia="宋体" w:cs="宋体"/>
          <w:b/>
          <w:color w:val="auto"/>
          <w:spacing w:val="-20"/>
          <w:sz w:val="30"/>
          <w:szCs w:val="30"/>
          <w:highlight w:val="none"/>
          <w:lang w:val="zh-CN"/>
        </w:rPr>
        <w:t>采购编号：潢财竞磋采购-</w:t>
      </w:r>
      <w:r>
        <w:rPr>
          <w:rFonts w:hint="eastAsia" w:ascii="宋体" w:hAnsi="宋体" w:cs="宋体"/>
          <w:b/>
          <w:color w:val="auto"/>
          <w:spacing w:val="-20"/>
          <w:sz w:val="30"/>
          <w:szCs w:val="30"/>
          <w:highlight w:val="none"/>
          <w:lang w:val="en-US" w:eastAsia="zh-CN"/>
        </w:rPr>
        <w:t>2026-46</w:t>
      </w:r>
    </w:p>
    <w:p w14:paraId="42A298F9">
      <w:pPr>
        <w:pStyle w:val="27"/>
        <w:shd w:val="clear" w:color="auto" w:fill="auto"/>
        <w:spacing w:line="360" w:lineRule="auto"/>
        <w:ind w:left="0" w:leftChars="0" w:firstLine="0" w:firstLineChars="0"/>
        <w:rPr>
          <w:rFonts w:hint="eastAsia" w:ascii="宋体" w:hAnsi="宋体" w:eastAsia="宋体" w:cs="宋体"/>
          <w:b/>
          <w:color w:val="auto"/>
          <w:sz w:val="30"/>
          <w:highlight w:val="none"/>
        </w:rPr>
      </w:pPr>
    </w:p>
    <w:p w14:paraId="468CB78E">
      <w:pPr>
        <w:pStyle w:val="14"/>
        <w:shd w:val="clear" w:color="auto" w:fill="auto"/>
        <w:tabs>
          <w:tab w:val="left" w:pos="945"/>
          <w:tab w:val="left" w:pos="1155"/>
        </w:tabs>
        <w:rPr>
          <w:rFonts w:hint="eastAsia"/>
          <w:color w:val="auto"/>
          <w:highlight w:val="none"/>
        </w:rPr>
      </w:pPr>
    </w:p>
    <w:p w14:paraId="0B5858F6">
      <w:pPr>
        <w:pStyle w:val="2"/>
        <w:shd w:val="clear" w:color="auto" w:fill="auto"/>
        <w:rPr>
          <w:rFonts w:hint="eastAsia" w:ascii="宋体" w:hAnsi="宋体" w:eastAsia="宋体" w:cs="宋体"/>
          <w:b/>
          <w:color w:val="auto"/>
          <w:sz w:val="30"/>
          <w:highlight w:val="none"/>
        </w:rPr>
      </w:pPr>
    </w:p>
    <w:p w14:paraId="55635733">
      <w:pPr>
        <w:pStyle w:val="3"/>
        <w:rPr>
          <w:rFonts w:hint="eastAsia" w:ascii="宋体" w:hAnsi="宋体" w:eastAsia="宋体" w:cs="宋体"/>
          <w:b/>
          <w:color w:val="auto"/>
          <w:sz w:val="30"/>
          <w:highlight w:val="none"/>
        </w:rPr>
      </w:pPr>
    </w:p>
    <w:p w14:paraId="211AE774">
      <w:pPr>
        <w:pStyle w:val="8"/>
        <w:shd w:val="clear" w:color="auto" w:fill="auto"/>
        <w:ind w:left="0" w:leftChars="0" w:firstLine="0" w:firstLineChars="0"/>
        <w:rPr>
          <w:rFonts w:hint="eastAsia" w:ascii="宋体" w:hAnsi="宋体" w:eastAsia="宋体" w:cs="宋体"/>
          <w:b/>
          <w:color w:val="auto"/>
          <w:sz w:val="30"/>
          <w:highlight w:val="none"/>
        </w:rPr>
      </w:pPr>
    </w:p>
    <w:p w14:paraId="2575A031">
      <w:pPr>
        <w:rPr>
          <w:rFonts w:hint="eastAsia" w:ascii="宋体" w:hAnsi="宋体" w:eastAsia="宋体" w:cs="宋体"/>
          <w:b/>
          <w:color w:val="auto"/>
          <w:sz w:val="30"/>
          <w:highlight w:val="none"/>
        </w:rPr>
      </w:pPr>
    </w:p>
    <w:p w14:paraId="082A7111">
      <w:pPr>
        <w:rPr>
          <w:rFonts w:hint="eastAsia"/>
          <w:color w:val="auto"/>
          <w:highlight w:val="none"/>
        </w:rPr>
      </w:pPr>
    </w:p>
    <w:p w14:paraId="08C60DDF">
      <w:pPr>
        <w:pStyle w:val="5"/>
        <w:numPr>
          <w:ilvl w:val="0"/>
          <w:numId w:val="0"/>
        </w:numPr>
        <w:tabs>
          <w:tab w:val="left" w:pos="1548"/>
        </w:tabs>
        <w:rPr>
          <w:rFonts w:hint="default"/>
          <w:color w:val="auto"/>
          <w:highlight w:val="none"/>
          <w:lang w:val="en-US" w:eastAsia="zh-CN"/>
        </w:rPr>
      </w:pPr>
    </w:p>
    <w:p w14:paraId="7C2E5920">
      <w:pPr>
        <w:rPr>
          <w:rFonts w:hint="eastAsia"/>
          <w:color w:val="auto"/>
          <w:highlight w:val="none"/>
        </w:rPr>
      </w:pPr>
    </w:p>
    <w:p w14:paraId="2BBE9E65">
      <w:pPr>
        <w:shd w:val="clear" w:color="auto" w:fill="auto"/>
        <w:rPr>
          <w:rFonts w:hint="eastAsia" w:ascii="宋体" w:hAnsi="宋体" w:eastAsia="宋体" w:cs="宋体"/>
          <w:color w:val="auto"/>
          <w:highlight w:val="none"/>
        </w:rPr>
      </w:pPr>
    </w:p>
    <w:p w14:paraId="7995B966">
      <w:pPr>
        <w:shd w:val="clear" w:color="auto" w:fill="auto"/>
        <w:tabs>
          <w:tab w:val="left" w:pos="7560"/>
        </w:tabs>
        <w:autoSpaceDE w:val="0"/>
        <w:autoSpaceDN w:val="0"/>
        <w:bidi w:val="0"/>
        <w:adjustRightInd w:val="0"/>
        <w:spacing w:line="360" w:lineRule="auto"/>
        <w:ind w:firstLine="1306" w:firstLineChars="500"/>
        <w:rPr>
          <w:rFonts w:hint="eastAsia" w:ascii="宋体" w:hAnsi="宋体" w:eastAsia="宋体" w:cs="宋体"/>
          <w:b/>
          <w:color w:val="auto"/>
          <w:spacing w:val="-20"/>
          <w:sz w:val="30"/>
          <w:szCs w:val="30"/>
          <w:highlight w:val="none"/>
          <w:lang w:val="zh-CN"/>
        </w:rPr>
      </w:pPr>
    </w:p>
    <w:p w14:paraId="3BDC7891">
      <w:pPr>
        <w:shd w:val="clear" w:color="auto" w:fill="auto"/>
        <w:tabs>
          <w:tab w:val="left" w:pos="7560"/>
        </w:tabs>
        <w:autoSpaceDE w:val="0"/>
        <w:autoSpaceDN w:val="0"/>
        <w:bidi w:val="0"/>
        <w:adjustRightInd w:val="0"/>
        <w:spacing w:line="360" w:lineRule="auto"/>
        <w:ind w:firstLine="1306" w:firstLineChars="500"/>
        <w:rPr>
          <w:rFonts w:hint="eastAsia" w:ascii="宋体" w:hAnsi="宋体" w:eastAsia="宋体" w:cs="宋体"/>
          <w:b/>
          <w:color w:val="auto"/>
          <w:spacing w:val="-20"/>
          <w:sz w:val="30"/>
          <w:szCs w:val="30"/>
          <w:highlight w:val="none"/>
          <w:lang w:val="zh-CN"/>
        </w:rPr>
      </w:pPr>
      <w:r>
        <w:rPr>
          <w:rFonts w:hint="eastAsia" w:ascii="宋体" w:hAnsi="宋体" w:eastAsia="宋体" w:cs="宋体"/>
          <w:b/>
          <w:color w:val="auto"/>
          <w:spacing w:val="-20"/>
          <w:sz w:val="30"/>
          <w:szCs w:val="30"/>
          <w:highlight w:val="none"/>
          <w:lang w:val="zh-CN"/>
        </w:rPr>
        <w:t>采购单位：</w:t>
      </w:r>
      <w:r>
        <w:rPr>
          <w:rFonts w:hint="eastAsia" w:ascii="宋体" w:hAnsi="宋体" w:cs="宋体"/>
          <w:b/>
          <w:color w:val="auto"/>
          <w:spacing w:val="-20"/>
          <w:sz w:val="30"/>
          <w:szCs w:val="30"/>
          <w:highlight w:val="none"/>
          <w:lang w:val="zh-CN"/>
        </w:rPr>
        <w:t>潢川县灌区水库事务中心</w:t>
      </w:r>
    </w:p>
    <w:p w14:paraId="78102EAB">
      <w:pPr>
        <w:shd w:val="clear" w:color="auto" w:fill="auto"/>
        <w:tabs>
          <w:tab w:val="left" w:pos="7560"/>
        </w:tabs>
        <w:autoSpaceDE w:val="0"/>
        <w:autoSpaceDN w:val="0"/>
        <w:bidi w:val="0"/>
        <w:adjustRightInd w:val="0"/>
        <w:spacing w:line="360" w:lineRule="auto"/>
        <w:ind w:firstLine="1306" w:firstLineChars="500"/>
        <w:rPr>
          <w:rFonts w:hint="eastAsia" w:ascii="宋体" w:hAnsi="宋体" w:eastAsia="宋体" w:cs="宋体"/>
          <w:b/>
          <w:color w:val="auto"/>
          <w:spacing w:val="-20"/>
          <w:sz w:val="30"/>
          <w:szCs w:val="30"/>
          <w:highlight w:val="none"/>
          <w:lang w:val="zh-CN"/>
        </w:rPr>
      </w:pPr>
      <w:r>
        <w:rPr>
          <w:rFonts w:hint="eastAsia" w:ascii="宋体" w:hAnsi="宋体" w:eastAsia="宋体" w:cs="宋体"/>
          <w:b/>
          <w:color w:val="auto"/>
          <w:spacing w:val="-20"/>
          <w:sz w:val="30"/>
          <w:szCs w:val="30"/>
          <w:highlight w:val="none"/>
          <w:lang w:val="zh-CN"/>
        </w:rPr>
        <w:t>代理机构：</w:t>
      </w:r>
      <w:r>
        <w:rPr>
          <w:rFonts w:hint="eastAsia" w:ascii="宋体" w:hAnsi="宋体" w:cs="宋体"/>
          <w:b/>
          <w:color w:val="auto"/>
          <w:spacing w:val="-20"/>
          <w:sz w:val="30"/>
          <w:szCs w:val="30"/>
          <w:highlight w:val="none"/>
          <w:lang w:val="zh-CN"/>
        </w:rPr>
        <w:t>中招（河南）国际工程管理咨询有限公司</w:t>
      </w:r>
    </w:p>
    <w:p w14:paraId="5996E275">
      <w:pPr>
        <w:shd w:val="clear" w:color="auto" w:fill="auto"/>
        <w:tabs>
          <w:tab w:val="left" w:pos="7560"/>
        </w:tabs>
        <w:autoSpaceDE w:val="0"/>
        <w:autoSpaceDN w:val="0"/>
        <w:bidi w:val="0"/>
        <w:adjustRightInd w:val="0"/>
        <w:spacing w:line="360" w:lineRule="auto"/>
        <w:ind w:firstLine="1306" w:firstLineChars="500"/>
        <w:rPr>
          <w:rFonts w:hint="eastAsia" w:ascii="宋体" w:hAnsi="宋体" w:eastAsia="宋体" w:cs="宋体"/>
          <w:color w:val="auto"/>
          <w:sz w:val="30"/>
          <w:szCs w:val="30"/>
          <w:highlight w:val="none"/>
        </w:rPr>
      </w:pPr>
      <w:r>
        <w:rPr>
          <w:rFonts w:hint="eastAsia" w:ascii="宋体" w:hAnsi="宋体" w:eastAsia="宋体" w:cs="宋体"/>
          <w:b/>
          <w:color w:val="auto"/>
          <w:spacing w:val="-20"/>
          <w:sz w:val="30"/>
          <w:szCs w:val="30"/>
          <w:highlight w:val="none"/>
        </w:rPr>
        <w:t>日     期：二〇二</w:t>
      </w:r>
      <w:r>
        <w:rPr>
          <w:rFonts w:hint="eastAsia" w:ascii="宋体" w:hAnsi="宋体" w:cs="宋体"/>
          <w:b/>
          <w:color w:val="auto"/>
          <w:spacing w:val="-20"/>
          <w:sz w:val="30"/>
          <w:szCs w:val="30"/>
          <w:highlight w:val="none"/>
          <w:lang w:val="en-US" w:eastAsia="zh-CN"/>
        </w:rPr>
        <w:t>六</w:t>
      </w:r>
      <w:r>
        <w:rPr>
          <w:rFonts w:hint="eastAsia" w:ascii="宋体" w:hAnsi="宋体" w:eastAsia="宋体" w:cs="宋体"/>
          <w:b/>
          <w:color w:val="auto"/>
          <w:spacing w:val="-20"/>
          <w:sz w:val="30"/>
          <w:szCs w:val="30"/>
          <w:highlight w:val="none"/>
        </w:rPr>
        <w:t>年</w:t>
      </w:r>
      <w:r>
        <w:rPr>
          <w:rFonts w:hint="eastAsia" w:ascii="宋体" w:hAnsi="宋体" w:cs="宋体"/>
          <w:b/>
          <w:color w:val="auto"/>
          <w:spacing w:val="-20"/>
          <w:sz w:val="30"/>
          <w:szCs w:val="30"/>
          <w:highlight w:val="none"/>
          <w:lang w:val="en-US" w:eastAsia="zh-CN"/>
        </w:rPr>
        <w:t>七</w:t>
      </w:r>
      <w:r>
        <w:rPr>
          <w:rFonts w:hint="eastAsia" w:ascii="宋体" w:hAnsi="宋体" w:eastAsia="宋体" w:cs="宋体"/>
          <w:b/>
          <w:color w:val="auto"/>
          <w:spacing w:val="-20"/>
          <w:sz w:val="30"/>
          <w:szCs w:val="30"/>
          <w:highlight w:val="none"/>
        </w:rPr>
        <w:t>月</w:t>
      </w:r>
    </w:p>
    <w:p w14:paraId="0BA8CDC4">
      <w:pPr>
        <w:pStyle w:val="27"/>
        <w:shd w:val="clear" w:color="auto" w:fill="auto"/>
        <w:rPr>
          <w:rFonts w:hint="eastAsia"/>
          <w:color w:val="auto"/>
          <w:highlight w:val="none"/>
        </w:rPr>
        <w:sectPr>
          <w:headerReference r:id="rId5" w:type="first"/>
          <w:footerReference r:id="rId7" w:type="first"/>
          <w:footerReference r:id="rId6" w:type="default"/>
          <w:pgSz w:w="11906" w:h="16838"/>
          <w:pgMar w:top="1440" w:right="1366" w:bottom="1440" w:left="1366" w:header="851" w:footer="992" w:gutter="0"/>
          <w:pgNumType w:fmt="numberInDash" w:start="1"/>
          <w:cols w:space="720" w:num="1"/>
          <w:titlePg/>
          <w:rtlGutter w:val="0"/>
          <w:docGrid w:linePitch="1" w:charSpace="0"/>
        </w:sectPr>
      </w:pPr>
    </w:p>
    <w:p w14:paraId="03C26299">
      <w:pPr>
        <w:spacing w:line="240" w:lineRule="auto"/>
        <w:ind w:firstLine="0" w:firstLineChars="0"/>
        <w:jc w:val="center"/>
        <w:rPr>
          <w:color w:val="auto"/>
          <w:highlight w:val="none"/>
        </w:rPr>
      </w:pPr>
      <w:r>
        <w:rPr>
          <w:rFonts w:hint="eastAsia" w:ascii="宋体" w:hAnsi="宋体" w:cs="宋体"/>
          <w:b/>
          <w:color w:val="auto"/>
          <w:sz w:val="32"/>
          <w:highlight w:val="none"/>
        </w:rPr>
        <w:t>目     录</w:t>
      </w:r>
    </w:p>
    <w:p w14:paraId="4117ADDB">
      <w:pPr>
        <w:pStyle w:val="22"/>
        <w:tabs>
          <w:tab w:val="right" w:leader="dot" w:pos="8299"/>
        </w:tabs>
        <w:ind w:firstLine="420"/>
        <w:rPr>
          <w:color w:val="auto"/>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highlight w:val="none"/>
        </w:rPr>
        <w:fldChar w:fldCharType="begin"/>
      </w:r>
      <w:r>
        <w:rPr>
          <w:color w:val="auto"/>
          <w:highlight w:val="none"/>
        </w:rPr>
        <w:instrText xml:space="preserve"> HYPERLINK \l "_Toc13004" </w:instrText>
      </w:r>
      <w:r>
        <w:rPr>
          <w:color w:val="auto"/>
          <w:highlight w:val="none"/>
        </w:rPr>
        <w:fldChar w:fldCharType="separate"/>
      </w:r>
      <w:r>
        <w:rPr>
          <w:rFonts w:hint="eastAsia"/>
          <w:color w:val="auto"/>
          <w:szCs w:val="28"/>
          <w:highlight w:val="none"/>
        </w:rPr>
        <w:t>电子招投标特别提示</w:t>
      </w:r>
      <w:r>
        <w:rPr>
          <w:color w:val="auto"/>
          <w:highlight w:val="none"/>
        </w:rPr>
        <w:tab/>
      </w:r>
      <w:r>
        <w:rPr>
          <w:rFonts w:hint="eastAsia"/>
          <w:color w:val="auto"/>
          <w:highlight w:val="none"/>
        </w:rPr>
        <w:t>1</w:t>
      </w:r>
      <w:r>
        <w:rPr>
          <w:rFonts w:hint="eastAsia"/>
          <w:color w:val="auto"/>
          <w:highlight w:val="none"/>
        </w:rPr>
        <w:fldChar w:fldCharType="end"/>
      </w:r>
    </w:p>
    <w:p w14:paraId="05D311AF">
      <w:pPr>
        <w:pStyle w:val="22"/>
        <w:tabs>
          <w:tab w:val="right" w:leader="dot" w:pos="8299"/>
        </w:tabs>
        <w:ind w:firstLine="420"/>
        <w:rPr>
          <w:color w:val="auto"/>
          <w:highlight w:val="none"/>
        </w:rPr>
      </w:pPr>
      <w:r>
        <w:rPr>
          <w:color w:val="auto"/>
          <w:highlight w:val="none"/>
        </w:rPr>
        <w:fldChar w:fldCharType="begin"/>
      </w:r>
      <w:r>
        <w:rPr>
          <w:color w:val="auto"/>
          <w:highlight w:val="none"/>
        </w:rPr>
        <w:instrText xml:space="preserve"> HYPERLINK \l "_Toc9925" </w:instrText>
      </w:r>
      <w:r>
        <w:rPr>
          <w:color w:val="auto"/>
          <w:highlight w:val="none"/>
        </w:rPr>
        <w:fldChar w:fldCharType="separate"/>
      </w:r>
      <w:r>
        <w:rPr>
          <w:rFonts w:hint="eastAsia"/>
          <w:color w:val="auto"/>
          <w:highlight w:val="none"/>
        </w:rPr>
        <w:t>第一章 招标公告</w:t>
      </w:r>
      <w:r>
        <w:rPr>
          <w:color w:val="auto"/>
          <w:highlight w:val="none"/>
        </w:rPr>
        <w:tab/>
      </w:r>
      <w:r>
        <w:rPr>
          <w:rFonts w:hint="eastAsia"/>
          <w:color w:val="auto"/>
          <w:highlight w:val="none"/>
        </w:rPr>
        <w:t>3</w:t>
      </w:r>
      <w:r>
        <w:rPr>
          <w:rFonts w:hint="eastAsia"/>
          <w:color w:val="auto"/>
          <w:highlight w:val="none"/>
        </w:rPr>
        <w:fldChar w:fldCharType="end"/>
      </w:r>
    </w:p>
    <w:p w14:paraId="76C1DCB1">
      <w:pPr>
        <w:pStyle w:val="22"/>
        <w:tabs>
          <w:tab w:val="right" w:leader="dot" w:pos="8299"/>
        </w:tabs>
        <w:ind w:firstLine="420"/>
        <w:rPr>
          <w:color w:val="auto"/>
          <w:highlight w:val="none"/>
        </w:rPr>
      </w:pPr>
      <w:r>
        <w:rPr>
          <w:color w:val="auto"/>
          <w:highlight w:val="none"/>
        </w:rPr>
        <w:fldChar w:fldCharType="begin"/>
      </w:r>
      <w:r>
        <w:rPr>
          <w:color w:val="auto"/>
          <w:highlight w:val="none"/>
        </w:rPr>
        <w:instrText xml:space="preserve"> HYPERLINK \l "_Toc28731" </w:instrText>
      </w:r>
      <w:r>
        <w:rPr>
          <w:color w:val="auto"/>
          <w:highlight w:val="none"/>
        </w:rPr>
        <w:fldChar w:fldCharType="separate"/>
      </w:r>
      <w:r>
        <w:rPr>
          <w:rFonts w:hint="eastAsia" w:ascii="Times New Roman" w:hAnsi="Times New Roman" w:cs="Times New Roman"/>
          <w:bCs/>
          <w:color w:val="auto"/>
          <w:highlight w:val="none"/>
        </w:rPr>
        <w:t xml:space="preserve">第二章 </w:t>
      </w:r>
      <w:r>
        <w:rPr>
          <w:rFonts w:hint="eastAsia" w:ascii="Times New Roman" w:hAnsi="Times New Roman" w:cs="Times New Roman"/>
          <w:bCs/>
          <w:color w:val="auto"/>
          <w:highlight w:val="none"/>
          <w:lang w:eastAsia="zh-CN"/>
        </w:rPr>
        <w:t>供应商</w:t>
      </w:r>
      <w:r>
        <w:rPr>
          <w:rFonts w:hint="eastAsia" w:ascii="Times New Roman" w:hAnsi="Times New Roman" w:cs="Times New Roman"/>
          <w:bCs/>
          <w:color w:val="auto"/>
          <w:highlight w:val="none"/>
        </w:rPr>
        <w:t>须知</w:t>
      </w:r>
      <w:r>
        <w:rPr>
          <w:color w:val="auto"/>
          <w:highlight w:val="none"/>
        </w:rPr>
        <w:tab/>
      </w:r>
      <w:r>
        <w:rPr>
          <w:rFonts w:hint="eastAsia"/>
          <w:color w:val="auto"/>
          <w:highlight w:val="none"/>
        </w:rPr>
        <w:t>7</w:t>
      </w:r>
      <w:r>
        <w:rPr>
          <w:rFonts w:hint="eastAsia"/>
          <w:color w:val="auto"/>
          <w:highlight w:val="none"/>
        </w:rPr>
        <w:fldChar w:fldCharType="end"/>
      </w:r>
    </w:p>
    <w:p w14:paraId="255FADE1">
      <w:pPr>
        <w:pStyle w:val="22"/>
        <w:tabs>
          <w:tab w:val="right" w:leader="dot" w:pos="8299"/>
        </w:tabs>
        <w:ind w:firstLine="420"/>
        <w:rPr>
          <w:color w:val="auto"/>
          <w:highlight w:val="none"/>
        </w:rPr>
      </w:pPr>
      <w:r>
        <w:rPr>
          <w:color w:val="auto"/>
          <w:highlight w:val="none"/>
        </w:rPr>
        <w:fldChar w:fldCharType="begin"/>
      </w:r>
      <w:r>
        <w:rPr>
          <w:color w:val="auto"/>
          <w:highlight w:val="none"/>
        </w:rPr>
        <w:instrText xml:space="preserve"> HYPERLINK \l "_Toc485" </w:instrText>
      </w:r>
      <w:r>
        <w:rPr>
          <w:color w:val="auto"/>
          <w:highlight w:val="none"/>
        </w:rPr>
        <w:fldChar w:fldCharType="separate"/>
      </w:r>
      <w:r>
        <w:rPr>
          <w:rFonts w:hint="eastAsia" w:ascii="Times New Roman" w:hAnsi="Times New Roman" w:cs="Times New Roman"/>
          <w:bCs/>
          <w:color w:val="auto"/>
          <w:highlight w:val="none"/>
        </w:rPr>
        <w:t>第三章 评标办法</w:t>
      </w:r>
      <w:r>
        <w:rPr>
          <w:color w:val="auto"/>
          <w:highlight w:val="none"/>
        </w:rPr>
        <w:tab/>
      </w:r>
      <w:r>
        <w:rPr>
          <w:color w:val="auto"/>
          <w:highlight w:val="none"/>
        </w:rPr>
        <w:fldChar w:fldCharType="end"/>
      </w:r>
      <w:r>
        <w:rPr>
          <w:rFonts w:hint="eastAsia"/>
          <w:color w:val="auto"/>
          <w:highlight w:val="none"/>
        </w:rPr>
        <w:t>19</w:t>
      </w:r>
    </w:p>
    <w:p w14:paraId="56A94AD5">
      <w:pPr>
        <w:pStyle w:val="22"/>
        <w:tabs>
          <w:tab w:val="right" w:leader="dot" w:pos="8299"/>
        </w:tabs>
        <w:ind w:firstLine="420"/>
        <w:rPr>
          <w:color w:val="auto"/>
          <w:highlight w:val="none"/>
        </w:rPr>
      </w:pPr>
      <w:r>
        <w:rPr>
          <w:color w:val="auto"/>
          <w:highlight w:val="none"/>
        </w:rPr>
        <w:fldChar w:fldCharType="begin"/>
      </w:r>
      <w:r>
        <w:rPr>
          <w:color w:val="auto"/>
          <w:highlight w:val="none"/>
        </w:rPr>
        <w:instrText xml:space="preserve"> HYPERLINK \l "_Toc10294" </w:instrText>
      </w:r>
      <w:r>
        <w:rPr>
          <w:color w:val="auto"/>
          <w:highlight w:val="none"/>
        </w:rPr>
        <w:fldChar w:fldCharType="separate"/>
      </w:r>
      <w:r>
        <w:rPr>
          <w:rFonts w:hint="eastAsia"/>
          <w:color w:val="auto"/>
          <w:highlight w:val="none"/>
        </w:rPr>
        <w:t>第四章 合同主要条款及格式</w:t>
      </w:r>
      <w:r>
        <w:rPr>
          <w:color w:val="auto"/>
          <w:highlight w:val="none"/>
        </w:rPr>
        <w:tab/>
      </w:r>
      <w:r>
        <w:rPr>
          <w:rFonts w:hint="eastAsia"/>
          <w:color w:val="auto"/>
          <w:highlight w:val="none"/>
        </w:rPr>
        <w:t>2</w:t>
      </w:r>
      <w:r>
        <w:rPr>
          <w:rFonts w:hint="eastAsia"/>
          <w:color w:val="auto"/>
          <w:highlight w:val="none"/>
        </w:rPr>
        <w:fldChar w:fldCharType="end"/>
      </w:r>
      <w:r>
        <w:rPr>
          <w:rFonts w:hint="eastAsia"/>
          <w:color w:val="auto"/>
          <w:highlight w:val="none"/>
        </w:rPr>
        <w:t>5</w:t>
      </w:r>
    </w:p>
    <w:p w14:paraId="20667D24">
      <w:pPr>
        <w:pStyle w:val="22"/>
        <w:tabs>
          <w:tab w:val="right" w:leader="dot" w:pos="8299"/>
        </w:tabs>
        <w:ind w:firstLine="420"/>
        <w:rPr>
          <w:color w:val="auto"/>
          <w:highlight w:val="none"/>
        </w:rPr>
      </w:pPr>
      <w:r>
        <w:rPr>
          <w:color w:val="auto"/>
          <w:highlight w:val="none"/>
        </w:rPr>
        <w:fldChar w:fldCharType="begin"/>
      </w:r>
      <w:r>
        <w:rPr>
          <w:color w:val="auto"/>
          <w:highlight w:val="none"/>
        </w:rPr>
        <w:instrText xml:space="preserve"> HYPERLINK \l "_Toc29443" </w:instrText>
      </w:r>
      <w:r>
        <w:rPr>
          <w:color w:val="auto"/>
          <w:highlight w:val="none"/>
        </w:rPr>
        <w:fldChar w:fldCharType="separate"/>
      </w:r>
      <w:r>
        <w:rPr>
          <w:rFonts w:hint="eastAsia" w:ascii="宋体" w:hAnsi="宋体" w:cs="宋体"/>
          <w:bCs/>
          <w:color w:val="auto"/>
          <w:highlight w:val="none"/>
        </w:rPr>
        <w:t>第五章 采购需求</w:t>
      </w:r>
      <w:r>
        <w:rPr>
          <w:color w:val="auto"/>
          <w:highlight w:val="none"/>
        </w:rPr>
        <w:tab/>
      </w:r>
      <w:r>
        <w:rPr>
          <w:color w:val="auto"/>
          <w:highlight w:val="none"/>
        </w:rPr>
        <w:fldChar w:fldCharType="end"/>
      </w:r>
      <w:r>
        <w:rPr>
          <w:rFonts w:hint="eastAsia"/>
          <w:color w:val="auto"/>
          <w:highlight w:val="none"/>
        </w:rPr>
        <w:t>35</w:t>
      </w:r>
    </w:p>
    <w:p w14:paraId="4D067C26">
      <w:pPr>
        <w:pStyle w:val="22"/>
        <w:tabs>
          <w:tab w:val="right" w:leader="dot" w:pos="8299"/>
        </w:tabs>
        <w:ind w:firstLine="420"/>
        <w:rPr>
          <w:color w:val="auto"/>
          <w:highlight w:val="none"/>
        </w:rPr>
      </w:pPr>
      <w:r>
        <w:rPr>
          <w:color w:val="auto"/>
          <w:highlight w:val="none"/>
        </w:rPr>
        <w:fldChar w:fldCharType="begin"/>
      </w:r>
      <w:r>
        <w:rPr>
          <w:color w:val="auto"/>
          <w:highlight w:val="none"/>
        </w:rPr>
        <w:instrText xml:space="preserve"> HYPERLINK \l "_Toc10831" </w:instrText>
      </w:r>
      <w:r>
        <w:rPr>
          <w:color w:val="auto"/>
          <w:highlight w:val="none"/>
        </w:rPr>
        <w:fldChar w:fldCharType="separate"/>
      </w:r>
      <w:r>
        <w:rPr>
          <w:rFonts w:hint="eastAsia" w:ascii="宋体" w:hAnsi="宋体" w:cs="宋体"/>
          <w:color w:val="auto"/>
          <w:highlight w:val="none"/>
        </w:rPr>
        <w:t xml:space="preserve">第六章 </w:t>
      </w:r>
      <w:r>
        <w:rPr>
          <w:rFonts w:hint="eastAsia" w:ascii="宋体" w:hAnsi="宋体" w:cs="宋体"/>
          <w:color w:val="auto"/>
          <w:highlight w:val="none"/>
          <w:lang w:eastAsia="zh-CN"/>
        </w:rPr>
        <w:t>响应文件</w:t>
      </w:r>
      <w:r>
        <w:rPr>
          <w:rFonts w:hint="eastAsia" w:ascii="宋体" w:hAnsi="宋体" w:cs="宋体"/>
          <w:color w:val="auto"/>
          <w:highlight w:val="none"/>
        </w:rPr>
        <w:t>格式</w:t>
      </w:r>
      <w:r>
        <w:rPr>
          <w:color w:val="auto"/>
          <w:highlight w:val="none"/>
        </w:rPr>
        <w:tab/>
      </w:r>
      <w:r>
        <w:rPr>
          <w:rFonts w:hint="eastAsia"/>
          <w:color w:val="auto"/>
          <w:highlight w:val="none"/>
        </w:rPr>
        <w:t>3</w:t>
      </w:r>
      <w:r>
        <w:rPr>
          <w:rFonts w:hint="eastAsia"/>
          <w:color w:val="auto"/>
          <w:highlight w:val="none"/>
        </w:rPr>
        <w:fldChar w:fldCharType="end"/>
      </w:r>
      <w:r>
        <w:rPr>
          <w:rFonts w:hint="eastAsia"/>
          <w:color w:val="auto"/>
          <w:highlight w:val="none"/>
        </w:rPr>
        <w:t>8</w:t>
      </w:r>
    </w:p>
    <w:p w14:paraId="54366297">
      <w:pPr>
        <w:pStyle w:val="22"/>
        <w:tabs>
          <w:tab w:val="right" w:leader="dot" w:pos="8299"/>
        </w:tabs>
        <w:ind w:firstLine="420"/>
        <w:rPr>
          <w:color w:val="auto"/>
          <w:highlight w:val="none"/>
        </w:rPr>
      </w:pPr>
      <w:r>
        <w:rPr>
          <w:color w:val="auto"/>
          <w:highlight w:val="none"/>
        </w:rPr>
        <w:fldChar w:fldCharType="begin"/>
      </w:r>
      <w:r>
        <w:rPr>
          <w:color w:val="auto"/>
          <w:highlight w:val="none"/>
        </w:rPr>
        <w:instrText xml:space="preserve"> HYPERLINK \l "_Toc2692" </w:instrText>
      </w:r>
      <w:r>
        <w:rPr>
          <w:color w:val="auto"/>
          <w:highlight w:val="none"/>
        </w:rPr>
        <w:fldChar w:fldCharType="separate"/>
      </w:r>
      <w:r>
        <w:rPr>
          <w:rFonts w:hint="eastAsia" w:ascii="宋体" w:hAnsi="宋体" w:cs="宋体"/>
          <w:color w:val="auto"/>
          <w:szCs w:val="21"/>
          <w:highlight w:val="none"/>
        </w:rPr>
        <w:t>河南省政府采购合同融资政策告知函</w:t>
      </w:r>
      <w:r>
        <w:rPr>
          <w:color w:val="auto"/>
          <w:highlight w:val="none"/>
        </w:rPr>
        <w:tab/>
      </w:r>
      <w:r>
        <w:rPr>
          <w:color w:val="auto"/>
          <w:highlight w:val="none"/>
        </w:rPr>
        <w:fldChar w:fldCharType="begin"/>
      </w:r>
      <w:r>
        <w:rPr>
          <w:color w:val="auto"/>
          <w:highlight w:val="none"/>
        </w:rPr>
        <w:instrText xml:space="preserve"> PAGEREF _Toc2692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0C72B28E">
      <w:pPr>
        <w:pStyle w:val="52"/>
        <w:ind w:firstLine="0" w:firstLineChars="0"/>
        <w:rPr>
          <w:rFonts w:hint="default"/>
          <w:color w:val="auto"/>
          <w:highlight w:val="none"/>
        </w:rPr>
      </w:pPr>
      <w:r>
        <w:rPr>
          <w:rFonts w:hint="default"/>
          <w:color w:val="auto"/>
          <w:highlight w:val="none"/>
        </w:rPr>
        <w:fldChar w:fldCharType="end"/>
      </w:r>
    </w:p>
    <w:p w14:paraId="286907DE">
      <w:pPr>
        <w:pStyle w:val="4"/>
        <w:ind w:firstLine="0" w:firstLineChars="0"/>
        <w:rPr>
          <w:color w:val="auto"/>
          <w:sz w:val="40"/>
          <w:szCs w:val="28"/>
          <w:highlight w:val="none"/>
        </w:rPr>
        <w:sectPr>
          <w:headerReference r:id="rId8" w:type="default"/>
          <w:footerReference r:id="rId9" w:type="default"/>
          <w:pgSz w:w="11905" w:h="16838"/>
          <w:pgMar w:top="1440" w:right="1803" w:bottom="1440" w:left="1803" w:header="850" w:footer="850" w:gutter="0"/>
          <w:pgNumType w:start="1"/>
          <w:cols w:space="720" w:num="1"/>
          <w:docGrid w:type="lines" w:linePitch="411" w:charSpace="0"/>
        </w:sectPr>
      </w:pPr>
      <w:bookmarkStart w:id="0" w:name="_Toc13004"/>
    </w:p>
    <w:p w14:paraId="59A03DA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大标宋简体" w:hAnsi="方正大标宋简体" w:eastAsia="方正大标宋简体" w:cs="方正大标宋简体"/>
          <w:color w:val="auto"/>
          <w:sz w:val="44"/>
          <w:szCs w:val="44"/>
        </w:rPr>
      </w:pPr>
      <w:r>
        <w:rPr>
          <w:rFonts w:hint="eastAsia" w:ascii="方正大标宋简体" w:hAnsi="方正大标宋简体" w:eastAsia="方正大标宋简体" w:cs="方正大标宋简体"/>
          <w:color w:val="auto"/>
          <w:sz w:val="44"/>
          <w:szCs w:val="44"/>
        </w:rPr>
        <w:t>致政府采购供应商和代理机构的一封信</w:t>
      </w:r>
    </w:p>
    <w:p w14:paraId="0DC191CC">
      <w:pPr>
        <w:keepNext w:val="0"/>
        <w:keepLines w:val="0"/>
        <w:pageBreakBefore w:val="0"/>
        <w:widowControl w:val="0"/>
        <w:kinsoku/>
        <w:wordWrap/>
        <w:overflowPunct/>
        <w:topLinePunct w:val="0"/>
        <w:autoSpaceDE/>
        <w:autoSpaceDN/>
        <w:bidi w:val="0"/>
        <w:adjustRightInd/>
        <w:snapToGrid/>
        <w:spacing w:line="520" w:lineRule="exact"/>
        <w:ind w:firstLine="0" w:firstLineChars="0"/>
        <w:jc w:val="both"/>
        <w:textAlignment w:val="auto"/>
        <w:rPr>
          <w:rFonts w:hint="eastAsia" w:ascii="Times New Roman" w:hAnsi="Times New Roman" w:eastAsia="仿宋_GB2312" w:cs="Times New Roman"/>
          <w:color w:val="auto"/>
          <w:sz w:val="32"/>
          <w:szCs w:val="32"/>
        </w:rPr>
      </w:pPr>
    </w:p>
    <w:p w14:paraId="55BADF7B">
      <w:pPr>
        <w:keepNext w:val="0"/>
        <w:keepLines w:val="0"/>
        <w:pageBreakBefore w:val="0"/>
        <w:widowControl w:val="0"/>
        <w:kinsoku/>
        <w:wordWrap/>
        <w:overflowPunct/>
        <w:topLinePunct w:val="0"/>
        <w:autoSpaceDE/>
        <w:autoSpaceDN/>
        <w:bidi w:val="0"/>
        <w:adjustRightInd/>
        <w:snapToGrid/>
        <w:spacing w:line="520" w:lineRule="exact"/>
        <w:ind w:firstLine="0" w:firstLineChars="0"/>
        <w:jc w:val="both"/>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尊敬的政府采购供应商、代理机构：</w:t>
      </w:r>
    </w:p>
    <w:p w14:paraId="50B14D6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您好！非常感谢您一直以来对</w:t>
      </w:r>
      <w:r>
        <w:rPr>
          <w:rFonts w:hint="eastAsia" w:ascii="Times New Roman" w:hAnsi="Times New Roman" w:eastAsia="仿宋_GB2312" w:cs="Times New Roman"/>
          <w:color w:val="auto"/>
          <w:sz w:val="32"/>
          <w:szCs w:val="32"/>
          <w:lang w:eastAsia="zh-CN"/>
        </w:rPr>
        <w:t>信阳市</w:t>
      </w:r>
      <w:r>
        <w:rPr>
          <w:rFonts w:hint="eastAsia" w:ascii="Times New Roman" w:hAnsi="Times New Roman" w:eastAsia="仿宋_GB2312" w:cs="Times New Roman"/>
          <w:color w:val="auto"/>
          <w:sz w:val="32"/>
          <w:szCs w:val="32"/>
        </w:rPr>
        <w:t>政府采购活动的关心和支持！</w:t>
      </w:r>
    </w:p>
    <w:p w14:paraId="7BFCF5E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近年来，</w:t>
      </w:r>
      <w:r>
        <w:rPr>
          <w:rFonts w:hint="eastAsia" w:ascii="Times New Roman" w:hAnsi="Times New Roman" w:eastAsia="仿宋_GB2312" w:cs="Times New Roman"/>
          <w:color w:val="auto"/>
          <w:sz w:val="32"/>
          <w:szCs w:val="32"/>
          <w:lang w:eastAsia="zh-CN"/>
        </w:rPr>
        <w:t>信阳</w:t>
      </w:r>
      <w:r>
        <w:rPr>
          <w:rFonts w:hint="eastAsia" w:ascii="Times New Roman" w:hAnsi="Times New Roman" w:eastAsia="仿宋_GB2312" w:cs="Times New Roman"/>
          <w:color w:val="auto"/>
          <w:sz w:val="32"/>
          <w:szCs w:val="32"/>
        </w:rPr>
        <w:t>市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75D14048">
      <w:pPr>
        <w:keepNext w:val="0"/>
        <w:keepLines w:val="0"/>
        <w:pageBreakBefore w:val="0"/>
        <w:widowControl/>
        <w:kinsoku/>
        <w:wordWrap/>
        <w:overflowPunct/>
        <w:topLinePunct w:val="0"/>
        <w:autoSpaceDE/>
        <w:autoSpaceDN/>
        <w:bidi w:val="0"/>
        <w:adjustRightInd/>
        <w:snapToGrid/>
        <w:spacing w:beforeAutospacing="0" w:afterAutospacing="0" w:line="520" w:lineRule="exact"/>
        <w:ind w:firstLine="640" w:firstLineChars="200"/>
        <w:jc w:val="both"/>
        <w:textAlignment w:val="auto"/>
        <w:outlineLvl w:val="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为持续优化信阳市政府采购领域营商环境，信阳市财政局成立优化营商环境工作领导小组，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市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15%-20%（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三是设置政府采购项目服务专员，提供全流程服务。信阳市财政局在每个部门预算科室设立一名政府采购项目服务专员，全流程为中标供应商服务。在政府采购项目中，遇到任何问题均可以和服务专员联系，如采购人不按照规定签订合同、不按照合同约定对项目履约验收、不按照合同约定付款等问题。</w:t>
      </w:r>
    </w:p>
    <w:p w14:paraId="6CC3089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尽管做了一些工作，但我们深知，离贵公司的期望还有差距。恳请贵公司对我们的工作提出宝贵意见，并持续给予关注、支持和监督！</w:t>
      </w:r>
    </w:p>
    <w:p w14:paraId="257B56A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color w:val="auto"/>
          <w:sz w:val="32"/>
          <w:szCs w:val="32"/>
          <w:lang w:eastAsia="zh-CN"/>
        </w:rPr>
        <w:t>凡涉及信阳市政府采购领域营商环境的任何问题，贵公司均可通过专线电话03</w:t>
      </w:r>
      <w:r>
        <w:rPr>
          <w:rFonts w:hint="eastAsia" w:ascii="Times New Roman" w:hAnsi="Times New Roman" w:eastAsia="仿宋_GB2312" w:cs="Times New Roman"/>
          <w:color w:val="auto"/>
          <w:sz w:val="32"/>
          <w:szCs w:val="32"/>
          <w:lang w:val="en-US" w:eastAsia="zh-CN"/>
        </w:rPr>
        <w:t>76</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6699123</w:t>
      </w:r>
      <w:r>
        <w:rPr>
          <w:rFonts w:hint="eastAsia" w:ascii="Times New Roman" w:hAnsi="Times New Roman" w:eastAsia="仿宋_GB2312" w:cs="Times New Roman"/>
          <w:color w:val="auto"/>
          <w:sz w:val="32"/>
          <w:szCs w:val="32"/>
          <w:lang w:eastAsia="zh-CN"/>
        </w:rPr>
        <w:t>、电子邮箱</w:t>
      </w:r>
      <w:r>
        <w:rPr>
          <w:rFonts w:hint="eastAsia" w:ascii="Times New Roman" w:hAnsi="Times New Roman" w:eastAsia="仿宋_GB2312" w:cs="Times New Roman"/>
          <w:color w:val="auto"/>
          <w:sz w:val="32"/>
          <w:szCs w:val="32"/>
          <w:lang w:val="en-US" w:eastAsia="zh-CN"/>
        </w:rPr>
        <w:t>czyszb228</w:t>
      </w:r>
      <w:r>
        <w:rPr>
          <w:rFonts w:hint="eastAsia" w:ascii="Times New Roman" w:hAnsi="Times New Roman" w:eastAsia="仿宋_GB2312" w:cs="Times New Roman"/>
          <w:color w:val="auto"/>
          <w:sz w:val="32"/>
          <w:szCs w:val="32"/>
          <w:lang w:eastAsia="zh-CN"/>
        </w:rPr>
        <w:t>@163.com，与信阳市财政</w:t>
      </w:r>
      <w:r>
        <w:rPr>
          <w:rFonts w:hint="eastAsia" w:ascii="Times New Roman" w:hAnsi="Times New Roman" w:eastAsia="仿宋_GB2312" w:cs="Times New Roman"/>
          <w:b w:val="0"/>
          <w:bCs w:val="0"/>
          <w:color w:val="auto"/>
          <w:kern w:val="2"/>
          <w:sz w:val="32"/>
          <w:szCs w:val="32"/>
          <w:lang w:val="en-US" w:eastAsia="zh-CN" w:bidi="ar-SA"/>
        </w:rPr>
        <w:t>局优化营商环境办公室</w:t>
      </w:r>
      <w:r>
        <w:rPr>
          <w:rFonts w:hint="eastAsia" w:ascii="Times New Roman" w:hAnsi="Times New Roman" w:eastAsia="仿宋_GB2312" w:cs="Times New Roman"/>
          <w:color w:val="auto"/>
          <w:sz w:val="32"/>
          <w:szCs w:val="32"/>
          <w:lang w:eastAsia="zh-CN"/>
        </w:rPr>
        <w:t>随时沟通交流</w:t>
      </w:r>
      <w:r>
        <w:rPr>
          <w:rFonts w:hint="eastAsia" w:ascii="Times New Roman" w:hAnsi="Times New Roman" w:eastAsia="仿宋_GB2312" w:cs="Times New Roman"/>
          <w:b w:val="0"/>
          <w:bCs w:val="0"/>
          <w:color w:val="auto"/>
          <w:kern w:val="2"/>
          <w:sz w:val="32"/>
          <w:szCs w:val="32"/>
          <w:lang w:val="en-US" w:eastAsia="zh-CN" w:bidi="ar-SA"/>
        </w:rPr>
        <w:t>，我们将竭诚为各位供应商服务，全力解决贵公司遇到的困难。</w:t>
      </w:r>
    </w:p>
    <w:p w14:paraId="67EF766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再次感谢贵公司对</w:t>
      </w:r>
      <w:r>
        <w:rPr>
          <w:rFonts w:hint="eastAsia" w:ascii="Times New Roman" w:hAnsi="Times New Roman" w:eastAsia="仿宋_GB2312" w:cs="Times New Roman"/>
          <w:color w:val="auto"/>
          <w:sz w:val="32"/>
          <w:szCs w:val="32"/>
          <w:lang w:eastAsia="zh-CN"/>
        </w:rPr>
        <w:t>信阳</w:t>
      </w:r>
      <w:r>
        <w:rPr>
          <w:rFonts w:hint="eastAsia" w:ascii="Times New Roman" w:hAnsi="Times New Roman" w:eastAsia="仿宋_GB2312" w:cs="Times New Roman"/>
          <w:color w:val="auto"/>
          <w:sz w:val="32"/>
          <w:szCs w:val="32"/>
        </w:rPr>
        <w:t>市政府采购工作的关心和支持！</w:t>
      </w:r>
    </w:p>
    <w:p w14:paraId="1EF290F5">
      <w:pPr>
        <w:keepNext w:val="0"/>
        <w:keepLines w:val="0"/>
        <w:pageBreakBefore w:val="0"/>
        <w:kinsoku/>
        <w:wordWrap/>
        <w:overflowPunct/>
        <w:topLinePunct w:val="0"/>
        <w:autoSpaceDE/>
        <w:autoSpaceDN/>
        <w:bidi w:val="0"/>
        <w:adjustRightInd/>
        <w:snapToGrid/>
        <w:spacing w:line="520" w:lineRule="exact"/>
        <w:ind w:firstLine="0" w:firstLineChars="0"/>
        <w:textAlignment w:val="auto"/>
        <w:rPr>
          <w:rFonts w:hint="eastAsia" w:eastAsia="宋体" w:cs="Times New Roman"/>
          <w:color w:val="auto"/>
          <w:szCs w:val="24"/>
        </w:rPr>
      </w:pPr>
    </w:p>
    <w:p w14:paraId="6783636B">
      <w:pPr>
        <w:keepNext w:val="0"/>
        <w:keepLines w:val="0"/>
        <w:pageBreakBefore w:val="0"/>
        <w:kinsoku/>
        <w:wordWrap/>
        <w:overflowPunct/>
        <w:topLinePunct w:val="0"/>
        <w:autoSpaceDE/>
        <w:autoSpaceDN/>
        <w:bidi w:val="0"/>
        <w:adjustRightInd/>
        <w:snapToGrid/>
        <w:spacing w:line="520" w:lineRule="exact"/>
        <w:ind w:firstLine="5760" w:firstLineChars="1800"/>
        <w:textAlignment w:val="auto"/>
        <w:rPr>
          <w:rFonts w:hint="eastAsia" w:ascii="Times New Roman" w:hAnsi="Times New Roman" w:eastAsia="仿宋_GB2312" w:cs="Times New Roman"/>
          <w:color w:val="auto"/>
          <w:sz w:val="32"/>
          <w:szCs w:val="32"/>
          <w:lang w:eastAsia="zh-CN"/>
        </w:rPr>
      </w:pPr>
    </w:p>
    <w:p w14:paraId="4730549F">
      <w:pPr>
        <w:keepNext w:val="0"/>
        <w:keepLines w:val="0"/>
        <w:pageBreakBefore w:val="0"/>
        <w:kinsoku/>
        <w:wordWrap/>
        <w:overflowPunct/>
        <w:topLinePunct w:val="0"/>
        <w:autoSpaceDE/>
        <w:autoSpaceDN/>
        <w:bidi w:val="0"/>
        <w:adjustRightInd/>
        <w:snapToGrid/>
        <w:spacing w:line="520" w:lineRule="exact"/>
        <w:ind w:firstLine="5760" w:firstLineChars="18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信阳市财政局</w:t>
      </w:r>
    </w:p>
    <w:p w14:paraId="1830530D">
      <w:pPr>
        <w:rPr>
          <w:color w:val="auto"/>
        </w:rPr>
      </w:pPr>
      <w:r>
        <w:rPr>
          <w:color w:val="auto"/>
          <w:highlight w:val="none"/>
        </w:rPr>
        <w:br w:type="page"/>
      </w:r>
    </w:p>
    <w:p w14:paraId="58FEF1EE">
      <w:pPr>
        <w:pStyle w:val="4"/>
        <w:ind w:firstLine="0" w:firstLineChars="0"/>
        <w:rPr>
          <w:color w:val="auto"/>
          <w:sz w:val="40"/>
          <w:szCs w:val="28"/>
          <w:highlight w:val="none"/>
        </w:rPr>
      </w:pPr>
      <w:r>
        <w:rPr>
          <w:rFonts w:hint="eastAsia"/>
          <w:color w:val="auto"/>
          <w:sz w:val="40"/>
          <w:szCs w:val="28"/>
          <w:highlight w:val="none"/>
        </w:rPr>
        <w:t>电子招投标特别提示</w:t>
      </w:r>
      <w:bookmarkEnd w:id="0"/>
    </w:p>
    <w:p w14:paraId="2F11CE55">
      <w:pPr>
        <w:spacing w:line="400" w:lineRule="exact"/>
        <w:ind w:firstLine="0" w:firstLineChars="0"/>
        <w:outlineLvl w:val="0"/>
        <w:rPr>
          <w:rFonts w:ascii="宋体" w:hAnsi="宋体" w:cs="宋体"/>
          <w:b/>
          <w:bCs/>
          <w:color w:val="auto"/>
          <w:szCs w:val="21"/>
          <w:highlight w:val="none"/>
          <w:u w:val="double"/>
        </w:rPr>
      </w:pPr>
      <w:bookmarkStart w:id="1" w:name="_Toc30047"/>
      <w:r>
        <w:rPr>
          <w:rFonts w:hint="eastAsia" w:ascii="宋体" w:hAnsi="宋体" w:cs="宋体"/>
          <w:b/>
          <w:bCs/>
          <w:color w:val="auto"/>
          <w:szCs w:val="21"/>
          <w:highlight w:val="none"/>
          <w:u w:val="double"/>
        </w:rPr>
        <w:t>一、</w:t>
      </w:r>
      <w:r>
        <w:rPr>
          <w:rFonts w:hint="eastAsia" w:ascii="宋体" w:hAnsi="宋体" w:cs="宋体"/>
          <w:b/>
          <w:bCs/>
          <w:color w:val="auto"/>
          <w:szCs w:val="21"/>
          <w:highlight w:val="none"/>
          <w:u w:val="double"/>
          <w:lang w:eastAsia="zh-CN"/>
        </w:rPr>
        <w:t>供应商</w:t>
      </w:r>
      <w:r>
        <w:rPr>
          <w:rFonts w:hint="eastAsia" w:ascii="宋体" w:hAnsi="宋体" w:cs="宋体"/>
          <w:b/>
          <w:bCs/>
          <w:color w:val="auto"/>
          <w:szCs w:val="21"/>
          <w:highlight w:val="none"/>
          <w:u w:val="double"/>
        </w:rPr>
        <w:t>（投标人）注册</w:t>
      </w:r>
      <w:bookmarkEnd w:id="1"/>
    </w:p>
    <w:p w14:paraId="305F51F3">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凡有意参加本项目的</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（投标人），请登录“全国公共资源交易平台（河南省·信阳市）（https://ggzyjy.xinyang.gov.cn/）”网站进行交易主体自主注册，按网站公告通知有关要求填 报企业信息并上传有关原件扫描件至诚信库，不需携带原件到信阳市公共资源交易中心进行审核。</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（投标人）应对所上传材料的真实性、合法性、有效性负责，其上传的信息将全部对外公示，接受社会监督。</w:t>
      </w:r>
    </w:p>
    <w:p w14:paraId="05626474">
      <w:pPr>
        <w:spacing w:line="400" w:lineRule="exact"/>
        <w:ind w:firstLine="0" w:firstLineChars="0"/>
        <w:outlineLvl w:val="0"/>
        <w:rPr>
          <w:rFonts w:ascii="宋体" w:hAnsi="宋体" w:cs="宋体"/>
          <w:b/>
          <w:bCs/>
          <w:color w:val="auto"/>
          <w:szCs w:val="21"/>
          <w:highlight w:val="none"/>
          <w:u w:val="double"/>
        </w:rPr>
      </w:pPr>
      <w:bookmarkStart w:id="2" w:name="_Toc30626"/>
      <w:r>
        <w:rPr>
          <w:rFonts w:hint="eastAsia" w:ascii="宋体" w:hAnsi="宋体" w:cs="宋体"/>
          <w:b/>
          <w:bCs/>
          <w:color w:val="auto"/>
          <w:szCs w:val="21"/>
          <w:highlight w:val="none"/>
          <w:u w:val="double"/>
        </w:rPr>
        <w:t>二、办理CA数字证书</w:t>
      </w:r>
      <w:bookmarkEnd w:id="2"/>
    </w:p>
    <w:p w14:paraId="4F18E642">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完成企业诚信库注册后，必须办理CA数字证书方可在网上办理招投标相关业务。</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（投标人）根据《信阳市公共资源交易网》左侧下载中心有关办理CA数字证书的要求，准备好CA办理所需资料，到信阳市公共资源交易中心一楼CA窗口现场办理CA数字证书。</w:t>
      </w:r>
    </w:p>
    <w:p w14:paraId="1327C14F">
      <w:pPr>
        <w:spacing w:line="400" w:lineRule="exact"/>
        <w:ind w:firstLine="0" w:firstLineChars="0"/>
        <w:outlineLvl w:val="0"/>
        <w:rPr>
          <w:rFonts w:ascii="宋体" w:hAnsi="宋体" w:cs="宋体"/>
          <w:b/>
          <w:bCs/>
          <w:color w:val="auto"/>
          <w:szCs w:val="21"/>
          <w:highlight w:val="none"/>
          <w:u w:val="double"/>
        </w:rPr>
      </w:pPr>
      <w:bookmarkStart w:id="3" w:name="_Toc1713"/>
      <w:r>
        <w:rPr>
          <w:rFonts w:hint="eastAsia" w:ascii="宋体" w:hAnsi="宋体" w:cs="宋体"/>
          <w:b/>
          <w:bCs/>
          <w:color w:val="auto"/>
          <w:szCs w:val="21"/>
          <w:highlight w:val="none"/>
          <w:u w:val="double"/>
        </w:rPr>
        <w:t>三、招标（采购）文件获取方式</w:t>
      </w:r>
      <w:bookmarkEnd w:id="3"/>
    </w:p>
    <w:p w14:paraId="2C191072">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（投标人）凭CA数字证书登录会员系统后，即可按网上提示免费下载招标（采购）文件及资料（操作程序详见信阳市公共资源交易中心网站下载中心栏目里投标人操作手册）。</w:t>
      </w:r>
      <w:r>
        <w:rPr>
          <w:rFonts w:hint="eastAsia" w:ascii="宋体" w:hAnsi="宋体" w:cs="宋体"/>
          <w:color w:val="auto"/>
          <w:szCs w:val="21"/>
          <w:highlight w:val="none"/>
          <w:lang w:eastAsia="zh-CN"/>
        </w:rPr>
        <w:t>磋商文件</w:t>
      </w:r>
      <w:r>
        <w:rPr>
          <w:rFonts w:hint="eastAsia" w:ascii="宋体" w:hAnsi="宋体" w:cs="宋体"/>
          <w:color w:val="auto"/>
          <w:szCs w:val="21"/>
          <w:highlight w:val="none"/>
        </w:rPr>
        <w:t>(*.XYZF格式)下载后需使用“信阳市投标文件制作工具软件”打开（该工具软件可在“全国公共资源交易平台（河南省·信阳市）（https://ggzyjy.xinyang.gov.cn/） ”网站下载中心栏目内下载或在</w:t>
      </w:r>
      <w:r>
        <w:rPr>
          <w:rFonts w:hint="eastAsia" w:ascii="宋体" w:hAnsi="宋体" w:cs="宋体"/>
          <w:color w:val="auto"/>
          <w:szCs w:val="21"/>
          <w:highlight w:val="none"/>
          <w:lang w:eastAsia="zh-CN"/>
        </w:rPr>
        <w:t>磋商文件</w:t>
      </w:r>
      <w:r>
        <w:rPr>
          <w:rFonts w:hint="eastAsia" w:ascii="宋体" w:hAnsi="宋体" w:cs="宋体"/>
          <w:color w:val="auto"/>
          <w:szCs w:val="21"/>
          <w:highlight w:val="none"/>
        </w:rPr>
        <w:t>领取页面下载）。</w:t>
      </w:r>
    </w:p>
    <w:p w14:paraId="7ACAA06F">
      <w:pPr>
        <w:tabs>
          <w:tab w:val="left" w:pos="0"/>
        </w:tabs>
        <w:spacing w:line="400" w:lineRule="exact"/>
        <w:ind w:firstLine="0" w:firstLineChars="0"/>
        <w:outlineLvl w:val="0"/>
        <w:rPr>
          <w:rFonts w:ascii="宋体" w:hAnsi="宋体" w:cs="宋体"/>
          <w:b/>
          <w:bCs/>
          <w:color w:val="auto"/>
          <w:szCs w:val="21"/>
          <w:highlight w:val="none"/>
          <w:u w:val="double"/>
        </w:rPr>
      </w:pPr>
      <w:bookmarkStart w:id="4" w:name="_Toc27374"/>
      <w:r>
        <w:rPr>
          <w:rFonts w:hint="eastAsia" w:ascii="宋体" w:hAnsi="宋体" w:cs="宋体"/>
          <w:b/>
          <w:bCs/>
          <w:color w:val="auto"/>
          <w:szCs w:val="21"/>
          <w:highlight w:val="none"/>
          <w:u w:val="double"/>
        </w:rPr>
        <w:t>四、投标（响应）文件制作</w:t>
      </w:r>
      <w:bookmarkEnd w:id="4"/>
    </w:p>
    <w:p w14:paraId="7979EE92">
      <w:pPr>
        <w:tabs>
          <w:tab w:val="left" w:pos="0"/>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投标（响应）文件应使用信阳市公共资源交易系统投标文件制作专用工具软件编制，投标（响应）文件格式为“*.XYTF”。</w:t>
      </w:r>
    </w:p>
    <w:p w14:paraId="6E84CAD8">
      <w:pPr>
        <w:tabs>
          <w:tab w:val="left" w:pos="0"/>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（投标人）须在投标（响应）文件递交截止时间前制作并提交。</w:t>
      </w:r>
    </w:p>
    <w:p w14:paraId="6F3EE15A">
      <w:pPr>
        <w:spacing w:line="400" w:lineRule="exact"/>
        <w:ind w:firstLine="0" w:firstLineChars="0"/>
        <w:outlineLvl w:val="0"/>
        <w:rPr>
          <w:rFonts w:ascii="宋体" w:hAnsi="宋体" w:cs="宋体"/>
          <w:b/>
          <w:bCs/>
          <w:color w:val="auto"/>
          <w:szCs w:val="21"/>
          <w:highlight w:val="none"/>
        </w:rPr>
      </w:pPr>
      <w:bookmarkStart w:id="5" w:name="_Toc20782"/>
      <w:r>
        <w:rPr>
          <w:rFonts w:hint="eastAsia" w:ascii="宋体" w:hAnsi="宋体" w:cs="宋体"/>
          <w:b/>
          <w:bCs/>
          <w:color w:val="auto"/>
          <w:szCs w:val="21"/>
          <w:highlight w:val="none"/>
          <w:u w:val="double"/>
        </w:rPr>
        <w:t>五、投标（响应）文件的签字和盖章要求</w:t>
      </w:r>
      <w:bookmarkEnd w:id="5"/>
    </w:p>
    <w:p w14:paraId="113943A4">
      <w:pPr>
        <w:adjustRightInd w:val="0"/>
        <w:snapToGrid w:val="0"/>
        <w:spacing w:line="400" w:lineRule="exact"/>
        <w:ind w:firstLine="420"/>
        <w:jc w:val="left"/>
        <w:rPr>
          <w:rFonts w:ascii="宋体" w:hAnsi="宋体" w:cs="宋体"/>
          <w:color w:val="auto"/>
          <w:szCs w:val="21"/>
          <w:highlight w:val="none"/>
        </w:rPr>
      </w:pPr>
      <w:r>
        <w:rPr>
          <w:rFonts w:hint="eastAsia" w:ascii="宋体" w:hAnsi="宋体" w:cs="宋体"/>
          <w:color w:val="auto"/>
          <w:szCs w:val="21"/>
          <w:highlight w:val="none"/>
        </w:rPr>
        <w:t>1、投标文件（响应）格式中所有要求</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（投标人）加盖公章的地方都须加盖</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（投标人）的 CA 印章。</w:t>
      </w:r>
    </w:p>
    <w:p w14:paraId="52E98D65">
      <w:pPr>
        <w:adjustRightInd w:val="0"/>
        <w:snapToGrid w:val="0"/>
        <w:spacing w:line="400" w:lineRule="exact"/>
        <w:ind w:left="-126" w:leftChars="-60" w:firstLine="525" w:firstLineChars="250"/>
        <w:jc w:val="left"/>
        <w:rPr>
          <w:rFonts w:ascii="宋体" w:hAnsi="宋体" w:cs="宋体"/>
          <w:b/>
          <w:bCs/>
          <w:color w:val="auto"/>
          <w:szCs w:val="21"/>
          <w:highlight w:val="none"/>
        </w:rPr>
      </w:pPr>
      <w:r>
        <w:rPr>
          <w:rFonts w:hint="eastAsia" w:ascii="宋体" w:hAnsi="宋体" w:cs="宋体"/>
          <w:color w:val="auto"/>
          <w:szCs w:val="21"/>
          <w:highlight w:val="none"/>
        </w:rPr>
        <w:t>2、投标文件（响应）格式中所有要求法定代表人或其委托代理人签字或盖章的地方</w:t>
      </w:r>
      <w:r>
        <w:rPr>
          <w:rFonts w:hint="eastAsia" w:ascii="宋体" w:hAnsi="宋体" w:cs="宋体"/>
          <w:b/>
          <w:bCs/>
          <w:color w:val="auto"/>
          <w:szCs w:val="21"/>
          <w:highlight w:val="none"/>
        </w:rPr>
        <w:t>（不含授权委托书委托人签字）</w:t>
      </w:r>
      <w:r>
        <w:rPr>
          <w:rFonts w:hint="eastAsia" w:ascii="宋体" w:hAnsi="宋体" w:cs="宋体"/>
          <w:color w:val="auto"/>
          <w:szCs w:val="21"/>
          <w:highlight w:val="none"/>
        </w:rPr>
        <w:t>都须加盖法定代表人</w:t>
      </w:r>
      <w:r>
        <w:rPr>
          <w:rFonts w:hint="eastAsia" w:ascii="宋体" w:hAnsi="宋体" w:cs="宋体"/>
          <w:b/>
          <w:bCs/>
          <w:color w:val="auto"/>
          <w:szCs w:val="21"/>
          <w:highlight w:val="none"/>
        </w:rPr>
        <w:t>CA 印章。</w:t>
      </w:r>
    </w:p>
    <w:p w14:paraId="326AE23E">
      <w:pPr>
        <w:spacing w:line="400" w:lineRule="exact"/>
        <w:ind w:firstLine="0" w:firstLineChars="0"/>
        <w:outlineLvl w:val="0"/>
        <w:rPr>
          <w:rFonts w:ascii="宋体" w:hAnsi="宋体" w:cs="宋体"/>
          <w:b/>
          <w:bCs/>
          <w:color w:val="auto"/>
          <w:szCs w:val="21"/>
          <w:highlight w:val="none"/>
          <w:u w:val="double"/>
        </w:rPr>
      </w:pPr>
      <w:bookmarkStart w:id="6" w:name="_Toc20470"/>
      <w:r>
        <w:rPr>
          <w:rFonts w:hint="eastAsia" w:ascii="宋体" w:hAnsi="宋体" w:cs="宋体"/>
          <w:b/>
          <w:bCs/>
          <w:color w:val="auto"/>
          <w:szCs w:val="21"/>
          <w:highlight w:val="none"/>
          <w:u w:val="double"/>
        </w:rPr>
        <w:t>六、投标文件份数</w:t>
      </w:r>
      <w:bookmarkEnd w:id="6"/>
    </w:p>
    <w:p w14:paraId="11EFFA43">
      <w:pPr>
        <w:adjustRightInd w:val="0"/>
        <w:snapToGrid w:val="0"/>
        <w:spacing w:line="40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加密的电子投标（响应）文件壹份（*.XYTF 格式，在会员系统指定位置上传）。</w:t>
      </w:r>
    </w:p>
    <w:p w14:paraId="3A518637">
      <w:pPr>
        <w:spacing w:line="400" w:lineRule="exact"/>
        <w:ind w:firstLine="0" w:firstLineChars="0"/>
        <w:outlineLvl w:val="0"/>
        <w:rPr>
          <w:rFonts w:ascii="宋体" w:hAnsi="宋体" w:cs="宋体"/>
          <w:b/>
          <w:bCs/>
          <w:color w:val="auto"/>
          <w:szCs w:val="21"/>
          <w:highlight w:val="none"/>
          <w:u w:val="double"/>
        </w:rPr>
      </w:pPr>
      <w:bookmarkStart w:id="7" w:name="_Toc16308"/>
      <w:r>
        <w:rPr>
          <w:rFonts w:hint="eastAsia" w:ascii="宋体" w:hAnsi="宋体" w:cs="宋体"/>
          <w:b/>
          <w:bCs/>
          <w:color w:val="auto"/>
          <w:szCs w:val="21"/>
          <w:highlight w:val="none"/>
          <w:u w:val="double"/>
        </w:rPr>
        <w:t>七、投标（响应）文件的递交</w:t>
      </w:r>
      <w:bookmarkEnd w:id="7"/>
    </w:p>
    <w:p w14:paraId="404E904D">
      <w:pPr>
        <w:adjustRightInd w:val="0"/>
        <w:snapToGrid w:val="0"/>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1、电子投标（响应）文件的递交</w:t>
      </w:r>
    </w:p>
    <w:p w14:paraId="4AA0771E">
      <w:pPr>
        <w:spacing w:line="400" w:lineRule="exact"/>
        <w:ind w:firstLine="420"/>
        <w:jc w:val="left"/>
        <w:rPr>
          <w:rFonts w:ascii="宋体" w:hAnsi="宋体" w:cs="宋体"/>
          <w:color w:val="auto"/>
          <w:szCs w:val="21"/>
          <w:highlight w:val="none"/>
        </w:rPr>
      </w:pPr>
      <w:r>
        <w:rPr>
          <w:rFonts w:hint="eastAsia" w:ascii="宋体" w:hAnsi="宋体" w:cs="宋体"/>
          <w:color w:val="auto"/>
          <w:szCs w:val="21"/>
          <w:highlight w:val="none"/>
        </w:rPr>
        <w:t>各</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（投标人）应在投标截止时间前上传加密的电子投标（响应）文件（*.XYTF）到会员系统的指定位置。上传的电子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应使用投标人CA数字证书认证并加密。上传时必须得到交易系统“上传成功”的确认回复后方为上传成功。请</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（投标人）在上传前务必认真检查上传投标（响应）文件是否完整、正确。</w:t>
      </w:r>
    </w:p>
    <w:p w14:paraId="64EE4E0A">
      <w:pPr>
        <w:spacing w:line="400" w:lineRule="exact"/>
        <w:ind w:firstLine="420"/>
        <w:jc w:val="left"/>
        <w:rPr>
          <w:rFonts w:ascii="宋体" w:hAnsi="宋体" w:cs="宋体"/>
          <w:color w:val="auto"/>
          <w:szCs w:val="21"/>
          <w:highlight w:val="none"/>
        </w:rPr>
      </w:pPr>
      <w:r>
        <w:rPr>
          <w:rFonts w:hint="eastAsia" w:ascii="宋体" w:hAnsi="宋体" w:cs="宋体"/>
          <w:color w:val="auto"/>
          <w:szCs w:val="21"/>
          <w:highlight w:val="none"/>
        </w:rPr>
        <w:t>2、除电子投标（响应）文件外，不再接受任何纸质文件、资料原件等。</w:t>
      </w:r>
    </w:p>
    <w:p w14:paraId="63F84A04">
      <w:pPr>
        <w:spacing w:line="400" w:lineRule="exact"/>
        <w:ind w:firstLine="0" w:firstLineChars="0"/>
        <w:outlineLvl w:val="0"/>
        <w:rPr>
          <w:rFonts w:ascii="宋体" w:hAnsi="宋体" w:cs="宋体"/>
          <w:b/>
          <w:bCs/>
          <w:color w:val="auto"/>
          <w:szCs w:val="21"/>
          <w:highlight w:val="none"/>
          <w:u w:val="double"/>
        </w:rPr>
      </w:pPr>
      <w:bookmarkStart w:id="8" w:name="_Toc27174"/>
      <w:r>
        <w:rPr>
          <w:rFonts w:hint="eastAsia" w:ascii="宋体" w:hAnsi="宋体" w:cs="宋体"/>
          <w:b/>
          <w:bCs/>
          <w:color w:val="auto"/>
          <w:szCs w:val="21"/>
          <w:highlight w:val="none"/>
          <w:u w:val="double"/>
        </w:rPr>
        <w:t>八、澄清与变更</w:t>
      </w:r>
      <w:bookmarkEnd w:id="8"/>
    </w:p>
    <w:p w14:paraId="08ADDA6C">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如有疑问，以书面形式（包括信函、电报、传真等可以有形表现所载内容的形式），要求招标人（招标人）对招标（采购）文件予以澄清。澄清或修改的内容在信阳市公共资源交易系统“变更公告”或“答疑文件”菜单进行发布，</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（投标人）应在投标（响应）文件递交截止时间前及时查看澄清或修改内容，因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（招标人）未及时查看而造成的后果自负。</w:t>
      </w:r>
    </w:p>
    <w:p w14:paraId="7C568080">
      <w:pPr>
        <w:widowControl/>
        <w:spacing w:line="400" w:lineRule="exact"/>
        <w:ind w:firstLine="0" w:firstLineChars="0"/>
        <w:jc w:val="left"/>
        <w:outlineLvl w:val="0"/>
        <w:rPr>
          <w:rFonts w:ascii="宋体" w:hAnsi="宋体" w:cs="宋体"/>
          <w:b/>
          <w:bCs/>
          <w:color w:val="auto"/>
          <w:szCs w:val="21"/>
          <w:highlight w:val="none"/>
          <w:u w:val="double"/>
        </w:rPr>
      </w:pPr>
      <w:bookmarkStart w:id="9" w:name="_Toc1021"/>
      <w:r>
        <w:rPr>
          <w:rFonts w:hint="eastAsia" w:ascii="宋体" w:hAnsi="宋体" w:cs="宋体"/>
          <w:b/>
          <w:bCs/>
          <w:color w:val="auto"/>
          <w:szCs w:val="21"/>
          <w:highlight w:val="none"/>
          <w:u w:val="double"/>
        </w:rPr>
        <w:t>九、其他注意事项</w:t>
      </w:r>
      <w:bookmarkEnd w:id="9"/>
      <w:r>
        <w:rPr>
          <w:rFonts w:hint="eastAsia" w:ascii="宋体" w:hAnsi="宋体" w:cs="宋体"/>
          <w:b/>
          <w:bCs/>
          <w:color w:val="auto"/>
          <w:szCs w:val="21"/>
          <w:highlight w:val="none"/>
          <w:u w:val="double"/>
        </w:rPr>
        <w:t xml:space="preserve"> </w:t>
      </w:r>
    </w:p>
    <w:p w14:paraId="6A4EF7B9">
      <w:pPr>
        <w:widowControl/>
        <w:spacing w:line="400" w:lineRule="exact"/>
        <w:ind w:firstLine="0" w:firstLineChars="0"/>
        <w:jc w:val="left"/>
        <w:rPr>
          <w:rFonts w:ascii="宋体" w:hAnsi="宋体" w:cs="宋体"/>
          <w:b/>
          <w:bCs/>
          <w:color w:val="auto"/>
          <w:szCs w:val="21"/>
          <w:highlight w:val="none"/>
          <w:u w:val="double"/>
        </w:rPr>
      </w:pPr>
      <w:r>
        <w:rPr>
          <w:rFonts w:hint="eastAsia" w:ascii="宋体" w:hAnsi="宋体" w:cs="宋体"/>
          <w:b/>
          <w:bCs/>
          <w:color w:val="auto"/>
          <w:szCs w:val="21"/>
          <w:highlight w:val="none"/>
          <w:u w:val="double"/>
          <w:lang w:val="en-US" w:eastAsia="zh-CN"/>
        </w:rPr>
        <w:t>1</w:t>
      </w:r>
      <w:r>
        <w:rPr>
          <w:rFonts w:hint="eastAsia" w:ascii="宋体" w:hAnsi="宋体" w:cs="宋体"/>
          <w:b/>
          <w:bCs/>
          <w:color w:val="auto"/>
          <w:szCs w:val="21"/>
          <w:highlight w:val="none"/>
          <w:u w:val="double"/>
        </w:rPr>
        <w:t>、</w:t>
      </w:r>
      <w:r>
        <w:rPr>
          <w:rFonts w:hint="eastAsia" w:ascii="宋体" w:hAnsi="宋体" w:cs="宋体"/>
          <w:b/>
          <w:bCs/>
          <w:color w:val="auto"/>
          <w:szCs w:val="21"/>
          <w:highlight w:val="none"/>
          <w:u w:val="double"/>
          <w:lang w:eastAsia="zh-CN"/>
        </w:rPr>
        <w:t>供应商</w:t>
      </w:r>
      <w:r>
        <w:rPr>
          <w:rFonts w:hint="eastAsia" w:ascii="宋体" w:hAnsi="宋体" w:cs="宋体"/>
          <w:b/>
          <w:bCs/>
          <w:color w:val="auto"/>
          <w:szCs w:val="21"/>
          <w:highlight w:val="none"/>
          <w:u w:val="double"/>
        </w:rPr>
        <w:t>编制</w:t>
      </w:r>
      <w:r>
        <w:rPr>
          <w:rFonts w:hint="eastAsia" w:ascii="宋体" w:hAnsi="宋体" w:cs="宋体"/>
          <w:b/>
          <w:bCs/>
          <w:color w:val="auto"/>
          <w:szCs w:val="21"/>
          <w:highlight w:val="none"/>
          <w:u w:val="double"/>
          <w:lang w:eastAsia="zh-CN"/>
        </w:rPr>
        <w:t>响应文件</w:t>
      </w:r>
      <w:r>
        <w:rPr>
          <w:rFonts w:hint="eastAsia" w:ascii="宋体" w:hAnsi="宋体" w:cs="宋体"/>
          <w:b/>
          <w:bCs/>
          <w:color w:val="auto"/>
          <w:szCs w:val="21"/>
          <w:highlight w:val="none"/>
          <w:u w:val="double"/>
        </w:rPr>
        <w:t>时，涉及营业执照、资质、业绩、获奖、人员、财务、社保、纳税、各类证书等内容，须扫描编制在</w:t>
      </w:r>
      <w:r>
        <w:rPr>
          <w:rFonts w:hint="eastAsia" w:ascii="宋体" w:hAnsi="宋体" w:cs="宋体"/>
          <w:b/>
          <w:bCs/>
          <w:color w:val="auto"/>
          <w:szCs w:val="21"/>
          <w:highlight w:val="none"/>
          <w:u w:val="double"/>
          <w:lang w:eastAsia="zh-CN"/>
        </w:rPr>
        <w:t>响应文件</w:t>
      </w:r>
      <w:r>
        <w:rPr>
          <w:rFonts w:hint="eastAsia" w:ascii="宋体" w:hAnsi="宋体" w:cs="宋体"/>
          <w:b/>
          <w:bCs/>
          <w:color w:val="auto"/>
          <w:szCs w:val="21"/>
          <w:highlight w:val="none"/>
          <w:u w:val="double"/>
        </w:rPr>
        <w:t>内。评委评审只需依法对</w:t>
      </w:r>
      <w:r>
        <w:rPr>
          <w:rFonts w:hint="eastAsia" w:ascii="宋体" w:hAnsi="宋体" w:cs="宋体"/>
          <w:b/>
          <w:bCs/>
          <w:color w:val="auto"/>
          <w:szCs w:val="21"/>
          <w:highlight w:val="none"/>
          <w:u w:val="double"/>
          <w:lang w:eastAsia="zh-CN"/>
        </w:rPr>
        <w:t>响应文件</w:t>
      </w:r>
      <w:r>
        <w:rPr>
          <w:rFonts w:hint="eastAsia" w:ascii="宋体" w:hAnsi="宋体" w:cs="宋体"/>
          <w:b/>
          <w:bCs/>
          <w:color w:val="auto"/>
          <w:szCs w:val="21"/>
          <w:highlight w:val="none"/>
          <w:u w:val="double"/>
        </w:rPr>
        <w:t>进行评审，并以</w:t>
      </w:r>
      <w:r>
        <w:rPr>
          <w:rFonts w:hint="eastAsia" w:ascii="宋体" w:hAnsi="宋体" w:cs="宋体"/>
          <w:b/>
          <w:bCs/>
          <w:color w:val="auto"/>
          <w:szCs w:val="21"/>
          <w:highlight w:val="none"/>
          <w:u w:val="double"/>
          <w:lang w:eastAsia="zh-CN"/>
        </w:rPr>
        <w:t>响应文件</w:t>
      </w:r>
      <w:r>
        <w:rPr>
          <w:rFonts w:hint="eastAsia" w:ascii="宋体" w:hAnsi="宋体" w:cs="宋体"/>
          <w:b/>
          <w:bCs/>
          <w:color w:val="auto"/>
          <w:szCs w:val="21"/>
          <w:highlight w:val="none"/>
          <w:u w:val="double"/>
        </w:rPr>
        <w:t>的响应为唯一评审依据，不再比对主体信用信息。</w:t>
      </w:r>
    </w:p>
    <w:p w14:paraId="718D9452">
      <w:pPr>
        <w:widowControl/>
        <w:spacing w:line="400" w:lineRule="exact"/>
        <w:ind w:firstLine="0" w:firstLineChars="0"/>
        <w:jc w:val="left"/>
        <w:rPr>
          <w:rFonts w:ascii="宋体" w:hAnsi="宋体" w:cs="宋体"/>
          <w:color w:val="auto"/>
          <w:szCs w:val="21"/>
          <w:highlight w:val="none"/>
          <w:u w:val="double"/>
        </w:rPr>
      </w:pPr>
      <w:r>
        <w:rPr>
          <w:rFonts w:hint="eastAsia" w:ascii="宋体" w:hAnsi="宋体" w:cs="宋体"/>
          <w:b/>
          <w:bCs/>
          <w:color w:val="auto"/>
          <w:szCs w:val="21"/>
          <w:highlight w:val="none"/>
          <w:u w:val="double"/>
          <w:lang w:val="en-US" w:eastAsia="zh-CN"/>
        </w:rPr>
        <w:t>2</w:t>
      </w:r>
      <w:r>
        <w:rPr>
          <w:rFonts w:hint="eastAsia" w:ascii="宋体" w:hAnsi="宋体" w:cs="宋体"/>
          <w:b/>
          <w:bCs/>
          <w:color w:val="auto"/>
          <w:szCs w:val="21"/>
          <w:highlight w:val="none"/>
          <w:u w:val="double"/>
        </w:rPr>
        <w:t>、</w:t>
      </w:r>
      <w:r>
        <w:rPr>
          <w:rFonts w:hint="eastAsia" w:ascii="宋体" w:hAnsi="宋体" w:cs="宋体"/>
          <w:b/>
          <w:bCs/>
          <w:color w:val="auto"/>
          <w:szCs w:val="21"/>
          <w:highlight w:val="none"/>
          <w:u w:val="double"/>
          <w:lang w:eastAsia="zh-CN"/>
        </w:rPr>
        <w:t>响应文件</w:t>
      </w:r>
      <w:r>
        <w:rPr>
          <w:rFonts w:hint="eastAsia" w:ascii="宋体" w:hAnsi="宋体" w:cs="宋体"/>
          <w:b/>
          <w:bCs/>
          <w:color w:val="auto"/>
          <w:szCs w:val="21"/>
          <w:highlight w:val="none"/>
          <w:u w:val="double"/>
        </w:rPr>
        <w:t>中的扫描件，在确保清晰的前提下，每张最好控制在 500kb 内,生成的加密电子</w:t>
      </w:r>
      <w:r>
        <w:rPr>
          <w:rFonts w:hint="eastAsia" w:ascii="宋体" w:hAnsi="宋体" w:cs="宋体"/>
          <w:b/>
          <w:bCs/>
          <w:color w:val="auto"/>
          <w:szCs w:val="21"/>
          <w:highlight w:val="none"/>
          <w:u w:val="double"/>
          <w:lang w:eastAsia="zh-CN"/>
        </w:rPr>
        <w:t>响应文件</w:t>
      </w:r>
      <w:r>
        <w:rPr>
          <w:rFonts w:hint="eastAsia" w:ascii="宋体" w:hAnsi="宋体" w:cs="宋体"/>
          <w:b/>
          <w:bCs/>
          <w:color w:val="auto"/>
          <w:szCs w:val="21"/>
          <w:highlight w:val="none"/>
          <w:u w:val="double"/>
        </w:rPr>
        <w:t>最好不要超过50MB。</w:t>
      </w:r>
    </w:p>
    <w:p w14:paraId="77CE7FA8">
      <w:pPr>
        <w:widowControl/>
        <w:spacing w:line="400" w:lineRule="exact"/>
        <w:ind w:firstLine="0" w:firstLineChars="0"/>
        <w:jc w:val="left"/>
        <w:outlineLvl w:val="0"/>
        <w:rPr>
          <w:rFonts w:ascii="宋体" w:hAnsi="宋体" w:cs="宋体"/>
          <w:b/>
          <w:bCs/>
          <w:color w:val="auto"/>
          <w:szCs w:val="21"/>
          <w:highlight w:val="none"/>
          <w:u w:val="double"/>
        </w:rPr>
      </w:pPr>
      <w:bookmarkStart w:id="10" w:name="_Toc6242"/>
      <w:r>
        <w:rPr>
          <w:rFonts w:hint="eastAsia" w:ascii="宋体" w:hAnsi="宋体" w:cs="宋体"/>
          <w:b/>
          <w:bCs/>
          <w:color w:val="auto"/>
          <w:szCs w:val="21"/>
          <w:highlight w:val="none"/>
          <w:u w:val="double"/>
        </w:rPr>
        <w:t>十、特别提醒</w:t>
      </w:r>
      <w:bookmarkEnd w:id="10"/>
    </w:p>
    <w:p w14:paraId="01A71CA7">
      <w:pPr>
        <w:widowControl/>
        <w:spacing w:line="360" w:lineRule="exact"/>
        <w:ind w:firstLine="420"/>
        <w:jc w:val="left"/>
        <w:rPr>
          <w:rFonts w:ascii="宋体" w:hAnsi="宋体" w:cs="宋体"/>
          <w:color w:val="auto"/>
          <w:szCs w:val="21"/>
          <w:highlight w:val="none"/>
          <w:u w:val="double"/>
        </w:rPr>
      </w:pPr>
      <w:r>
        <w:rPr>
          <w:rFonts w:hint="eastAsia" w:ascii="宋体" w:hAnsi="宋体" w:cs="宋体"/>
          <w:color w:val="auto"/>
          <w:szCs w:val="21"/>
          <w:highlight w:val="none"/>
        </w:rPr>
        <w:t>招标（响应）文件与此内容不符的，以此内容为准。</w:t>
      </w:r>
    </w:p>
    <w:p w14:paraId="630314E4">
      <w:pPr>
        <w:pStyle w:val="53"/>
        <w:tabs>
          <w:tab w:val="right" w:leader="dot" w:pos="9240"/>
        </w:tabs>
        <w:spacing w:line="480" w:lineRule="auto"/>
        <w:ind w:firstLine="422" w:firstLineChars="200"/>
        <w:jc w:val="both"/>
        <w:rPr>
          <w:rFonts w:ascii="宋体" w:hAnsi="宋体" w:cs="宋体"/>
          <w:b/>
          <w:bCs/>
          <w:color w:val="auto"/>
          <w:sz w:val="21"/>
          <w:szCs w:val="21"/>
          <w:highlight w:val="none"/>
        </w:rPr>
      </w:pPr>
    </w:p>
    <w:p w14:paraId="70B57425">
      <w:pPr>
        <w:widowControl/>
        <w:spacing w:line="500" w:lineRule="exact"/>
        <w:ind w:firstLine="480"/>
        <w:jc w:val="left"/>
        <w:rPr>
          <w:color w:val="auto"/>
          <w:sz w:val="24"/>
          <w:szCs w:val="24"/>
          <w:highlight w:val="none"/>
        </w:rPr>
      </w:pPr>
    </w:p>
    <w:p w14:paraId="549758D9">
      <w:pPr>
        <w:pStyle w:val="22"/>
        <w:widowControl/>
        <w:tabs>
          <w:tab w:val="right" w:leader="dot" w:pos="9232"/>
        </w:tabs>
        <w:ind w:firstLine="0" w:firstLineChars="0"/>
        <w:jc w:val="center"/>
        <w:outlineLvl w:val="0"/>
        <w:rPr>
          <w:rStyle w:val="46"/>
          <w:color w:val="auto"/>
          <w:highlight w:val="none"/>
        </w:rPr>
      </w:pPr>
      <w:r>
        <w:rPr>
          <w:rFonts w:hint="eastAsia" w:ascii="宋体" w:hAnsi="宋体"/>
          <w:b/>
          <w:bCs/>
          <w:color w:val="auto"/>
          <w:sz w:val="32"/>
          <w:szCs w:val="32"/>
          <w:highlight w:val="none"/>
        </w:rPr>
        <w:br w:type="page"/>
      </w:r>
      <w:bookmarkStart w:id="11" w:name="_Toc9925"/>
      <w:r>
        <w:rPr>
          <w:rStyle w:val="46"/>
          <w:rFonts w:hint="eastAsia"/>
          <w:color w:val="auto"/>
          <w:highlight w:val="none"/>
        </w:rPr>
        <w:t>第一章 招标公告</w:t>
      </w:r>
      <w:bookmarkEnd w:id="11"/>
    </w:p>
    <w:p w14:paraId="0575D312">
      <w:pPr>
        <w:adjustRightInd w:val="0"/>
        <w:snapToGrid w:val="0"/>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项目概况</w:t>
      </w:r>
    </w:p>
    <w:p w14:paraId="64EE76B6">
      <w:pPr>
        <w:adjustRightInd w:val="0"/>
        <w:snapToGrid w:val="0"/>
        <w:spacing w:line="360" w:lineRule="auto"/>
        <w:ind w:firstLine="630" w:firstLineChars="300"/>
        <w:rPr>
          <w:rFonts w:ascii="宋体" w:hAnsi="宋体" w:cs="宋体"/>
          <w:color w:val="auto"/>
          <w:szCs w:val="21"/>
          <w:highlight w:val="none"/>
        </w:rPr>
      </w:pPr>
      <w:r>
        <w:rPr>
          <w:rFonts w:hint="eastAsia" w:ascii="宋体" w:hAnsi="宋体" w:cs="宋体"/>
          <w:color w:val="auto"/>
          <w:szCs w:val="21"/>
          <w:highlight w:val="none"/>
          <w:lang w:eastAsia="zh-CN"/>
        </w:rPr>
        <w:t>潢川县灌区水库事务中心潢川县2026年度小型水库大坝安全鉴定项目</w:t>
      </w:r>
      <w:r>
        <w:rPr>
          <w:rFonts w:hint="eastAsia" w:ascii="宋体" w:hAnsi="宋体" w:cs="宋体"/>
          <w:color w:val="auto"/>
          <w:szCs w:val="21"/>
          <w:highlight w:val="none"/>
        </w:rPr>
        <w:t>潜在</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登录“全国公共资源交易平台（河南省·信阳市））（https://ggzyjy.xinyang.gov.cn/）”网站，凭办理的企业身份认证锁（CA数字证书）登录会员系统进行网上投标”。获取</w:t>
      </w:r>
      <w:r>
        <w:rPr>
          <w:rFonts w:hint="eastAsia" w:ascii="宋体" w:hAnsi="宋体" w:cs="宋体"/>
          <w:color w:val="auto"/>
          <w:szCs w:val="21"/>
          <w:highlight w:val="none"/>
          <w:lang w:eastAsia="zh-CN"/>
        </w:rPr>
        <w:t>磋商文件</w:t>
      </w:r>
      <w:r>
        <w:rPr>
          <w:rFonts w:hint="eastAsia" w:ascii="宋体" w:hAnsi="宋体" w:cs="宋体"/>
          <w:color w:val="auto"/>
          <w:szCs w:val="21"/>
          <w:highlight w:val="none"/>
        </w:rPr>
        <w:t>，并</w:t>
      </w:r>
      <w:r>
        <w:rPr>
          <w:rFonts w:hint="eastAsia" w:ascii="宋体" w:hAnsi="宋体" w:cs="宋体"/>
          <w:color w:val="auto"/>
          <w:szCs w:val="21"/>
          <w:highlight w:val="none"/>
          <w:u w:val="none"/>
        </w:rPr>
        <w:t>于</w:t>
      </w:r>
      <w:r>
        <w:rPr>
          <w:rFonts w:hint="eastAsia" w:ascii="宋体" w:hAnsi="宋体" w:cs="宋体"/>
          <w:color w:val="auto"/>
          <w:szCs w:val="21"/>
          <w:highlight w:val="none"/>
          <w:lang w:val="en-US"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9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10 </w:t>
      </w:r>
      <w:r>
        <w:rPr>
          <w:rFonts w:hint="eastAsia" w:ascii="宋体" w:hAnsi="宋体" w:cs="宋体"/>
          <w:color w:val="auto"/>
          <w:szCs w:val="21"/>
          <w:highlight w:val="none"/>
        </w:rPr>
        <w:t>日09时30分（北京时间）前递交</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w:t>
      </w:r>
    </w:p>
    <w:p w14:paraId="3F4D1A01">
      <w:pPr>
        <w:adjustRightInd w:val="0"/>
        <w:snapToGrid w:val="0"/>
        <w:spacing w:line="360" w:lineRule="auto"/>
        <w:ind w:firstLine="422"/>
        <w:rPr>
          <w:rFonts w:ascii="宋体" w:hAnsi="宋体" w:cs="宋体"/>
          <w:b/>
          <w:bCs/>
          <w:color w:val="auto"/>
          <w:szCs w:val="21"/>
          <w:highlight w:val="none"/>
        </w:rPr>
      </w:pPr>
      <w:bookmarkStart w:id="12" w:name="_Toc28359079"/>
      <w:bookmarkStart w:id="13" w:name="_Toc28359002"/>
      <w:bookmarkStart w:id="14" w:name="_Toc35393790"/>
      <w:bookmarkStart w:id="15" w:name="_Toc35393621"/>
      <w:bookmarkStart w:id="16" w:name="_Hlk24379207"/>
      <w:r>
        <w:rPr>
          <w:rFonts w:hint="eastAsia" w:ascii="宋体" w:hAnsi="宋体" w:cs="宋体"/>
          <w:b/>
          <w:bCs/>
          <w:color w:val="auto"/>
          <w:szCs w:val="21"/>
          <w:highlight w:val="none"/>
        </w:rPr>
        <w:t>一、项目基本情况</w:t>
      </w:r>
      <w:bookmarkEnd w:id="12"/>
      <w:bookmarkEnd w:id="13"/>
      <w:bookmarkEnd w:id="14"/>
      <w:bookmarkEnd w:id="15"/>
    </w:p>
    <w:p w14:paraId="4953E604">
      <w:pPr>
        <w:adjustRightInd w:val="0"/>
        <w:snapToGrid w:val="0"/>
        <w:spacing w:line="360" w:lineRule="auto"/>
        <w:ind w:firstLine="42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1、招标编号：潢财竞磋采购-2026-46</w:t>
      </w:r>
    </w:p>
    <w:p w14:paraId="7503A898">
      <w:pPr>
        <w:adjustRightInd w:val="0"/>
        <w:snapToGrid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2、项目名称：</w:t>
      </w:r>
      <w:r>
        <w:rPr>
          <w:rFonts w:hint="eastAsia" w:ascii="宋体" w:hAnsi="宋体" w:cs="宋体"/>
          <w:color w:val="auto"/>
          <w:szCs w:val="21"/>
          <w:highlight w:val="none"/>
          <w:lang w:eastAsia="zh-CN"/>
        </w:rPr>
        <w:t>潢川县灌区水库事务中心潢川县2026年度小型水库大坝安全鉴定项目</w:t>
      </w:r>
    </w:p>
    <w:p w14:paraId="6B133E66">
      <w:pPr>
        <w:adjustRightInd w:val="0"/>
        <w:snapToGrid w:val="0"/>
        <w:spacing w:line="360" w:lineRule="auto"/>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3、采购方式：</w:t>
      </w:r>
      <w:r>
        <w:rPr>
          <w:rFonts w:hint="eastAsia" w:ascii="宋体" w:hAnsi="宋体" w:cs="宋体"/>
          <w:color w:val="auto"/>
          <w:szCs w:val="21"/>
          <w:highlight w:val="none"/>
          <w:lang w:val="en-US" w:eastAsia="zh-CN"/>
        </w:rPr>
        <w:t>竞争性磋商</w:t>
      </w:r>
    </w:p>
    <w:p w14:paraId="329A773F">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4、预算金额：</w:t>
      </w:r>
      <w:r>
        <w:rPr>
          <w:rFonts w:hint="eastAsia" w:ascii="宋体" w:hAnsi="宋体" w:cs="宋体"/>
          <w:color w:val="auto"/>
          <w:szCs w:val="21"/>
          <w:highlight w:val="none"/>
          <w:lang w:val="en-US" w:eastAsia="zh-CN"/>
        </w:rPr>
        <w:t>460899.41</w:t>
      </w:r>
      <w:r>
        <w:rPr>
          <w:rFonts w:hint="eastAsia" w:ascii="宋体" w:hAnsi="宋体" w:cs="宋体"/>
          <w:color w:val="auto"/>
          <w:szCs w:val="21"/>
          <w:highlight w:val="none"/>
        </w:rPr>
        <w:t>元</w:t>
      </w:r>
    </w:p>
    <w:p w14:paraId="7F0AA240">
      <w:pPr>
        <w:adjustRightInd w:val="0"/>
        <w:snapToGrid w:val="0"/>
        <w:spacing w:line="360" w:lineRule="auto"/>
        <w:ind w:firstLine="630" w:firstLineChars="300"/>
        <w:rPr>
          <w:rFonts w:ascii="宋体" w:hAnsi="宋体" w:cs="宋体"/>
          <w:color w:val="auto"/>
          <w:szCs w:val="21"/>
          <w:highlight w:val="none"/>
        </w:rPr>
      </w:pPr>
      <w:r>
        <w:rPr>
          <w:rFonts w:hint="eastAsia" w:ascii="宋体" w:hAnsi="宋体" w:cs="宋体"/>
          <w:color w:val="auto"/>
          <w:szCs w:val="21"/>
          <w:highlight w:val="none"/>
        </w:rPr>
        <w:t>最高限价：</w:t>
      </w:r>
      <w:r>
        <w:rPr>
          <w:rFonts w:hint="eastAsia" w:ascii="宋体" w:hAnsi="宋体" w:cs="宋体"/>
          <w:color w:val="auto"/>
          <w:szCs w:val="21"/>
          <w:highlight w:val="none"/>
          <w:lang w:eastAsia="zh-CN"/>
        </w:rPr>
        <w:t>460899.41</w:t>
      </w:r>
      <w:r>
        <w:rPr>
          <w:rFonts w:hint="eastAsia" w:ascii="宋体" w:hAnsi="宋体" w:cs="宋体"/>
          <w:color w:val="auto"/>
          <w:szCs w:val="21"/>
          <w:highlight w:val="none"/>
        </w:rPr>
        <w:t xml:space="preserve">元 </w:t>
      </w:r>
    </w:p>
    <w:tbl>
      <w:tblPr>
        <w:tblStyle w:val="28"/>
        <w:tblW w:w="89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789"/>
        <w:gridCol w:w="3449"/>
        <w:gridCol w:w="1317"/>
        <w:gridCol w:w="1605"/>
      </w:tblGrid>
      <w:tr w14:paraId="37AF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44" w:type="dxa"/>
            <w:vAlign w:val="center"/>
          </w:tcPr>
          <w:p w14:paraId="6E7BC432">
            <w:pPr>
              <w:spacing w:line="360" w:lineRule="auto"/>
              <w:ind w:firstLine="0" w:firstLineChars="0"/>
              <w:jc w:val="center"/>
              <w:outlineLvl w:val="1"/>
              <w:rPr>
                <w:rFonts w:ascii="宋体" w:hAnsi="宋体" w:cs="宋体"/>
                <w:color w:val="auto"/>
                <w:szCs w:val="21"/>
                <w:highlight w:val="none"/>
              </w:rPr>
            </w:pPr>
            <w:bookmarkStart w:id="17" w:name="_Toc14802"/>
            <w:r>
              <w:rPr>
                <w:rFonts w:hint="eastAsia" w:ascii="宋体" w:hAnsi="宋体" w:cs="宋体"/>
                <w:color w:val="auto"/>
                <w:szCs w:val="21"/>
                <w:highlight w:val="none"/>
              </w:rPr>
              <w:t>序号</w:t>
            </w:r>
            <w:bookmarkEnd w:id="17"/>
          </w:p>
        </w:tc>
        <w:tc>
          <w:tcPr>
            <w:tcW w:w="1789" w:type="dxa"/>
            <w:vAlign w:val="center"/>
          </w:tcPr>
          <w:p w14:paraId="479659FC">
            <w:pPr>
              <w:spacing w:line="360" w:lineRule="auto"/>
              <w:ind w:firstLine="0" w:firstLineChars="0"/>
              <w:jc w:val="center"/>
              <w:outlineLvl w:val="1"/>
              <w:rPr>
                <w:rFonts w:ascii="宋体" w:hAnsi="宋体" w:cs="宋体"/>
                <w:color w:val="auto"/>
                <w:szCs w:val="21"/>
                <w:highlight w:val="none"/>
              </w:rPr>
            </w:pPr>
            <w:bookmarkStart w:id="18" w:name="_Toc8504"/>
            <w:r>
              <w:rPr>
                <w:rFonts w:hint="eastAsia" w:ascii="宋体" w:hAnsi="宋体" w:cs="宋体"/>
                <w:color w:val="auto"/>
                <w:szCs w:val="21"/>
                <w:highlight w:val="none"/>
              </w:rPr>
              <w:t>包号</w:t>
            </w:r>
            <w:bookmarkEnd w:id="18"/>
          </w:p>
        </w:tc>
        <w:tc>
          <w:tcPr>
            <w:tcW w:w="3449" w:type="dxa"/>
            <w:vAlign w:val="center"/>
          </w:tcPr>
          <w:p w14:paraId="08E29B18">
            <w:pPr>
              <w:spacing w:line="360" w:lineRule="auto"/>
              <w:ind w:firstLine="0" w:firstLineChars="0"/>
              <w:jc w:val="center"/>
              <w:outlineLvl w:val="1"/>
              <w:rPr>
                <w:rFonts w:ascii="宋体" w:hAnsi="宋体" w:cs="宋体"/>
                <w:color w:val="auto"/>
                <w:szCs w:val="21"/>
                <w:highlight w:val="none"/>
              </w:rPr>
            </w:pPr>
            <w:bookmarkStart w:id="19" w:name="_Toc11828"/>
            <w:r>
              <w:rPr>
                <w:rFonts w:hint="eastAsia" w:ascii="宋体" w:hAnsi="宋体" w:cs="宋体"/>
                <w:color w:val="auto"/>
                <w:szCs w:val="21"/>
                <w:highlight w:val="none"/>
              </w:rPr>
              <w:t>包名称</w:t>
            </w:r>
            <w:bookmarkEnd w:id="19"/>
          </w:p>
        </w:tc>
        <w:tc>
          <w:tcPr>
            <w:tcW w:w="1317" w:type="dxa"/>
            <w:vAlign w:val="center"/>
          </w:tcPr>
          <w:p w14:paraId="74BF0060">
            <w:pPr>
              <w:spacing w:line="360" w:lineRule="auto"/>
              <w:ind w:firstLine="0" w:firstLineChars="0"/>
              <w:jc w:val="center"/>
              <w:outlineLvl w:val="1"/>
              <w:rPr>
                <w:rFonts w:ascii="宋体" w:hAnsi="宋体" w:cs="宋体"/>
                <w:color w:val="auto"/>
                <w:szCs w:val="21"/>
                <w:highlight w:val="none"/>
              </w:rPr>
            </w:pPr>
            <w:bookmarkStart w:id="20" w:name="_Toc11371"/>
            <w:r>
              <w:rPr>
                <w:rFonts w:hint="eastAsia" w:ascii="宋体" w:hAnsi="宋体" w:cs="宋体"/>
                <w:color w:val="auto"/>
                <w:szCs w:val="21"/>
                <w:highlight w:val="none"/>
              </w:rPr>
              <w:t>包预算（元）</w:t>
            </w:r>
            <w:bookmarkEnd w:id="20"/>
          </w:p>
        </w:tc>
        <w:tc>
          <w:tcPr>
            <w:tcW w:w="1605" w:type="dxa"/>
            <w:vAlign w:val="center"/>
          </w:tcPr>
          <w:p w14:paraId="2B68FC8B">
            <w:pPr>
              <w:spacing w:line="360" w:lineRule="auto"/>
              <w:ind w:firstLine="0" w:firstLineChars="0"/>
              <w:jc w:val="center"/>
              <w:outlineLvl w:val="1"/>
              <w:rPr>
                <w:rFonts w:ascii="宋体" w:hAnsi="宋体" w:cs="宋体"/>
                <w:color w:val="auto"/>
                <w:szCs w:val="21"/>
                <w:highlight w:val="none"/>
              </w:rPr>
            </w:pPr>
            <w:bookmarkStart w:id="21" w:name="_Toc13874"/>
            <w:r>
              <w:rPr>
                <w:rFonts w:hint="eastAsia" w:ascii="宋体" w:hAnsi="宋体" w:cs="宋体"/>
                <w:color w:val="auto"/>
                <w:szCs w:val="21"/>
                <w:highlight w:val="none"/>
              </w:rPr>
              <w:t>包最高限（元）</w:t>
            </w:r>
            <w:bookmarkEnd w:id="21"/>
          </w:p>
        </w:tc>
      </w:tr>
      <w:tr w14:paraId="0AAA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744" w:type="dxa"/>
            <w:vAlign w:val="center"/>
          </w:tcPr>
          <w:p w14:paraId="53F43435">
            <w:pPr>
              <w:spacing w:line="360" w:lineRule="auto"/>
              <w:ind w:firstLine="0" w:firstLineChars="0"/>
              <w:jc w:val="center"/>
              <w:outlineLvl w:val="1"/>
              <w:rPr>
                <w:rFonts w:ascii="宋体" w:hAnsi="宋体" w:cs="宋体"/>
                <w:color w:val="auto"/>
                <w:szCs w:val="21"/>
                <w:highlight w:val="none"/>
              </w:rPr>
            </w:pPr>
            <w:bookmarkStart w:id="22" w:name="_Toc28618"/>
            <w:r>
              <w:rPr>
                <w:rFonts w:hint="eastAsia" w:ascii="宋体" w:hAnsi="宋体" w:cs="宋体"/>
                <w:color w:val="auto"/>
                <w:szCs w:val="21"/>
                <w:highlight w:val="none"/>
              </w:rPr>
              <w:t>1</w:t>
            </w:r>
            <w:bookmarkEnd w:id="22"/>
          </w:p>
        </w:tc>
        <w:tc>
          <w:tcPr>
            <w:tcW w:w="1789" w:type="dxa"/>
            <w:vAlign w:val="center"/>
          </w:tcPr>
          <w:p w14:paraId="76F0C6D2">
            <w:pPr>
              <w:spacing w:line="240" w:lineRule="auto"/>
              <w:ind w:firstLine="0" w:firstLineChars="0"/>
              <w:jc w:val="both"/>
              <w:outlineLvl w:val="1"/>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潢财竞磋采购-2026-46</w:t>
            </w:r>
          </w:p>
        </w:tc>
        <w:tc>
          <w:tcPr>
            <w:tcW w:w="3449" w:type="dxa"/>
            <w:vAlign w:val="center"/>
          </w:tcPr>
          <w:p w14:paraId="1F95854B">
            <w:pPr>
              <w:spacing w:line="240" w:lineRule="auto"/>
              <w:ind w:firstLine="0" w:firstLineChars="0"/>
              <w:jc w:val="center"/>
              <w:outlineLvl w:val="1"/>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潢川县灌区水库事务中心潢川县2026年度小型水库大坝安全鉴定项目</w:t>
            </w:r>
          </w:p>
        </w:tc>
        <w:tc>
          <w:tcPr>
            <w:tcW w:w="1317" w:type="dxa"/>
            <w:vAlign w:val="center"/>
          </w:tcPr>
          <w:p w14:paraId="71A03BD7">
            <w:pPr>
              <w:spacing w:line="240" w:lineRule="auto"/>
              <w:ind w:firstLine="0" w:firstLineChars="0"/>
              <w:jc w:val="center"/>
              <w:outlineLvl w:val="1"/>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460899.41</w:t>
            </w:r>
          </w:p>
        </w:tc>
        <w:tc>
          <w:tcPr>
            <w:tcW w:w="1605" w:type="dxa"/>
            <w:vAlign w:val="center"/>
          </w:tcPr>
          <w:p w14:paraId="0EDBC02B">
            <w:pPr>
              <w:spacing w:line="240" w:lineRule="auto"/>
              <w:ind w:firstLine="0" w:firstLineChars="0"/>
              <w:jc w:val="center"/>
              <w:outlineLvl w:val="1"/>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460899.41</w:t>
            </w:r>
          </w:p>
        </w:tc>
      </w:tr>
      <w:bookmarkEnd w:id="16"/>
    </w:tbl>
    <w:p w14:paraId="1B7AAB27">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5.采购需求（包括但不限于标的的名称、数量、简要技术需求或服务要求等）</w:t>
      </w:r>
    </w:p>
    <w:p w14:paraId="2EC0B75B">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5.1招标内容：对202</w:t>
      </w:r>
      <w:r>
        <w:rPr>
          <w:rFonts w:hint="eastAsia" w:ascii="宋体" w:hAnsi="宋体" w:cs="宋体"/>
          <w:b w:val="0"/>
          <w:bCs w:val="0"/>
          <w:color w:val="auto"/>
          <w:szCs w:val="21"/>
          <w:highlight w:val="none"/>
          <w:lang w:val="en-US" w:eastAsia="zh-CN"/>
        </w:rPr>
        <w:t>1</w:t>
      </w:r>
      <w:r>
        <w:rPr>
          <w:rFonts w:hint="eastAsia" w:ascii="宋体" w:hAnsi="宋体" w:eastAsia="宋体" w:cs="宋体"/>
          <w:b w:val="0"/>
          <w:bCs w:val="0"/>
          <w:color w:val="auto"/>
          <w:szCs w:val="21"/>
          <w:highlight w:val="none"/>
          <w:lang w:val="en-US" w:eastAsia="zh-CN"/>
        </w:rPr>
        <w:t>年除险加固的</w:t>
      </w:r>
      <w:r>
        <w:rPr>
          <w:rFonts w:hint="eastAsia" w:ascii="宋体" w:hAnsi="宋体" w:cs="宋体"/>
          <w:b w:val="0"/>
          <w:bCs w:val="0"/>
          <w:color w:val="auto"/>
          <w:szCs w:val="21"/>
          <w:highlight w:val="none"/>
          <w:lang w:val="en-US" w:eastAsia="zh-CN"/>
        </w:rPr>
        <w:t>16</w:t>
      </w:r>
      <w:r>
        <w:rPr>
          <w:rFonts w:hint="eastAsia" w:ascii="宋体" w:hAnsi="宋体" w:eastAsia="宋体" w:cs="宋体"/>
          <w:b w:val="0"/>
          <w:bCs w:val="0"/>
          <w:color w:val="auto"/>
          <w:szCs w:val="21"/>
          <w:highlight w:val="none"/>
          <w:lang w:val="en-US" w:eastAsia="zh-CN"/>
        </w:rPr>
        <w:t>座小</w:t>
      </w:r>
      <w:r>
        <w:rPr>
          <w:rFonts w:hint="eastAsia" w:ascii="宋体" w:hAnsi="宋体" w:cs="宋体"/>
          <w:b w:val="0"/>
          <w:bCs w:val="0"/>
          <w:color w:val="auto"/>
          <w:szCs w:val="21"/>
          <w:highlight w:val="none"/>
          <w:lang w:val="en-US" w:eastAsia="zh-CN"/>
        </w:rPr>
        <w:t>二</w:t>
      </w:r>
      <w:r>
        <w:rPr>
          <w:rFonts w:hint="eastAsia" w:ascii="宋体" w:hAnsi="宋体" w:eastAsia="宋体" w:cs="宋体"/>
          <w:b w:val="0"/>
          <w:bCs w:val="0"/>
          <w:color w:val="auto"/>
          <w:szCs w:val="21"/>
          <w:highlight w:val="none"/>
          <w:lang w:val="en-US" w:eastAsia="zh-CN"/>
        </w:rPr>
        <w:t>类水库进行安全鉴定</w:t>
      </w:r>
    </w:p>
    <w:p w14:paraId="29DF2E24">
      <w:pPr>
        <w:adjustRightInd w:val="0"/>
        <w:snapToGrid w:val="0"/>
        <w:spacing w:line="360" w:lineRule="auto"/>
        <w:ind w:firstLine="422"/>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5.2.服务期限：合同签订后60日历天</w:t>
      </w:r>
    </w:p>
    <w:p w14:paraId="41684321">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5.3.质量要求：符合相关行业标准及采购人要求；</w:t>
      </w:r>
    </w:p>
    <w:p w14:paraId="6EBC03DE">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5.4.标段划分：共分为1个标段</w:t>
      </w:r>
    </w:p>
    <w:p w14:paraId="365ED875">
      <w:pPr>
        <w:adjustRightInd w:val="0"/>
        <w:snapToGrid w:val="0"/>
        <w:spacing w:line="360" w:lineRule="auto"/>
        <w:ind w:firstLine="422"/>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6.合同履行期限：</w:t>
      </w:r>
      <w:r>
        <w:rPr>
          <w:rFonts w:hint="eastAsia" w:ascii="宋体" w:hAnsi="宋体" w:cs="宋体"/>
          <w:color w:val="auto"/>
          <w:kern w:val="0"/>
          <w:szCs w:val="21"/>
          <w:highlight w:val="none"/>
        </w:rPr>
        <w:t>合同签订后60日历天</w:t>
      </w:r>
    </w:p>
    <w:p w14:paraId="615EF8A2">
      <w:pPr>
        <w:adjustRightInd w:val="0"/>
        <w:snapToGrid w:val="0"/>
        <w:spacing w:line="360" w:lineRule="auto"/>
        <w:ind w:firstLine="422"/>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7.本项目不接受联合体投标；</w:t>
      </w:r>
    </w:p>
    <w:p w14:paraId="3BEB5A0A">
      <w:pPr>
        <w:adjustRightInd w:val="0"/>
        <w:snapToGrid w:val="0"/>
        <w:spacing w:line="360" w:lineRule="auto"/>
        <w:ind w:firstLine="422"/>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8.是否接受进口产品：否；</w:t>
      </w:r>
    </w:p>
    <w:p w14:paraId="31F48C91">
      <w:pPr>
        <w:adjustRightInd w:val="0"/>
        <w:snapToGrid w:val="0"/>
        <w:spacing w:line="360" w:lineRule="auto"/>
        <w:ind w:firstLine="422"/>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9.是否专门面向中小企业：是。</w:t>
      </w:r>
    </w:p>
    <w:p w14:paraId="7CC76FDA">
      <w:pPr>
        <w:adjustRightInd w:val="0"/>
        <w:snapToGrid w:val="0"/>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二、申请人资格要求</w:t>
      </w:r>
    </w:p>
    <w:p w14:paraId="32988F18">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1、满足《中华人民共和国政府采购法》第二十二条规定。</w:t>
      </w:r>
    </w:p>
    <w:p w14:paraId="29C97D7E">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2、落实政府采购政策满足的资格要求：</w:t>
      </w:r>
    </w:p>
    <w:p w14:paraId="1AC1FAD1">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本项目专门面向中小企业采购，落实中小企业发展，支持节能环保政策，扶持监狱、残疾人福利性单位等政府采购政策。</w:t>
      </w:r>
    </w:p>
    <w:p w14:paraId="56E536A1">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3.本项目的特定资格要求：</w:t>
      </w:r>
    </w:p>
    <w:p w14:paraId="571CFDF1">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（1）供应商必须满足《中华人民共和国政府采购法》第二十二条之规定：</w:t>
      </w:r>
    </w:p>
    <w:p w14:paraId="1A3CE7CF">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①具有独立承担民事责任的能力（提供法人或者其他组织的营业执照等证明文件）；</w:t>
      </w:r>
    </w:p>
    <w:p w14:paraId="3BDE8EDA">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②具有良好的商业信誉和健全的财务会计制度（提供经审计的</w:t>
      </w:r>
      <w:r>
        <w:rPr>
          <w:rFonts w:hint="eastAsia" w:ascii="宋体" w:hAnsi="宋体" w:cs="宋体"/>
          <w:b w:val="0"/>
          <w:bCs w:val="0"/>
          <w:color w:val="auto"/>
          <w:szCs w:val="21"/>
          <w:highlight w:val="none"/>
          <w:lang w:val="en-US" w:eastAsia="zh-CN"/>
        </w:rPr>
        <w:t>2025</w:t>
      </w:r>
      <w:r>
        <w:rPr>
          <w:rFonts w:hint="eastAsia" w:ascii="宋体" w:hAnsi="宋体" w:eastAsia="宋体" w:cs="宋体"/>
          <w:b w:val="0"/>
          <w:bCs w:val="0"/>
          <w:color w:val="auto"/>
          <w:szCs w:val="21"/>
          <w:highlight w:val="none"/>
          <w:lang w:val="en-US" w:eastAsia="zh-CN"/>
        </w:rPr>
        <w:t>年度财务报告或基本户银行出具的近期资信证明）；</w:t>
      </w:r>
    </w:p>
    <w:p w14:paraId="60322001">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③具有履行合同所必需的设备和专业技术能力（自行作出承诺，格式自拟）；</w:t>
      </w:r>
    </w:p>
    <w:p w14:paraId="12F12C61">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④依法缴纳税收的证明材料（默认开标前12个月内任意3个月纳税证明，新成立公司不足3个月的，按已缴纳月份提供）；</w:t>
      </w:r>
    </w:p>
    <w:p w14:paraId="1D5A230C">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⑤依法缴纳社会保障资金的证明材料（默认开标前12个月内任意3个月缴纳社会保障证明，新成立公司不足3个月的，按已缴纳月份提供）；</w:t>
      </w:r>
    </w:p>
    <w:p w14:paraId="7BA547CD">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⑥具备履行政府采购合同所必需的设备和专业技术能力的证明材料（默认履行合同的法定营业执照、资质证书等）；</w:t>
      </w:r>
    </w:p>
    <w:p w14:paraId="7D5C705D">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⑦参加政府采购活动前三年内在经营活动中没有重大违法记录的证明材料；</w:t>
      </w:r>
    </w:p>
    <w:p w14:paraId="4CF57308">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（2）供应商须具</w:t>
      </w:r>
      <w:r>
        <w:rPr>
          <w:rFonts w:hint="eastAsia" w:ascii="宋体" w:hAnsi="宋体" w:cs="宋体"/>
          <w:b w:val="0"/>
          <w:bCs w:val="0"/>
          <w:color w:val="auto"/>
          <w:szCs w:val="21"/>
          <w:highlight w:val="none"/>
          <w:lang w:val="en-US" w:eastAsia="zh-CN"/>
        </w:rPr>
        <w:t>有</w:t>
      </w:r>
      <w:r>
        <w:rPr>
          <w:rFonts w:hint="eastAsia" w:ascii="宋体" w:hAnsi="宋体" w:eastAsia="宋体" w:cs="宋体"/>
          <w:b w:val="0"/>
          <w:bCs w:val="0"/>
          <w:color w:val="auto"/>
          <w:szCs w:val="21"/>
          <w:highlight w:val="none"/>
          <w:lang w:val="en-US" w:eastAsia="zh-CN"/>
        </w:rPr>
        <w:t>工程设计水利行业专业乙级及以上资质和工程勘察专业类乙级及以上资质；</w:t>
      </w:r>
    </w:p>
    <w:p w14:paraId="77442CB0">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（3）拟派项目负责人具有水利相关专业注册类证书和水利相关专业</w:t>
      </w:r>
      <w:r>
        <w:rPr>
          <w:rFonts w:hint="eastAsia" w:ascii="宋体" w:hAnsi="宋体" w:cs="宋体"/>
          <w:b w:val="0"/>
          <w:bCs w:val="0"/>
          <w:color w:val="auto"/>
          <w:szCs w:val="21"/>
          <w:highlight w:val="none"/>
          <w:lang w:val="en-US" w:eastAsia="zh-CN"/>
        </w:rPr>
        <w:t>高</w:t>
      </w:r>
      <w:r>
        <w:rPr>
          <w:rFonts w:hint="eastAsia" w:ascii="宋体" w:hAnsi="宋体" w:eastAsia="宋体" w:cs="宋体"/>
          <w:b w:val="0"/>
          <w:bCs w:val="0"/>
          <w:color w:val="auto"/>
          <w:szCs w:val="21"/>
          <w:highlight w:val="none"/>
          <w:lang w:val="en-US" w:eastAsia="zh-CN"/>
        </w:rPr>
        <w:t>级及以上职称；并提供聘用单位为其缴纳的</w:t>
      </w:r>
      <w:r>
        <w:rPr>
          <w:rFonts w:hint="eastAsia" w:ascii="宋体" w:hAnsi="宋体" w:cs="宋体"/>
          <w:b w:val="0"/>
          <w:bCs w:val="0"/>
          <w:color w:val="auto"/>
          <w:szCs w:val="21"/>
          <w:highlight w:val="none"/>
          <w:lang w:val="en-US" w:eastAsia="zh-CN"/>
        </w:rPr>
        <w:t>2026</w:t>
      </w:r>
      <w:r>
        <w:rPr>
          <w:rFonts w:hint="eastAsia" w:ascii="宋体" w:hAnsi="宋体" w:eastAsia="宋体" w:cs="宋体"/>
          <w:b w:val="0"/>
          <w:bCs w:val="0"/>
          <w:color w:val="auto"/>
          <w:szCs w:val="21"/>
          <w:highlight w:val="none"/>
          <w:lang w:val="en-US" w:eastAsia="zh-CN"/>
        </w:rPr>
        <w:t>年度以来任意三个月的养老保险缴纳证明材料（若为刚入职新进人员，提供情况说明）</w:t>
      </w:r>
    </w:p>
    <w:p w14:paraId="1AA8D5A8">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4）信誉要求：根据《关于在政府采购活动中查询及使用信用记录有关问题的通知》财库[2016]125号文件和豫财购【2016】15号文件的规定，供应商应提供“信用中国”网站（www.creditchina.gov.cn）查询“失信被执行人（跳转至中国执行信息公开网）”、“重大税收违法失信主体”和“政府采购严重违法失信行为记录名单”；中国政府采购网（www.ccgp.gov.cn）查询“政府采购严重违法失信行为记录名单”渠道查询自身信用记录，提供查询网页截图，查询截止时点为：从公告发布之日起至投标截止之日止。</w:t>
      </w:r>
    </w:p>
    <w:p w14:paraId="5D1C0D6D">
      <w:pPr>
        <w:adjustRightInd w:val="0"/>
        <w:snapToGrid w:val="0"/>
        <w:spacing w:line="360" w:lineRule="auto"/>
        <w:ind w:firstLine="422"/>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（5）单位负责人为同一人或者存在直接控股、管理关系的不同单位，不得同时参加同一合同项下的政府采购活动。</w:t>
      </w:r>
    </w:p>
    <w:p w14:paraId="34FA6C1A">
      <w:pPr>
        <w:adjustRightInd w:val="0"/>
        <w:snapToGrid w:val="0"/>
        <w:spacing w:line="360" w:lineRule="auto"/>
        <w:ind w:firstLine="422"/>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三、获取</w:t>
      </w:r>
      <w:r>
        <w:rPr>
          <w:rFonts w:hint="eastAsia" w:ascii="宋体" w:hAnsi="宋体" w:cs="宋体"/>
          <w:b/>
          <w:bCs/>
          <w:color w:val="auto"/>
          <w:szCs w:val="21"/>
          <w:highlight w:val="none"/>
          <w:lang w:eastAsia="zh-CN"/>
        </w:rPr>
        <w:t>磋商文件</w:t>
      </w:r>
    </w:p>
    <w:p w14:paraId="11A35BF4">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时间：</w:t>
      </w:r>
      <w:r>
        <w:rPr>
          <w:rFonts w:hint="eastAsia" w:ascii="宋体" w:hAnsi="宋体" w:cs="宋体"/>
          <w:color w:val="auto"/>
          <w:szCs w:val="21"/>
          <w:highlight w:val="none"/>
          <w:lang w:val="en-US" w:eastAsia="zh-CN"/>
        </w:rPr>
        <w:t xml:space="preserve"> 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08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28</w:t>
      </w:r>
      <w:r>
        <w:rPr>
          <w:rFonts w:hint="eastAsia" w:ascii="宋体" w:hAnsi="宋体" w:cs="宋体"/>
          <w:color w:val="auto"/>
          <w:szCs w:val="21"/>
          <w:highlight w:val="none"/>
        </w:rPr>
        <w:t>日00时00分至</w:t>
      </w:r>
      <w:r>
        <w:rPr>
          <w:rFonts w:hint="eastAsia" w:ascii="宋体" w:hAnsi="宋体" w:cs="宋体"/>
          <w:color w:val="auto"/>
          <w:szCs w:val="21"/>
          <w:highlight w:val="none"/>
          <w:lang w:val="en-US" w:eastAsia="zh-CN"/>
        </w:rPr>
        <w:t xml:space="preserve"> 2026 </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09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04 </w:t>
      </w:r>
      <w:r>
        <w:rPr>
          <w:rFonts w:hint="eastAsia" w:ascii="宋体" w:hAnsi="宋体" w:cs="宋体"/>
          <w:color w:val="auto"/>
          <w:szCs w:val="21"/>
          <w:highlight w:val="none"/>
        </w:rPr>
        <w:t>日23时59分（北京时间）；</w:t>
      </w:r>
    </w:p>
    <w:p w14:paraId="139F487F">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地点：登录“全国公共资源交易平台（河南省·信阳市）（https://ggzyjy.xinyang.gov.cn/）”网站，凭办理的企业身份认证锁（CA数字证书）登录会员系统进行网上投标；</w:t>
      </w:r>
    </w:p>
    <w:p w14:paraId="1BF1F968">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3、方式：</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凭CA数字证书登录会员系统后，即可按网上提示免费下载</w:t>
      </w:r>
      <w:r>
        <w:rPr>
          <w:rFonts w:hint="eastAsia" w:ascii="宋体" w:hAnsi="宋体" w:cs="宋体"/>
          <w:color w:val="auto"/>
          <w:szCs w:val="21"/>
          <w:highlight w:val="none"/>
          <w:lang w:eastAsia="zh-CN"/>
        </w:rPr>
        <w:t>磋商文件</w:t>
      </w:r>
      <w:r>
        <w:rPr>
          <w:rFonts w:hint="eastAsia" w:ascii="宋体" w:hAnsi="宋体" w:cs="宋体"/>
          <w:color w:val="auto"/>
          <w:szCs w:val="21"/>
          <w:highlight w:val="none"/>
        </w:rPr>
        <w:t>及资料（操作程序详见信阳市公共资源交易中心网站下载中心栏目里</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操作手册）。</w:t>
      </w:r>
      <w:r>
        <w:rPr>
          <w:rFonts w:hint="eastAsia" w:ascii="宋体" w:hAnsi="宋体" w:cs="宋体"/>
          <w:color w:val="auto"/>
          <w:szCs w:val="21"/>
          <w:highlight w:val="none"/>
          <w:lang w:eastAsia="zh-CN"/>
        </w:rPr>
        <w:t>磋商文件</w:t>
      </w:r>
      <w:r>
        <w:rPr>
          <w:rFonts w:hint="eastAsia" w:ascii="宋体" w:hAnsi="宋体" w:cs="宋体"/>
          <w:color w:val="auto"/>
          <w:szCs w:val="21"/>
          <w:highlight w:val="none"/>
        </w:rPr>
        <w:t>(*.XYZF格式)下载后需使用“信阳市</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制作工具软件”打开（该工具软件可在“全国公共资源交易平台（河南省·信阳市）（https://ggzyjy.xinyang.gov.cn/）”网站下载中心栏目内下载或在</w:t>
      </w:r>
      <w:r>
        <w:rPr>
          <w:rFonts w:hint="eastAsia" w:ascii="宋体" w:hAnsi="宋体" w:cs="宋体"/>
          <w:color w:val="auto"/>
          <w:szCs w:val="21"/>
          <w:highlight w:val="none"/>
          <w:lang w:eastAsia="zh-CN"/>
        </w:rPr>
        <w:t>磋商文件</w:t>
      </w:r>
      <w:r>
        <w:rPr>
          <w:rFonts w:hint="eastAsia" w:ascii="宋体" w:hAnsi="宋体" w:cs="宋体"/>
          <w:color w:val="auto"/>
          <w:szCs w:val="21"/>
          <w:highlight w:val="none"/>
        </w:rPr>
        <w:t>领取页面下载）。</w:t>
      </w:r>
    </w:p>
    <w:p w14:paraId="7B801FF7">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4、售价：</w:t>
      </w:r>
      <w:r>
        <w:rPr>
          <w:rFonts w:hint="eastAsia" w:ascii="宋体" w:hAnsi="宋体" w:cs="宋体"/>
          <w:color w:val="auto"/>
          <w:szCs w:val="21"/>
          <w:highlight w:val="none"/>
          <w:lang w:eastAsia="zh-CN"/>
        </w:rPr>
        <w:t>磋商文件</w:t>
      </w:r>
      <w:r>
        <w:rPr>
          <w:rFonts w:hint="eastAsia" w:ascii="宋体" w:hAnsi="宋体" w:cs="宋体"/>
          <w:color w:val="auto"/>
          <w:szCs w:val="21"/>
          <w:highlight w:val="none"/>
        </w:rPr>
        <w:t>售价0元。</w:t>
      </w:r>
    </w:p>
    <w:p w14:paraId="364305E7">
      <w:pPr>
        <w:adjustRightInd w:val="0"/>
        <w:snapToGrid w:val="0"/>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四、</w:t>
      </w:r>
      <w:r>
        <w:rPr>
          <w:rFonts w:hint="eastAsia" w:ascii="宋体" w:hAnsi="宋体" w:cs="宋体"/>
          <w:b/>
          <w:bCs/>
          <w:color w:val="auto"/>
          <w:szCs w:val="21"/>
          <w:highlight w:val="none"/>
          <w:lang w:eastAsia="zh-CN"/>
        </w:rPr>
        <w:t>响应文件</w:t>
      </w:r>
      <w:r>
        <w:rPr>
          <w:rFonts w:hint="eastAsia" w:ascii="宋体" w:hAnsi="宋体" w:cs="宋体"/>
          <w:b/>
          <w:bCs/>
          <w:color w:val="auto"/>
          <w:szCs w:val="21"/>
          <w:highlight w:val="none"/>
        </w:rPr>
        <w:t>提交的截止时间及地点</w:t>
      </w:r>
    </w:p>
    <w:p w14:paraId="4AD6B9A4">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val="en-US" w:eastAsia="zh-CN"/>
        </w:rPr>
        <w:t xml:space="preserve"> 2026 </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09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10 </w:t>
      </w:r>
      <w:r>
        <w:rPr>
          <w:rFonts w:hint="eastAsia" w:ascii="宋体" w:hAnsi="宋体" w:cs="宋体"/>
          <w:color w:val="auto"/>
          <w:szCs w:val="21"/>
          <w:highlight w:val="none"/>
        </w:rPr>
        <w:t>日09时30分（北京时间）</w:t>
      </w:r>
    </w:p>
    <w:p w14:paraId="1E2D7305">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2、地点：本项目为不见面开标项目，</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递交地点为《信阳市公共资源交易网（http://https://ggzyjy.xinyang.gov.cn//）》电子招投标平台会员系统指定位置。</w:t>
      </w:r>
    </w:p>
    <w:p w14:paraId="6E47AEB9">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3、加密电子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逾期上传采购人不予受理。</w:t>
      </w:r>
    </w:p>
    <w:p w14:paraId="3EE657A2">
      <w:pPr>
        <w:adjustRightInd w:val="0"/>
        <w:snapToGrid w:val="0"/>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五、</w:t>
      </w:r>
      <w:r>
        <w:rPr>
          <w:rFonts w:hint="eastAsia" w:ascii="宋体" w:hAnsi="宋体" w:cs="宋体"/>
          <w:b/>
          <w:bCs/>
          <w:color w:val="auto"/>
          <w:szCs w:val="21"/>
          <w:highlight w:val="none"/>
          <w:lang w:eastAsia="zh-CN"/>
        </w:rPr>
        <w:t>响应文件</w:t>
      </w:r>
      <w:r>
        <w:rPr>
          <w:rFonts w:hint="eastAsia" w:ascii="宋体" w:hAnsi="宋体" w:cs="宋体"/>
          <w:b/>
          <w:bCs/>
          <w:color w:val="auto"/>
          <w:szCs w:val="21"/>
          <w:highlight w:val="none"/>
        </w:rPr>
        <w:t>的开启时间及地点</w:t>
      </w:r>
    </w:p>
    <w:p w14:paraId="0CC7355A">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val="en-US" w:eastAsia="zh-CN"/>
        </w:rPr>
        <w:t xml:space="preserve"> 2026 </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09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10 </w:t>
      </w:r>
      <w:r>
        <w:rPr>
          <w:rFonts w:hint="eastAsia" w:ascii="宋体" w:hAnsi="宋体" w:cs="宋体"/>
          <w:color w:val="auto"/>
          <w:szCs w:val="21"/>
          <w:highlight w:val="none"/>
        </w:rPr>
        <w:t>日09时30分（北京时间）</w:t>
      </w:r>
    </w:p>
    <w:p w14:paraId="6CD7A916">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2、地点：潢川县公共资源交易中心不见面开标室</w:t>
      </w:r>
    </w:p>
    <w:p w14:paraId="75914700">
      <w:pPr>
        <w:adjustRightInd w:val="0"/>
        <w:snapToGrid w:val="0"/>
        <w:spacing w:line="360" w:lineRule="auto"/>
        <w:ind w:firstLine="422"/>
        <w:jc w:val="left"/>
        <w:rPr>
          <w:rFonts w:ascii="宋体" w:hAnsi="宋体" w:cs="宋体"/>
          <w:b/>
          <w:bCs/>
          <w:color w:val="auto"/>
          <w:szCs w:val="21"/>
          <w:highlight w:val="none"/>
        </w:rPr>
      </w:pPr>
      <w:r>
        <w:rPr>
          <w:rFonts w:hint="eastAsia" w:ascii="宋体" w:hAnsi="宋体" w:cs="宋体"/>
          <w:b/>
          <w:bCs/>
          <w:color w:val="auto"/>
          <w:szCs w:val="21"/>
          <w:highlight w:val="none"/>
        </w:rPr>
        <w:t>六、发布公告的媒介及公告期限</w:t>
      </w:r>
    </w:p>
    <w:p w14:paraId="4B71BE80">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本次招标公告在《河南省政府采购网》、《全国公共资源交易平台（河南省·信阳市）》上发布，招标公告期限为五个工作日。</w:t>
      </w:r>
    </w:p>
    <w:p w14:paraId="73B2E613">
      <w:pPr>
        <w:adjustRightInd w:val="0"/>
        <w:snapToGrid w:val="0"/>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七、其他补充事宜</w:t>
      </w:r>
    </w:p>
    <w:p w14:paraId="3C010B9E">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注册：投标企业首先登录“全国公共资源交易平台（河南省·信阳市）（https://ggzyjy.xinyang.gov.cn/）”网站进行交易主体注册，按网站公告通知有关要求填报企业信息并上传有关原件扫描件至诚信库，不需携带原件到信阳市公共资源交易中心进行审核。</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应对所上传材料的真实性、合法性、有效性负责，其上传的信息将全部对外公示，接受社会监督。</w:t>
      </w:r>
    </w:p>
    <w:p w14:paraId="08A7CF7A">
      <w:pPr>
        <w:adjustRightInd w:val="0"/>
        <w:snapToGrid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办理CA数字证书：完成企业诚信库注册后，必须办理CA数字证书方可在网上办理招投标相关业务。</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根据信阳市公共资源交易网通知公告栏目中《关于信阳市公共资源交易平台数字证书（CA）互认系统正式上线运行的通知》要求，自行选择CA数字证书服务商，线上、线下办理CA数字证书。</w:t>
      </w:r>
    </w:p>
    <w:p w14:paraId="43DA84ED">
      <w:pPr>
        <w:adjustRightInd w:val="0"/>
        <w:snapToGrid w:val="0"/>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请</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下载</w:t>
      </w:r>
      <w:r>
        <w:rPr>
          <w:rFonts w:hint="eastAsia" w:ascii="宋体" w:hAnsi="宋体" w:cs="宋体"/>
          <w:color w:val="auto"/>
          <w:szCs w:val="21"/>
          <w:highlight w:val="none"/>
          <w:lang w:eastAsia="zh-CN"/>
        </w:rPr>
        <w:t>磋商文件</w:t>
      </w:r>
      <w:r>
        <w:rPr>
          <w:rFonts w:hint="eastAsia" w:ascii="宋体" w:hAnsi="宋体" w:cs="宋体"/>
          <w:color w:val="auto"/>
          <w:szCs w:val="21"/>
          <w:highlight w:val="none"/>
        </w:rPr>
        <w:t>后及时关注系统业务菜单（“答疑澄清文件领取”，“控制价文件领取”）内该项目是否有新的答疑澄清文件或控制价文件。如有请直接下载，不再另行通知。</w:t>
      </w:r>
    </w:p>
    <w:p w14:paraId="69BAC9BF">
      <w:pPr>
        <w:adjustRightInd w:val="0"/>
        <w:snapToGrid w:val="0"/>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本项目采用“不见面开标”交易方式，不见面开标大厅网址为 https://ggzyjy.xinyang.gov.cn/BidOpening，</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无需寄送和递交非加密的电子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，无需到现场参加开标会议，无需到达现场提交原件资料。</w:t>
      </w:r>
    </w:p>
    <w:p w14:paraId="160D8DC6">
      <w:pP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应当在投标截止时间前，使用</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CA数字证书登录不见面开标大厅，在线签到并准时参加开标活动，并在规定时间内完成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解密、答疑澄清等。</w:t>
      </w:r>
    </w:p>
    <w:p w14:paraId="0BCCE425">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、逾期解密或者没有准时在线参加开标活动导致的一切后果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自行承担。</w:t>
      </w:r>
    </w:p>
    <w:p w14:paraId="4E7CC14F">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、不见面开标服务的具体事宜，请查阅信阳市公共资源交易中心网站首页—下载中心—信阳市不见面开标大厅系统操作手册 。</w:t>
      </w:r>
    </w:p>
    <w:p w14:paraId="1E3FE42B">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、本项目招标代理服务费参照《河南省招标代理服务收费指导意见》豫招协【2023】002号文件的规定收取代理费用，约</w:t>
      </w:r>
      <w:r>
        <w:rPr>
          <w:rFonts w:hint="eastAsia" w:ascii="宋体" w:hAnsi="宋体" w:cs="宋体"/>
          <w:color w:val="auto"/>
          <w:szCs w:val="21"/>
          <w:highlight w:val="none"/>
          <w:lang w:val="en-US" w:eastAsia="zh-CN"/>
        </w:rPr>
        <w:t>7835</w:t>
      </w:r>
      <w:r>
        <w:rPr>
          <w:rFonts w:hint="eastAsia" w:ascii="宋体" w:hAnsi="宋体" w:cs="宋体"/>
          <w:color w:val="auto"/>
          <w:szCs w:val="21"/>
          <w:highlight w:val="none"/>
        </w:rPr>
        <w:t>元。</w:t>
      </w:r>
    </w:p>
    <w:p w14:paraId="4070BD7A">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特别提示：</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在线签到时，应如实准确的填写授权委托人的联系电话，开标当天请务必保证电话保持畅通。</w:t>
      </w:r>
    </w:p>
    <w:p w14:paraId="7DFA2A96">
      <w:pPr>
        <w:numPr>
          <w:ilvl w:val="0"/>
          <w:numId w:val="0"/>
        </w:num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9、</w:t>
      </w:r>
      <w:r>
        <w:rPr>
          <w:rFonts w:hint="eastAsia" w:ascii="宋体" w:hAnsi="宋体" w:cs="宋体"/>
          <w:color w:val="auto"/>
          <w:szCs w:val="21"/>
          <w:highlight w:val="none"/>
        </w:rPr>
        <w:t>监督单位：潢川县政府采购管理办公室 监督电话：0376-5528602</w:t>
      </w:r>
    </w:p>
    <w:p w14:paraId="31E105C1">
      <w:pPr>
        <w:numPr>
          <w:ilvl w:val="0"/>
          <w:numId w:val="0"/>
        </w:numPr>
        <w:adjustRightInd w:val="0"/>
        <w:snapToGrid w:val="0"/>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八、对本次招标提出询问，请按以下方式联系：</w:t>
      </w:r>
    </w:p>
    <w:p w14:paraId="3117718C">
      <w:pPr>
        <w:adjustRightInd w:val="0"/>
        <w:snapToGrid w:val="0"/>
        <w:spacing w:line="312" w:lineRule="auto"/>
        <w:ind w:firstLine="420"/>
        <w:rPr>
          <w:rFonts w:ascii="宋体" w:hAnsi="宋体" w:cs="宋体"/>
          <w:color w:val="auto"/>
          <w:szCs w:val="21"/>
          <w:highlight w:val="none"/>
        </w:rPr>
      </w:pPr>
      <w:r>
        <w:rPr>
          <w:rFonts w:hint="eastAsia" w:ascii="宋体" w:hAnsi="宋体" w:cs="宋体"/>
          <w:color w:val="auto"/>
          <w:szCs w:val="21"/>
          <w:highlight w:val="none"/>
        </w:rPr>
        <w:t xml:space="preserve">1.采购人信息 </w:t>
      </w:r>
    </w:p>
    <w:p w14:paraId="7E3FD8F5">
      <w:pPr>
        <w:adjustRightInd w:val="0"/>
        <w:snapToGrid w:val="0"/>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采 购 人：</w:t>
      </w:r>
      <w:r>
        <w:rPr>
          <w:rFonts w:hint="eastAsia" w:ascii="宋体" w:hAnsi="宋体" w:cs="宋体"/>
          <w:color w:val="auto"/>
          <w:szCs w:val="21"/>
          <w:highlight w:val="none"/>
          <w:lang w:eastAsia="zh-CN"/>
        </w:rPr>
        <w:t>潢川县灌区水库事务中心</w:t>
      </w:r>
    </w:p>
    <w:p w14:paraId="3CC57B61">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地    址：潢川县跃进路91号</w:t>
      </w:r>
    </w:p>
    <w:p w14:paraId="17C1F0F4">
      <w:pPr>
        <w:adjustRightInd w:val="0"/>
        <w:snapToGrid w:val="0"/>
        <w:spacing w:line="360" w:lineRule="auto"/>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 系 人：</w:t>
      </w:r>
      <w:r>
        <w:rPr>
          <w:rFonts w:hint="eastAsia" w:ascii="宋体" w:hAnsi="宋体" w:cs="宋体"/>
          <w:color w:val="auto"/>
          <w:szCs w:val="21"/>
          <w:highlight w:val="none"/>
          <w:lang w:val="en-US" w:eastAsia="zh-CN"/>
        </w:rPr>
        <w:t>徐先生</w:t>
      </w:r>
    </w:p>
    <w:p w14:paraId="205D497B">
      <w:pPr>
        <w:adjustRightInd w:val="0"/>
        <w:snapToGrid w:val="0"/>
        <w:spacing w:line="360" w:lineRule="auto"/>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联系方式：15188598882</w:t>
      </w:r>
    </w:p>
    <w:p w14:paraId="5943C8B6">
      <w:pPr>
        <w:adjustRightInd w:val="0"/>
        <w:snapToGrid w:val="0"/>
        <w:spacing w:line="312" w:lineRule="auto"/>
        <w:ind w:firstLine="420"/>
        <w:rPr>
          <w:rFonts w:ascii="宋体" w:hAnsi="宋体" w:cs="宋体"/>
          <w:color w:val="auto"/>
          <w:szCs w:val="21"/>
          <w:highlight w:val="none"/>
        </w:rPr>
      </w:pPr>
      <w:r>
        <w:rPr>
          <w:rFonts w:hint="eastAsia" w:ascii="宋体" w:hAnsi="宋体" w:cs="宋体"/>
          <w:color w:val="auto"/>
          <w:szCs w:val="21"/>
          <w:highlight w:val="none"/>
        </w:rPr>
        <w:t xml:space="preserve">2.采购代理机构信息 </w:t>
      </w:r>
    </w:p>
    <w:p w14:paraId="6F3A3E16">
      <w:pPr>
        <w:widowControl/>
        <w:spacing w:line="400" w:lineRule="exact"/>
        <w:ind w:firstLine="420" w:firstLineChars="200"/>
        <w:jc w:val="left"/>
        <w:rPr>
          <w:rFonts w:hint="eastAsia" w:ascii="宋体" w:hAnsi="宋体" w:cs="宋体"/>
          <w:color w:val="auto"/>
          <w:kern w:val="0"/>
          <w:szCs w:val="21"/>
          <w:highlight w:val="none"/>
          <w:lang w:eastAsia="zh-CN"/>
        </w:rPr>
      </w:pPr>
      <w:bookmarkStart w:id="23" w:name="_Toc27887"/>
      <w:r>
        <w:rPr>
          <w:rFonts w:hint="eastAsia" w:ascii="宋体" w:hAnsi="宋体" w:cs="宋体"/>
          <w:color w:val="auto"/>
          <w:kern w:val="0"/>
          <w:szCs w:val="21"/>
          <w:highlight w:val="none"/>
        </w:rPr>
        <w:t>采购代理机构：</w:t>
      </w:r>
      <w:r>
        <w:rPr>
          <w:rFonts w:hint="eastAsia" w:ascii="宋体" w:hAnsi="宋体" w:cs="宋体"/>
          <w:color w:val="auto"/>
          <w:kern w:val="0"/>
          <w:szCs w:val="21"/>
          <w:highlight w:val="none"/>
          <w:lang w:eastAsia="zh-CN"/>
        </w:rPr>
        <w:t>中招（河南）国际工程管理咨询有限公司</w:t>
      </w:r>
    </w:p>
    <w:p w14:paraId="6B5E946C">
      <w:pPr>
        <w:pageBreakBefore w:val="0"/>
        <w:widowControl/>
        <w:kinsoku/>
        <w:wordWrap/>
        <w:overflowPunct/>
        <w:topLinePunct w:val="0"/>
        <w:autoSpaceDE/>
        <w:bidi w:val="0"/>
        <w:adjustRightInd/>
        <w:snapToGrid/>
        <w:spacing w:line="400" w:lineRule="exact"/>
        <w:ind w:firstLine="420" w:firstLineChars="200"/>
        <w:jc w:val="left"/>
        <w:textAlignment w:val="auto"/>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rPr>
        <w:t>地</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址</w:t>
      </w:r>
      <w:r>
        <w:rPr>
          <w:rFonts w:hint="eastAsia" w:ascii="宋体" w:hAnsi="宋体" w:cs="宋体"/>
          <w:color w:val="auto"/>
          <w:kern w:val="0"/>
          <w:szCs w:val="21"/>
          <w:highlight w:val="none"/>
          <w:lang w:eastAsia="zh-CN"/>
        </w:rPr>
        <w:t>：</w:t>
      </w:r>
      <w:r>
        <w:rPr>
          <w:rFonts w:hint="eastAsia" w:ascii="宋体" w:hAnsi="宋体" w:cs="宋体"/>
          <w:color w:val="auto"/>
          <w:szCs w:val="21"/>
          <w:highlight w:val="none"/>
        </w:rPr>
        <w:t>河南省信阳市羊山新区新二十八大街前程大厦3层</w:t>
      </w:r>
    </w:p>
    <w:p w14:paraId="1DD0FD94">
      <w:pPr>
        <w:widowControl/>
        <w:spacing w:line="40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联系人：</w:t>
      </w:r>
      <w:r>
        <w:rPr>
          <w:rFonts w:hint="eastAsia" w:ascii="宋体" w:hAnsi="宋体" w:cs="宋体"/>
          <w:color w:val="auto"/>
          <w:kern w:val="0"/>
          <w:szCs w:val="21"/>
          <w:highlight w:val="none"/>
          <w:lang w:val="en-US" w:eastAsia="zh-CN"/>
        </w:rPr>
        <w:t>李先生</w:t>
      </w:r>
    </w:p>
    <w:p w14:paraId="4E88E324">
      <w:pPr>
        <w:widowControl/>
        <w:spacing w:line="40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电</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话：</w:t>
      </w:r>
      <w:r>
        <w:rPr>
          <w:rFonts w:hint="eastAsia" w:ascii="宋体" w:hAnsi="宋体" w:eastAsia="宋体" w:cs="宋体"/>
          <w:color w:val="auto"/>
          <w:kern w:val="0"/>
          <w:sz w:val="21"/>
          <w:szCs w:val="21"/>
          <w:highlight w:val="none"/>
          <w:lang w:val="en-US" w:eastAsia="zh-CN"/>
        </w:rPr>
        <w:t>17503767039（办）</w:t>
      </w:r>
    </w:p>
    <w:p w14:paraId="53B37D48">
      <w:pPr>
        <w:spacing w:line="500" w:lineRule="exact"/>
        <w:ind w:firstLine="420"/>
        <w:rPr>
          <w:rFonts w:ascii="宋体" w:hAnsi="宋体" w:cs="宋体"/>
          <w:bCs/>
          <w:color w:val="auto"/>
          <w:kern w:val="0"/>
          <w:highlight w:val="none"/>
        </w:rPr>
      </w:pPr>
      <w:r>
        <w:rPr>
          <w:rFonts w:hint="eastAsia" w:ascii="宋体" w:hAnsi="宋体" w:cs="宋体"/>
          <w:bCs/>
          <w:color w:val="auto"/>
          <w:kern w:val="0"/>
          <w:highlight w:val="none"/>
        </w:rPr>
        <w:t xml:space="preserve">3.项目联系方式 </w:t>
      </w:r>
    </w:p>
    <w:p w14:paraId="57B2644E">
      <w:pPr>
        <w:widowControl/>
        <w:spacing w:line="40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联系人：</w:t>
      </w:r>
      <w:r>
        <w:rPr>
          <w:rFonts w:hint="eastAsia" w:ascii="宋体" w:hAnsi="宋体" w:cs="宋体"/>
          <w:color w:val="auto"/>
          <w:kern w:val="0"/>
          <w:szCs w:val="21"/>
          <w:highlight w:val="none"/>
          <w:lang w:val="en-US" w:eastAsia="zh-CN"/>
        </w:rPr>
        <w:t>李先生</w:t>
      </w:r>
    </w:p>
    <w:p w14:paraId="1B908E0F">
      <w:pPr>
        <w:widowControl/>
        <w:spacing w:line="40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电</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话：</w:t>
      </w:r>
      <w:r>
        <w:rPr>
          <w:rFonts w:hint="eastAsia" w:ascii="宋体" w:hAnsi="宋体" w:eastAsia="宋体" w:cs="宋体"/>
          <w:color w:val="auto"/>
          <w:kern w:val="0"/>
          <w:sz w:val="21"/>
          <w:szCs w:val="21"/>
          <w:highlight w:val="none"/>
          <w:lang w:val="en-US" w:eastAsia="zh-CN"/>
        </w:rPr>
        <w:t>17503767039（办）</w:t>
      </w:r>
    </w:p>
    <w:p w14:paraId="06E32B70">
      <w:pPr>
        <w:pStyle w:val="4"/>
        <w:spacing w:line="240" w:lineRule="auto"/>
        <w:ind w:firstLine="0" w:firstLineChars="0"/>
        <w:rPr>
          <w:rFonts w:ascii="宋体" w:hAnsi="宋体"/>
          <w:color w:val="auto"/>
          <w:sz w:val="30"/>
          <w:szCs w:val="30"/>
          <w:highlight w:val="none"/>
        </w:rPr>
      </w:pPr>
      <w:r>
        <w:rPr>
          <w:rFonts w:hint="eastAsia" w:ascii="宋体" w:hAnsi="宋体"/>
          <w:color w:val="auto"/>
          <w:sz w:val="30"/>
          <w:szCs w:val="30"/>
          <w:highlight w:val="none"/>
        </w:rPr>
        <w:br w:type="page"/>
      </w:r>
      <w:bookmarkStart w:id="24" w:name="_Toc28731"/>
      <w:r>
        <w:rPr>
          <w:rStyle w:val="46"/>
          <w:rFonts w:hint="eastAsia"/>
          <w:b/>
          <w:bCs/>
          <w:color w:val="auto"/>
          <w:highlight w:val="none"/>
        </w:rPr>
        <w:t xml:space="preserve">第二章 </w:t>
      </w:r>
      <w:r>
        <w:rPr>
          <w:rStyle w:val="46"/>
          <w:rFonts w:hint="eastAsia"/>
          <w:b/>
          <w:bCs/>
          <w:color w:val="auto"/>
          <w:highlight w:val="none"/>
          <w:lang w:eastAsia="zh-CN"/>
        </w:rPr>
        <w:t>供应商</w:t>
      </w:r>
      <w:r>
        <w:rPr>
          <w:rStyle w:val="46"/>
          <w:rFonts w:hint="eastAsia"/>
          <w:b/>
          <w:bCs/>
          <w:color w:val="auto"/>
          <w:highlight w:val="none"/>
        </w:rPr>
        <w:t>须知</w:t>
      </w:r>
      <w:bookmarkEnd w:id="23"/>
      <w:bookmarkEnd w:id="24"/>
    </w:p>
    <w:p w14:paraId="29E513B9">
      <w:pPr>
        <w:pStyle w:val="5"/>
        <w:spacing w:line="240" w:lineRule="auto"/>
        <w:ind w:firstLine="0" w:firstLineChars="0"/>
        <w:jc w:val="center"/>
        <w:rPr>
          <w:color w:val="auto"/>
          <w:sz w:val="24"/>
          <w:szCs w:val="24"/>
          <w:highlight w:val="none"/>
        </w:rPr>
      </w:pPr>
      <w:bookmarkStart w:id="25" w:name="_Toc15527"/>
      <w:r>
        <w:rPr>
          <w:rFonts w:hint="eastAsia"/>
          <w:color w:val="auto"/>
          <w:sz w:val="24"/>
          <w:szCs w:val="24"/>
          <w:highlight w:val="none"/>
          <w:lang w:eastAsia="zh-CN"/>
        </w:rPr>
        <w:t>供应商</w:t>
      </w:r>
      <w:r>
        <w:rPr>
          <w:rFonts w:hint="eastAsia"/>
          <w:color w:val="auto"/>
          <w:sz w:val="24"/>
          <w:szCs w:val="24"/>
          <w:highlight w:val="none"/>
        </w:rPr>
        <w:t>须知前附表</w:t>
      </w:r>
      <w:bookmarkEnd w:id="25"/>
    </w:p>
    <w:tbl>
      <w:tblPr>
        <w:tblStyle w:val="28"/>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905"/>
        <w:gridCol w:w="6878"/>
      </w:tblGrid>
      <w:tr w14:paraId="54B3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916" w:type="dxa"/>
            <w:vAlign w:val="center"/>
          </w:tcPr>
          <w:p w14:paraId="2E29DA23">
            <w:pPr>
              <w:autoSpaceDE w:val="0"/>
              <w:autoSpaceDN w:val="0"/>
              <w:adjustRightInd w:val="0"/>
              <w:spacing w:line="240" w:lineRule="auto"/>
              <w:ind w:firstLine="0" w:firstLineChars="0"/>
              <w:rPr>
                <w:rFonts w:ascii="宋体" w:hAnsi="宋体" w:cs="宋体"/>
                <w:b/>
                <w:color w:val="auto"/>
                <w:kern w:val="0"/>
                <w:szCs w:val="21"/>
                <w:highlight w:val="none"/>
              </w:rPr>
            </w:pPr>
            <w:r>
              <w:rPr>
                <w:rFonts w:hint="eastAsia" w:ascii="宋体" w:hAnsi="宋体" w:cs="宋体"/>
                <w:b/>
                <w:color w:val="auto"/>
                <w:kern w:val="0"/>
                <w:szCs w:val="21"/>
                <w:highlight w:val="none"/>
              </w:rPr>
              <w:t>条款号</w:t>
            </w:r>
          </w:p>
        </w:tc>
        <w:tc>
          <w:tcPr>
            <w:tcW w:w="1905" w:type="dxa"/>
            <w:vAlign w:val="center"/>
          </w:tcPr>
          <w:p w14:paraId="155C2E6C">
            <w:pPr>
              <w:autoSpaceDE w:val="0"/>
              <w:autoSpaceDN w:val="0"/>
              <w:adjustRightInd w:val="0"/>
              <w:spacing w:line="240" w:lineRule="auto"/>
              <w:ind w:firstLine="422"/>
              <w:jc w:val="center"/>
              <w:rPr>
                <w:rFonts w:ascii="宋体" w:hAnsi="宋体" w:cs="宋体"/>
                <w:b/>
                <w:color w:val="auto"/>
                <w:kern w:val="0"/>
                <w:szCs w:val="21"/>
                <w:highlight w:val="none"/>
              </w:rPr>
            </w:pPr>
            <w:r>
              <w:rPr>
                <w:rFonts w:hint="eastAsia" w:ascii="宋体" w:hAnsi="宋体" w:cs="宋体"/>
                <w:b/>
                <w:color w:val="auto"/>
                <w:kern w:val="0"/>
                <w:szCs w:val="21"/>
                <w:highlight w:val="none"/>
              </w:rPr>
              <w:t>条 款 名 称</w:t>
            </w:r>
          </w:p>
        </w:tc>
        <w:tc>
          <w:tcPr>
            <w:tcW w:w="6878" w:type="dxa"/>
            <w:vAlign w:val="center"/>
          </w:tcPr>
          <w:p w14:paraId="65CC3179">
            <w:pPr>
              <w:autoSpaceDE w:val="0"/>
              <w:autoSpaceDN w:val="0"/>
              <w:adjustRightInd w:val="0"/>
              <w:spacing w:line="240" w:lineRule="auto"/>
              <w:ind w:firstLine="422"/>
              <w:jc w:val="center"/>
              <w:rPr>
                <w:rFonts w:ascii="宋体" w:hAnsi="宋体" w:cs="宋体"/>
                <w:b/>
                <w:color w:val="auto"/>
                <w:kern w:val="0"/>
                <w:szCs w:val="21"/>
                <w:highlight w:val="none"/>
              </w:rPr>
            </w:pPr>
            <w:r>
              <w:rPr>
                <w:rFonts w:hint="eastAsia" w:ascii="宋体" w:hAnsi="宋体" w:cs="宋体"/>
                <w:b/>
                <w:color w:val="auto"/>
                <w:kern w:val="0"/>
                <w:szCs w:val="21"/>
                <w:highlight w:val="none"/>
              </w:rPr>
              <w:t>编 列 内 容</w:t>
            </w:r>
          </w:p>
        </w:tc>
      </w:tr>
      <w:tr w14:paraId="2B06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916" w:type="dxa"/>
            <w:vAlign w:val="center"/>
          </w:tcPr>
          <w:p w14:paraId="7EAFA25F">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1.1.2</w:t>
            </w:r>
          </w:p>
        </w:tc>
        <w:tc>
          <w:tcPr>
            <w:tcW w:w="1905" w:type="dxa"/>
            <w:vAlign w:val="center"/>
          </w:tcPr>
          <w:p w14:paraId="5B7ABF82">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采购人</w:t>
            </w:r>
          </w:p>
        </w:tc>
        <w:tc>
          <w:tcPr>
            <w:tcW w:w="6878" w:type="dxa"/>
            <w:vAlign w:val="center"/>
          </w:tcPr>
          <w:p w14:paraId="387381F5">
            <w:pPr>
              <w:pStyle w:val="42"/>
              <w:jc w:val="both"/>
              <w:rPr>
                <w:rFonts w:hint="eastAsia" w:hAnsi="宋体" w:eastAsia="宋体"/>
                <w:color w:val="auto"/>
                <w:sz w:val="21"/>
                <w:szCs w:val="21"/>
                <w:highlight w:val="none"/>
                <w:lang w:eastAsia="zh-CN"/>
              </w:rPr>
            </w:pPr>
            <w:r>
              <w:rPr>
                <w:rFonts w:hint="eastAsia" w:hAnsi="宋体"/>
                <w:color w:val="auto"/>
                <w:sz w:val="21"/>
                <w:szCs w:val="21"/>
                <w:highlight w:val="none"/>
              </w:rPr>
              <w:t>采 购 人：</w:t>
            </w:r>
            <w:r>
              <w:rPr>
                <w:rFonts w:hint="eastAsia" w:hAnsi="宋体"/>
                <w:color w:val="auto"/>
                <w:sz w:val="21"/>
                <w:szCs w:val="21"/>
                <w:highlight w:val="none"/>
                <w:lang w:eastAsia="zh-CN"/>
              </w:rPr>
              <w:t>潢川县灌区水库事务中心</w:t>
            </w:r>
          </w:p>
          <w:p w14:paraId="277A1A30">
            <w:pPr>
              <w:pStyle w:val="42"/>
              <w:jc w:val="both"/>
              <w:rPr>
                <w:rFonts w:hint="eastAsia" w:hAnsi="宋体"/>
                <w:color w:val="auto"/>
                <w:sz w:val="21"/>
                <w:szCs w:val="21"/>
                <w:highlight w:val="none"/>
              </w:rPr>
            </w:pPr>
            <w:r>
              <w:rPr>
                <w:rFonts w:hint="eastAsia" w:hAnsi="宋体"/>
                <w:color w:val="auto"/>
                <w:sz w:val="21"/>
                <w:szCs w:val="21"/>
                <w:highlight w:val="none"/>
              </w:rPr>
              <w:t>地    址：潢川县跃进路91号</w:t>
            </w:r>
          </w:p>
          <w:p w14:paraId="321AB06C">
            <w:pPr>
              <w:pStyle w:val="42"/>
              <w:jc w:val="both"/>
              <w:rPr>
                <w:rFonts w:hint="eastAsia" w:hAnsi="宋体"/>
                <w:color w:val="auto"/>
                <w:sz w:val="21"/>
                <w:szCs w:val="21"/>
                <w:highlight w:val="none"/>
              </w:rPr>
            </w:pPr>
            <w:r>
              <w:rPr>
                <w:rFonts w:hint="eastAsia" w:hAnsi="宋体"/>
                <w:color w:val="auto"/>
                <w:sz w:val="21"/>
                <w:szCs w:val="21"/>
                <w:highlight w:val="none"/>
              </w:rPr>
              <w:t>联 系 人：徐先生</w:t>
            </w:r>
          </w:p>
          <w:p w14:paraId="559067FE">
            <w:pPr>
              <w:pStyle w:val="42"/>
              <w:jc w:val="both"/>
              <w:rPr>
                <w:rFonts w:hint="eastAsia" w:hAnsi="宋体" w:eastAsia="宋体"/>
                <w:color w:val="auto"/>
                <w:sz w:val="21"/>
                <w:szCs w:val="21"/>
                <w:highlight w:val="none"/>
                <w:lang w:eastAsia="zh-CN"/>
              </w:rPr>
            </w:pPr>
            <w:r>
              <w:rPr>
                <w:rFonts w:hint="eastAsia" w:hAnsi="宋体"/>
                <w:color w:val="auto"/>
                <w:sz w:val="21"/>
                <w:szCs w:val="21"/>
                <w:highlight w:val="none"/>
              </w:rPr>
              <w:t>联系方式：15188598882</w:t>
            </w:r>
          </w:p>
        </w:tc>
      </w:tr>
      <w:tr w14:paraId="3A19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916" w:type="dxa"/>
            <w:vAlign w:val="center"/>
          </w:tcPr>
          <w:p w14:paraId="6D95C2F3">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1.1.3</w:t>
            </w:r>
          </w:p>
        </w:tc>
        <w:tc>
          <w:tcPr>
            <w:tcW w:w="1905" w:type="dxa"/>
            <w:vAlign w:val="center"/>
          </w:tcPr>
          <w:p w14:paraId="58A6DBB6">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采购代理机构</w:t>
            </w:r>
          </w:p>
        </w:tc>
        <w:tc>
          <w:tcPr>
            <w:tcW w:w="6878" w:type="dxa"/>
            <w:vAlign w:val="center"/>
          </w:tcPr>
          <w:p w14:paraId="2D9D2BB3">
            <w:pPr>
              <w:pStyle w:val="42"/>
              <w:jc w:val="both"/>
              <w:rPr>
                <w:rFonts w:hint="eastAsia" w:hAnsi="宋体" w:eastAsia="宋体"/>
                <w:color w:val="auto"/>
                <w:sz w:val="21"/>
                <w:szCs w:val="21"/>
                <w:highlight w:val="none"/>
                <w:lang w:eastAsia="zh-CN"/>
              </w:rPr>
            </w:pPr>
            <w:r>
              <w:rPr>
                <w:rFonts w:hint="eastAsia" w:hAnsi="宋体" w:eastAsia="宋体"/>
                <w:color w:val="auto"/>
                <w:sz w:val="21"/>
                <w:szCs w:val="21"/>
                <w:highlight w:val="none"/>
                <w:lang w:eastAsia="zh-CN"/>
              </w:rPr>
              <w:t>采购代理机构：中招（河南）国际工程管理咨询有限公司</w:t>
            </w:r>
          </w:p>
          <w:p w14:paraId="5173358A">
            <w:pPr>
              <w:pStyle w:val="42"/>
              <w:jc w:val="both"/>
              <w:rPr>
                <w:rFonts w:hint="eastAsia" w:hAnsi="宋体" w:eastAsia="宋体"/>
                <w:color w:val="auto"/>
                <w:sz w:val="21"/>
                <w:szCs w:val="21"/>
                <w:highlight w:val="none"/>
                <w:lang w:eastAsia="zh-CN"/>
              </w:rPr>
            </w:pPr>
            <w:r>
              <w:rPr>
                <w:rFonts w:hint="eastAsia" w:hAnsi="宋体" w:eastAsia="宋体"/>
                <w:color w:val="auto"/>
                <w:sz w:val="21"/>
                <w:szCs w:val="21"/>
                <w:highlight w:val="none"/>
                <w:lang w:eastAsia="zh-CN"/>
              </w:rPr>
              <w:t>地  址：河南省信阳市羊山新区新二十八大街前程大厦3层</w:t>
            </w:r>
          </w:p>
          <w:p w14:paraId="41BB98A1">
            <w:pPr>
              <w:pStyle w:val="42"/>
              <w:jc w:val="both"/>
              <w:rPr>
                <w:rFonts w:hint="eastAsia" w:hAnsi="宋体" w:eastAsia="宋体"/>
                <w:color w:val="auto"/>
                <w:sz w:val="21"/>
                <w:szCs w:val="21"/>
                <w:highlight w:val="none"/>
                <w:lang w:eastAsia="zh-CN"/>
              </w:rPr>
            </w:pPr>
            <w:r>
              <w:rPr>
                <w:rFonts w:hint="eastAsia" w:hAnsi="宋体" w:eastAsia="宋体"/>
                <w:color w:val="auto"/>
                <w:sz w:val="21"/>
                <w:szCs w:val="21"/>
                <w:highlight w:val="none"/>
                <w:lang w:eastAsia="zh-CN"/>
              </w:rPr>
              <w:t>联系人：李先生</w:t>
            </w:r>
          </w:p>
          <w:p w14:paraId="47512B6A">
            <w:pPr>
              <w:pStyle w:val="42"/>
              <w:jc w:val="both"/>
              <w:rPr>
                <w:rFonts w:hint="eastAsia" w:hAnsi="宋体" w:eastAsia="宋体"/>
                <w:color w:val="auto"/>
                <w:sz w:val="21"/>
                <w:szCs w:val="21"/>
                <w:highlight w:val="none"/>
                <w:lang w:eastAsia="zh-CN"/>
              </w:rPr>
            </w:pPr>
            <w:r>
              <w:rPr>
                <w:rFonts w:hint="eastAsia" w:hAnsi="宋体" w:eastAsia="宋体"/>
                <w:color w:val="auto"/>
                <w:sz w:val="21"/>
                <w:szCs w:val="21"/>
                <w:highlight w:val="none"/>
                <w:lang w:eastAsia="zh-CN"/>
              </w:rPr>
              <w:t>电  话：17503767039（办）</w:t>
            </w:r>
          </w:p>
        </w:tc>
      </w:tr>
      <w:tr w14:paraId="2162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916" w:type="dxa"/>
            <w:vAlign w:val="center"/>
          </w:tcPr>
          <w:p w14:paraId="42C04348">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1.1.4</w:t>
            </w:r>
          </w:p>
        </w:tc>
        <w:tc>
          <w:tcPr>
            <w:tcW w:w="1905" w:type="dxa"/>
            <w:vAlign w:val="center"/>
          </w:tcPr>
          <w:p w14:paraId="2658CFD0">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项目名称</w:t>
            </w:r>
          </w:p>
        </w:tc>
        <w:tc>
          <w:tcPr>
            <w:tcW w:w="6878" w:type="dxa"/>
            <w:vAlign w:val="center"/>
          </w:tcPr>
          <w:p w14:paraId="21356708">
            <w:pPr>
              <w:pStyle w:val="42"/>
              <w:jc w:val="both"/>
              <w:rPr>
                <w:rFonts w:hint="eastAsia" w:hAnsi="宋体" w:eastAsia="宋体"/>
                <w:color w:val="auto"/>
                <w:sz w:val="21"/>
                <w:szCs w:val="21"/>
                <w:highlight w:val="none"/>
                <w:lang w:eastAsia="zh-CN"/>
              </w:rPr>
            </w:pPr>
            <w:r>
              <w:rPr>
                <w:rFonts w:hint="eastAsia" w:hAnsi="宋体"/>
                <w:color w:val="auto"/>
                <w:sz w:val="21"/>
                <w:szCs w:val="21"/>
                <w:highlight w:val="none"/>
                <w:lang w:eastAsia="zh-CN"/>
              </w:rPr>
              <w:t>潢川县灌区水库事务中心潢川县2026年度小型水库大坝安全鉴定项目</w:t>
            </w:r>
          </w:p>
        </w:tc>
      </w:tr>
      <w:tr w14:paraId="5DE0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16" w:type="dxa"/>
            <w:vAlign w:val="center"/>
          </w:tcPr>
          <w:p w14:paraId="50F7CD4D">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1.1.5</w:t>
            </w:r>
          </w:p>
        </w:tc>
        <w:tc>
          <w:tcPr>
            <w:tcW w:w="1905" w:type="dxa"/>
            <w:vAlign w:val="center"/>
          </w:tcPr>
          <w:p w14:paraId="67B0DB54">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采购方式</w:t>
            </w:r>
          </w:p>
        </w:tc>
        <w:tc>
          <w:tcPr>
            <w:tcW w:w="6878" w:type="dxa"/>
            <w:vAlign w:val="center"/>
          </w:tcPr>
          <w:p w14:paraId="0BFB1B66">
            <w:pPr>
              <w:pStyle w:val="42"/>
              <w:jc w:val="both"/>
              <w:rPr>
                <w:rFonts w:hint="eastAsia" w:hAnsi="宋体" w:eastAsia="宋体"/>
                <w:color w:val="auto"/>
                <w:sz w:val="21"/>
                <w:szCs w:val="21"/>
                <w:highlight w:val="none"/>
                <w:lang w:eastAsia="zh-CN"/>
              </w:rPr>
            </w:pPr>
            <w:r>
              <w:rPr>
                <w:rFonts w:hint="eastAsia" w:hAnsi="宋体"/>
                <w:color w:val="auto"/>
                <w:sz w:val="21"/>
                <w:szCs w:val="21"/>
                <w:highlight w:val="none"/>
                <w:lang w:eastAsia="zh-CN"/>
              </w:rPr>
              <w:t>竞争性磋商</w:t>
            </w:r>
          </w:p>
        </w:tc>
      </w:tr>
      <w:tr w14:paraId="0A56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16" w:type="dxa"/>
            <w:vAlign w:val="center"/>
          </w:tcPr>
          <w:p w14:paraId="2332C6E0">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1.1.6</w:t>
            </w:r>
          </w:p>
        </w:tc>
        <w:tc>
          <w:tcPr>
            <w:tcW w:w="1905" w:type="dxa"/>
            <w:vAlign w:val="center"/>
          </w:tcPr>
          <w:p w14:paraId="6E65900D">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预算价（最高限价）</w:t>
            </w:r>
          </w:p>
        </w:tc>
        <w:tc>
          <w:tcPr>
            <w:tcW w:w="6878" w:type="dxa"/>
            <w:vAlign w:val="center"/>
          </w:tcPr>
          <w:p w14:paraId="7F299E92">
            <w:pPr>
              <w:pStyle w:val="42"/>
              <w:jc w:val="both"/>
              <w:rPr>
                <w:rFonts w:hAnsi="宋体"/>
                <w:color w:val="auto"/>
                <w:sz w:val="21"/>
                <w:szCs w:val="21"/>
                <w:highlight w:val="none"/>
              </w:rPr>
            </w:pPr>
            <w:r>
              <w:rPr>
                <w:rFonts w:hint="eastAsia" w:hAnsi="宋体"/>
                <w:color w:val="auto"/>
                <w:sz w:val="21"/>
                <w:szCs w:val="21"/>
                <w:highlight w:val="none"/>
              </w:rPr>
              <w:t>预算价（最高限价）：</w:t>
            </w:r>
            <w:r>
              <w:rPr>
                <w:rFonts w:hint="eastAsia" w:hAnsi="宋体"/>
                <w:color w:val="auto"/>
                <w:sz w:val="21"/>
                <w:szCs w:val="21"/>
                <w:highlight w:val="none"/>
                <w:lang w:eastAsia="zh-CN"/>
              </w:rPr>
              <w:t>460899.41</w:t>
            </w:r>
            <w:r>
              <w:rPr>
                <w:rFonts w:hint="eastAsia" w:hAnsi="宋体"/>
                <w:color w:val="auto"/>
                <w:sz w:val="21"/>
                <w:szCs w:val="21"/>
                <w:highlight w:val="none"/>
              </w:rPr>
              <w:t>元</w:t>
            </w:r>
          </w:p>
          <w:p w14:paraId="43893120">
            <w:pPr>
              <w:pStyle w:val="42"/>
              <w:jc w:val="both"/>
              <w:rPr>
                <w:rFonts w:hAnsi="宋体"/>
                <w:color w:val="auto"/>
                <w:sz w:val="21"/>
                <w:szCs w:val="21"/>
                <w:highlight w:val="none"/>
              </w:rPr>
            </w:pPr>
            <w:r>
              <w:rPr>
                <w:rFonts w:hint="eastAsia" w:hAnsi="宋体"/>
                <w:color w:val="auto"/>
                <w:sz w:val="21"/>
                <w:szCs w:val="21"/>
                <w:highlight w:val="none"/>
              </w:rPr>
              <w:t>投标报价超过预算价（最高限价）按无效投标处理</w:t>
            </w:r>
          </w:p>
        </w:tc>
      </w:tr>
      <w:tr w14:paraId="0C7C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916" w:type="dxa"/>
            <w:vAlign w:val="center"/>
          </w:tcPr>
          <w:p w14:paraId="742DA3BC">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1.2.1</w:t>
            </w:r>
          </w:p>
        </w:tc>
        <w:tc>
          <w:tcPr>
            <w:tcW w:w="1905" w:type="dxa"/>
            <w:vAlign w:val="center"/>
          </w:tcPr>
          <w:p w14:paraId="6B2CAFE1">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资金来源</w:t>
            </w:r>
          </w:p>
        </w:tc>
        <w:tc>
          <w:tcPr>
            <w:tcW w:w="6878" w:type="dxa"/>
            <w:vAlign w:val="center"/>
          </w:tcPr>
          <w:p w14:paraId="0D2029F5">
            <w:pPr>
              <w:pStyle w:val="42"/>
              <w:jc w:val="both"/>
              <w:rPr>
                <w:rFonts w:hAnsi="宋体"/>
                <w:color w:val="auto"/>
                <w:sz w:val="21"/>
                <w:szCs w:val="21"/>
                <w:highlight w:val="none"/>
              </w:rPr>
            </w:pPr>
            <w:r>
              <w:rPr>
                <w:rFonts w:hint="eastAsia" w:hAnsi="宋体"/>
                <w:color w:val="auto"/>
                <w:sz w:val="21"/>
                <w:szCs w:val="21"/>
                <w:highlight w:val="none"/>
              </w:rPr>
              <w:t>财政资金</w:t>
            </w:r>
          </w:p>
        </w:tc>
      </w:tr>
      <w:tr w14:paraId="19FA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3DC53B7B">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1.2.2</w:t>
            </w:r>
          </w:p>
        </w:tc>
        <w:tc>
          <w:tcPr>
            <w:tcW w:w="1905" w:type="dxa"/>
            <w:vAlign w:val="center"/>
          </w:tcPr>
          <w:p w14:paraId="34D52A1E">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c>
          <w:tcPr>
            <w:tcW w:w="6878" w:type="dxa"/>
            <w:vAlign w:val="center"/>
          </w:tcPr>
          <w:p w14:paraId="27E21E3B">
            <w:pPr>
              <w:pStyle w:val="42"/>
              <w:jc w:val="both"/>
              <w:rPr>
                <w:rFonts w:hAnsi="宋体"/>
                <w:color w:val="auto"/>
                <w:sz w:val="21"/>
                <w:szCs w:val="21"/>
                <w:highlight w:val="none"/>
              </w:rPr>
            </w:pPr>
            <w:r>
              <w:rPr>
                <w:rFonts w:hint="eastAsia" w:hAnsi="宋体"/>
                <w:color w:val="auto"/>
                <w:sz w:val="21"/>
                <w:szCs w:val="21"/>
                <w:highlight w:val="none"/>
              </w:rPr>
              <w:t>100%</w:t>
            </w:r>
          </w:p>
        </w:tc>
      </w:tr>
      <w:tr w14:paraId="008A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16" w:type="dxa"/>
            <w:vAlign w:val="center"/>
          </w:tcPr>
          <w:p w14:paraId="2B4253B2">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1.3.1</w:t>
            </w:r>
          </w:p>
        </w:tc>
        <w:tc>
          <w:tcPr>
            <w:tcW w:w="1905" w:type="dxa"/>
            <w:vAlign w:val="center"/>
          </w:tcPr>
          <w:p w14:paraId="29C6D20C">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采购内容</w:t>
            </w:r>
          </w:p>
        </w:tc>
        <w:tc>
          <w:tcPr>
            <w:tcW w:w="6878" w:type="dxa"/>
            <w:vAlign w:val="center"/>
          </w:tcPr>
          <w:p w14:paraId="3B93454A">
            <w:pPr>
              <w:pStyle w:val="42"/>
              <w:jc w:val="both"/>
              <w:rPr>
                <w:rFonts w:hAnsi="宋体"/>
                <w:color w:val="auto"/>
                <w:sz w:val="21"/>
                <w:szCs w:val="21"/>
                <w:highlight w:val="none"/>
              </w:rPr>
            </w:pPr>
            <w:r>
              <w:rPr>
                <w:rFonts w:hint="eastAsia" w:hAnsi="宋体"/>
                <w:color w:val="auto"/>
                <w:sz w:val="21"/>
                <w:szCs w:val="21"/>
                <w:highlight w:val="none"/>
              </w:rPr>
              <w:t>对2021年除险加固的16座小二类水库进行安全鉴定</w:t>
            </w:r>
          </w:p>
        </w:tc>
      </w:tr>
      <w:tr w14:paraId="31C2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916" w:type="dxa"/>
            <w:vAlign w:val="center"/>
          </w:tcPr>
          <w:p w14:paraId="7ABD46AB">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1.3.2</w:t>
            </w:r>
          </w:p>
        </w:tc>
        <w:tc>
          <w:tcPr>
            <w:tcW w:w="1905" w:type="dxa"/>
            <w:vAlign w:val="center"/>
          </w:tcPr>
          <w:p w14:paraId="028E43BD">
            <w:pPr>
              <w:autoSpaceDE w:val="0"/>
              <w:autoSpaceDN w:val="0"/>
              <w:adjustRightInd w:val="0"/>
              <w:spacing w:line="240" w:lineRule="auto"/>
              <w:ind w:firstLine="0" w:firstLineChars="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质量要求</w:t>
            </w:r>
          </w:p>
        </w:tc>
        <w:tc>
          <w:tcPr>
            <w:tcW w:w="6878" w:type="dxa"/>
            <w:vAlign w:val="center"/>
          </w:tcPr>
          <w:p w14:paraId="29FAE394">
            <w:pPr>
              <w:autoSpaceDE w:val="0"/>
              <w:autoSpaceDN w:val="0"/>
              <w:adjustRightInd w:val="0"/>
              <w:spacing w:line="240" w:lineRule="auto"/>
              <w:ind w:firstLine="0" w:firstLineChars="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符合相关行业标准及采购人要求</w:t>
            </w:r>
          </w:p>
        </w:tc>
      </w:tr>
      <w:tr w14:paraId="5BD4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916" w:type="dxa"/>
            <w:vAlign w:val="center"/>
          </w:tcPr>
          <w:p w14:paraId="59532CE0">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1.3.3</w:t>
            </w:r>
          </w:p>
        </w:tc>
        <w:tc>
          <w:tcPr>
            <w:tcW w:w="1905" w:type="dxa"/>
            <w:vAlign w:val="center"/>
          </w:tcPr>
          <w:p w14:paraId="6221CD63">
            <w:pPr>
              <w:autoSpaceDE w:val="0"/>
              <w:autoSpaceDN w:val="0"/>
              <w:adjustRightInd w:val="0"/>
              <w:spacing w:line="240" w:lineRule="auto"/>
              <w:ind w:firstLine="0" w:firstLineChars="0"/>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服务期限</w:t>
            </w:r>
          </w:p>
        </w:tc>
        <w:tc>
          <w:tcPr>
            <w:tcW w:w="6878" w:type="dxa"/>
            <w:vAlign w:val="center"/>
          </w:tcPr>
          <w:p w14:paraId="29DED0F4">
            <w:pPr>
              <w:autoSpaceDE w:val="0"/>
              <w:autoSpaceDN w:val="0"/>
              <w:adjustRightInd w:val="0"/>
              <w:spacing w:line="240" w:lineRule="auto"/>
              <w:ind w:firstLine="0" w:firstLineChars="0"/>
              <w:jc w:val="lef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60</w:t>
            </w:r>
            <w:r>
              <w:rPr>
                <w:rFonts w:hint="eastAsia" w:ascii="宋体" w:hAnsi="宋体" w:eastAsia="宋体" w:cs="宋体"/>
                <w:color w:val="auto"/>
                <w:kern w:val="0"/>
                <w:szCs w:val="21"/>
                <w:highlight w:val="none"/>
                <w:lang w:eastAsia="zh-CN"/>
              </w:rPr>
              <w:t>日历天</w:t>
            </w:r>
          </w:p>
        </w:tc>
      </w:tr>
      <w:tr w14:paraId="79DC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tcBorders>
              <w:top w:val="single" w:color="auto" w:sz="4" w:space="0"/>
            </w:tcBorders>
            <w:vAlign w:val="center"/>
          </w:tcPr>
          <w:p w14:paraId="004E61AF">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1.4.1</w:t>
            </w:r>
          </w:p>
        </w:tc>
        <w:tc>
          <w:tcPr>
            <w:tcW w:w="1905" w:type="dxa"/>
            <w:tcBorders>
              <w:top w:val="single" w:color="auto" w:sz="4" w:space="0"/>
            </w:tcBorders>
            <w:vAlign w:val="center"/>
          </w:tcPr>
          <w:p w14:paraId="2F425C70">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资格要求</w:t>
            </w:r>
          </w:p>
        </w:tc>
        <w:tc>
          <w:tcPr>
            <w:tcW w:w="6878" w:type="dxa"/>
            <w:tcBorders>
              <w:top w:val="single" w:color="auto" w:sz="4" w:space="0"/>
            </w:tcBorders>
            <w:vAlign w:val="center"/>
          </w:tcPr>
          <w:p w14:paraId="714E90F7">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1、满足《中华人民共和国政府采购法》第二十二条规定。</w:t>
            </w:r>
          </w:p>
          <w:p w14:paraId="3F6EEADA">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2、落实政府采购政策满足的资格要求：</w:t>
            </w:r>
          </w:p>
          <w:p w14:paraId="5B434F20">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落实政府采购政策满足的资格要求：本项目专门面向中小企业采购，落实中小企业发展，支持节能环保政策，扶持监狱、残疾人福利性单位等政府采购政策。</w:t>
            </w:r>
          </w:p>
          <w:p w14:paraId="6108269B">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3.本项目的特定资格要求：</w:t>
            </w:r>
          </w:p>
          <w:p w14:paraId="182569FD">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（1）供应商必须满足《中华人民共和国政府采购法》第二十二条之规定：</w:t>
            </w:r>
          </w:p>
          <w:p w14:paraId="69F42579">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①具有独立承担民事责任的能力（提供法人或者其他组织的营业执照等证明文件）；</w:t>
            </w:r>
          </w:p>
          <w:p w14:paraId="7FAC31D0">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②具有良好的商业信誉和健全的财务会计制度（提供经审计的</w:t>
            </w:r>
            <w:r>
              <w:rPr>
                <w:rFonts w:hint="eastAsia" w:hAnsi="宋体" w:cs="宋体"/>
                <w:color w:val="auto"/>
                <w:sz w:val="21"/>
                <w:szCs w:val="21"/>
                <w:highlight w:val="none"/>
                <w:lang w:val="en-US" w:eastAsia="zh-CN"/>
              </w:rPr>
              <w:t>2025</w:t>
            </w:r>
            <w:r>
              <w:rPr>
                <w:rFonts w:hint="eastAsia" w:ascii="宋体" w:hAnsi="宋体" w:eastAsia="宋体" w:cs="宋体"/>
                <w:color w:val="auto"/>
                <w:sz w:val="21"/>
                <w:szCs w:val="21"/>
                <w:highlight w:val="none"/>
                <w:lang w:val="en-US" w:eastAsia="zh-CN"/>
              </w:rPr>
              <w:t>年度财务报告或基本户银行出具的近期资信证明）；</w:t>
            </w:r>
          </w:p>
          <w:p w14:paraId="3A971796">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③具有履行合同所必需的设备和专业技术能力（自行作出承诺，格式自拟）；</w:t>
            </w:r>
          </w:p>
          <w:p w14:paraId="1D7B5912">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④依法缴纳税收的证明材料（默认开标前12个月内任意3个月纳税证明，新成立公司不足3个月的，按已缴纳月份提供）；</w:t>
            </w:r>
          </w:p>
          <w:p w14:paraId="3AD22B3C">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⑤依法缴纳社会保障资金的证明材料（默认开标前12个月内任意3个月缴纳社会保障证明，新成立公司不足3个月的，按已缴纳月份提供）；</w:t>
            </w:r>
          </w:p>
          <w:p w14:paraId="37727E7D">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⑥具备履行政府采购合同所必需的设备和专业技术能力的证明材料（默认履行合同的法定营业执照、资质证书等）；</w:t>
            </w:r>
          </w:p>
          <w:p w14:paraId="72F0A9CD">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⑦参加政府采购活动前三年内在经营活动中没有重大违法记录的证明材料；</w:t>
            </w:r>
          </w:p>
          <w:p w14:paraId="7647F9ED">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（2）供应商须具</w:t>
            </w:r>
            <w:r>
              <w:rPr>
                <w:rFonts w:hint="eastAsia" w:hAnsi="宋体" w:cs="宋体"/>
                <w:color w:val="auto"/>
                <w:sz w:val="21"/>
                <w:szCs w:val="21"/>
                <w:highlight w:val="none"/>
                <w:lang w:val="en-US" w:eastAsia="zh-CN"/>
              </w:rPr>
              <w:t>有</w:t>
            </w:r>
            <w:r>
              <w:rPr>
                <w:rFonts w:hint="eastAsia" w:ascii="宋体" w:hAnsi="宋体" w:eastAsia="宋体" w:cs="宋体"/>
                <w:color w:val="auto"/>
                <w:sz w:val="21"/>
                <w:szCs w:val="21"/>
                <w:highlight w:val="none"/>
                <w:lang w:val="en-US" w:eastAsia="zh-CN"/>
              </w:rPr>
              <w:t>工程设计水利行业专业乙级及以上资质和工程勘察专业类乙级及以上资质；</w:t>
            </w:r>
          </w:p>
          <w:p w14:paraId="41DABC9D">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（3）拟派项目负责人具有水利相关专业注册类证书和水利相关专业</w:t>
            </w:r>
            <w:r>
              <w:rPr>
                <w:rFonts w:hint="eastAsia" w:hAnsi="宋体" w:cs="宋体"/>
                <w:color w:val="auto"/>
                <w:sz w:val="21"/>
                <w:szCs w:val="21"/>
                <w:highlight w:val="none"/>
                <w:lang w:val="en-US" w:eastAsia="zh-CN"/>
              </w:rPr>
              <w:t>高</w:t>
            </w:r>
            <w:r>
              <w:rPr>
                <w:rFonts w:hint="eastAsia" w:ascii="宋体" w:hAnsi="宋体" w:eastAsia="宋体" w:cs="宋体"/>
                <w:color w:val="auto"/>
                <w:sz w:val="21"/>
                <w:szCs w:val="21"/>
                <w:highlight w:val="none"/>
                <w:lang w:val="en-US" w:eastAsia="zh-CN"/>
              </w:rPr>
              <w:t>级及以上职称；并提供聘用单位为其缴纳的</w:t>
            </w:r>
            <w:r>
              <w:rPr>
                <w:rFonts w:hint="eastAsia" w:hAnsi="宋体" w:cs="宋体"/>
                <w:color w:val="auto"/>
                <w:sz w:val="21"/>
                <w:szCs w:val="21"/>
                <w:highlight w:val="none"/>
                <w:lang w:val="en-US" w:eastAsia="zh-CN"/>
              </w:rPr>
              <w:t>2026</w:t>
            </w:r>
            <w:r>
              <w:rPr>
                <w:rFonts w:hint="eastAsia" w:ascii="宋体" w:hAnsi="宋体" w:eastAsia="宋体" w:cs="宋体"/>
                <w:color w:val="auto"/>
                <w:sz w:val="21"/>
                <w:szCs w:val="21"/>
                <w:highlight w:val="none"/>
                <w:lang w:val="en-US" w:eastAsia="zh-CN"/>
              </w:rPr>
              <w:t>年度以来任意三个月的养老保险缴纳证明材料（若为刚入职新进人员，提供情况说明）</w:t>
            </w:r>
          </w:p>
          <w:p w14:paraId="58B772D3">
            <w:pPr>
              <w:pStyle w:val="42"/>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信誉要求：根据《关于在政府采购活动中查询及使用信用记录有关问题的通知》财库[2016]125号文件和豫财购【2016】15号文件的规定，供应商应提供“信用中国”网站（www.creditchina.gov.cn）查询“失信被执行人（跳转至中国执行信息公开网）”、“重大税收违法失信主体”和“政府采购严重违法失信行为记录名单”；中国政府采购网（www.ccgp.gov.cn）查询“政府采购严重违法失信行为记录名单”渠道查询自身信用记录，提供查询网页截图，查询截止时点为：从公告发布之日起至投标截止之日止。</w:t>
            </w:r>
          </w:p>
          <w:p w14:paraId="3D76C53C">
            <w:pPr>
              <w:pStyle w:val="42"/>
              <w:jc w:val="both"/>
              <w:rPr>
                <w:rFonts w:ascii="宋体" w:hAnsi="宋体" w:cs="宋体"/>
                <w:color w:val="auto"/>
                <w:szCs w:val="21"/>
                <w:highlight w:val="none"/>
              </w:rPr>
            </w:pPr>
            <w:r>
              <w:rPr>
                <w:rFonts w:hint="eastAsia" w:ascii="宋体" w:hAnsi="宋体" w:eastAsia="宋体" w:cs="宋体"/>
                <w:color w:val="auto"/>
                <w:sz w:val="21"/>
                <w:szCs w:val="21"/>
                <w:highlight w:val="none"/>
                <w:lang w:val="en-US" w:eastAsia="zh-CN"/>
              </w:rPr>
              <w:t>（5）单位负责人为同一人或者存在直接控股、管理关系的不同单位，不得同时参加同一合同项下的政府采购活动。</w:t>
            </w:r>
          </w:p>
        </w:tc>
      </w:tr>
      <w:tr w14:paraId="483F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tcBorders>
              <w:top w:val="single" w:color="auto" w:sz="4" w:space="0"/>
            </w:tcBorders>
            <w:vAlign w:val="center"/>
          </w:tcPr>
          <w:p w14:paraId="541C7790">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1.5</w:t>
            </w:r>
          </w:p>
        </w:tc>
        <w:tc>
          <w:tcPr>
            <w:tcW w:w="1905" w:type="dxa"/>
            <w:tcBorders>
              <w:top w:val="single" w:color="auto" w:sz="4" w:space="0"/>
            </w:tcBorders>
            <w:vAlign w:val="center"/>
          </w:tcPr>
          <w:p w14:paraId="05890E3A">
            <w:pPr>
              <w:autoSpaceDE w:val="0"/>
              <w:autoSpaceDN w:val="0"/>
              <w:adjustRightInd w:val="0"/>
              <w:spacing w:line="240" w:lineRule="auto"/>
              <w:ind w:firstLine="0" w:firstLineChars="0"/>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付款方式</w:t>
            </w:r>
          </w:p>
        </w:tc>
        <w:tc>
          <w:tcPr>
            <w:tcW w:w="6878" w:type="dxa"/>
            <w:tcBorders>
              <w:top w:val="single" w:color="auto" w:sz="4" w:space="0"/>
            </w:tcBorders>
            <w:vAlign w:val="center"/>
          </w:tcPr>
          <w:p w14:paraId="190C3A3E">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 w:eastAsia="zh-CN"/>
              </w:rPr>
              <w:t>由招标人与中标单位协商，以签订合同为准。</w:t>
            </w:r>
          </w:p>
        </w:tc>
      </w:tr>
      <w:tr w14:paraId="15CE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16" w:type="dxa"/>
            <w:vAlign w:val="center"/>
          </w:tcPr>
          <w:p w14:paraId="44CCCA65">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2.2.2</w:t>
            </w:r>
          </w:p>
        </w:tc>
        <w:tc>
          <w:tcPr>
            <w:tcW w:w="1905" w:type="dxa"/>
            <w:vAlign w:val="center"/>
          </w:tcPr>
          <w:p w14:paraId="432AC16F">
            <w:pPr>
              <w:autoSpaceDE w:val="0"/>
              <w:autoSpaceDN w:val="0"/>
              <w:adjustRightInd w:val="0"/>
              <w:spacing w:line="240" w:lineRule="auto"/>
              <w:ind w:firstLine="0" w:firstLineChars="0"/>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投标截止时间</w:t>
            </w:r>
          </w:p>
        </w:tc>
        <w:tc>
          <w:tcPr>
            <w:tcW w:w="6878" w:type="dxa"/>
            <w:vAlign w:val="center"/>
          </w:tcPr>
          <w:p w14:paraId="18225021">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cs="宋体"/>
                <w:color w:val="auto"/>
                <w:szCs w:val="21"/>
                <w:highlight w:val="none"/>
                <w:lang w:val="en-US" w:eastAsia="zh-CN"/>
              </w:rPr>
              <w:t xml:space="preserve"> 2026 </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09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10 </w:t>
            </w:r>
            <w:r>
              <w:rPr>
                <w:rFonts w:hint="eastAsia" w:ascii="宋体" w:hAnsi="宋体" w:cs="宋体"/>
                <w:color w:val="auto"/>
                <w:szCs w:val="21"/>
                <w:highlight w:val="none"/>
              </w:rPr>
              <w:t>日09时30分</w:t>
            </w:r>
            <w:r>
              <w:rPr>
                <w:rFonts w:hint="eastAsia" w:ascii="宋体" w:hAnsi="宋体" w:eastAsia="宋体" w:cs="宋体"/>
                <w:color w:val="auto"/>
                <w:kern w:val="0"/>
                <w:szCs w:val="21"/>
                <w:highlight w:val="none"/>
                <w:lang w:eastAsia="zh-CN"/>
              </w:rPr>
              <w:t>（北京时间）</w:t>
            </w:r>
          </w:p>
        </w:tc>
      </w:tr>
      <w:tr w14:paraId="2054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7DED3CFD">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2.2.3</w:t>
            </w:r>
          </w:p>
        </w:tc>
        <w:tc>
          <w:tcPr>
            <w:tcW w:w="1905" w:type="dxa"/>
            <w:vAlign w:val="center"/>
          </w:tcPr>
          <w:p w14:paraId="128626DE">
            <w:pPr>
              <w:autoSpaceDE w:val="0"/>
              <w:autoSpaceDN w:val="0"/>
              <w:adjustRightInd w:val="0"/>
              <w:spacing w:line="240" w:lineRule="auto"/>
              <w:ind w:firstLine="0" w:firstLineChars="0"/>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供应商确认收到磋商文件澄清的时间</w:t>
            </w:r>
          </w:p>
        </w:tc>
        <w:tc>
          <w:tcPr>
            <w:tcW w:w="6878" w:type="dxa"/>
            <w:vAlign w:val="center"/>
          </w:tcPr>
          <w:p w14:paraId="57C403FE">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在收到相应澄清文件后24小时内</w:t>
            </w:r>
          </w:p>
        </w:tc>
      </w:tr>
      <w:tr w14:paraId="49AB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16" w:type="dxa"/>
            <w:vAlign w:val="center"/>
          </w:tcPr>
          <w:p w14:paraId="00F703FE">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2.3</w:t>
            </w:r>
          </w:p>
        </w:tc>
        <w:tc>
          <w:tcPr>
            <w:tcW w:w="1905" w:type="dxa"/>
            <w:vAlign w:val="center"/>
          </w:tcPr>
          <w:p w14:paraId="29CF4A0F">
            <w:pPr>
              <w:autoSpaceDE w:val="0"/>
              <w:autoSpaceDN w:val="0"/>
              <w:adjustRightInd w:val="0"/>
              <w:spacing w:line="240" w:lineRule="auto"/>
              <w:ind w:firstLine="0" w:firstLineChars="0"/>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 xml:space="preserve">采购人澄清的时间 </w:t>
            </w:r>
          </w:p>
        </w:tc>
        <w:tc>
          <w:tcPr>
            <w:tcW w:w="6878" w:type="dxa"/>
            <w:vAlign w:val="center"/>
          </w:tcPr>
          <w:p w14:paraId="52140E9E">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提交响应文件截止时间</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日前</w:t>
            </w:r>
          </w:p>
        </w:tc>
      </w:tr>
      <w:tr w14:paraId="254CE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16" w:type="dxa"/>
            <w:vAlign w:val="center"/>
          </w:tcPr>
          <w:p w14:paraId="2D68DA7D">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2.3.2</w:t>
            </w:r>
          </w:p>
        </w:tc>
        <w:tc>
          <w:tcPr>
            <w:tcW w:w="1905" w:type="dxa"/>
            <w:vAlign w:val="center"/>
          </w:tcPr>
          <w:p w14:paraId="5790784A">
            <w:pPr>
              <w:autoSpaceDE w:val="0"/>
              <w:autoSpaceDN w:val="0"/>
              <w:adjustRightInd w:val="0"/>
              <w:spacing w:line="240" w:lineRule="auto"/>
              <w:ind w:firstLine="0" w:firstLineChars="0"/>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供应商确认收到磋商文件修改的时间</w:t>
            </w:r>
          </w:p>
        </w:tc>
        <w:tc>
          <w:tcPr>
            <w:tcW w:w="6878" w:type="dxa"/>
            <w:vAlign w:val="center"/>
          </w:tcPr>
          <w:p w14:paraId="379706B0">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在收到相应修改文件后24小时内</w:t>
            </w:r>
          </w:p>
        </w:tc>
      </w:tr>
      <w:tr w14:paraId="18DD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16" w:type="dxa"/>
            <w:tcBorders>
              <w:bottom w:val="single" w:color="auto" w:sz="4" w:space="0"/>
            </w:tcBorders>
            <w:vAlign w:val="center"/>
          </w:tcPr>
          <w:p w14:paraId="7573EB9F">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3.1</w:t>
            </w:r>
          </w:p>
        </w:tc>
        <w:tc>
          <w:tcPr>
            <w:tcW w:w="1905" w:type="dxa"/>
            <w:tcBorders>
              <w:bottom w:val="single" w:color="auto" w:sz="4" w:space="0"/>
            </w:tcBorders>
            <w:vAlign w:val="center"/>
          </w:tcPr>
          <w:p w14:paraId="565519EE">
            <w:pPr>
              <w:autoSpaceDE w:val="0"/>
              <w:autoSpaceDN w:val="0"/>
              <w:adjustRightInd w:val="0"/>
              <w:spacing w:line="240" w:lineRule="auto"/>
              <w:ind w:firstLine="0" w:firstLineChars="0"/>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构成响应文件的其他材料</w:t>
            </w:r>
          </w:p>
        </w:tc>
        <w:tc>
          <w:tcPr>
            <w:tcW w:w="6878" w:type="dxa"/>
            <w:tcBorders>
              <w:bottom w:val="single" w:color="auto" w:sz="4" w:space="0"/>
            </w:tcBorders>
            <w:vAlign w:val="center"/>
          </w:tcPr>
          <w:p w14:paraId="6325B22A">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供应商认为其他所需要补充的内容</w:t>
            </w:r>
          </w:p>
        </w:tc>
      </w:tr>
      <w:tr w14:paraId="5024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6" w:type="dxa"/>
            <w:vAlign w:val="center"/>
          </w:tcPr>
          <w:p w14:paraId="68F86612">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3.4.1</w:t>
            </w:r>
          </w:p>
        </w:tc>
        <w:tc>
          <w:tcPr>
            <w:tcW w:w="1905" w:type="dxa"/>
            <w:vAlign w:val="center"/>
          </w:tcPr>
          <w:p w14:paraId="165AE467">
            <w:pPr>
              <w:autoSpaceDE w:val="0"/>
              <w:autoSpaceDN w:val="0"/>
              <w:adjustRightInd w:val="0"/>
              <w:spacing w:line="240" w:lineRule="auto"/>
              <w:ind w:firstLine="0" w:firstLineChars="0"/>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投标有效期</w:t>
            </w:r>
          </w:p>
        </w:tc>
        <w:tc>
          <w:tcPr>
            <w:tcW w:w="6878" w:type="dxa"/>
            <w:vAlign w:val="center"/>
          </w:tcPr>
          <w:p w14:paraId="3954642E">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60日历天（从投标截止之日算起）</w:t>
            </w:r>
          </w:p>
        </w:tc>
      </w:tr>
      <w:tr w14:paraId="5474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16" w:type="dxa"/>
            <w:vAlign w:val="center"/>
          </w:tcPr>
          <w:p w14:paraId="33510308">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3.5.8</w:t>
            </w:r>
          </w:p>
        </w:tc>
        <w:tc>
          <w:tcPr>
            <w:tcW w:w="1905" w:type="dxa"/>
            <w:vAlign w:val="center"/>
          </w:tcPr>
          <w:p w14:paraId="7EA8498D">
            <w:pPr>
              <w:autoSpaceDE w:val="0"/>
              <w:autoSpaceDN w:val="0"/>
              <w:adjustRightInd w:val="0"/>
              <w:spacing w:line="240" w:lineRule="auto"/>
              <w:ind w:firstLine="0" w:firstLineChars="0"/>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响应文件签字和盖章要求</w:t>
            </w:r>
          </w:p>
        </w:tc>
        <w:tc>
          <w:tcPr>
            <w:tcW w:w="6878" w:type="dxa"/>
            <w:vAlign w:val="center"/>
          </w:tcPr>
          <w:p w14:paraId="7B30FCE8">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1、响应文件格式中所有要求供应商加盖公章的地方都须加盖供应商的 CA 印章。</w:t>
            </w:r>
          </w:p>
          <w:p w14:paraId="1AF24232">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2、所有要求法定代表人或其委托代理人签字的地方都须法定代表人或其委托代理人加盖CA印章或签字。</w:t>
            </w:r>
          </w:p>
        </w:tc>
      </w:tr>
      <w:tr w14:paraId="4DE7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916" w:type="dxa"/>
            <w:vAlign w:val="center"/>
          </w:tcPr>
          <w:p w14:paraId="48E9B131">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3.5.9</w:t>
            </w:r>
          </w:p>
        </w:tc>
        <w:tc>
          <w:tcPr>
            <w:tcW w:w="1905" w:type="dxa"/>
            <w:vAlign w:val="center"/>
          </w:tcPr>
          <w:p w14:paraId="24D0FB00">
            <w:pPr>
              <w:autoSpaceDE w:val="0"/>
              <w:autoSpaceDN w:val="0"/>
              <w:adjustRightInd w:val="0"/>
              <w:spacing w:line="240" w:lineRule="auto"/>
              <w:ind w:firstLine="0" w:firstLineChars="0"/>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响应文件份数及其他要求</w:t>
            </w:r>
          </w:p>
        </w:tc>
        <w:tc>
          <w:tcPr>
            <w:tcW w:w="6878" w:type="dxa"/>
            <w:vAlign w:val="center"/>
          </w:tcPr>
          <w:p w14:paraId="21816265">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加密的电子响应文件壹份（*.XYTF 格式，在会员系统指定位置上传）</w:t>
            </w:r>
          </w:p>
        </w:tc>
      </w:tr>
      <w:tr w14:paraId="3EA93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16" w:type="dxa"/>
            <w:vAlign w:val="center"/>
          </w:tcPr>
          <w:p w14:paraId="5BCE481A">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4.2</w:t>
            </w:r>
          </w:p>
        </w:tc>
        <w:tc>
          <w:tcPr>
            <w:tcW w:w="1905" w:type="dxa"/>
            <w:vAlign w:val="center"/>
          </w:tcPr>
          <w:p w14:paraId="1F5145F2">
            <w:pPr>
              <w:autoSpaceDE w:val="0"/>
              <w:autoSpaceDN w:val="0"/>
              <w:adjustRightInd w:val="0"/>
              <w:spacing w:line="240" w:lineRule="auto"/>
              <w:ind w:firstLine="0" w:firstLineChars="0"/>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响应文件递交</w:t>
            </w:r>
          </w:p>
        </w:tc>
        <w:tc>
          <w:tcPr>
            <w:tcW w:w="6878" w:type="dxa"/>
            <w:vAlign w:val="center"/>
          </w:tcPr>
          <w:p w14:paraId="69E6CD8A">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1、电子响应文件的递交</w:t>
            </w:r>
          </w:p>
          <w:p w14:paraId="712A9DA7">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各供应商应在投标截止时间前上传加密的电子响应文件（*.XYTF）到会员系统的指定位置。上传时必须得到交易系统“上传成功”的确认回复后方为上传成功。请供应商在上传前务必认真检查上传响应文件是否完整、正确。</w:t>
            </w:r>
          </w:p>
          <w:p w14:paraId="7EE59EC4">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2、本项目采用“不见面开标”交易方式，不见面开标大厅网址为 https://ggzyjy.xinyang.gov.cn/BidOpening，供应商无需寄送和递交非加密的电子响应文件，无需到现场参加开标会议，无需到达现场提交原件资料。</w:t>
            </w:r>
          </w:p>
        </w:tc>
      </w:tr>
      <w:tr w14:paraId="428F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916" w:type="dxa"/>
            <w:vAlign w:val="center"/>
          </w:tcPr>
          <w:p w14:paraId="09A2C548">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5.1</w:t>
            </w:r>
          </w:p>
        </w:tc>
        <w:tc>
          <w:tcPr>
            <w:tcW w:w="1905" w:type="dxa"/>
            <w:vAlign w:val="center"/>
          </w:tcPr>
          <w:p w14:paraId="10FE0D53">
            <w:pPr>
              <w:widowControl/>
              <w:spacing w:line="240" w:lineRule="auto"/>
              <w:ind w:firstLine="0" w:firstLineChars="0"/>
              <w:jc w:val="left"/>
              <w:rPr>
                <w:rFonts w:ascii="宋体" w:hAnsi="宋体" w:cs="宋体"/>
                <w:color w:val="auto"/>
                <w:szCs w:val="21"/>
                <w:highlight w:val="none"/>
              </w:rPr>
            </w:pPr>
            <w:r>
              <w:rPr>
                <w:rFonts w:hint="eastAsia" w:ascii="宋体" w:hAnsi="宋体" w:cs="宋体"/>
                <w:color w:val="auto"/>
                <w:szCs w:val="21"/>
                <w:highlight w:val="none"/>
              </w:rPr>
              <w:t>开标时间和地点</w:t>
            </w:r>
          </w:p>
        </w:tc>
        <w:tc>
          <w:tcPr>
            <w:tcW w:w="6878" w:type="dxa"/>
            <w:vAlign w:val="center"/>
          </w:tcPr>
          <w:p w14:paraId="28A6A63F">
            <w:pPr>
              <w:widowControl/>
              <w:spacing w:line="240" w:lineRule="auto"/>
              <w:ind w:firstLine="0" w:firstLineChars="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开标时间：</w:t>
            </w:r>
            <w:r>
              <w:rPr>
                <w:rFonts w:hint="eastAsia" w:ascii="宋体" w:hAnsi="宋体" w:cs="宋体"/>
                <w:color w:val="auto"/>
                <w:szCs w:val="21"/>
                <w:highlight w:val="none"/>
                <w:lang w:val="en-US" w:eastAsia="zh-CN"/>
              </w:rPr>
              <w:t xml:space="preserve"> 2026 </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09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10 </w:t>
            </w:r>
            <w:r>
              <w:rPr>
                <w:rFonts w:hint="eastAsia" w:ascii="宋体" w:hAnsi="宋体" w:cs="宋体"/>
                <w:color w:val="auto"/>
                <w:szCs w:val="21"/>
                <w:highlight w:val="none"/>
              </w:rPr>
              <w:t>日09时30分（北京时间）</w:t>
            </w:r>
          </w:p>
          <w:p w14:paraId="6505816D">
            <w:pPr>
              <w:widowControl/>
              <w:spacing w:line="240" w:lineRule="auto"/>
              <w:ind w:firstLine="0" w:firstLineChars="0"/>
              <w:jc w:val="left"/>
              <w:rPr>
                <w:rFonts w:ascii="宋体" w:hAnsi="宋体" w:cs="宋体"/>
                <w:color w:val="auto"/>
                <w:szCs w:val="21"/>
                <w:highlight w:val="none"/>
              </w:rPr>
            </w:pPr>
            <w:r>
              <w:rPr>
                <w:rFonts w:hint="eastAsia" w:ascii="宋体" w:hAnsi="宋体" w:cs="宋体"/>
                <w:color w:val="auto"/>
                <w:szCs w:val="21"/>
                <w:highlight w:val="none"/>
              </w:rPr>
              <w:t>开标地点：潢川县公共资源交易中心不见面开标室</w:t>
            </w:r>
          </w:p>
        </w:tc>
      </w:tr>
      <w:tr w14:paraId="5F27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916" w:type="dxa"/>
            <w:vAlign w:val="center"/>
          </w:tcPr>
          <w:p w14:paraId="06C6DE46">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6.1</w:t>
            </w:r>
          </w:p>
        </w:tc>
        <w:tc>
          <w:tcPr>
            <w:tcW w:w="1905" w:type="dxa"/>
            <w:vAlign w:val="center"/>
          </w:tcPr>
          <w:p w14:paraId="11763FC8">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评标委员会的组建</w:t>
            </w:r>
          </w:p>
        </w:tc>
        <w:tc>
          <w:tcPr>
            <w:tcW w:w="6878" w:type="dxa"/>
            <w:vAlign w:val="center"/>
          </w:tcPr>
          <w:p w14:paraId="097D2625">
            <w:pPr>
              <w:autoSpaceDE w:val="0"/>
              <w:autoSpaceDN w:val="0"/>
              <w:adjustRightInd w:val="0"/>
              <w:spacing w:line="240" w:lineRule="auto"/>
              <w:ind w:left="0" w:leftChars="0"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评标委员会构成：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3</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人，其中业主评委</w:t>
            </w:r>
            <w:r>
              <w:rPr>
                <w:rFonts w:hint="eastAsia" w:ascii="宋体" w:hAnsi="宋体" w:cs="宋体"/>
                <w:color w:val="auto"/>
                <w:kern w:val="0"/>
                <w:szCs w:val="21"/>
                <w:highlight w:val="none"/>
                <w:u w:val="single"/>
              </w:rPr>
              <w:t>1</w:t>
            </w:r>
            <w:r>
              <w:rPr>
                <w:rFonts w:hint="eastAsia" w:ascii="宋体" w:hAnsi="宋体" w:cs="宋体"/>
                <w:color w:val="auto"/>
                <w:kern w:val="0"/>
                <w:szCs w:val="21"/>
                <w:highlight w:val="none"/>
              </w:rPr>
              <w:t>人（为采购人在职人员或经采购人合法授权具备评标专家资格条件的代表），评审专家</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2</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人。专家从政府采购专家库中随机抽取。</w:t>
            </w:r>
          </w:p>
        </w:tc>
      </w:tr>
      <w:tr w14:paraId="7EB1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16" w:type="dxa"/>
            <w:vAlign w:val="center"/>
          </w:tcPr>
          <w:p w14:paraId="5206914B">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7.1</w:t>
            </w:r>
          </w:p>
        </w:tc>
        <w:tc>
          <w:tcPr>
            <w:tcW w:w="1905" w:type="dxa"/>
            <w:vAlign w:val="center"/>
          </w:tcPr>
          <w:p w14:paraId="1A902071">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是否授权评标委员会确定中标人</w:t>
            </w:r>
          </w:p>
        </w:tc>
        <w:tc>
          <w:tcPr>
            <w:tcW w:w="6878" w:type="dxa"/>
            <w:vAlign w:val="center"/>
          </w:tcPr>
          <w:p w14:paraId="0F01421F">
            <w:pPr>
              <w:autoSpaceDE w:val="0"/>
              <w:autoSpaceDN w:val="0"/>
              <w:adjustRightInd w:val="0"/>
              <w:spacing w:line="240" w:lineRule="auto"/>
              <w:ind w:left="0" w:leftChars="0"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否，推荐3名中标候选人。</w:t>
            </w:r>
          </w:p>
        </w:tc>
      </w:tr>
      <w:tr w14:paraId="205C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Align w:val="center"/>
          </w:tcPr>
          <w:p w14:paraId="059EED11">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7.3</w:t>
            </w:r>
          </w:p>
        </w:tc>
        <w:tc>
          <w:tcPr>
            <w:tcW w:w="1905" w:type="dxa"/>
            <w:vAlign w:val="center"/>
          </w:tcPr>
          <w:p w14:paraId="535F6098">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履约保证金</w:t>
            </w:r>
          </w:p>
        </w:tc>
        <w:tc>
          <w:tcPr>
            <w:tcW w:w="6878" w:type="dxa"/>
            <w:vAlign w:val="center"/>
          </w:tcPr>
          <w:p w14:paraId="2BD904B3">
            <w:pPr>
              <w:autoSpaceDE w:val="0"/>
              <w:autoSpaceDN w:val="0"/>
              <w:adjustRightInd w:val="0"/>
              <w:spacing w:line="240" w:lineRule="auto"/>
              <w:ind w:left="0" w:leftChars="0" w:firstLine="0" w:firstLineChars="0"/>
              <w:rPr>
                <w:rFonts w:ascii="宋体" w:hAnsi="宋体" w:cs="宋体"/>
                <w:color w:val="auto"/>
                <w:szCs w:val="21"/>
                <w:highlight w:val="none"/>
              </w:rPr>
            </w:pPr>
            <w:r>
              <w:rPr>
                <w:rFonts w:hint="eastAsia" w:ascii="宋体" w:hAnsi="宋体" w:cs="宋体"/>
                <w:color w:val="auto"/>
                <w:szCs w:val="21"/>
                <w:highlight w:val="none"/>
              </w:rPr>
              <w:t>无</w:t>
            </w:r>
          </w:p>
        </w:tc>
      </w:tr>
      <w:tr w14:paraId="590C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Merge w:val="restart"/>
            <w:vAlign w:val="center"/>
          </w:tcPr>
          <w:p w14:paraId="4A03B24F">
            <w:pPr>
              <w:autoSpaceDE w:val="0"/>
              <w:autoSpaceDN w:val="0"/>
              <w:adjustRightInd w:val="0"/>
              <w:spacing w:line="240" w:lineRule="auto"/>
              <w:ind w:firstLine="0" w:firstLineChars="0"/>
              <w:jc w:val="center"/>
              <w:rPr>
                <w:rFonts w:ascii="宋体" w:hAnsi="宋体" w:cs="宋体"/>
                <w:color w:val="auto"/>
                <w:kern w:val="0"/>
                <w:szCs w:val="21"/>
                <w:highlight w:val="none"/>
              </w:rPr>
            </w:pPr>
            <w:bookmarkStart w:id="26" w:name="_Toc244935163"/>
            <w:bookmarkStart w:id="27" w:name="_Toc244934194"/>
            <w:bookmarkStart w:id="28" w:name="_Toc19222"/>
            <w:r>
              <w:rPr>
                <w:rFonts w:hint="eastAsia" w:ascii="宋体" w:hAnsi="宋体" w:cs="宋体"/>
                <w:color w:val="auto"/>
                <w:kern w:val="0"/>
                <w:szCs w:val="21"/>
                <w:highlight w:val="none"/>
              </w:rPr>
              <w:t>其他补充内容</w:t>
            </w:r>
          </w:p>
        </w:tc>
        <w:tc>
          <w:tcPr>
            <w:tcW w:w="1905" w:type="dxa"/>
            <w:vAlign w:val="center"/>
          </w:tcPr>
          <w:p w14:paraId="4193EFCE">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hint="eastAsia" w:ascii="宋体" w:hAnsi="宋体" w:cs="宋体"/>
                <w:color w:val="auto"/>
                <w:kern w:val="0"/>
                <w:szCs w:val="21"/>
                <w:highlight w:val="none"/>
              </w:rPr>
              <w:t>标书雷同性分析</w:t>
            </w:r>
          </w:p>
        </w:tc>
        <w:tc>
          <w:tcPr>
            <w:tcW w:w="6878" w:type="dxa"/>
            <w:vAlign w:val="center"/>
          </w:tcPr>
          <w:p w14:paraId="5972EB1A">
            <w:pPr>
              <w:autoSpaceDE w:val="0"/>
              <w:autoSpaceDN w:val="0"/>
              <w:adjustRightInd w:val="0"/>
              <w:spacing w:line="240" w:lineRule="auto"/>
              <w:ind w:left="0" w:leftChars="0" w:firstLine="0" w:firstLineChars="0"/>
              <w:rPr>
                <w:rFonts w:ascii="宋体" w:hAnsi="宋体" w:cs="宋体"/>
                <w:color w:val="auto"/>
                <w:kern w:val="0"/>
                <w:szCs w:val="21"/>
                <w:highlight w:val="none"/>
              </w:rPr>
            </w:pPr>
            <w:r>
              <w:rPr>
                <w:rFonts w:hint="eastAsia" w:ascii="宋体" w:hAnsi="宋体" w:cs="宋体"/>
                <w:color w:val="auto"/>
                <w:kern w:val="0"/>
                <w:szCs w:val="21"/>
                <w:highlight w:val="none"/>
              </w:rPr>
              <w:t>文件制作机器码、文件创建标识码有相同的按废标处理。</w:t>
            </w:r>
          </w:p>
        </w:tc>
      </w:tr>
      <w:tr w14:paraId="6536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Merge w:val="continue"/>
            <w:vAlign w:val="center"/>
          </w:tcPr>
          <w:p w14:paraId="77F2D38D">
            <w:pPr>
              <w:autoSpaceDE w:val="0"/>
              <w:autoSpaceDN w:val="0"/>
              <w:adjustRightInd w:val="0"/>
              <w:spacing w:line="240" w:lineRule="auto"/>
              <w:ind w:firstLine="0" w:firstLineChars="0"/>
              <w:jc w:val="center"/>
              <w:rPr>
                <w:rFonts w:ascii="宋体" w:hAnsi="宋体" w:cs="宋体"/>
                <w:color w:val="auto"/>
                <w:kern w:val="0"/>
                <w:szCs w:val="21"/>
                <w:highlight w:val="none"/>
              </w:rPr>
            </w:pPr>
          </w:p>
        </w:tc>
        <w:tc>
          <w:tcPr>
            <w:tcW w:w="1905" w:type="dxa"/>
            <w:vAlign w:val="center"/>
          </w:tcPr>
          <w:p w14:paraId="61E2FC18">
            <w:pPr>
              <w:autoSpaceDE w:val="0"/>
              <w:autoSpaceDN w:val="0"/>
              <w:adjustRightInd w:val="0"/>
              <w:spacing w:line="240" w:lineRule="auto"/>
              <w:ind w:firstLine="0" w:firstLineChars="0"/>
              <w:jc w:val="center"/>
              <w:rPr>
                <w:rFonts w:ascii="宋体" w:hAnsi="宋体" w:cs="宋体"/>
                <w:color w:val="auto"/>
                <w:kern w:val="0"/>
                <w:szCs w:val="21"/>
                <w:highlight w:val="none"/>
              </w:rPr>
            </w:pPr>
            <w:r>
              <w:rPr>
                <w:rFonts w:ascii="宋体" w:hAnsi="宋体" w:cs="宋体"/>
                <w:color w:val="auto"/>
                <w:kern w:val="0"/>
                <w:szCs w:val="21"/>
                <w:highlight w:val="none"/>
              </w:rPr>
              <w:t>费用承担</w:t>
            </w:r>
          </w:p>
        </w:tc>
        <w:tc>
          <w:tcPr>
            <w:tcW w:w="6878" w:type="dxa"/>
            <w:vAlign w:val="center"/>
          </w:tcPr>
          <w:p w14:paraId="73B03638">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1、代理费收费约定：</w:t>
            </w:r>
          </w:p>
          <w:p w14:paraId="2753B5A6">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本项目代理服务费由中标企业支付，供应商报价应包含该项目代理服务费。</w:t>
            </w:r>
          </w:p>
          <w:p w14:paraId="02096250">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本项目代理服务费按不高于“豫招协【2023】002号”规定的收费标准收取，中标人领取中标通知书时向采购代理机构一次性付清。本项目中标服务费的收取按差额定率累进法计算，单标段合计上限不得超过10万元。</w:t>
            </w:r>
          </w:p>
          <w:p w14:paraId="06B1E683">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3、收费标准：</w:t>
            </w:r>
          </w:p>
          <w:p w14:paraId="75F1191D">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100万元以下（含100万元）以下部分费率为1.</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w:t>
            </w:r>
          </w:p>
          <w:p w14:paraId="3838CB22">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100万-500万（含</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00万元）费率为1</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w:t>
            </w:r>
          </w:p>
          <w:p w14:paraId="47BDFF91">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服务费交纳账号：中招（河南）国际工程管理咨询有限公司</w:t>
            </w:r>
          </w:p>
          <w:p w14:paraId="7776C581">
            <w:pPr>
              <w:autoSpaceDE w:val="0"/>
              <w:autoSpaceDN w:val="0"/>
              <w:adjustRightInd w:val="0"/>
              <w:spacing w:line="240" w:lineRule="auto"/>
              <w:ind w:left="0" w:leftChars="0" w:firstLine="0" w:firstLineChars="0"/>
              <w:rPr>
                <w:rFonts w:ascii="宋体" w:hAnsi="宋体" w:cs="宋体"/>
                <w:color w:val="auto"/>
                <w:kern w:val="0"/>
                <w:szCs w:val="21"/>
                <w:highlight w:val="none"/>
              </w:rPr>
            </w:pPr>
            <w:r>
              <w:rPr>
                <w:rFonts w:hint="eastAsia" w:ascii="宋体" w:hAnsi="宋体" w:eastAsia="宋体" w:cs="宋体"/>
                <w:color w:val="auto"/>
                <w:kern w:val="0"/>
                <w:szCs w:val="21"/>
                <w:highlight w:val="none"/>
              </w:rPr>
              <w:t>账号：3719 0818 1910 111</w:t>
            </w:r>
          </w:p>
        </w:tc>
      </w:tr>
      <w:tr w14:paraId="5B7D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16" w:type="dxa"/>
            <w:vMerge w:val="continue"/>
            <w:vAlign w:val="center"/>
          </w:tcPr>
          <w:p w14:paraId="211A73D0">
            <w:pPr>
              <w:autoSpaceDE w:val="0"/>
              <w:autoSpaceDN w:val="0"/>
              <w:adjustRightInd w:val="0"/>
              <w:spacing w:line="240" w:lineRule="auto"/>
              <w:ind w:firstLine="0" w:firstLineChars="0"/>
              <w:jc w:val="center"/>
              <w:rPr>
                <w:rFonts w:ascii="宋体" w:hAnsi="宋体" w:cs="宋体"/>
                <w:color w:val="auto"/>
                <w:kern w:val="0"/>
                <w:szCs w:val="21"/>
                <w:highlight w:val="none"/>
              </w:rPr>
            </w:pPr>
          </w:p>
        </w:tc>
        <w:tc>
          <w:tcPr>
            <w:tcW w:w="1905" w:type="dxa"/>
            <w:vAlign w:val="center"/>
          </w:tcPr>
          <w:p w14:paraId="049D68A3">
            <w:pPr>
              <w:autoSpaceDE w:val="0"/>
              <w:autoSpaceDN w:val="0"/>
              <w:adjustRightInd w:val="0"/>
              <w:spacing w:line="240" w:lineRule="auto"/>
              <w:ind w:firstLine="0" w:firstLineChars="0"/>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本项目所属行业</w:t>
            </w:r>
          </w:p>
        </w:tc>
        <w:tc>
          <w:tcPr>
            <w:tcW w:w="6878" w:type="dxa"/>
            <w:vAlign w:val="center"/>
          </w:tcPr>
          <w:p w14:paraId="0007CB09">
            <w:pPr>
              <w:autoSpaceDE w:val="0"/>
              <w:autoSpaceDN w:val="0"/>
              <w:adjustRightInd w:val="0"/>
              <w:spacing w:line="240" w:lineRule="auto"/>
              <w:ind w:left="0" w:leftChars="0" w:firstLine="0" w:firstLineChars="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其他未列明行业</w:t>
            </w:r>
          </w:p>
        </w:tc>
      </w:tr>
      <w:bookmarkEnd w:id="26"/>
      <w:bookmarkEnd w:id="27"/>
      <w:bookmarkEnd w:id="28"/>
    </w:tbl>
    <w:p w14:paraId="443C3741">
      <w:pPr>
        <w:pStyle w:val="64"/>
        <w:spacing w:before="0" w:line="360" w:lineRule="auto"/>
        <w:rPr>
          <w:rFonts w:hint="eastAsia" w:ascii="宋体" w:hAnsi="宋体" w:eastAsia="宋体"/>
          <w:color w:val="auto"/>
          <w:sz w:val="21"/>
          <w:szCs w:val="21"/>
        </w:rPr>
      </w:pPr>
      <w:bookmarkStart w:id="29" w:name="_Toc10694"/>
      <w:bookmarkStart w:id="30" w:name="_Toc152042305"/>
      <w:bookmarkStart w:id="31" w:name="_Toc455080108"/>
      <w:bookmarkStart w:id="32" w:name="_Toc466298091"/>
      <w:bookmarkStart w:id="33" w:name="_Toc152045529"/>
      <w:bookmarkStart w:id="34" w:name="_Toc144974497"/>
      <w:bookmarkStart w:id="35" w:name="_Toc234213538"/>
      <w:bookmarkStart w:id="36" w:name="_Toc244935173"/>
      <w:r>
        <w:rPr>
          <w:rFonts w:hint="eastAsia" w:ascii="宋体" w:hAnsi="宋体" w:eastAsia="宋体"/>
          <w:b/>
          <w:bCs/>
          <w:color w:val="auto"/>
          <w:sz w:val="24"/>
          <w:szCs w:val="24"/>
        </w:rPr>
        <w:t>1</w:t>
      </w:r>
      <w:r>
        <w:rPr>
          <w:rFonts w:hint="eastAsia" w:ascii="宋体" w:hAnsi="宋体" w:eastAsia="宋体"/>
          <w:b/>
          <w:bCs/>
          <w:color w:val="auto"/>
          <w:sz w:val="21"/>
          <w:szCs w:val="21"/>
        </w:rPr>
        <w:t>. 总则</w:t>
      </w:r>
      <w:bookmarkEnd w:id="29"/>
      <w:bookmarkEnd w:id="30"/>
      <w:bookmarkEnd w:id="31"/>
      <w:bookmarkEnd w:id="32"/>
      <w:bookmarkEnd w:id="33"/>
      <w:bookmarkEnd w:id="34"/>
    </w:p>
    <w:p w14:paraId="249CAC83">
      <w:pPr>
        <w:pStyle w:val="65"/>
        <w:spacing w:line="360" w:lineRule="auto"/>
        <w:outlineLvl w:val="0"/>
        <w:rPr>
          <w:rFonts w:hint="eastAsia" w:ascii="宋体" w:hAnsi="宋体" w:eastAsia="宋体"/>
          <w:b/>
          <w:bCs/>
          <w:color w:val="auto"/>
          <w:sz w:val="21"/>
          <w:szCs w:val="21"/>
        </w:rPr>
      </w:pPr>
      <w:bookmarkStart w:id="37" w:name="_Toc20827"/>
      <w:bookmarkStart w:id="38" w:name="_Toc6747"/>
      <w:bookmarkStart w:id="39" w:name="_Toc490667828"/>
      <w:bookmarkStart w:id="40" w:name="_Toc466298092"/>
      <w:bookmarkStart w:id="41" w:name="_Toc31404"/>
      <w:bookmarkStart w:id="42" w:name="_Toc15709"/>
      <w:bookmarkStart w:id="43" w:name="_Toc455867769"/>
      <w:bookmarkStart w:id="44" w:name="_Toc1172"/>
      <w:bookmarkStart w:id="45" w:name="_Toc21266"/>
      <w:bookmarkStart w:id="46" w:name="_Toc281380952"/>
      <w:bookmarkStart w:id="47" w:name="_Toc10273"/>
      <w:bookmarkStart w:id="48" w:name="_Toc274409866"/>
      <w:bookmarkStart w:id="49" w:name="_Toc455080109"/>
      <w:bookmarkStart w:id="50" w:name="_Toc318450675"/>
      <w:bookmarkStart w:id="51" w:name="_Toc29023"/>
      <w:bookmarkStart w:id="52" w:name="_Toc658"/>
      <w:bookmarkStart w:id="53" w:name="_Toc21458"/>
      <w:bookmarkStart w:id="54" w:name="_Toc152045531"/>
      <w:bookmarkStart w:id="55" w:name="_Toc144974499"/>
      <w:bookmarkStart w:id="56" w:name="_Toc152042307"/>
      <w:r>
        <w:rPr>
          <w:rFonts w:hint="eastAsia" w:ascii="宋体" w:hAnsi="宋体" w:eastAsia="宋体"/>
          <w:b/>
          <w:bCs/>
          <w:color w:val="auto"/>
          <w:sz w:val="21"/>
          <w:szCs w:val="21"/>
        </w:rPr>
        <w:t>1.1 适用范围</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E797E4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1.1.1根据《中华人民共和国政府采购法》等有关法律、法规和规章的规定，编制本项目磋商文件。</w:t>
      </w:r>
    </w:p>
    <w:p w14:paraId="7148BA6D">
      <w:pPr>
        <w:pStyle w:val="65"/>
        <w:tabs>
          <w:tab w:val="left" w:pos="7410"/>
        </w:tabs>
        <w:spacing w:line="360" w:lineRule="auto"/>
        <w:outlineLvl w:val="0"/>
        <w:rPr>
          <w:rFonts w:hint="eastAsia" w:ascii="宋体" w:hAnsi="宋体" w:eastAsia="宋体"/>
          <w:b/>
          <w:bCs/>
          <w:color w:val="auto"/>
          <w:sz w:val="21"/>
          <w:szCs w:val="21"/>
        </w:rPr>
      </w:pPr>
      <w:bookmarkStart w:id="57" w:name="_Toc318450676"/>
      <w:bookmarkStart w:id="58" w:name="_Toc30891"/>
      <w:bookmarkStart w:id="59" w:name="_Toc10556"/>
      <w:bookmarkStart w:id="60" w:name="_Toc455080110"/>
      <w:bookmarkStart w:id="61" w:name="_Toc10269"/>
      <w:bookmarkStart w:id="62" w:name="_Toc2929"/>
      <w:bookmarkStart w:id="63" w:name="_Toc32619"/>
      <w:bookmarkStart w:id="64" w:name="_Toc24852"/>
      <w:bookmarkStart w:id="65" w:name="_Toc455867770"/>
      <w:bookmarkStart w:id="66" w:name="_Toc710"/>
      <w:bookmarkStart w:id="67" w:name="_Toc274409867"/>
      <w:bookmarkStart w:id="68" w:name="_Toc281405468"/>
      <w:bookmarkStart w:id="69" w:name="_Toc490667829"/>
      <w:bookmarkStart w:id="70" w:name="_Toc25773"/>
      <w:bookmarkStart w:id="71" w:name="_Toc3336"/>
      <w:bookmarkStart w:id="72" w:name="_Toc466298093"/>
      <w:bookmarkStart w:id="73" w:name="_Toc7237"/>
      <w:r>
        <w:rPr>
          <w:rFonts w:hint="eastAsia" w:ascii="宋体" w:hAnsi="宋体" w:eastAsia="宋体"/>
          <w:b/>
          <w:bCs/>
          <w:color w:val="auto"/>
          <w:sz w:val="21"/>
          <w:szCs w:val="21"/>
        </w:rPr>
        <w:t>1.2 招标项目说明</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190DE56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1.2.1 本项目</w:t>
      </w:r>
      <w:r>
        <w:rPr>
          <w:rFonts w:hint="eastAsia" w:ascii="宋体" w:hAnsi="宋体"/>
          <w:color w:val="auto"/>
          <w:szCs w:val="21"/>
        </w:rPr>
        <w:t>采购人</w:t>
      </w:r>
      <w:r>
        <w:rPr>
          <w:rFonts w:hint="eastAsia" w:ascii="宋体" w:hAnsi="宋体" w:cs="宋体"/>
          <w:color w:val="auto"/>
          <w:szCs w:val="21"/>
        </w:rPr>
        <w:t>：见供应商须知前附表。</w:t>
      </w:r>
    </w:p>
    <w:p w14:paraId="63B3139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1.2.2 本项目采购代理机构：见供应商须知前附表。</w:t>
      </w:r>
    </w:p>
    <w:p w14:paraId="4DCE937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1.2.3 本项目名称：见供应商须知前附表。</w:t>
      </w:r>
    </w:p>
    <w:p w14:paraId="710A5957">
      <w:pPr>
        <w:pStyle w:val="65"/>
        <w:spacing w:line="360" w:lineRule="auto"/>
        <w:outlineLvl w:val="0"/>
        <w:rPr>
          <w:rFonts w:hint="eastAsia" w:ascii="宋体" w:hAnsi="宋体" w:eastAsia="宋体"/>
          <w:b/>
          <w:bCs/>
          <w:color w:val="auto"/>
          <w:sz w:val="21"/>
          <w:szCs w:val="21"/>
        </w:rPr>
      </w:pPr>
      <w:bookmarkStart w:id="74" w:name="_Toc3477"/>
      <w:bookmarkStart w:id="75" w:name="_Toc455867771"/>
      <w:bookmarkStart w:id="76" w:name="_Toc16931"/>
      <w:bookmarkStart w:id="77" w:name="_Toc4952"/>
      <w:bookmarkStart w:id="78" w:name="_Toc4563"/>
      <w:bookmarkStart w:id="79" w:name="_Toc18960"/>
      <w:bookmarkStart w:id="80" w:name="_Toc490667830"/>
      <w:bookmarkStart w:id="81" w:name="_Toc455080111"/>
      <w:bookmarkStart w:id="82" w:name="_Toc17016"/>
      <w:bookmarkStart w:id="83" w:name="_Toc318450677"/>
      <w:bookmarkStart w:id="84" w:name="_Toc466298094"/>
      <w:bookmarkStart w:id="85" w:name="_Toc17146"/>
      <w:bookmarkStart w:id="86" w:name="_Toc1373"/>
      <w:bookmarkStart w:id="87" w:name="_Toc22979"/>
      <w:bookmarkStart w:id="88" w:name="_Toc281405469"/>
      <w:bookmarkStart w:id="89" w:name="_Toc4122"/>
      <w:bookmarkStart w:id="90" w:name="_Toc274409868"/>
      <w:r>
        <w:rPr>
          <w:rFonts w:hint="eastAsia" w:ascii="宋体" w:hAnsi="宋体" w:eastAsia="宋体"/>
          <w:b/>
          <w:bCs/>
          <w:color w:val="auto"/>
          <w:sz w:val="21"/>
          <w:szCs w:val="21"/>
        </w:rPr>
        <w:t>1.3 定义及解释</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210BEFE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1.3.1</w:t>
      </w:r>
      <w:r>
        <w:rPr>
          <w:rFonts w:hint="eastAsia" w:ascii="宋体" w:hAnsi="宋体"/>
          <w:color w:val="auto"/>
          <w:szCs w:val="21"/>
        </w:rPr>
        <w:t>采购人</w:t>
      </w:r>
      <w:r>
        <w:rPr>
          <w:rFonts w:hint="eastAsia" w:ascii="宋体" w:hAnsi="宋体" w:cs="宋体"/>
          <w:color w:val="auto"/>
          <w:szCs w:val="21"/>
        </w:rPr>
        <w:t>：依法进行政府采购的国家机关、事业单位、团体组织。</w:t>
      </w:r>
    </w:p>
    <w:p w14:paraId="2A26303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1.3.2</w:t>
      </w:r>
      <w:r>
        <w:rPr>
          <w:rFonts w:hint="eastAsia" w:ascii="宋体" w:hAnsi="宋体"/>
          <w:color w:val="auto"/>
          <w:szCs w:val="21"/>
        </w:rPr>
        <w:t>采购代理机构</w:t>
      </w:r>
      <w:r>
        <w:rPr>
          <w:rFonts w:hint="eastAsia" w:ascii="宋体" w:hAnsi="宋体" w:cs="宋体"/>
          <w:color w:val="auto"/>
          <w:szCs w:val="21"/>
        </w:rPr>
        <w:t>：取得政府采购招标代理资质，受采购人委托组织招标活动的社会中介组织。</w:t>
      </w:r>
    </w:p>
    <w:p w14:paraId="789C3C2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1.3.3服务：系指根据本磋商文件规定供应商须承担的服务以及其他类似的义务等。</w:t>
      </w:r>
    </w:p>
    <w:p w14:paraId="0FFF144E">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1.3.4供应商：供应商是响应磋商文件、参加磋商竞争的中华人民共和国境内的法人、其它组织。</w:t>
      </w:r>
    </w:p>
    <w:p w14:paraId="54E7A41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1.3.5响应文件：指供应商根据磋商文件提交的所有文件。</w:t>
      </w:r>
    </w:p>
    <w:p w14:paraId="5B8D19C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1.3.6磋商小组：依据</w:t>
      </w:r>
      <w:r>
        <w:rPr>
          <w:rFonts w:hint="eastAsia" w:ascii="宋体" w:hAnsi="宋体" w:cs="宋体"/>
          <w:color w:val="auto"/>
          <w:szCs w:val="21"/>
          <w:lang w:bidi="en-US"/>
        </w:rPr>
        <w:t>《中华人民共和国政府采购法》及有关法律、法规的规定依法组建的专门负责本次评标工作的临时机构</w:t>
      </w:r>
      <w:r>
        <w:rPr>
          <w:rFonts w:hint="eastAsia" w:ascii="宋体" w:hAnsi="宋体" w:cs="宋体"/>
          <w:color w:val="auto"/>
          <w:szCs w:val="21"/>
        </w:rPr>
        <w:t>。</w:t>
      </w:r>
    </w:p>
    <w:p w14:paraId="157F219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1.3.7偏离：响应文件的响应相对于磋商文件要求的偏差，该偏差优于磋商文件要求的为正偏离；劣于的，为负偏离。</w:t>
      </w:r>
    </w:p>
    <w:p w14:paraId="1519CFA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1.3.8“日期”或“天”：指日历天。</w:t>
      </w:r>
    </w:p>
    <w:p w14:paraId="1F3804A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1.3.9合同：指依据本次服务采购招标结果签订的协议或合约文件。</w:t>
      </w:r>
    </w:p>
    <w:p w14:paraId="3027EE18">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1.3.10磋商文件中的标题或题名仅起引导作用，而不应视为对磋商文件内容的理解和解释。</w:t>
      </w:r>
    </w:p>
    <w:bookmarkEnd w:id="54"/>
    <w:bookmarkEnd w:id="55"/>
    <w:bookmarkEnd w:id="56"/>
    <w:p w14:paraId="3A6D4F89">
      <w:pPr>
        <w:pStyle w:val="65"/>
        <w:spacing w:line="360" w:lineRule="auto"/>
        <w:outlineLvl w:val="0"/>
        <w:rPr>
          <w:rFonts w:hint="eastAsia" w:ascii="宋体" w:hAnsi="宋体" w:eastAsia="宋体"/>
          <w:b/>
          <w:bCs/>
          <w:color w:val="auto"/>
          <w:sz w:val="21"/>
          <w:szCs w:val="21"/>
        </w:rPr>
      </w:pPr>
      <w:bookmarkStart w:id="91" w:name="_Toc21766"/>
      <w:bookmarkStart w:id="92" w:name="_Toc152042308"/>
      <w:bookmarkStart w:id="93" w:name="_Toc32236"/>
      <w:bookmarkStart w:id="94" w:name="_Toc455867772"/>
      <w:bookmarkStart w:id="95" w:name="_Toc152045532"/>
      <w:bookmarkStart w:id="96" w:name="_Toc12752"/>
      <w:bookmarkStart w:id="97" w:name="_Toc17808"/>
      <w:bookmarkStart w:id="98" w:name="_Toc490667831"/>
      <w:bookmarkStart w:id="99" w:name="_Toc144974500"/>
      <w:bookmarkStart w:id="100" w:name="_Toc318450678"/>
      <w:bookmarkStart w:id="101" w:name="_Toc455080112"/>
      <w:bookmarkStart w:id="102" w:name="_Toc27407"/>
      <w:bookmarkStart w:id="103" w:name="_Toc10894"/>
      <w:bookmarkStart w:id="104" w:name="_Toc16470"/>
      <w:bookmarkStart w:id="105" w:name="_Toc466298095"/>
      <w:bookmarkStart w:id="106" w:name="_Toc14043"/>
      <w:bookmarkStart w:id="107" w:name="_Toc19363"/>
      <w:bookmarkStart w:id="108" w:name="_Toc17908"/>
      <w:r>
        <w:rPr>
          <w:rFonts w:hint="eastAsia" w:ascii="宋体" w:hAnsi="宋体" w:eastAsia="宋体"/>
          <w:b/>
          <w:bCs/>
          <w:color w:val="auto"/>
          <w:sz w:val="21"/>
          <w:szCs w:val="21"/>
        </w:rPr>
        <w:t xml:space="preserve">1.4 </w:t>
      </w:r>
      <w:r>
        <w:rPr>
          <w:rFonts w:hint="eastAsia" w:ascii="宋体" w:hAnsi="宋体" w:eastAsia="宋体"/>
          <w:b/>
          <w:bCs/>
          <w:color w:val="auto"/>
          <w:sz w:val="21"/>
          <w:szCs w:val="21"/>
          <w:lang w:eastAsia="zh-CN"/>
        </w:rPr>
        <w:t>磋商内容</w:t>
      </w:r>
      <w:r>
        <w:rPr>
          <w:rFonts w:hint="eastAsia" w:ascii="宋体" w:hAnsi="宋体" w:eastAsia="宋体"/>
          <w:b/>
          <w:bCs/>
          <w:color w:val="auto"/>
          <w:sz w:val="21"/>
          <w:szCs w:val="21"/>
        </w:rPr>
        <w:t>及计划工期和质量要求</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5D9D215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1.4.1 本次</w:t>
      </w:r>
      <w:r>
        <w:rPr>
          <w:rFonts w:hint="eastAsia" w:ascii="宋体" w:hAnsi="宋体" w:cs="宋体"/>
          <w:color w:val="auto"/>
          <w:szCs w:val="21"/>
          <w:lang w:eastAsia="zh-CN"/>
        </w:rPr>
        <w:t>磋商内容</w:t>
      </w:r>
      <w:r>
        <w:rPr>
          <w:rFonts w:hint="eastAsia" w:ascii="宋体" w:hAnsi="宋体" w:cs="宋体"/>
          <w:color w:val="auto"/>
          <w:szCs w:val="21"/>
        </w:rPr>
        <w:t>：见供应商须知前附表。</w:t>
      </w:r>
    </w:p>
    <w:p w14:paraId="23D538A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1.4.2 本项目的计划工期：见供应商须知前附表。</w:t>
      </w:r>
    </w:p>
    <w:p w14:paraId="7DFA109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1.4.3本项目的质量要求：见供应商须知前附表。</w:t>
      </w:r>
    </w:p>
    <w:p w14:paraId="2E73C188">
      <w:pPr>
        <w:pStyle w:val="65"/>
        <w:spacing w:line="360" w:lineRule="auto"/>
        <w:outlineLvl w:val="0"/>
        <w:rPr>
          <w:rFonts w:hint="eastAsia" w:ascii="宋体" w:hAnsi="宋体" w:eastAsia="宋体"/>
          <w:b/>
          <w:bCs/>
          <w:color w:val="auto"/>
          <w:sz w:val="21"/>
          <w:szCs w:val="21"/>
        </w:rPr>
      </w:pPr>
      <w:bookmarkStart w:id="109" w:name="_Toc318450679"/>
      <w:bookmarkStart w:id="110" w:name="_Toc152042310"/>
      <w:bookmarkStart w:id="111" w:name="_Toc144974502"/>
      <w:bookmarkStart w:id="112" w:name="_Toc152045534"/>
      <w:bookmarkStart w:id="113" w:name="_Toc455080113"/>
      <w:bookmarkStart w:id="114" w:name="_Toc490667832"/>
      <w:bookmarkStart w:id="115" w:name="_Toc1602"/>
      <w:bookmarkStart w:id="116" w:name="_Toc5019"/>
      <w:bookmarkStart w:id="117" w:name="_Toc455867773"/>
      <w:bookmarkStart w:id="118" w:name="_Toc32156"/>
      <w:bookmarkStart w:id="119" w:name="_Toc18689"/>
      <w:bookmarkStart w:id="120" w:name="_Toc11063"/>
      <w:bookmarkStart w:id="121" w:name="_Toc4301"/>
      <w:bookmarkStart w:id="122" w:name="_Toc18004"/>
      <w:bookmarkStart w:id="123" w:name="_Toc7209"/>
      <w:bookmarkStart w:id="124" w:name="_Toc466298096"/>
      <w:bookmarkStart w:id="125" w:name="_Toc22643"/>
      <w:bookmarkStart w:id="126" w:name="_Toc4711"/>
      <w:r>
        <w:rPr>
          <w:rFonts w:hint="eastAsia" w:ascii="宋体" w:hAnsi="宋体" w:eastAsia="宋体"/>
          <w:b/>
          <w:bCs/>
          <w:color w:val="auto"/>
          <w:sz w:val="21"/>
          <w:szCs w:val="21"/>
        </w:rPr>
        <w:t xml:space="preserve">1.5 </w:t>
      </w:r>
      <w:bookmarkEnd w:id="109"/>
      <w:bookmarkEnd w:id="110"/>
      <w:bookmarkEnd w:id="111"/>
      <w:bookmarkEnd w:id="112"/>
      <w:r>
        <w:rPr>
          <w:rFonts w:hint="eastAsia" w:ascii="宋体" w:hAnsi="宋体" w:eastAsia="宋体"/>
          <w:b/>
          <w:bCs/>
          <w:color w:val="auto"/>
          <w:sz w:val="21"/>
          <w:szCs w:val="21"/>
        </w:rPr>
        <w:t>供应商资质条件和能力</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3A4F2C5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1.5.1供应商资质及能力要求：见供应商须知前附表。</w:t>
      </w:r>
    </w:p>
    <w:p w14:paraId="6A5101C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1.5.2是否接受联合体：见供应商须知前附表。</w:t>
      </w:r>
    </w:p>
    <w:p w14:paraId="6D6DC272">
      <w:pPr>
        <w:pStyle w:val="65"/>
        <w:spacing w:line="360" w:lineRule="auto"/>
        <w:outlineLvl w:val="0"/>
        <w:rPr>
          <w:rFonts w:hint="eastAsia" w:ascii="宋体" w:hAnsi="宋体" w:eastAsia="宋体"/>
          <w:b/>
          <w:bCs/>
          <w:color w:val="auto"/>
          <w:sz w:val="21"/>
          <w:szCs w:val="21"/>
        </w:rPr>
      </w:pPr>
      <w:bookmarkStart w:id="127" w:name="_Toc12403"/>
      <w:bookmarkStart w:id="128" w:name="_Toc28135"/>
      <w:bookmarkStart w:id="129" w:name="_Toc5162"/>
      <w:bookmarkStart w:id="130" w:name="_Toc318450680"/>
      <w:bookmarkStart w:id="131" w:name="_Toc455080114"/>
      <w:bookmarkStart w:id="132" w:name="_Toc981"/>
      <w:bookmarkStart w:id="133" w:name="_Toc152042311"/>
      <w:bookmarkStart w:id="134" w:name="_Toc144974503"/>
      <w:bookmarkStart w:id="135" w:name="_Toc32446"/>
      <w:bookmarkStart w:id="136" w:name="_Toc11905"/>
      <w:bookmarkStart w:id="137" w:name="_Toc466298097"/>
      <w:bookmarkStart w:id="138" w:name="_Toc152045535"/>
      <w:bookmarkStart w:id="139" w:name="_Toc9505"/>
      <w:bookmarkStart w:id="140" w:name="_Toc455867774"/>
      <w:bookmarkStart w:id="141" w:name="_Toc651"/>
      <w:bookmarkStart w:id="142" w:name="_Toc490667833"/>
      <w:bookmarkStart w:id="143" w:name="_Toc31854"/>
      <w:bookmarkStart w:id="144" w:name="_Toc16889"/>
      <w:r>
        <w:rPr>
          <w:rFonts w:hint="eastAsia" w:ascii="宋体" w:hAnsi="宋体" w:eastAsia="宋体"/>
          <w:b/>
          <w:bCs/>
          <w:color w:val="auto"/>
          <w:sz w:val="21"/>
          <w:szCs w:val="21"/>
        </w:rPr>
        <w:t>1.6 费用承担</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75B81F0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供应商准备和参加磋商活动发生的费用自理，不论磋商的结果如何，采购人和采购代理机构在任何情况下均无义务和责任承担这些费用。</w:t>
      </w:r>
    </w:p>
    <w:p w14:paraId="3D896B60">
      <w:pPr>
        <w:pStyle w:val="65"/>
        <w:spacing w:line="360" w:lineRule="auto"/>
        <w:outlineLvl w:val="0"/>
        <w:rPr>
          <w:rFonts w:hint="eastAsia" w:ascii="宋体" w:hAnsi="宋体" w:eastAsia="宋体"/>
          <w:b/>
          <w:bCs/>
          <w:color w:val="auto"/>
          <w:sz w:val="21"/>
          <w:szCs w:val="21"/>
        </w:rPr>
      </w:pPr>
      <w:bookmarkStart w:id="145" w:name="_Toc8055"/>
      <w:bookmarkStart w:id="146" w:name="_Toc1879"/>
      <w:bookmarkStart w:id="147" w:name="_Toc22800"/>
      <w:bookmarkStart w:id="148" w:name="_Toc455080115"/>
      <w:bookmarkStart w:id="149" w:name="_Toc466298098"/>
      <w:bookmarkStart w:id="150" w:name="_Toc32053"/>
      <w:bookmarkStart w:id="151" w:name="_Toc455867775"/>
      <w:bookmarkStart w:id="152" w:name="_Toc22136"/>
      <w:bookmarkStart w:id="153" w:name="_Toc5402"/>
      <w:bookmarkStart w:id="154" w:name="_Toc24601"/>
      <w:bookmarkStart w:id="155" w:name="_Toc318450681"/>
      <w:bookmarkStart w:id="156" w:name="_Toc152045536"/>
      <w:bookmarkStart w:id="157" w:name="_Toc6014"/>
      <w:bookmarkStart w:id="158" w:name="_Toc2622"/>
      <w:bookmarkStart w:id="159" w:name="_Toc144974504"/>
      <w:bookmarkStart w:id="160" w:name="_Toc152042312"/>
      <w:bookmarkStart w:id="161" w:name="_Toc20145"/>
      <w:bookmarkStart w:id="162" w:name="_Toc490667834"/>
      <w:r>
        <w:rPr>
          <w:rFonts w:hint="eastAsia" w:ascii="宋体" w:hAnsi="宋体" w:eastAsia="宋体"/>
          <w:b/>
          <w:bCs/>
          <w:color w:val="auto"/>
          <w:sz w:val="21"/>
          <w:szCs w:val="21"/>
        </w:rPr>
        <w:t>1.7 保密</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7404A06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参与磋商活动的各方应对磋商文件和响应文件中的商业和技术等秘密保密，违者应对由此造成的后果承担法律责任。 </w:t>
      </w:r>
    </w:p>
    <w:p w14:paraId="7CCA2F11">
      <w:pPr>
        <w:pStyle w:val="65"/>
        <w:spacing w:line="360" w:lineRule="auto"/>
        <w:outlineLvl w:val="0"/>
        <w:rPr>
          <w:rFonts w:hint="eastAsia" w:ascii="宋体" w:hAnsi="宋体" w:eastAsia="宋体"/>
          <w:b/>
          <w:bCs/>
          <w:color w:val="auto"/>
          <w:sz w:val="21"/>
          <w:szCs w:val="21"/>
        </w:rPr>
      </w:pPr>
      <w:bookmarkStart w:id="163" w:name="_Toc144974505"/>
      <w:bookmarkStart w:id="164" w:name="_Toc3628"/>
      <w:bookmarkStart w:id="165" w:name="_Toc13976"/>
      <w:bookmarkStart w:id="166" w:name="_Toc15673"/>
      <w:bookmarkStart w:id="167" w:name="_Toc6615"/>
      <w:bookmarkStart w:id="168" w:name="_Toc30583"/>
      <w:bookmarkStart w:id="169" w:name="_Toc30747"/>
      <w:bookmarkStart w:id="170" w:name="_Toc152045537"/>
      <w:bookmarkStart w:id="171" w:name="_Toc21089"/>
      <w:bookmarkStart w:id="172" w:name="_Toc152042313"/>
      <w:bookmarkStart w:id="173" w:name="_Toc490667835"/>
      <w:bookmarkStart w:id="174" w:name="_Toc455867776"/>
      <w:bookmarkStart w:id="175" w:name="_Toc7031"/>
      <w:bookmarkStart w:id="176" w:name="_Toc14775"/>
      <w:bookmarkStart w:id="177" w:name="_Toc466298099"/>
      <w:bookmarkStart w:id="178" w:name="_Toc25517"/>
      <w:bookmarkStart w:id="179" w:name="_Toc318450682"/>
      <w:bookmarkStart w:id="180" w:name="_Toc455080116"/>
      <w:r>
        <w:rPr>
          <w:rFonts w:hint="eastAsia" w:ascii="宋体" w:hAnsi="宋体" w:eastAsia="宋体"/>
          <w:b/>
          <w:bCs/>
          <w:color w:val="auto"/>
          <w:sz w:val="21"/>
          <w:szCs w:val="21"/>
        </w:rPr>
        <w:t>1.8 语言</w:t>
      </w:r>
      <w:bookmarkEnd w:id="163"/>
      <w:r>
        <w:rPr>
          <w:rFonts w:hint="eastAsia" w:ascii="宋体" w:hAnsi="宋体" w:eastAsia="宋体"/>
          <w:b/>
          <w:bCs/>
          <w:color w:val="auto"/>
          <w:sz w:val="21"/>
          <w:szCs w:val="21"/>
        </w:rPr>
        <w:t>文字</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6D03BE13">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除专用术语外，与磋商有关的语言均使用中文。必要时专用术语应附有中文注释，</w:t>
      </w:r>
      <w:r>
        <w:rPr>
          <w:rFonts w:hint="eastAsia" w:ascii="宋体" w:hAnsi="宋体" w:cs="宋体"/>
          <w:color w:val="auto"/>
          <w:szCs w:val="21"/>
          <w:lang w:bidi="en-US"/>
        </w:rPr>
        <w:t>对不同文字文本响应文件的解释发生异议的，以中文文本为准。</w:t>
      </w:r>
    </w:p>
    <w:p w14:paraId="6D5A8013">
      <w:pPr>
        <w:pStyle w:val="65"/>
        <w:spacing w:line="360" w:lineRule="auto"/>
        <w:outlineLvl w:val="0"/>
        <w:rPr>
          <w:rFonts w:hint="eastAsia" w:ascii="宋体" w:hAnsi="宋体" w:eastAsia="宋体"/>
          <w:b/>
          <w:bCs/>
          <w:color w:val="auto"/>
          <w:sz w:val="21"/>
          <w:szCs w:val="21"/>
        </w:rPr>
      </w:pPr>
      <w:bookmarkStart w:id="181" w:name="_Toc152045538"/>
      <w:bookmarkStart w:id="182" w:name="_Toc4237"/>
      <w:bookmarkStart w:id="183" w:name="_Toc144974506"/>
      <w:bookmarkStart w:id="184" w:name="_Toc18357"/>
      <w:bookmarkStart w:id="185" w:name="_Toc152042314"/>
      <w:bookmarkStart w:id="186" w:name="_Toc4501"/>
      <w:bookmarkStart w:id="187" w:name="_Toc9446"/>
      <w:bookmarkStart w:id="188" w:name="_Toc24337"/>
      <w:bookmarkStart w:id="189" w:name="_Toc2702"/>
      <w:bookmarkStart w:id="190" w:name="_Toc22378"/>
      <w:bookmarkStart w:id="191" w:name="_Toc14934"/>
      <w:bookmarkStart w:id="192" w:name="_Toc22415"/>
      <w:bookmarkStart w:id="193" w:name="_Toc318450683"/>
      <w:bookmarkStart w:id="194" w:name="_Toc490667836"/>
      <w:bookmarkStart w:id="195" w:name="_Toc455080117"/>
      <w:bookmarkStart w:id="196" w:name="_Toc32507"/>
      <w:bookmarkStart w:id="197" w:name="_Toc455867777"/>
      <w:bookmarkStart w:id="198" w:name="_Toc466298100"/>
      <w:r>
        <w:rPr>
          <w:rFonts w:hint="eastAsia" w:ascii="宋体" w:hAnsi="宋体" w:eastAsia="宋体"/>
          <w:b/>
          <w:bCs/>
          <w:color w:val="auto"/>
          <w:sz w:val="21"/>
          <w:szCs w:val="21"/>
        </w:rPr>
        <w:t>1.9 计量单位</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1669748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所有计量均采用中华人民共和国法定计量单位。</w:t>
      </w:r>
    </w:p>
    <w:p w14:paraId="6DD70711">
      <w:pPr>
        <w:pStyle w:val="65"/>
        <w:spacing w:line="360" w:lineRule="auto"/>
        <w:outlineLvl w:val="0"/>
        <w:rPr>
          <w:rFonts w:hint="eastAsia" w:ascii="宋体" w:hAnsi="宋体" w:eastAsia="宋体"/>
          <w:color w:val="auto"/>
          <w:sz w:val="21"/>
          <w:szCs w:val="21"/>
        </w:rPr>
      </w:pPr>
      <w:bookmarkStart w:id="199" w:name="_Toc318450684"/>
      <w:bookmarkStart w:id="200" w:name="_Toc2508"/>
      <w:bookmarkStart w:id="201" w:name="_Toc13675"/>
      <w:bookmarkStart w:id="202" w:name="_Toc19685"/>
      <w:bookmarkStart w:id="203" w:name="_Toc152045540"/>
      <w:bookmarkStart w:id="204" w:name="_Toc284"/>
      <w:bookmarkStart w:id="205" w:name="_Toc31195"/>
      <w:bookmarkStart w:id="206" w:name="_Toc466298101"/>
      <w:bookmarkStart w:id="207" w:name="_Toc455867778"/>
      <w:bookmarkStart w:id="208" w:name="_Toc18589"/>
      <w:bookmarkStart w:id="209" w:name="_Toc144974508"/>
      <w:bookmarkStart w:id="210" w:name="_Toc12027"/>
      <w:bookmarkStart w:id="211" w:name="_Toc29845"/>
      <w:bookmarkStart w:id="212" w:name="_Toc455080118"/>
      <w:bookmarkStart w:id="213" w:name="_Toc152042316"/>
      <w:bookmarkStart w:id="214" w:name="_Toc490667837"/>
      <w:bookmarkStart w:id="215" w:name="_Toc338"/>
      <w:bookmarkStart w:id="216" w:name="_Toc27570"/>
      <w:r>
        <w:rPr>
          <w:rFonts w:hint="eastAsia" w:ascii="宋体" w:hAnsi="宋体" w:eastAsia="宋体"/>
          <w:b/>
          <w:bCs/>
          <w:color w:val="auto"/>
          <w:sz w:val="21"/>
          <w:szCs w:val="21"/>
        </w:rPr>
        <w:t>1.10 预备会</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1FDA1BA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1.10.1 供应商须知前附表规定召开磋商预备会的，采购人按供应商须知前附表规定的时间和地点召开磋商预备会，澄清供应商提出的问题。</w:t>
      </w:r>
    </w:p>
    <w:p w14:paraId="668E5A9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1.10.2 供应商应在供应商须知前附表规定的时间前，以书面形式将提出的问题送达采购人，以便采购人在会议期间澄清。</w:t>
      </w:r>
    </w:p>
    <w:p w14:paraId="5F94D31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1.10.3 磋商预备会后，采购人在供应商须知前附表规定的时间内，将对供应商所提问题的澄清，以书面方式通知所有购买磋商文件的供应商。该澄清内容为磋商文件的组成部分。</w:t>
      </w:r>
    </w:p>
    <w:p w14:paraId="32D5E9AB">
      <w:pPr>
        <w:pStyle w:val="65"/>
        <w:spacing w:line="360" w:lineRule="auto"/>
        <w:outlineLvl w:val="0"/>
        <w:rPr>
          <w:rFonts w:hint="eastAsia" w:ascii="宋体" w:hAnsi="宋体" w:eastAsia="宋体"/>
          <w:b/>
          <w:bCs/>
          <w:color w:val="auto"/>
          <w:sz w:val="21"/>
          <w:szCs w:val="21"/>
        </w:rPr>
      </w:pPr>
      <w:bookmarkStart w:id="217" w:name="_Toc490667838"/>
      <w:bookmarkStart w:id="218" w:name="_Toc9182"/>
      <w:bookmarkStart w:id="219" w:name="_Toc24262"/>
      <w:bookmarkStart w:id="220" w:name="_Toc3853"/>
      <w:bookmarkStart w:id="221" w:name="_Toc152042317"/>
      <w:bookmarkStart w:id="222" w:name="_Toc144974509"/>
      <w:bookmarkStart w:id="223" w:name="_Toc455080119"/>
      <w:bookmarkStart w:id="224" w:name="_Toc31725"/>
      <w:bookmarkStart w:id="225" w:name="_Toc466298102"/>
      <w:bookmarkStart w:id="226" w:name="_Toc12562"/>
      <w:bookmarkStart w:id="227" w:name="_Toc11744"/>
      <w:bookmarkStart w:id="228" w:name="_Toc152045541"/>
      <w:bookmarkStart w:id="229" w:name="_Toc32757"/>
      <w:bookmarkStart w:id="230" w:name="_Toc455867779"/>
      <w:bookmarkStart w:id="231" w:name="_Toc23635"/>
      <w:bookmarkStart w:id="232" w:name="_Toc23678"/>
      <w:bookmarkStart w:id="233" w:name="_Toc318450685"/>
      <w:bookmarkStart w:id="234" w:name="_Toc25208"/>
      <w:r>
        <w:rPr>
          <w:rFonts w:hint="eastAsia" w:ascii="宋体" w:hAnsi="宋体" w:eastAsia="宋体"/>
          <w:b/>
          <w:bCs/>
          <w:color w:val="auto"/>
          <w:sz w:val="21"/>
          <w:szCs w:val="21"/>
        </w:rPr>
        <w:t>1.11分包</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0032B76A">
      <w:pPr>
        <w:spacing w:line="360" w:lineRule="auto"/>
        <w:ind w:firstLine="567" w:firstLineChars="270"/>
        <w:rPr>
          <w:rFonts w:hint="eastAsia" w:ascii="宋体" w:hAnsi="宋体" w:cs="宋体"/>
          <w:color w:val="auto"/>
          <w:szCs w:val="21"/>
        </w:rPr>
      </w:pPr>
      <w:r>
        <w:rPr>
          <w:rFonts w:hint="eastAsia" w:ascii="宋体" w:hAnsi="宋体" w:cs="宋体"/>
          <w:color w:val="auto"/>
          <w:szCs w:val="21"/>
        </w:rPr>
        <w:t>是否允许分包：见供应商须知前附表。</w:t>
      </w:r>
      <w:bookmarkStart w:id="235" w:name="_Toc144974510"/>
      <w:bookmarkStart w:id="236" w:name="_Toc152045542"/>
      <w:bookmarkStart w:id="237" w:name="_Toc152042318"/>
      <w:bookmarkStart w:id="238" w:name="_Toc455080120"/>
    </w:p>
    <w:bookmarkEnd w:id="235"/>
    <w:bookmarkEnd w:id="236"/>
    <w:bookmarkEnd w:id="237"/>
    <w:p w14:paraId="3E0E96EA">
      <w:pPr>
        <w:spacing w:line="360" w:lineRule="auto"/>
        <w:outlineLvl w:val="1"/>
        <w:rPr>
          <w:rFonts w:hint="eastAsia" w:ascii="宋体" w:hAnsi="宋体"/>
          <w:b/>
          <w:bCs/>
          <w:color w:val="auto"/>
          <w:szCs w:val="21"/>
        </w:rPr>
      </w:pPr>
      <w:bookmarkStart w:id="239" w:name="_Toc12453"/>
      <w:r>
        <w:rPr>
          <w:rFonts w:hint="eastAsia" w:ascii="宋体" w:hAnsi="宋体"/>
          <w:b/>
          <w:bCs/>
          <w:color w:val="auto"/>
          <w:szCs w:val="21"/>
        </w:rPr>
        <w:t>2.磋商文件</w:t>
      </w:r>
      <w:bookmarkEnd w:id="238"/>
      <w:bookmarkEnd w:id="239"/>
    </w:p>
    <w:p w14:paraId="7752461A">
      <w:pPr>
        <w:pStyle w:val="65"/>
        <w:spacing w:line="360" w:lineRule="auto"/>
        <w:outlineLvl w:val="0"/>
        <w:rPr>
          <w:rFonts w:hint="eastAsia" w:ascii="宋体" w:hAnsi="宋体" w:eastAsia="宋体"/>
          <w:b/>
          <w:bCs/>
          <w:color w:val="auto"/>
          <w:sz w:val="21"/>
          <w:szCs w:val="21"/>
        </w:rPr>
      </w:pPr>
      <w:bookmarkStart w:id="240" w:name="_Toc455080121"/>
      <w:bookmarkStart w:id="241" w:name="_Toc144974511"/>
      <w:bookmarkStart w:id="242" w:name="_Toc3982"/>
      <w:bookmarkStart w:id="243" w:name="_Toc318450687"/>
      <w:bookmarkStart w:id="244" w:name="_Toc32711"/>
      <w:bookmarkStart w:id="245" w:name="_Toc490667840"/>
      <w:bookmarkStart w:id="246" w:name="_Toc7999"/>
      <w:bookmarkStart w:id="247" w:name="_Toc9780"/>
      <w:bookmarkStart w:id="248" w:name="_Toc23649"/>
      <w:bookmarkStart w:id="249" w:name="_Toc152042319"/>
      <w:bookmarkStart w:id="250" w:name="_Toc466298104"/>
      <w:bookmarkStart w:id="251" w:name="_Toc11599"/>
      <w:bookmarkStart w:id="252" w:name="_Toc11567"/>
      <w:bookmarkStart w:id="253" w:name="_Toc12640"/>
      <w:bookmarkStart w:id="254" w:name="_Toc12004"/>
      <w:bookmarkStart w:id="255" w:name="_Toc455867781"/>
      <w:bookmarkStart w:id="256" w:name="_Toc152045543"/>
      <w:bookmarkStart w:id="257" w:name="_Toc1008"/>
      <w:r>
        <w:rPr>
          <w:rFonts w:hint="eastAsia" w:ascii="宋体" w:hAnsi="宋体" w:eastAsia="宋体"/>
          <w:b/>
          <w:bCs/>
          <w:color w:val="auto"/>
          <w:sz w:val="21"/>
          <w:szCs w:val="21"/>
        </w:rPr>
        <w:t>2.1 磋商文件的组成</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312BA2A1">
      <w:pPr>
        <w:spacing w:line="360" w:lineRule="auto"/>
        <w:rPr>
          <w:rFonts w:hint="eastAsia" w:ascii="宋体" w:hAnsi="宋体" w:cs="宋体"/>
          <w:color w:val="auto"/>
          <w:szCs w:val="21"/>
        </w:rPr>
      </w:pPr>
      <w:r>
        <w:rPr>
          <w:rFonts w:hint="eastAsia" w:ascii="宋体" w:hAnsi="宋体" w:cs="宋体"/>
          <w:color w:val="auto"/>
          <w:szCs w:val="21"/>
        </w:rPr>
        <w:t>　　本磋商文件包括：</w:t>
      </w:r>
    </w:p>
    <w:p w14:paraId="109A4F2D">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（1）磋商公告；</w:t>
      </w:r>
    </w:p>
    <w:p w14:paraId="73088DB5">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（2）供应商须知；</w:t>
      </w:r>
    </w:p>
    <w:p w14:paraId="3FA3A820">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（3）评审办法；</w:t>
      </w:r>
    </w:p>
    <w:p w14:paraId="770A8701">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（4）合同文本；</w:t>
      </w:r>
    </w:p>
    <w:p w14:paraId="400B7488">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（5）工程量清单；</w:t>
      </w:r>
    </w:p>
    <w:p w14:paraId="60B5DAE5">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（6）竞争性磋商响应文件格式；</w:t>
      </w:r>
    </w:p>
    <w:p w14:paraId="59E80E69">
      <w:pPr>
        <w:spacing w:line="360" w:lineRule="auto"/>
        <w:ind w:firstLine="359" w:firstLineChars="171"/>
        <w:rPr>
          <w:rFonts w:hint="eastAsia" w:ascii="宋体" w:hAnsi="宋体" w:cs="宋体"/>
          <w:color w:val="auto"/>
          <w:szCs w:val="21"/>
        </w:rPr>
      </w:pPr>
      <w:r>
        <w:rPr>
          <w:rFonts w:hint="eastAsia" w:ascii="宋体" w:hAnsi="宋体" w:cs="宋体"/>
          <w:color w:val="auto"/>
          <w:szCs w:val="21"/>
        </w:rPr>
        <w:t>（7）供应商须知前附表规定的其他材料。</w:t>
      </w:r>
    </w:p>
    <w:p w14:paraId="6F36327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根据本章第2.2款和第2.3款对磋商文件所作的澄清、修改，构成磋商文件的组成部分。</w:t>
      </w:r>
    </w:p>
    <w:p w14:paraId="24CE54D3">
      <w:pPr>
        <w:pStyle w:val="65"/>
        <w:spacing w:line="360" w:lineRule="auto"/>
        <w:outlineLvl w:val="0"/>
        <w:rPr>
          <w:rFonts w:hint="eastAsia" w:ascii="宋体" w:hAnsi="宋体" w:eastAsia="宋体"/>
          <w:b/>
          <w:bCs/>
          <w:color w:val="auto"/>
          <w:sz w:val="21"/>
          <w:szCs w:val="21"/>
        </w:rPr>
      </w:pPr>
      <w:bookmarkStart w:id="258" w:name="_Toc15658"/>
      <w:bookmarkStart w:id="259" w:name="_Toc144974514"/>
      <w:bookmarkStart w:id="260" w:name="_Toc152042322"/>
      <w:bookmarkStart w:id="261" w:name="_Toc152045546"/>
      <w:bookmarkStart w:id="262" w:name="_Toc455080124"/>
      <w:r>
        <w:rPr>
          <w:rFonts w:hint="eastAsia" w:ascii="宋体" w:hAnsi="宋体" w:eastAsia="宋体"/>
          <w:b/>
          <w:bCs/>
          <w:color w:val="auto"/>
          <w:sz w:val="21"/>
          <w:szCs w:val="21"/>
        </w:rPr>
        <w:t>2.2 磋商文件的澄清</w:t>
      </w:r>
      <w:bookmarkEnd w:id="258"/>
    </w:p>
    <w:p w14:paraId="7A1C1EFB">
      <w:pPr>
        <w:spacing w:line="400" w:lineRule="exact"/>
        <w:ind w:firstLine="420" w:firstLineChars="200"/>
        <w:rPr>
          <w:rFonts w:hint="eastAsia" w:ascii="宋体" w:hAnsi="宋体" w:cs="宋体"/>
          <w:color w:val="auto"/>
        </w:rPr>
      </w:pPr>
      <w:r>
        <w:rPr>
          <w:rFonts w:hint="eastAsia" w:ascii="宋体" w:hAnsi="宋体" w:cs="宋体"/>
          <w:color w:val="auto"/>
        </w:rPr>
        <w:t>2.2.1供应商应仔细阅读和检查磋商文件的全部内容。</w:t>
      </w:r>
      <w:r>
        <w:rPr>
          <w:rFonts w:hint="eastAsia" w:ascii="宋体" w:hAnsi="宋体" w:cs="宋体"/>
          <w:color w:val="auto"/>
          <w:szCs w:val="21"/>
        </w:rPr>
        <w:t>如发现缺页或附件不全，应及时向采购人提出，以便补齐。</w:t>
      </w:r>
      <w:r>
        <w:rPr>
          <w:rFonts w:hint="eastAsia" w:ascii="宋体" w:hAnsi="宋体" w:cs="宋体"/>
          <w:color w:val="auto"/>
        </w:rPr>
        <w:t>如有疑问，应在供应商须知前附表规定的时间前</w:t>
      </w:r>
      <w:r>
        <w:rPr>
          <w:rFonts w:hint="eastAsia" w:ascii="宋体" w:hAnsi="宋体"/>
          <w:color w:val="auto"/>
          <w:szCs w:val="21"/>
        </w:rPr>
        <w:t>以书面形式（包括信函、电报、传真等可以有形表现所载内容的形式，下同），</w:t>
      </w:r>
      <w:r>
        <w:rPr>
          <w:rFonts w:hint="eastAsia" w:ascii="宋体" w:hAnsi="宋体" w:cs="宋体"/>
          <w:color w:val="auto"/>
        </w:rPr>
        <w:t>要求采购人对磋商文件予以澄清。</w:t>
      </w:r>
    </w:p>
    <w:p w14:paraId="5EB8432D">
      <w:pPr>
        <w:spacing w:line="400" w:lineRule="exact"/>
        <w:ind w:firstLine="420" w:firstLineChars="200"/>
        <w:rPr>
          <w:rFonts w:hint="eastAsia" w:ascii="宋体" w:hAnsi="宋体" w:cs="宋体"/>
          <w:color w:val="auto"/>
        </w:rPr>
      </w:pPr>
      <w:r>
        <w:rPr>
          <w:rFonts w:hint="eastAsia" w:ascii="宋体" w:hAnsi="宋体" w:cs="宋体"/>
          <w:color w:val="auto"/>
        </w:rPr>
        <w:t>2.2.2 磋商文件的澄清将在供应商须知前附表规定的响应文件递交截止时间5天前在信阳市公共资源交易系统“变更公告”或“答疑文件”</w:t>
      </w:r>
      <w:r>
        <w:rPr>
          <w:rFonts w:hint="eastAsia" w:ascii="宋体" w:hAnsi="宋体"/>
          <w:color w:val="auto"/>
          <w:szCs w:val="21"/>
        </w:rPr>
        <w:t>将澄清内容予以发布，</w:t>
      </w:r>
      <w:r>
        <w:rPr>
          <w:rFonts w:hint="eastAsia" w:ascii="宋体" w:hAnsi="宋体" w:cs="宋体"/>
          <w:color w:val="auto"/>
        </w:rPr>
        <w:t>但不指明澄清问题的来源。如果澄清的内容可能影响响应文件编制且发出的时间距响应文件递交截止时间不足5天，相应延长投标截止时间。</w:t>
      </w:r>
    </w:p>
    <w:p w14:paraId="5D48668D">
      <w:pPr>
        <w:spacing w:line="360" w:lineRule="auto"/>
        <w:ind w:firstLine="420" w:firstLineChars="200"/>
        <w:rPr>
          <w:rFonts w:hint="eastAsia"/>
          <w:color w:val="auto"/>
        </w:rPr>
      </w:pPr>
      <w:r>
        <w:rPr>
          <w:rFonts w:hint="eastAsia" w:ascii="宋体" w:hAnsi="宋体"/>
          <w:color w:val="auto"/>
          <w:szCs w:val="21"/>
        </w:rPr>
        <w:t>2.2.3供应商应在响应文件递交截止时间前及时查看澄清内容，因供应商未及时查看而造成的后果自负。</w:t>
      </w:r>
    </w:p>
    <w:p w14:paraId="1F36BEFC">
      <w:pPr>
        <w:pStyle w:val="65"/>
        <w:spacing w:line="360" w:lineRule="auto"/>
        <w:outlineLvl w:val="0"/>
        <w:rPr>
          <w:rFonts w:hint="eastAsia" w:ascii="宋体" w:hAnsi="宋体" w:eastAsia="宋体"/>
          <w:b/>
          <w:bCs/>
          <w:color w:val="auto"/>
          <w:sz w:val="21"/>
          <w:szCs w:val="21"/>
        </w:rPr>
      </w:pPr>
      <w:bookmarkStart w:id="263" w:name="_Toc8263"/>
      <w:r>
        <w:rPr>
          <w:rFonts w:hint="eastAsia" w:ascii="宋体" w:hAnsi="宋体" w:eastAsia="宋体"/>
          <w:b/>
          <w:bCs/>
          <w:color w:val="auto"/>
          <w:sz w:val="21"/>
          <w:szCs w:val="21"/>
        </w:rPr>
        <w:t>2.3 磋商文件的修改</w:t>
      </w:r>
      <w:bookmarkEnd w:id="263"/>
    </w:p>
    <w:p w14:paraId="7CBD07E6">
      <w:pPr>
        <w:spacing w:line="400" w:lineRule="exact"/>
        <w:ind w:firstLine="420" w:firstLineChars="200"/>
        <w:rPr>
          <w:rFonts w:hint="eastAsia" w:ascii="宋体" w:hAnsi="宋体" w:cs="宋体"/>
          <w:color w:val="auto"/>
        </w:rPr>
      </w:pPr>
      <w:r>
        <w:rPr>
          <w:rFonts w:hint="eastAsia" w:ascii="宋体" w:hAnsi="宋体" w:cs="宋体"/>
          <w:color w:val="auto"/>
        </w:rPr>
        <w:t>2.3.1 在响应文件递交截止时间5天前，采购人可以修改磋商文件。如有修改，应在信阳市公共资源交易系统“变更公告”或“答疑文件”</w:t>
      </w:r>
      <w:r>
        <w:rPr>
          <w:rFonts w:hint="eastAsia" w:ascii="宋体" w:hAnsi="宋体"/>
          <w:color w:val="auto"/>
          <w:szCs w:val="21"/>
        </w:rPr>
        <w:t>将修改内容予以发布</w:t>
      </w:r>
      <w:r>
        <w:rPr>
          <w:rFonts w:hint="eastAsia" w:ascii="宋体" w:hAnsi="宋体" w:cs="宋体"/>
          <w:color w:val="auto"/>
        </w:rPr>
        <w:t>。如果修改的内容可能影响响应文件编制且发出的时间距响应文件递交截止时间不足5天，相应延长响应文件递交截止时间。</w:t>
      </w:r>
    </w:p>
    <w:p w14:paraId="5B24056F">
      <w:pPr>
        <w:spacing w:line="360" w:lineRule="auto"/>
        <w:ind w:firstLine="420"/>
        <w:rPr>
          <w:rFonts w:hint="eastAsia" w:ascii="宋体" w:hAnsi="宋体"/>
          <w:color w:val="auto"/>
          <w:szCs w:val="21"/>
        </w:rPr>
      </w:pPr>
      <w:r>
        <w:rPr>
          <w:rFonts w:hint="eastAsia" w:ascii="宋体" w:hAnsi="宋体" w:cs="宋体"/>
          <w:color w:val="auto"/>
        </w:rPr>
        <w:t>2.3.2当磋商文件的澄清、修改、补充等在同一内容的表述上不一致时，</w:t>
      </w:r>
      <w:r>
        <w:rPr>
          <w:rFonts w:hint="eastAsia" w:ascii="宋体" w:hAnsi="宋体"/>
          <w:color w:val="auto"/>
          <w:szCs w:val="21"/>
        </w:rPr>
        <w:t>以最后在信阳市公共资源交易系统发出的文件为准。</w:t>
      </w:r>
    </w:p>
    <w:p w14:paraId="0BD28043">
      <w:pPr>
        <w:spacing w:line="360" w:lineRule="auto"/>
        <w:ind w:firstLine="420" w:firstLineChars="200"/>
        <w:rPr>
          <w:color w:val="auto"/>
        </w:rPr>
      </w:pPr>
      <w:r>
        <w:rPr>
          <w:rFonts w:hint="eastAsia" w:ascii="宋体" w:hAnsi="宋体" w:cs="宋体"/>
          <w:color w:val="auto"/>
        </w:rPr>
        <w:t>2.3.3</w:t>
      </w:r>
      <w:r>
        <w:rPr>
          <w:rFonts w:hint="eastAsia" w:ascii="宋体" w:hAnsi="宋体"/>
          <w:color w:val="auto"/>
          <w:szCs w:val="21"/>
        </w:rPr>
        <w:t>供应商应在响应文件递交截止时间前及时查看修改内容，因供应商未及时查看而造成的后果自负。</w:t>
      </w:r>
    </w:p>
    <w:p w14:paraId="150563AC">
      <w:pPr>
        <w:pStyle w:val="64"/>
        <w:spacing w:before="0" w:line="360" w:lineRule="auto"/>
        <w:rPr>
          <w:rFonts w:hint="eastAsia" w:ascii="宋体" w:hAnsi="宋体" w:eastAsia="宋体"/>
          <w:b/>
          <w:bCs/>
          <w:color w:val="auto"/>
          <w:sz w:val="21"/>
          <w:szCs w:val="21"/>
        </w:rPr>
      </w:pPr>
      <w:bookmarkStart w:id="264" w:name="_Toc4666"/>
      <w:r>
        <w:rPr>
          <w:rFonts w:hint="eastAsia" w:ascii="宋体" w:hAnsi="宋体" w:eastAsia="宋体"/>
          <w:b/>
          <w:bCs/>
          <w:color w:val="auto"/>
          <w:sz w:val="21"/>
          <w:szCs w:val="21"/>
        </w:rPr>
        <w:t xml:space="preserve">3. </w:t>
      </w:r>
      <w:bookmarkEnd w:id="259"/>
      <w:bookmarkEnd w:id="260"/>
      <w:bookmarkEnd w:id="261"/>
      <w:r>
        <w:rPr>
          <w:rFonts w:hint="eastAsia" w:ascii="宋体" w:hAnsi="宋体" w:eastAsia="宋体"/>
          <w:b/>
          <w:bCs/>
          <w:color w:val="auto"/>
          <w:sz w:val="21"/>
          <w:szCs w:val="21"/>
        </w:rPr>
        <w:t>响应文件</w:t>
      </w:r>
      <w:bookmarkEnd w:id="262"/>
      <w:bookmarkEnd w:id="264"/>
    </w:p>
    <w:p w14:paraId="789217EA">
      <w:pPr>
        <w:pStyle w:val="65"/>
        <w:spacing w:line="360" w:lineRule="auto"/>
        <w:outlineLvl w:val="9"/>
        <w:rPr>
          <w:rFonts w:hint="eastAsia" w:ascii="宋体" w:hAnsi="宋体" w:eastAsia="宋体"/>
          <w:b/>
          <w:bCs/>
          <w:color w:val="auto"/>
          <w:sz w:val="21"/>
          <w:szCs w:val="21"/>
        </w:rPr>
      </w:pPr>
      <w:bookmarkStart w:id="265" w:name="_Toc27373"/>
      <w:bookmarkStart w:id="266" w:name="_Toc15810"/>
      <w:bookmarkStart w:id="267" w:name="_Toc152045547"/>
      <w:bookmarkStart w:id="268" w:name="_Toc490667844"/>
      <w:bookmarkStart w:id="269" w:name="_Toc144974515"/>
      <w:bookmarkStart w:id="270" w:name="_Toc24440"/>
      <w:bookmarkStart w:id="271" w:name="_Toc318450691"/>
      <w:bookmarkStart w:id="272" w:name="_Toc10096"/>
      <w:bookmarkStart w:id="273" w:name="_Toc152042323"/>
      <w:bookmarkStart w:id="274" w:name="_Toc9273"/>
      <w:bookmarkStart w:id="275" w:name="_Toc16198"/>
      <w:r>
        <w:rPr>
          <w:rFonts w:hint="eastAsia" w:ascii="宋体" w:hAnsi="宋体" w:eastAsia="宋体"/>
          <w:b/>
          <w:bCs/>
          <w:color w:val="auto"/>
          <w:sz w:val="21"/>
          <w:szCs w:val="21"/>
        </w:rPr>
        <w:t>3.1 响应文件的组成</w:t>
      </w:r>
      <w:bookmarkEnd w:id="265"/>
      <w:bookmarkEnd w:id="266"/>
      <w:bookmarkEnd w:id="267"/>
      <w:bookmarkEnd w:id="268"/>
      <w:bookmarkEnd w:id="269"/>
      <w:bookmarkEnd w:id="270"/>
      <w:bookmarkEnd w:id="271"/>
      <w:bookmarkEnd w:id="272"/>
      <w:bookmarkEnd w:id="273"/>
      <w:bookmarkEnd w:id="274"/>
      <w:bookmarkEnd w:id="275"/>
    </w:p>
    <w:p w14:paraId="55E8CCFB">
      <w:pPr>
        <w:pStyle w:val="65"/>
        <w:spacing w:line="360" w:lineRule="auto"/>
        <w:ind w:firstLine="480"/>
        <w:outlineLvl w:val="9"/>
        <w:rPr>
          <w:rFonts w:hint="eastAsia" w:ascii="宋体" w:hAnsi="宋体" w:eastAsia="宋体"/>
          <w:color w:val="auto"/>
          <w:sz w:val="21"/>
          <w:szCs w:val="21"/>
        </w:rPr>
      </w:pPr>
      <w:bookmarkStart w:id="276" w:name="_Toc22864"/>
      <w:bookmarkStart w:id="277" w:name="_Toc455080125"/>
      <w:bookmarkStart w:id="278" w:name="_Toc779"/>
      <w:bookmarkStart w:id="279" w:name="_Toc490667845"/>
      <w:bookmarkStart w:id="280" w:name="_Toc466298108"/>
      <w:bookmarkStart w:id="281" w:name="_Toc31931"/>
      <w:bookmarkStart w:id="282" w:name="_Toc18750"/>
      <w:bookmarkStart w:id="283" w:name="_Toc31433"/>
      <w:bookmarkStart w:id="284" w:name="_Toc455867785"/>
      <w:bookmarkStart w:id="285" w:name="_Toc8768"/>
      <w:bookmarkStart w:id="286" w:name="_Toc13280"/>
      <w:bookmarkStart w:id="287" w:name="_Toc12237"/>
      <w:r>
        <w:rPr>
          <w:rFonts w:hint="eastAsia" w:ascii="宋体" w:hAnsi="宋体" w:eastAsia="宋体"/>
          <w:color w:val="auto"/>
          <w:sz w:val="21"/>
          <w:szCs w:val="21"/>
        </w:rPr>
        <w:t>详见</w:t>
      </w:r>
      <w:bookmarkStart w:id="288" w:name="_Toc152042324"/>
      <w:bookmarkStart w:id="289" w:name="_Toc279156232"/>
      <w:bookmarkStart w:id="290" w:name="_Toc152045548"/>
      <w:bookmarkStart w:id="291" w:name="_Toc318450692"/>
      <w:bookmarkStart w:id="292" w:name="_Toc26291"/>
      <w:bookmarkStart w:id="293" w:name="_Toc899"/>
      <w:bookmarkStart w:id="294" w:name="_Toc144974516"/>
      <w:r>
        <w:rPr>
          <w:rFonts w:hint="eastAsia" w:ascii="宋体" w:hAnsi="宋体" w:eastAsia="宋体"/>
          <w:color w:val="auto"/>
          <w:sz w:val="21"/>
          <w:szCs w:val="21"/>
        </w:rPr>
        <w:t>第六章“响应文件格式”</w:t>
      </w:r>
      <w:bookmarkEnd w:id="276"/>
      <w:bookmarkEnd w:id="277"/>
      <w:bookmarkEnd w:id="278"/>
      <w:bookmarkEnd w:id="279"/>
      <w:bookmarkEnd w:id="280"/>
      <w:bookmarkEnd w:id="281"/>
      <w:bookmarkEnd w:id="282"/>
      <w:bookmarkEnd w:id="283"/>
      <w:bookmarkEnd w:id="284"/>
      <w:bookmarkEnd w:id="285"/>
      <w:bookmarkEnd w:id="286"/>
      <w:r>
        <w:rPr>
          <w:rFonts w:hint="eastAsia" w:ascii="宋体" w:hAnsi="宋体" w:eastAsia="宋体"/>
          <w:color w:val="auto"/>
          <w:sz w:val="21"/>
          <w:szCs w:val="21"/>
        </w:rPr>
        <w:t>。</w:t>
      </w:r>
      <w:bookmarkEnd w:id="287"/>
    </w:p>
    <w:p w14:paraId="71783260">
      <w:pPr>
        <w:spacing w:line="360" w:lineRule="auto"/>
        <w:rPr>
          <w:rFonts w:hint="eastAsia" w:ascii="宋体" w:hAnsi="宋体" w:cs="宋体"/>
          <w:b/>
          <w:bCs/>
          <w:color w:val="auto"/>
          <w:szCs w:val="21"/>
        </w:rPr>
      </w:pPr>
      <w:r>
        <w:rPr>
          <w:rFonts w:hint="eastAsia" w:ascii="宋体" w:hAnsi="宋体" w:cs="宋体"/>
          <w:b/>
          <w:bCs/>
          <w:color w:val="auto"/>
          <w:szCs w:val="21"/>
        </w:rPr>
        <w:t>3.2 磋商报价</w:t>
      </w:r>
      <w:bookmarkEnd w:id="288"/>
      <w:bookmarkEnd w:id="289"/>
      <w:bookmarkEnd w:id="290"/>
      <w:bookmarkEnd w:id="291"/>
      <w:bookmarkEnd w:id="292"/>
      <w:bookmarkEnd w:id="293"/>
      <w:bookmarkEnd w:id="294"/>
      <w:bookmarkStart w:id="295" w:name="_Toc12402"/>
      <w:bookmarkStart w:id="296" w:name="_Toc3624"/>
      <w:bookmarkStart w:id="297" w:name="_Toc490667846"/>
      <w:bookmarkStart w:id="298" w:name="_Toc144974517"/>
      <w:bookmarkStart w:id="299" w:name="_Toc25387"/>
      <w:bookmarkStart w:id="300" w:name="_Toc152045549"/>
      <w:bookmarkStart w:id="301" w:name="_Toc152042325"/>
      <w:bookmarkStart w:id="302" w:name="_Toc455080126"/>
      <w:bookmarkStart w:id="303" w:name="_Toc6105"/>
      <w:bookmarkStart w:id="304" w:name="_Toc29133"/>
      <w:bookmarkStart w:id="305" w:name="_Toc7910"/>
      <w:bookmarkStart w:id="306" w:name="_Toc11968"/>
      <w:bookmarkStart w:id="307" w:name="_Toc466298109"/>
      <w:bookmarkStart w:id="308" w:name="_Toc7105"/>
      <w:bookmarkStart w:id="309" w:name="_Toc2425"/>
      <w:bookmarkStart w:id="310" w:name="_Toc21600"/>
      <w:bookmarkStart w:id="311" w:name="_Toc455867786"/>
      <w:bookmarkStart w:id="312" w:name="_Toc318450693"/>
      <w:bookmarkStart w:id="313" w:name="_Toc21680"/>
    </w:p>
    <w:p w14:paraId="6B39500E">
      <w:pPr>
        <w:spacing w:line="360" w:lineRule="auto"/>
        <w:ind w:firstLine="420" w:firstLineChars="200"/>
        <w:rPr>
          <w:rFonts w:hint="eastAsia" w:ascii="宋体" w:hAnsi="宋体"/>
          <w:color w:val="auto"/>
          <w:szCs w:val="21"/>
        </w:rPr>
      </w:pPr>
      <w:r>
        <w:rPr>
          <w:rFonts w:hint="eastAsia" w:ascii="宋体" w:hAnsi="宋体"/>
          <w:color w:val="auto"/>
          <w:szCs w:val="21"/>
        </w:rPr>
        <w:t>3.2.1本项目的磋商报价应按照磋商文件、补充通知、答疑纪要、现场情况、承包范围，并充分考虑施工期间各类材料、人工市场风险和国家政策性调整等风险系数，由各响应人根据自身情况，在合理范围内，自主考虑、优惠报价，但不得低于企业成本，分二次报价：第一次报价必须按照磋商文件的报价格式填报，第二次报价在磋商中填报，第二次报价（不得高于一次报价）即为最终报价</w:t>
      </w:r>
      <w:bookmarkEnd w:id="295"/>
      <w:r>
        <w:rPr>
          <w:rFonts w:hint="eastAsia" w:ascii="宋体" w:hAnsi="宋体"/>
          <w:color w:val="auto"/>
          <w:szCs w:val="21"/>
        </w:rPr>
        <w:t>。</w:t>
      </w:r>
    </w:p>
    <w:p w14:paraId="3AF8AFC3">
      <w:pPr>
        <w:spacing w:line="360" w:lineRule="auto"/>
        <w:ind w:firstLine="420" w:firstLineChars="200"/>
        <w:rPr>
          <w:rFonts w:hint="eastAsia" w:ascii="宋体" w:hAnsi="宋体" w:cs="宋体"/>
          <w:color w:val="auto"/>
          <w:szCs w:val="21"/>
        </w:rPr>
      </w:pPr>
      <w:r>
        <w:rPr>
          <w:rFonts w:hint="eastAsia" w:ascii="宋体" w:hAnsi="宋体"/>
          <w:color w:val="auto"/>
          <w:szCs w:val="21"/>
        </w:rPr>
        <w:t>3.2.2</w:t>
      </w:r>
      <w:r>
        <w:rPr>
          <w:rFonts w:hint="eastAsia" w:ascii="宋体" w:hAnsi="宋体" w:cs="宋体"/>
          <w:color w:val="auto"/>
          <w:szCs w:val="21"/>
        </w:rPr>
        <w:t>供应商应充分了解该项目的总体情况以及影响磋商报价的其它要素，考虑施工期间的价格风险因素，成交价在合同实施期内不得调整，同时也不因市场价格变动而调整。</w:t>
      </w:r>
    </w:p>
    <w:p w14:paraId="5EC6BA8B">
      <w:pPr>
        <w:pStyle w:val="65"/>
        <w:spacing w:line="360" w:lineRule="auto"/>
        <w:ind w:firstLine="420" w:firstLineChars="200"/>
        <w:outlineLvl w:val="0"/>
        <w:rPr>
          <w:rFonts w:hint="eastAsia" w:ascii="宋体" w:hAnsi="宋体" w:eastAsia="宋体"/>
          <w:color w:val="auto"/>
          <w:kern w:val="2"/>
          <w:sz w:val="21"/>
          <w:szCs w:val="21"/>
        </w:rPr>
      </w:pPr>
      <w:r>
        <w:rPr>
          <w:rFonts w:hint="eastAsia" w:ascii="宋体" w:hAnsi="宋体" w:eastAsia="宋体"/>
          <w:color w:val="auto"/>
          <w:sz w:val="21"/>
          <w:szCs w:val="21"/>
        </w:rPr>
        <w:t xml:space="preserve">3.2.3 </w:t>
      </w:r>
      <w:r>
        <w:rPr>
          <w:rFonts w:hint="eastAsia" w:ascii="宋体" w:hAnsi="宋体" w:eastAsia="宋体"/>
          <w:color w:val="auto"/>
          <w:kern w:val="2"/>
          <w:sz w:val="21"/>
          <w:szCs w:val="21"/>
        </w:rPr>
        <w:t>响应报价表中的大写金额和小写金额不一致的，以大写金额为准。</w:t>
      </w:r>
    </w:p>
    <w:p w14:paraId="1E2206CD">
      <w:pPr>
        <w:pStyle w:val="65"/>
        <w:spacing w:line="360" w:lineRule="auto"/>
        <w:ind w:firstLine="420" w:firstLineChars="200"/>
        <w:outlineLvl w:val="0"/>
        <w:rPr>
          <w:rFonts w:hint="eastAsia" w:ascii="宋体" w:hAnsi="宋体" w:eastAsia="宋体"/>
          <w:color w:val="auto"/>
          <w:kern w:val="2"/>
          <w:sz w:val="21"/>
          <w:szCs w:val="21"/>
        </w:rPr>
      </w:pPr>
      <w:r>
        <w:rPr>
          <w:rFonts w:hint="eastAsia" w:ascii="宋体" w:hAnsi="宋体" w:eastAsia="宋体"/>
          <w:color w:val="auto"/>
          <w:sz w:val="21"/>
          <w:szCs w:val="21"/>
        </w:rPr>
        <w:t>3.2.4</w:t>
      </w:r>
      <w:r>
        <w:rPr>
          <w:rFonts w:hint="eastAsia" w:ascii="宋体" w:hAnsi="宋体" w:eastAsia="宋体"/>
          <w:color w:val="auto"/>
          <w:kern w:val="2"/>
          <w:sz w:val="21"/>
          <w:szCs w:val="21"/>
        </w:rPr>
        <w:t>供应商的报价明显低于其他通过符合性审查供应商的报价，有可能影响施工质量或者不能诚信履约的，</w:t>
      </w:r>
      <w:r>
        <w:rPr>
          <w:rFonts w:hint="eastAsia" w:ascii="宋体" w:hAnsi="宋体" w:eastAsia="宋体"/>
          <w:color w:val="auto"/>
          <w:kern w:val="2"/>
          <w:sz w:val="21"/>
          <w:szCs w:val="21"/>
          <w:lang w:eastAsia="zh-CN"/>
        </w:rPr>
        <w:t>磋商小组</w:t>
      </w:r>
      <w:r>
        <w:rPr>
          <w:rFonts w:hint="eastAsia" w:ascii="宋体" w:hAnsi="宋体" w:eastAsia="宋体"/>
          <w:color w:val="auto"/>
          <w:kern w:val="2"/>
          <w:sz w:val="21"/>
          <w:szCs w:val="21"/>
        </w:rPr>
        <w:t>应当要求其在磋商现场合理的时间内提供书面说明，必要时提交相关证明材料；供应商不能证明其报价合理性的，</w:t>
      </w:r>
      <w:r>
        <w:rPr>
          <w:rFonts w:hint="eastAsia" w:ascii="宋体" w:hAnsi="宋体" w:eastAsia="宋体"/>
          <w:color w:val="auto"/>
          <w:kern w:val="2"/>
          <w:sz w:val="21"/>
          <w:szCs w:val="21"/>
          <w:lang w:eastAsia="zh-CN"/>
        </w:rPr>
        <w:t>磋商小组</w:t>
      </w:r>
      <w:r>
        <w:rPr>
          <w:rFonts w:hint="eastAsia" w:ascii="宋体" w:hAnsi="宋体" w:eastAsia="宋体"/>
          <w:color w:val="auto"/>
          <w:kern w:val="2"/>
          <w:sz w:val="21"/>
          <w:szCs w:val="21"/>
        </w:rPr>
        <w:t xml:space="preserve">应当将其作为无效投标处理。 </w:t>
      </w:r>
    </w:p>
    <w:p w14:paraId="159BA262">
      <w:pPr>
        <w:pStyle w:val="65"/>
        <w:spacing w:line="360" w:lineRule="auto"/>
        <w:outlineLvl w:val="0"/>
        <w:rPr>
          <w:rFonts w:hint="eastAsia" w:ascii="宋体" w:hAnsi="宋体" w:eastAsia="宋体"/>
          <w:b/>
          <w:bCs/>
          <w:color w:val="auto"/>
          <w:sz w:val="21"/>
          <w:szCs w:val="21"/>
        </w:rPr>
      </w:pPr>
      <w:r>
        <w:rPr>
          <w:rFonts w:hint="eastAsia" w:ascii="宋体" w:hAnsi="宋体" w:eastAsia="宋体"/>
          <w:b/>
          <w:bCs/>
          <w:color w:val="auto"/>
          <w:sz w:val="21"/>
          <w:szCs w:val="21"/>
        </w:rPr>
        <w:t>3.3 磋商有效期</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37B51DC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3.3.1 在供应商须知前附表规定的磋商有效期内，供应商不得要求撤销或修改其响应文件。</w:t>
      </w:r>
    </w:p>
    <w:p w14:paraId="7CD944C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3595C5C1">
      <w:pPr>
        <w:pStyle w:val="65"/>
        <w:spacing w:line="360" w:lineRule="auto"/>
        <w:outlineLvl w:val="0"/>
        <w:rPr>
          <w:rFonts w:hint="eastAsia" w:ascii="宋体" w:hAnsi="宋体" w:eastAsia="宋体"/>
          <w:b/>
          <w:bCs/>
          <w:color w:val="auto"/>
          <w:sz w:val="21"/>
          <w:szCs w:val="21"/>
        </w:rPr>
      </w:pPr>
      <w:bookmarkStart w:id="314" w:name="_Toc318450694"/>
      <w:bookmarkStart w:id="315" w:name="_Toc7618"/>
      <w:bookmarkStart w:id="316" w:name="_Toc455080127"/>
      <w:bookmarkStart w:id="317" w:name="_Toc30697"/>
      <w:bookmarkStart w:id="318" w:name="_Toc152045550"/>
      <w:bookmarkStart w:id="319" w:name="_Toc490667847"/>
      <w:bookmarkStart w:id="320" w:name="_Toc22634"/>
      <w:bookmarkStart w:id="321" w:name="_Toc7973"/>
      <w:bookmarkStart w:id="322" w:name="_Toc144974518"/>
      <w:bookmarkStart w:id="323" w:name="_Toc466298110"/>
      <w:bookmarkStart w:id="324" w:name="_Toc4165"/>
      <w:bookmarkStart w:id="325" w:name="_Toc10370"/>
      <w:bookmarkStart w:id="326" w:name="_Toc7057"/>
      <w:bookmarkStart w:id="327" w:name="_Toc8406"/>
      <w:bookmarkStart w:id="328" w:name="_Toc455867787"/>
      <w:bookmarkStart w:id="329" w:name="_Toc2505"/>
      <w:bookmarkStart w:id="330" w:name="_Toc152042326"/>
      <w:bookmarkStart w:id="331" w:name="_Toc13921"/>
      <w:r>
        <w:rPr>
          <w:rFonts w:hint="eastAsia" w:ascii="宋体" w:hAnsi="宋体" w:eastAsia="宋体"/>
          <w:b/>
          <w:bCs/>
          <w:color w:val="auto"/>
          <w:sz w:val="21"/>
          <w:szCs w:val="21"/>
        </w:rPr>
        <w:t>3.4 磋商保证金</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Start w:id="332" w:name="_Toc152045552"/>
      <w:bookmarkStart w:id="333" w:name="_Toc152042328"/>
      <w:bookmarkStart w:id="334" w:name="_Toc318450695"/>
      <w:bookmarkStart w:id="335" w:name="_Toc144974520"/>
      <w:r>
        <w:rPr>
          <w:rFonts w:hint="eastAsia" w:ascii="宋体" w:hAnsi="宋体" w:eastAsia="宋体"/>
          <w:b/>
          <w:bCs/>
          <w:color w:val="auto"/>
          <w:sz w:val="21"/>
          <w:szCs w:val="21"/>
        </w:rPr>
        <w:t>：无。</w:t>
      </w:r>
      <w:bookmarkEnd w:id="331"/>
    </w:p>
    <w:p w14:paraId="768906AC">
      <w:pPr>
        <w:pStyle w:val="65"/>
        <w:spacing w:line="360" w:lineRule="auto"/>
        <w:outlineLvl w:val="0"/>
        <w:rPr>
          <w:rFonts w:hint="eastAsia" w:ascii="宋体" w:hAnsi="宋体" w:eastAsia="宋体"/>
          <w:b/>
          <w:bCs/>
          <w:color w:val="auto"/>
          <w:sz w:val="21"/>
          <w:szCs w:val="21"/>
        </w:rPr>
      </w:pPr>
      <w:bookmarkStart w:id="336" w:name="_Toc490667848"/>
      <w:bookmarkStart w:id="337" w:name="_Toc20328"/>
      <w:bookmarkStart w:id="338" w:name="_Toc466298111"/>
      <w:bookmarkStart w:id="339" w:name="_Toc11077"/>
      <w:bookmarkStart w:id="340" w:name="_Toc17153"/>
      <w:bookmarkStart w:id="341" w:name="_Toc22384"/>
      <w:bookmarkStart w:id="342" w:name="_Toc16747"/>
      <w:bookmarkStart w:id="343" w:name="_Toc2794"/>
      <w:bookmarkStart w:id="344" w:name="_Toc13680"/>
      <w:bookmarkStart w:id="345" w:name="_Toc15547"/>
      <w:bookmarkStart w:id="346" w:name="_Toc27579"/>
      <w:bookmarkStart w:id="347" w:name="_Toc22527"/>
      <w:bookmarkStart w:id="348" w:name="_Toc455867788"/>
      <w:bookmarkStart w:id="349" w:name="_Toc455080128"/>
      <w:r>
        <w:rPr>
          <w:rFonts w:hint="eastAsia" w:ascii="宋体" w:hAnsi="宋体" w:eastAsia="宋体"/>
          <w:b/>
          <w:bCs/>
          <w:color w:val="auto"/>
          <w:sz w:val="21"/>
          <w:szCs w:val="21"/>
        </w:rPr>
        <w:t>3.5资格审查资料</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3181ABB2">
      <w:pPr>
        <w:pStyle w:val="65"/>
        <w:spacing w:line="360" w:lineRule="auto"/>
        <w:ind w:firstLine="315" w:firstLineChars="150"/>
        <w:outlineLvl w:val="0"/>
        <w:rPr>
          <w:rFonts w:hint="eastAsia" w:ascii="宋体" w:hAnsi="宋体" w:eastAsia="宋体"/>
          <w:color w:val="auto"/>
          <w:kern w:val="2"/>
          <w:sz w:val="21"/>
          <w:szCs w:val="21"/>
        </w:rPr>
      </w:pPr>
      <w:bookmarkStart w:id="350" w:name="_Toc4586"/>
      <w:bookmarkStart w:id="351" w:name="_Toc152042329"/>
      <w:bookmarkStart w:id="352" w:name="_Toc26258"/>
      <w:bookmarkStart w:id="353" w:name="_Toc455080129"/>
      <w:bookmarkStart w:id="354" w:name="_Toc30442"/>
      <w:bookmarkStart w:id="355" w:name="_Toc455867789"/>
      <w:bookmarkStart w:id="356" w:name="_Toc3286"/>
      <w:bookmarkStart w:id="357" w:name="_Toc318450696"/>
      <w:bookmarkStart w:id="358" w:name="_Toc9015"/>
      <w:bookmarkStart w:id="359" w:name="_Toc490667849"/>
      <w:bookmarkStart w:id="360" w:name="_Toc144974521"/>
      <w:bookmarkStart w:id="361" w:name="_Toc18915"/>
      <w:bookmarkStart w:id="362" w:name="_Toc5132"/>
      <w:bookmarkStart w:id="363" w:name="_Toc19724"/>
      <w:bookmarkStart w:id="364" w:name="_Toc152045553"/>
      <w:bookmarkStart w:id="365" w:name="_Toc1228"/>
      <w:bookmarkStart w:id="366" w:name="_Toc466298112"/>
      <w:bookmarkStart w:id="367" w:name="_Toc11694"/>
      <w:r>
        <w:rPr>
          <w:rFonts w:hint="eastAsia" w:ascii="宋体" w:hAnsi="宋体" w:eastAsia="宋体"/>
          <w:color w:val="auto"/>
          <w:kern w:val="2"/>
          <w:sz w:val="21"/>
          <w:szCs w:val="21"/>
        </w:rPr>
        <w:t>按照第二章供应商须知表“</w:t>
      </w:r>
      <w:r>
        <w:rPr>
          <w:rFonts w:hint="eastAsia" w:ascii="宋体" w:hAnsi="宋体" w:eastAsia="宋体"/>
          <w:color w:val="auto"/>
          <w:kern w:val="2"/>
          <w:sz w:val="21"/>
          <w:szCs w:val="21"/>
          <w:lang w:eastAsia="zh-CN"/>
        </w:rPr>
        <w:t>供应商</w:t>
      </w:r>
      <w:r>
        <w:rPr>
          <w:rFonts w:hint="eastAsia" w:ascii="宋体" w:hAnsi="宋体" w:eastAsia="宋体"/>
          <w:color w:val="auto"/>
          <w:kern w:val="2"/>
          <w:sz w:val="21"/>
          <w:szCs w:val="21"/>
        </w:rPr>
        <w:t>须知前附表”1.5.1要求，提供其他相关材料。</w:t>
      </w:r>
      <w:bookmarkEnd w:id="350"/>
    </w:p>
    <w:p w14:paraId="08639C54">
      <w:pPr>
        <w:pStyle w:val="65"/>
        <w:spacing w:line="360" w:lineRule="auto"/>
        <w:outlineLvl w:val="0"/>
        <w:rPr>
          <w:rFonts w:hint="eastAsia" w:ascii="宋体" w:hAnsi="宋体" w:eastAsia="宋体"/>
          <w:b/>
          <w:bCs/>
          <w:color w:val="auto"/>
          <w:sz w:val="21"/>
          <w:szCs w:val="21"/>
        </w:rPr>
      </w:pPr>
      <w:bookmarkStart w:id="368" w:name="_Toc24859"/>
      <w:r>
        <w:rPr>
          <w:rFonts w:hint="eastAsia" w:ascii="宋体" w:hAnsi="宋体" w:eastAsia="宋体"/>
          <w:b/>
          <w:bCs/>
          <w:color w:val="auto"/>
          <w:sz w:val="21"/>
          <w:szCs w:val="21"/>
        </w:rPr>
        <w:t>3.6 备选方案</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3FA8244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除供应商须知前附表另有规定外，供应商不得递交备选磋商方案。</w:t>
      </w:r>
    </w:p>
    <w:p w14:paraId="579245A8">
      <w:pPr>
        <w:pStyle w:val="65"/>
        <w:spacing w:line="360" w:lineRule="auto"/>
        <w:outlineLvl w:val="0"/>
        <w:rPr>
          <w:rFonts w:hint="eastAsia" w:ascii="宋体" w:hAnsi="宋体" w:eastAsia="宋体"/>
          <w:b/>
          <w:bCs/>
          <w:color w:val="auto"/>
          <w:sz w:val="21"/>
          <w:szCs w:val="21"/>
        </w:rPr>
      </w:pPr>
      <w:bookmarkStart w:id="369" w:name="_Toc455080130"/>
      <w:bookmarkStart w:id="370" w:name="_Toc7966"/>
      <w:bookmarkStart w:id="371" w:name="_Toc12275"/>
      <w:bookmarkStart w:id="372" w:name="_Toc152042330"/>
      <w:bookmarkStart w:id="373" w:name="_Toc490667850"/>
      <w:bookmarkStart w:id="374" w:name="_Toc6323"/>
      <w:bookmarkStart w:id="375" w:name="_Toc28656"/>
      <w:bookmarkStart w:id="376" w:name="_Toc12541"/>
      <w:bookmarkStart w:id="377" w:name="_Toc318450697"/>
      <w:bookmarkStart w:id="378" w:name="_Toc7626"/>
      <w:bookmarkStart w:id="379" w:name="_Toc5516"/>
      <w:bookmarkStart w:id="380" w:name="_Toc466298113"/>
      <w:bookmarkStart w:id="381" w:name="_Toc152045554"/>
      <w:bookmarkStart w:id="382" w:name="_Toc18912"/>
      <w:bookmarkStart w:id="383" w:name="_Toc25620"/>
      <w:bookmarkStart w:id="384" w:name="_Toc455867790"/>
      <w:bookmarkStart w:id="385" w:name="_Toc144974522"/>
      <w:bookmarkStart w:id="386" w:name="_Toc17697"/>
      <w:r>
        <w:rPr>
          <w:rFonts w:hint="eastAsia" w:ascii="宋体" w:hAnsi="宋体" w:eastAsia="宋体"/>
          <w:b/>
          <w:bCs/>
          <w:color w:val="auto"/>
          <w:sz w:val="21"/>
          <w:szCs w:val="21"/>
        </w:rPr>
        <w:t>3.7 响应文件的编制</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5593D1BC">
      <w:pPr>
        <w:spacing w:line="360" w:lineRule="auto"/>
        <w:ind w:firstLine="420" w:firstLineChars="200"/>
        <w:rPr>
          <w:rFonts w:hint="eastAsia" w:ascii="宋体" w:hAnsi="宋体" w:cs="宋体"/>
          <w:color w:val="auto"/>
          <w:szCs w:val="21"/>
        </w:rPr>
      </w:pPr>
      <w:bookmarkStart w:id="387" w:name="_Toc144974523"/>
      <w:bookmarkStart w:id="388" w:name="_Toc152042331"/>
      <w:bookmarkStart w:id="389" w:name="_Toc152045555"/>
      <w:bookmarkStart w:id="390" w:name="_Toc455080131"/>
      <w:r>
        <w:rPr>
          <w:rFonts w:hint="eastAsia" w:ascii="宋体" w:hAnsi="宋体" w:cs="宋体"/>
          <w:color w:val="auto"/>
          <w:szCs w:val="21"/>
        </w:rPr>
        <w:t>3.7.1响应文件应按第六章“响应文件格式”进行编写，如有必要，可以增加附页，作为响应文件的组成部分。其中，磋商函附录在满足磋商文件实质性要求的基础上，可以提出比磋商文件要求更有利于采购人的承诺。</w:t>
      </w:r>
    </w:p>
    <w:p w14:paraId="1B48777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3.7.2 响应文件应当对磋商文件有关计划工期、磋商有效期、质量要求、采购内容作出响应。</w:t>
      </w:r>
    </w:p>
    <w:p w14:paraId="606B90D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3.7.3</w:t>
      </w:r>
      <w:r>
        <w:rPr>
          <w:rFonts w:hint="eastAsia" w:ascii="宋体" w:hAnsi="宋体" w:cs="宋体"/>
          <w:color w:val="auto"/>
          <w:szCs w:val="21"/>
          <w:highlight w:val="white"/>
        </w:rPr>
        <w:t>响应文件应使用信阳市公共资源交易系统</w:t>
      </w:r>
      <w:r>
        <w:rPr>
          <w:rFonts w:hint="eastAsia" w:ascii="宋体" w:hAnsi="宋体" w:cs="宋体"/>
          <w:color w:val="auto"/>
          <w:szCs w:val="21"/>
          <w:highlight w:val="white"/>
          <w:lang w:eastAsia="zh-CN"/>
        </w:rPr>
        <w:t>响应文件</w:t>
      </w:r>
      <w:r>
        <w:rPr>
          <w:rFonts w:hint="eastAsia" w:ascii="宋体" w:hAnsi="宋体" w:cs="宋体"/>
          <w:color w:val="auto"/>
          <w:szCs w:val="21"/>
          <w:highlight w:val="white"/>
        </w:rPr>
        <w:t>制作专用工具软件编制，响应文件格式为“*.XYTF”。电子响应文件</w:t>
      </w:r>
      <w:r>
        <w:rPr>
          <w:rFonts w:hint="eastAsia" w:ascii="宋体" w:hAnsi="宋体" w:cs="宋体"/>
          <w:color w:val="auto"/>
          <w:szCs w:val="21"/>
        </w:rPr>
        <w:t>签字或盖章的具体要求见供应商须知前附表。</w:t>
      </w:r>
      <w:r>
        <w:rPr>
          <w:rFonts w:hint="eastAsia" w:ascii="宋体" w:hAnsi="宋体" w:cs="宋体"/>
          <w:color w:val="auto"/>
          <w:szCs w:val="21"/>
          <w:lang w:eastAsia="zh-CN"/>
        </w:rPr>
        <w:t>磋商文件</w:t>
      </w:r>
      <w:r>
        <w:rPr>
          <w:rFonts w:hint="eastAsia" w:ascii="宋体" w:hAnsi="宋体" w:cs="宋体"/>
          <w:color w:val="auto"/>
          <w:szCs w:val="21"/>
        </w:rPr>
        <w:t>费用网上支付，支付成功后，方可上传电子</w:t>
      </w:r>
      <w:r>
        <w:rPr>
          <w:rFonts w:hint="eastAsia" w:ascii="宋体" w:hAnsi="宋体" w:cs="宋体"/>
          <w:color w:val="auto"/>
          <w:szCs w:val="21"/>
          <w:lang w:eastAsia="zh-CN"/>
        </w:rPr>
        <w:t>响应文件</w:t>
      </w:r>
      <w:r>
        <w:rPr>
          <w:rFonts w:hint="eastAsia" w:ascii="宋体" w:hAnsi="宋体" w:cs="宋体"/>
          <w:color w:val="auto"/>
          <w:szCs w:val="21"/>
        </w:rPr>
        <w:t>。（政府采购类项目不收取</w:t>
      </w:r>
      <w:r>
        <w:rPr>
          <w:rFonts w:hint="eastAsia" w:ascii="宋体" w:hAnsi="宋体" w:cs="宋体"/>
          <w:color w:val="auto"/>
          <w:szCs w:val="21"/>
          <w:lang w:eastAsia="zh-CN"/>
        </w:rPr>
        <w:t>磋商文件</w:t>
      </w:r>
      <w:r>
        <w:rPr>
          <w:rFonts w:hint="eastAsia" w:ascii="宋体" w:hAnsi="宋体" w:cs="宋体"/>
          <w:color w:val="auto"/>
          <w:szCs w:val="21"/>
        </w:rPr>
        <w:t>费用）。供应商须在</w:t>
      </w:r>
      <w:r>
        <w:rPr>
          <w:rFonts w:hint="eastAsia" w:ascii="宋体" w:hAnsi="宋体" w:cs="宋体"/>
          <w:color w:val="auto"/>
          <w:szCs w:val="21"/>
          <w:lang w:eastAsia="zh-CN"/>
        </w:rPr>
        <w:t>响应文件</w:t>
      </w:r>
      <w:r>
        <w:rPr>
          <w:rFonts w:hint="eastAsia" w:ascii="宋体" w:hAnsi="宋体" w:cs="宋体"/>
          <w:color w:val="auto"/>
          <w:szCs w:val="21"/>
        </w:rPr>
        <w:t>递交截止时间前制作并提交。</w:t>
      </w:r>
    </w:p>
    <w:p w14:paraId="40FD7B5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 3.7.4 响应文件份数见供应商须知前附表。</w:t>
      </w:r>
      <w:bookmarkStart w:id="391" w:name="_Toc19433"/>
    </w:p>
    <w:p w14:paraId="110C7C5E">
      <w:pPr>
        <w:spacing w:line="360" w:lineRule="auto"/>
        <w:ind w:firstLine="422" w:firstLineChars="200"/>
        <w:rPr>
          <w:rFonts w:hint="eastAsia" w:ascii="宋体" w:hAnsi="宋体"/>
          <w:b/>
          <w:bCs/>
          <w:color w:val="auto"/>
          <w:szCs w:val="21"/>
        </w:rPr>
      </w:pPr>
      <w:r>
        <w:rPr>
          <w:rFonts w:hint="eastAsia" w:ascii="宋体" w:hAnsi="宋体"/>
          <w:b/>
          <w:bCs/>
          <w:color w:val="auto"/>
          <w:szCs w:val="21"/>
        </w:rPr>
        <w:t xml:space="preserve">4. </w:t>
      </w:r>
      <w:bookmarkEnd w:id="387"/>
      <w:bookmarkEnd w:id="388"/>
      <w:bookmarkEnd w:id="389"/>
      <w:bookmarkEnd w:id="390"/>
      <w:r>
        <w:rPr>
          <w:rFonts w:hint="eastAsia" w:ascii="宋体" w:hAnsi="宋体"/>
          <w:b/>
          <w:bCs/>
          <w:color w:val="auto"/>
          <w:szCs w:val="21"/>
        </w:rPr>
        <w:t>磋商</w:t>
      </w:r>
      <w:bookmarkEnd w:id="391"/>
      <w:bookmarkStart w:id="392" w:name="_Toc318450699"/>
      <w:bookmarkStart w:id="393" w:name="_Toc11243"/>
      <w:bookmarkStart w:id="394" w:name="_Toc26583"/>
      <w:bookmarkStart w:id="395" w:name="_Toc455867792"/>
      <w:bookmarkStart w:id="396" w:name="_Toc18820"/>
      <w:bookmarkStart w:id="397" w:name="_Toc466298115"/>
      <w:bookmarkStart w:id="398" w:name="_Toc152042332"/>
      <w:bookmarkStart w:id="399" w:name="_Toc16783"/>
      <w:bookmarkStart w:id="400" w:name="_Toc152045556"/>
      <w:bookmarkStart w:id="401" w:name="_Toc455080132"/>
      <w:bookmarkStart w:id="402" w:name="_Toc16344"/>
      <w:bookmarkStart w:id="403" w:name="_Toc16962"/>
      <w:bookmarkStart w:id="404" w:name="_Toc31492"/>
      <w:bookmarkStart w:id="405" w:name="_Toc22961"/>
      <w:bookmarkStart w:id="406" w:name="_Toc490667852"/>
      <w:bookmarkStart w:id="407" w:name="_Toc26550"/>
      <w:bookmarkStart w:id="408" w:name="_Toc144974524"/>
      <w:bookmarkStart w:id="409" w:name="_Toc21145"/>
    </w:p>
    <w:p w14:paraId="13FC40D1">
      <w:pPr>
        <w:spacing w:line="360" w:lineRule="auto"/>
        <w:ind w:firstLine="422" w:firstLineChars="200"/>
        <w:rPr>
          <w:rFonts w:hint="eastAsia" w:ascii="宋体" w:hAnsi="宋体"/>
          <w:b/>
          <w:bCs/>
          <w:color w:val="auto"/>
          <w:szCs w:val="21"/>
        </w:rPr>
      </w:pPr>
      <w:r>
        <w:rPr>
          <w:rFonts w:hint="eastAsia" w:ascii="宋体" w:hAnsi="宋体"/>
          <w:b/>
          <w:bCs/>
          <w:color w:val="auto"/>
          <w:szCs w:val="21"/>
        </w:rPr>
        <w:t>4.1 响应文件的</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Fonts w:hint="eastAsia" w:ascii="宋体" w:hAnsi="宋体"/>
          <w:b/>
          <w:bCs/>
          <w:color w:val="auto"/>
          <w:szCs w:val="21"/>
        </w:rPr>
        <w:t>上传</w:t>
      </w:r>
      <w:bookmarkEnd w:id="409"/>
    </w:p>
    <w:p w14:paraId="60D4228C">
      <w:pPr>
        <w:spacing w:line="360" w:lineRule="auto"/>
        <w:ind w:firstLine="420" w:firstLineChars="200"/>
        <w:rPr>
          <w:rFonts w:hint="eastAsia" w:ascii="宋体" w:hAnsi="宋体"/>
          <w:color w:val="auto"/>
          <w:szCs w:val="21"/>
        </w:rPr>
      </w:pPr>
      <w:r>
        <w:rPr>
          <w:rFonts w:hint="eastAsia" w:ascii="宋体" w:hAnsi="宋体" w:cs="宋体"/>
          <w:color w:val="auto"/>
          <w:szCs w:val="21"/>
        </w:rPr>
        <w:t>4.1.1网上上传的电子响应文件应使用供应商数字证书认证并加密</w:t>
      </w:r>
      <w:r>
        <w:rPr>
          <w:rFonts w:hint="eastAsia" w:ascii="宋体" w:hAnsi="宋体"/>
          <w:color w:val="auto"/>
          <w:szCs w:val="21"/>
        </w:rPr>
        <w:t>。</w:t>
      </w:r>
    </w:p>
    <w:p w14:paraId="3849016B">
      <w:pPr>
        <w:pStyle w:val="65"/>
        <w:spacing w:line="360" w:lineRule="auto"/>
        <w:outlineLvl w:val="0"/>
        <w:rPr>
          <w:rFonts w:hint="eastAsia" w:ascii="宋体" w:hAnsi="宋体" w:eastAsia="宋体"/>
          <w:b/>
          <w:bCs/>
          <w:color w:val="auto"/>
          <w:sz w:val="21"/>
          <w:szCs w:val="21"/>
        </w:rPr>
      </w:pPr>
      <w:bookmarkStart w:id="410" w:name="_Toc455080133"/>
      <w:bookmarkStart w:id="411" w:name="_Toc21897"/>
      <w:bookmarkStart w:id="412" w:name="_Toc20259"/>
      <w:bookmarkStart w:id="413" w:name="_Toc16832"/>
      <w:bookmarkStart w:id="414" w:name="_Toc27132"/>
      <w:bookmarkStart w:id="415" w:name="_Toc152045557"/>
      <w:bookmarkStart w:id="416" w:name="_Toc152042333"/>
      <w:bookmarkStart w:id="417" w:name="_Toc21072"/>
      <w:bookmarkStart w:id="418" w:name="_Toc462"/>
      <w:bookmarkStart w:id="419" w:name="_Toc4767"/>
      <w:bookmarkStart w:id="420" w:name="_Toc455867793"/>
      <w:bookmarkStart w:id="421" w:name="_Toc28272"/>
      <w:bookmarkStart w:id="422" w:name="_Toc490667853"/>
      <w:bookmarkStart w:id="423" w:name="_Toc8754"/>
      <w:bookmarkStart w:id="424" w:name="_Toc144974525"/>
      <w:bookmarkStart w:id="425" w:name="_Toc318450700"/>
      <w:bookmarkStart w:id="426" w:name="_Toc466298116"/>
      <w:bookmarkStart w:id="427" w:name="_Toc7663"/>
      <w:r>
        <w:rPr>
          <w:rFonts w:hint="eastAsia" w:ascii="宋体" w:hAnsi="宋体" w:eastAsia="宋体"/>
          <w:b/>
          <w:bCs/>
          <w:color w:val="auto"/>
          <w:sz w:val="21"/>
          <w:szCs w:val="21"/>
        </w:rPr>
        <w:t>4.2 响应文件的递交</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5A4C452D">
      <w:pPr>
        <w:spacing w:line="400" w:lineRule="exact"/>
        <w:ind w:firstLine="420" w:firstLineChars="200"/>
        <w:rPr>
          <w:rFonts w:hint="eastAsia" w:ascii="宋体" w:hAnsi="宋体" w:cs="宋体"/>
          <w:color w:val="auto"/>
          <w:highlight w:val="white"/>
        </w:rPr>
      </w:pPr>
      <w:bookmarkStart w:id="428" w:name="_Toc20281"/>
      <w:bookmarkStart w:id="429" w:name="_Toc26684"/>
      <w:bookmarkStart w:id="430" w:name="_Toc2952"/>
      <w:bookmarkStart w:id="431" w:name="_Toc11817"/>
      <w:bookmarkStart w:id="432" w:name="_Toc455867794"/>
      <w:bookmarkStart w:id="433" w:name="_Toc30860"/>
      <w:bookmarkStart w:id="434" w:name="_Toc152045558"/>
      <w:bookmarkStart w:id="435" w:name="_Toc5102"/>
      <w:bookmarkStart w:id="436" w:name="_Toc455080134"/>
      <w:bookmarkStart w:id="437" w:name="_Toc144974526"/>
      <w:bookmarkStart w:id="438" w:name="_Toc152042334"/>
      <w:bookmarkStart w:id="439" w:name="_Toc17161"/>
      <w:bookmarkStart w:id="440" w:name="_Toc490667854"/>
      <w:bookmarkStart w:id="441" w:name="_Toc318450701"/>
      <w:bookmarkStart w:id="442" w:name="_Toc466298117"/>
      <w:bookmarkStart w:id="443" w:name="_Toc21890"/>
      <w:bookmarkStart w:id="444" w:name="_Toc19951"/>
      <w:r>
        <w:rPr>
          <w:rFonts w:hint="eastAsia" w:ascii="宋体" w:hAnsi="宋体" w:cs="宋体"/>
          <w:color w:val="auto"/>
          <w:highlight w:val="white"/>
        </w:rPr>
        <w:t>4.2.1电子响应文件的递交</w:t>
      </w:r>
    </w:p>
    <w:p w14:paraId="266C0FAB">
      <w:pPr>
        <w:spacing w:line="400" w:lineRule="exact"/>
        <w:ind w:firstLine="420" w:firstLineChars="200"/>
        <w:rPr>
          <w:rFonts w:hint="eastAsia" w:ascii="宋体" w:hAnsi="宋体" w:cs="宋体"/>
          <w:color w:val="auto"/>
          <w:highlight w:val="white"/>
        </w:rPr>
      </w:pPr>
      <w:r>
        <w:rPr>
          <w:rFonts w:hint="eastAsia" w:ascii="宋体" w:hAnsi="宋体" w:cs="宋体"/>
          <w:color w:val="auto"/>
          <w:highlight w:val="white"/>
        </w:rPr>
        <w:t>各供应商应在投标截止时间前上传加密的电子响应文件（*.XYTF）到会员系统的指定位置。上传的电子响应文件应使用</w:t>
      </w:r>
      <w:r>
        <w:rPr>
          <w:rFonts w:hint="eastAsia" w:ascii="宋体" w:hAnsi="宋体" w:cs="宋体"/>
          <w:color w:val="auto"/>
          <w:highlight w:val="white"/>
          <w:lang w:eastAsia="zh-CN"/>
        </w:rPr>
        <w:t>供应商</w:t>
      </w:r>
      <w:r>
        <w:rPr>
          <w:rFonts w:hint="eastAsia" w:ascii="宋体" w:hAnsi="宋体" w:cs="宋体"/>
          <w:color w:val="auto"/>
          <w:highlight w:val="white"/>
        </w:rPr>
        <w:t>CA数字证书认证并加密。上传时必须得到交易系统“上传成功”的确认回复后方为上传成功。请供应商在上传前务必认真检查上传响应文件是否完整、正确。</w:t>
      </w:r>
    </w:p>
    <w:p w14:paraId="2D104717">
      <w:pPr>
        <w:pStyle w:val="65"/>
        <w:spacing w:line="360" w:lineRule="auto"/>
        <w:outlineLvl w:val="0"/>
        <w:rPr>
          <w:rFonts w:hint="eastAsia" w:ascii="宋体" w:hAnsi="宋体" w:eastAsia="宋体"/>
          <w:b/>
          <w:bCs/>
          <w:color w:val="auto"/>
          <w:sz w:val="21"/>
          <w:szCs w:val="21"/>
        </w:rPr>
      </w:pPr>
      <w:bookmarkStart w:id="445" w:name="_Toc1790"/>
      <w:r>
        <w:rPr>
          <w:rFonts w:hint="eastAsia" w:ascii="宋体" w:hAnsi="宋体" w:eastAsia="宋体"/>
          <w:b/>
          <w:bCs/>
          <w:color w:val="auto"/>
          <w:sz w:val="21"/>
          <w:szCs w:val="21"/>
        </w:rPr>
        <w:t>4.3 响应文件的修改与撤回</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33E12823">
      <w:pPr>
        <w:spacing w:line="400" w:lineRule="exact"/>
        <w:ind w:firstLine="420" w:firstLineChars="200"/>
        <w:rPr>
          <w:rFonts w:hint="eastAsia" w:ascii="宋体" w:hAnsi="宋体" w:cs="宋体"/>
          <w:color w:val="auto"/>
          <w:szCs w:val="21"/>
        </w:rPr>
      </w:pPr>
      <w:bookmarkStart w:id="446" w:name="_Toc144974527"/>
      <w:bookmarkStart w:id="447" w:name="_Toc152045559"/>
      <w:bookmarkStart w:id="448" w:name="_Toc152042335"/>
      <w:bookmarkStart w:id="449" w:name="_Toc455080135"/>
      <w:r>
        <w:rPr>
          <w:rFonts w:hint="eastAsia" w:ascii="宋体" w:hAnsi="宋体" w:cs="宋体"/>
          <w:color w:val="auto"/>
          <w:szCs w:val="21"/>
        </w:rPr>
        <w:t>4.3.1 在第一章“磋商公告”规定的投标截止时间前，供应商可以多次修改或撤回已递交的响应文件，最终响应文件以投标截止时间前完成上传至信阳市公共资源交易中心交易系统最后一份响应文件为准。</w:t>
      </w:r>
    </w:p>
    <w:p w14:paraId="5F8ED6D8">
      <w:pPr>
        <w:spacing w:line="400" w:lineRule="exact"/>
        <w:ind w:firstLine="420" w:firstLineChars="200"/>
        <w:rPr>
          <w:rFonts w:hint="eastAsia" w:ascii="宋体" w:hAnsi="宋体" w:cs="宋体"/>
          <w:color w:val="auto"/>
          <w:szCs w:val="21"/>
        </w:rPr>
      </w:pPr>
      <w:r>
        <w:rPr>
          <w:rFonts w:hint="eastAsia" w:ascii="宋体" w:hAnsi="宋体" w:cs="宋体"/>
          <w:color w:val="auto"/>
          <w:szCs w:val="21"/>
        </w:rPr>
        <w:t>4.3.2修改的响应文件应按照本章第3.7条、第4.2条规定进行编制和递交。</w:t>
      </w:r>
    </w:p>
    <w:bookmarkEnd w:id="446"/>
    <w:bookmarkEnd w:id="447"/>
    <w:bookmarkEnd w:id="448"/>
    <w:p w14:paraId="0B3677CA">
      <w:pPr>
        <w:spacing w:line="400" w:lineRule="exact"/>
        <w:outlineLvl w:val="1"/>
        <w:rPr>
          <w:rFonts w:hint="eastAsia" w:ascii="宋体" w:hAnsi="宋体"/>
          <w:b/>
          <w:bCs/>
          <w:color w:val="auto"/>
          <w:szCs w:val="21"/>
        </w:rPr>
      </w:pPr>
      <w:bookmarkStart w:id="450" w:name="_Toc14969"/>
      <w:r>
        <w:rPr>
          <w:rFonts w:hint="eastAsia" w:ascii="宋体" w:hAnsi="宋体"/>
          <w:b/>
          <w:bCs/>
          <w:color w:val="auto"/>
          <w:szCs w:val="21"/>
        </w:rPr>
        <w:t>5.磋商开始</w:t>
      </w:r>
      <w:bookmarkEnd w:id="449"/>
      <w:bookmarkEnd w:id="450"/>
      <w:bookmarkStart w:id="451" w:name="_Toc25809"/>
      <w:bookmarkStart w:id="452" w:name="_Toc455080136"/>
      <w:bookmarkStart w:id="453" w:name="_Toc144974528"/>
      <w:bookmarkStart w:id="454" w:name="_Toc455867796"/>
      <w:bookmarkStart w:id="455" w:name="_Toc25533"/>
      <w:bookmarkStart w:id="456" w:name="_Toc6763"/>
      <w:bookmarkStart w:id="457" w:name="_Toc9969"/>
      <w:bookmarkStart w:id="458" w:name="_Toc318450703"/>
      <w:bookmarkStart w:id="459" w:name="_Toc20333"/>
      <w:bookmarkStart w:id="460" w:name="_Toc466298119"/>
      <w:bookmarkStart w:id="461" w:name="_Toc14"/>
      <w:bookmarkStart w:id="462" w:name="_Toc152042336"/>
      <w:bookmarkStart w:id="463" w:name="_Toc152045560"/>
      <w:bookmarkStart w:id="464" w:name="_Toc16040"/>
      <w:bookmarkStart w:id="465" w:name="_Toc26426"/>
      <w:bookmarkStart w:id="466" w:name="_Toc20660"/>
      <w:bookmarkStart w:id="467" w:name="_Toc490667856"/>
    </w:p>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14:paraId="12DEF188">
      <w:pPr>
        <w:spacing w:line="440" w:lineRule="exact"/>
        <w:rPr>
          <w:rFonts w:hint="eastAsia" w:ascii="宋体" w:hAnsi="宋体"/>
          <w:b/>
          <w:bCs/>
          <w:color w:val="auto"/>
          <w:szCs w:val="21"/>
        </w:rPr>
      </w:pPr>
      <w:bookmarkStart w:id="468" w:name="_Toc152042337"/>
      <w:bookmarkStart w:id="469" w:name="_Toc455080137"/>
      <w:bookmarkStart w:id="470" w:name="_Toc466298120"/>
      <w:bookmarkStart w:id="471" w:name="_Toc18582"/>
      <w:bookmarkStart w:id="472" w:name="_Toc152045561"/>
      <w:bookmarkStart w:id="473" w:name="_Toc490667857"/>
      <w:bookmarkStart w:id="474" w:name="_Toc30965"/>
      <w:bookmarkStart w:id="475" w:name="_Toc17491"/>
      <w:bookmarkStart w:id="476" w:name="_Toc25911"/>
      <w:bookmarkStart w:id="477" w:name="_Toc30792"/>
      <w:bookmarkStart w:id="478" w:name="_Toc9328"/>
      <w:bookmarkStart w:id="479" w:name="_Toc144974529"/>
      <w:bookmarkStart w:id="480" w:name="_Toc3865"/>
      <w:bookmarkStart w:id="481" w:name="_Toc318450704"/>
      <w:bookmarkStart w:id="482" w:name="_Toc30074"/>
      <w:bookmarkStart w:id="483" w:name="_Toc747"/>
      <w:bookmarkStart w:id="484" w:name="_Toc11148"/>
      <w:bookmarkStart w:id="485" w:name="_Toc455867797"/>
      <w:r>
        <w:rPr>
          <w:rFonts w:hint="eastAsia" w:ascii="宋体" w:hAnsi="宋体"/>
          <w:b/>
          <w:bCs/>
          <w:color w:val="auto"/>
          <w:szCs w:val="21"/>
        </w:rPr>
        <w:t>5.1 磋商时间和地点</w:t>
      </w:r>
    </w:p>
    <w:p w14:paraId="4A245367">
      <w:pPr>
        <w:spacing w:line="440" w:lineRule="exact"/>
        <w:ind w:firstLine="420" w:firstLineChars="200"/>
        <w:rPr>
          <w:rFonts w:hint="eastAsia" w:ascii="宋体" w:hAnsi="宋体"/>
          <w:color w:val="auto"/>
          <w:szCs w:val="21"/>
        </w:rPr>
      </w:pPr>
      <w:r>
        <w:rPr>
          <w:rFonts w:hint="eastAsia" w:ascii="宋体" w:hAnsi="宋体"/>
          <w:color w:val="auto"/>
          <w:szCs w:val="21"/>
        </w:rPr>
        <w:t>5.1.1 采购人在本章规定的投标截止时间（开标时间）和供应商须知前附表规定的地点开标。</w:t>
      </w:r>
    </w:p>
    <w:p w14:paraId="03B57684">
      <w:pPr>
        <w:spacing w:line="440" w:lineRule="exact"/>
        <w:ind w:firstLine="422" w:firstLineChars="200"/>
        <w:rPr>
          <w:rFonts w:hint="eastAsia" w:ascii="宋体" w:hAnsi="宋体"/>
          <w:b/>
          <w:bCs/>
          <w:color w:val="auto"/>
          <w:szCs w:val="21"/>
        </w:rPr>
      </w:pPr>
      <w:r>
        <w:rPr>
          <w:rFonts w:hint="eastAsia" w:ascii="宋体" w:hAnsi="宋体"/>
          <w:b/>
          <w:bCs/>
          <w:color w:val="auto"/>
          <w:szCs w:val="21"/>
        </w:rPr>
        <w:t xml:space="preserve">5.1.2 本项目采用“不见面开标”交易方式，不见面开标大厅网址为 </w:t>
      </w:r>
      <w:r>
        <w:rPr>
          <w:rFonts w:hint="eastAsia" w:ascii="宋体" w:hAnsi="宋体"/>
          <w:b/>
          <w:bCs/>
          <w:color w:val="auto"/>
          <w:szCs w:val="21"/>
        </w:rPr>
        <w:fldChar w:fldCharType="begin"/>
      </w:r>
      <w:r>
        <w:rPr>
          <w:rFonts w:hint="eastAsia" w:ascii="宋体" w:hAnsi="宋体"/>
          <w:b/>
          <w:bCs/>
          <w:color w:val="auto"/>
          <w:szCs w:val="21"/>
        </w:rPr>
        <w:instrText xml:space="preserve"> HYPERLINK "http://117.158.91.68:8095/xxhy，投标人无需寄送和递交非加密的电子投标文件，无需到现场参加开标会议，无需到达现场提交原件资料。" </w:instrText>
      </w:r>
      <w:r>
        <w:rPr>
          <w:rFonts w:hint="eastAsia" w:ascii="宋体" w:hAnsi="宋体"/>
          <w:b/>
          <w:bCs/>
          <w:color w:val="auto"/>
          <w:szCs w:val="21"/>
        </w:rPr>
        <w:fldChar w:fldCharType="separate"/>
      </w:r>
      <w:r>
        <w:rPr>
          <w:rFonts w:hint="eastAsia" w:ascii="宋体" w:hAnsi="宋体"/>
          <w:b/>
          <w:bCs/>
          <w:color w:val="auto"/>
          <w:szCs w:val="21"/>
          <w:lang w:eastAsia="zh-CN"/>
        </w:rPr>
        <w:t>https://ggzyjy.xinyang.gov.cn/BidOpening</w:t>
      </w:r>
      <w:r>
        <w:rPr>
          <w:rFonts w:hint="eastAsia" w:ascii="宋体" w:hAnsi="宋体"/>
          <w:b/>
          <w:bCs/>
          <w:color w:val="auto"/>
          <w:szCs w:val="21"/>
        </w:rPr>
        <w:t>，供应商无需寄送和递交非加密的电子</w:t>
      </w:r>
      <w:r>
        <w:rPr>
          <w:rFonts w:hint="eastAsia" w:ascii="宋体" w:hAnsi="宋体"/>
          <w:b/>
          <w:bCs/>
          <w:color w:val="auto"/>
          <w:szCs w:val="21"/>
          <w:lang w:eastAsia="zh-CN"/>
        </w:rPr>
        <w:t>响应文件</w:t>
      </w:r>
      <w:r>
        <w:rPr>
          <w:rFonts w:hint="eastAsia" w:ascii="宋体" w:hAnsi="宋体"/>
          <w:b/>
          <w:bCs/>
          <w:color w:val="auto"/>
          <w:szCs w:val="21"/>
        </w:rPr>
        <w:t>，无需到现场参加开标会议，无需到达现场提交原件资料。</w:t>
      </w:r>
      <w:r>
        <w:rPr>
          <w:rFonts w:hint="eastAsia" w:ascii="宋体" w:hAnsi="宋体"/>
          <w:b/>
          <w:bCs/>
          <w:color w:val="auto"/>
          <w:szCs w:val="21"/>
        </w:rPr>
        <w:fldChar w:fldCharType="end"/>
      </w:r>
    </w:p>
    <w:p w14:paraId="51FDE877">
      <w:pPr>
        <w:spacing w:line="440" w:lineRule="exact"/>
        <w:ind w:firstLine="422" w:firstLineChars="200"/>
        <w:rPr>
          <w:rFonts w:hint="eastAsia" w:ascii="宋体" w:hAnsi="宋体"/>
          <w:b/>
          <w:bCs/>
          <w:color w:val="auto"/>
          <w:szCs w:val="21"/>
        </w:rPr>
      </w:pPr>
      <w:r>
        <w:rPr>
          <w:rFonts w:hint="eastAsia" w:ascii="宋体" w:hAnsi="宋体"/>
          <w:b/>
          <w:bCs/>
          <w:color w:val="auto"/>
          <w:szCs w:val="21"/>
        </w:rPr>
        <w:t>供应商应当在投标截止时间前，使用供应商CA数字证书登录不见面开标大厅，在线签到并准时参加开标活动，并在规定时间内完成响应文件解密、答疑澄清等。</w:t>
      </w:r>
    </w:p>
    <w:p w14:paraId="275C37C0">
      <w:pPr>
        <w:spacing w:line="440" w:lineRule="exact"/>
        <w:ind w:firstLine="422" w:firstLineChars="200"/>
        <w:rPr>
          <w:rFonts w:hint="eastAsia" w:ascii="宋体" w:hAnsi="宋体"/>
          <w:b/>
          <w:bCs/>
          <w:color w:val="auto"/>
          <w:szCs w:val="21"/>
        </w:rPr>
      </w:pPr>
      <w:r>
        <w:rPr>
          <w:rFonts w:hint="eastAsia" w:ascii="宋体" w:hAnsi="宋体"/>
          <w:b/>
          <w:bCs/>
          <w:color w:val="auto"/>
          <w:szCs w:val="21"/>
        </w:rPr>
        <w:t>供应商需在解密开始后10分钟内完成解密（当供应商过多时，解密时间可以适当延长）。在响应文件解密过程中，因供应商原因（如</w:t>
      </w:r>
      <w:r>
        <w:rPr>
          <w:rFonts w:hint="eastAsia" w:ascii="宋体" w:hAnsi="宋体"/>
          <w:b/>
          <w:bCs/>
          <w:color w:val="auto"/>
          <w:szCs w:val="21"/>
          <w:lang w:eastAsia="zh-CN"/>
        </w:rPr>
        <w:t>供应商</w:t>
      </w:r>
      <w:r>
        <w:rPr>
          <w:rFonts w:hint="eastAsia" w:ascii="宋体" w:hAnsi="宋体"/>
          <w:b/>
          <w:bCs/>
          <w:color w:val="auto"/>
          <w:szCs w:val="21"/>
        </w:rPr>
        <w:t>准备不到位、电脑网络问题等），造成无法及时解密的，将被退回响应文件。</w:t>
      </w:r>
    </w:p>
    <w:p w14:paraId="112D88DB">
      <w:pPr>
        <w:spacing w:line="440" w:lineRule="exact"/>
        <w:ind w:firstLine="422" w:firstLineChars="200"/>
        <w:rPr>
          <w:rFonts w:hint="eastAsia" w:ascii="宋体" w:hAnsi="宋体"/>
          <w:b/>
          <w:bCs/>
          <w:color w:val="auto"/>
          <w:szCs w:val="21"/>
        </w:rPr>
      </w:pPr>
      <w:r>
        <w:rPr>
          <w:rFonts w:hint="eastAsia" w:ascii="宋体" w:hAnsi="宋体"/>
          <w:b/>
          <w:bCs/>
          <w:color w:val="auto"/>
          <w:szCs w:val="21"/>
        </w:rPr>
        <w:t>不见面开标服务的具体事宜，请查阅信阳市公共资源交易中心网站首页—下载中心—信阳市不见面开标大厅系统操作手册 。</w:t>
      </w:r>
    </w:p>
    <w:p w14:paraId="2ED031CF">
      <w:pPr>
        <w:spacing w:line="440" w:lineRule="exact"/>
        <w:ind w:firstLine="422" w:firstLineChars="200"/>
        <w:rPr>
          <w:rFonts w:hint="eastAsia" w:ascii="宋体" w:hAnsi="宋体"/>
          <w:b/>
          <w:bCs/>
          <w:color w:val="auto"/>
          <w:szCs w:val="21"/>
        </w:rPr>
      </w:pPr>
      <w:r>
        <w:rPr>
          <w:rFonts w:hint="eastAsia" w:ascii="宋体" w:hAnsi="宋体"/>
          <w:b/>
          <w:bCs/>
          <w:color w:val="auto"/>
          <w:szCs w:val="21"/>
        </w:rPr>
        <w:t xml:space="preserve">开标过程中，供应商如有异议，须在开标结束前通过系统提出，否则视同认可开标记录。开标结束后，对开标记录的任何异议不再接受。 </w:t>
      </w:r>
    </w:p>
    <w:p w14:paraId="050664A0">
      <w:pPr>
        <w:pStyle w:val="65"/>
        <w:spacing w:line="360" w:lineRule="auto"/>
        <w:outlineLvl w:val="0"/>
        <w:rPr>
          <w:rFonts w:hint="eastAsia" w:ascii="宋体" w:hAnsi="宋体" w:eastAsia="宋体"/>
          <w:b/>
          <w:bCs/>
          <w:color w:val="auto"/>
          <w:sz w:val="21"/>
          <w:szCs w:val="21"/>
        </w:rPr>
      </w:pPr>
      <w:r>
        <w:rPr>
          <w:rFonts w:hint="eastAsia" w:ascii="宋体" w:hAnsi="宋体" w:eastAsia="宋体"/>
          <w:b/>
          <w:bCs/>
          <w:color w:val="auto"/>
          <w:sz w:val="21"/>
          <w:szCs w:val="21"/>
        </w:rPr>
        <w:t>5.2 磋商程序</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570DD268">
      <w:pPr>
        <w:pStyle w:val="65"/>
        <w:spacing w:line="360" w:lineRule="auto"/>
        <w:outlineLvl w:val="0"/>
        <w:rPr>
          <w:rFonts w:ascii="宋体" w:hAnsi="宋体" w:eastAsia="宋体"/>
          <w:b/>
          <w:bCs/>
          <w:color w:val="auto"/>
          <w:sz w:val="21"/>
          <w:szCs w:val="21"/>
        </w:rPr>
      </w:pPr>
      <w:r>
        <w:rPr>
          <w:rFonts w:hint="eastAsia" w:ascii="宋体" w:hAnsi="宋体" w:eastAsia="宋体"/>
          <w:b/>
          <w:bCs/>
          <w:color w:val="auto"/>
          <w:sz w:val="21"/>
          <w:szCs w:val="21"/>
        </w:rPr>
        <w:t xml:space="preserve">  </w:t>
      </w:r>
      <w:r>
        <w:rPr>
          <w:rFonts w:hint="eastAsia" w:ascii="宋体" w:hAnsi="宋体" w:eastAsia="宋体"/>
          <w:color w:val="auto"/>
          <w:sz w:val="21"/>
          <w:szCs w:val="21"/>
        </w:rPr>
        <w:t xml:space="preserve">  </w:t>
      </w:r>
      <w:bookmarkStart w:id="486" w:name="_Toc30403"/>
      <w:r>
        <w:rPr>
          <w:rFonts w:hint="eastAsia" w:ascii="宋体" w:hAnsi="宋体" w:eastAsia="宋体"/>
          <w:color w:val="auto"/>
          <w:sz w:val="21"/>
          <w:szCs w:val="21"/>
        </w:rPr>
        <w:t>5.2.1磋商小组对磋商文件进行熟悉确认。</w:t>
      </w:r>
      <w:bookmarkEnd w:id="486"/>
    </w:p>
    <w:p w14:paraId="1D2E6E95">
      <w:pPr>
        <w:spacing w:line="360" w:lineRule="auto"/>
        <w:ind w:firstLine="420" w:firstLineChars="200"/>
        <w:rPr>
          <w:rFonts w:hint="eastAsia" w:ascii="宋体" w:hAnsi="宋体" w:cs="宋体"/>
          <w:color w:val="auto"/>
          <w:szCs w:val="21"/>
        </w:rPr>
      </w:pPr>
      <w:bookmarkStart w:id="487" w:name="_Toc152042338"/>
      <w:bookmarkStart w:id="488" w:name="_Toc152045562"/>
      <w:bookmarkStart w:id="489" w:name="_Toc144974530"/>
      <w:r>
        <w:rPr>
          <w:rFonts w:hint="eastAsia" w:ascii="宋体" w:hAnsi="宋体" w:cs="宋体"/>
          <w:color w:val="auto"/>
          <w:szCs w:val="21"/>
        </w:rPr>
        <w:t>5.2.2磋商小组推选组长，讨论、通过磋商工作流程和磋商要点。</w:t>
      </w:r>
    </w:p>
    <w:p w14:paraId="2E579C5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5.2.3资格评审审查：磋商开始后，采购人依据磋商文件规定，对所有供应商进行审查，以确定磋商供应商是否具备参与磋商的资格。</w:t>
      </w:r>
    </w:p>
    <w:p w14:paraId="714FDF5F">
      <w:pPr>
        <w:spacing w:line="360" w:lineRule="auto"/>
        <w:ind w:firstLine="472" w:firstLineChars="225"/>
        <w:rPr>
          <w:rFonts w:hint="eastAsia" w:ascii="宋体" w:hAnsi="宋体" w:cs="宋体"/>
          <w:color w:val="auto"/>
          <w:szCs w:val="21"/>
        </w:rPr>
      </w:pPr>
      <w:r>
        <w:rPr>
          <w:rFonts w:hint="eastAsia" w:ascii="宋体" w:hAnsi="宋体" w:cs="宋体"/>
          <w:color w:val="auto"/>
          <w:szCs w:val="21"/>
        </w:rPr>
        <w:t>5.2.4符合性评审审查：磋商开始后，磋商小组依据磋商文件规定，对通过资格评审的供应商进行审查，以确定磋商供应商是否具备参与磋商的资格。</w:t>
      </w:r>
    </w:p>
    <w:p w14:paraId="3F84B6B1">
      <w:pPr>
        <w:spacing w:line="360" w:lineRule="auto"/>
        <w:ind w:firstLine="472" w:firstLineChars="225"/>
        <w:rPr>
          <w:rFonts w:hint="eastAsia" w:ascii="宋体" w:hAnsi="宋体" w:cs="宋体"/>
          <w:color w:val="auto"/>
          <w:szCs w:val="21"/>
        </w:rPr>
      </w:pPr>
      <w:r>
        <w:rPr>
          <w:rFonts w:hint="eastAsia" w:ascii="宋体" w:hAnsi="宋体" w:cs="宋体"/>
          <w:color w:val="auto"/>
          <w:szCs w:val="21"/>
        </w:rPr>
        <w:t>5.2.5磋商小组对通过资格性和符合性审查的响应文件进行评估，确定与各竞标人磋商的具体内容。</w:t>
      </w:r>
    </w:p>
    <w:p w14:paraId="3A37C49A">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 xml:space="preserve"> 5.2.6磋商过程中，磋商小组可以根据磋商情况实质性变动招标需求中的技术、服务要求以及合同草案条款，但不得变动磋商文件中的其他内容。实质性变动的内容需经采购人(业主)代表确认。并以书面形式通知所有参加磋商的供应商，该变动是磋商文件的有效组成部分。供应商应当按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08261471">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5.2.7磋商小组对符合招标需求的供应商进行两轮报价；供应商只有通过形式评审、资格评审、响应性评审后方可进入下一轮报价，在规定的时间内同时提交报价，最终报价不得超过响应文件中报价。</w:t>
      </w:r>
    </w:p>
    <w:p w14:paraId="291461E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5.2.8经磋商确定最终招标需求，由磋商小组采用综合评分法对通过初步评审的供应商的响应文件进行综合评分。</w:t>
      </w:r>
    </w:p>
    <w:p w14:paraId="0F8D6824">
      <w:pPr>
        <w:pStyle w:val="64"/>
        <w:spacing w:before="0" w:line="360" w:lineRule="auto"/>
        <w:rPr>
          <w:rFonts w:hint="eastAsia" w:ascii="宋体" w:hAnsi="宋体" w:eastAsia="宋体"/>
          <w:b/>
          <w:bCs/>
          <w:color w:val="auto"/>
          <w:sz w:val="21"/>
          <w:szCs w:val="21"/>
        </w:rPr>
      </w:pPr>
      <w:bookmarkStart w:id="490" w:name="_Toc455080138"/>
      <w:bookmarkStart w:id="491" w:name="_Toc14039"/>
      <w:r>
        <w:rPr>
          <w:rFonts w:hint="eastAsia" w:ascii="宋体" w:hAnsi="宋体" w:eastAsia="宋体"/>
          <w:b/>
          <w:bCs/>
          <w:color w:val="auto"/>
          <w:sz w:val="21"/>
          <w:szCs w:val="21"/>
        </w:rPr>
        <w:t xml:space="preserve">6. </w:t>
      </w:r>
      <w:bookmarkEnd w:id="487"/>
      <w:bookmarkEnd w:id="488"/>
      <w:bookmarkEnd w:id="489"/>
      <w:r>
        <w:rPr>
          <w:rFonts w:hint="eastAsia" w:ascii="宋体" w:hAnsi="宋体" w:eastAsia="宋体"/>
          <w:b/>
          <w:bCs/>
          <w:color w:val="auto"/>
          <w:sz w:val="21"/>
          <w:szCs w:val="21"/>
        </w:rPr>
        <w:t>磋商</w:t>
      </w:r>
      <w:bookmarkEnd w:id="490"/>
      <w:r>
        <w:rPr>
          <w:rFonts w:hint="eastAsia" w:ascii="宋体" w:hAnsi="宋体" w:eastAsia="宋体"/>
          <w:b/>
          <w:bCs/>
          <w:color w:val="auto"/>
          <w:sz w:val="21"/>
          <w:szCs w:val="21"/>
        </w:rPr>
        <w:t>小组</w:t>
      </w:r>
      <w:bookmarkEnd w:id="491"/>
    </w:p>
    <w:p w14:paraId="685DC441">
      <w:pPr>
        <w:pStyle w:val="65"/>
        <w:spacing w:line="360" w:lineRule="auto"/>
        <w:outlineLvl w:val="0"/>
        <w:rPr>
          <w:rFonts w:hint="eastAsia" w:ascii="宋体" w:hAnsi="宋体" w:eastAsia="宋体"/>
          <w:b/>
          <w:bCs/>
          <w:color w:val="auto"/>
          <w:sz w:val="21"/>
          <w:szCs w:val="21"/>
        </w:rPr>
      </w:pPr>
      <w:bookmarkStart w:id="492" w:name="_Toc9808"/>
      <w:bookmarkStart w:id="493" w:name="_Toc144974531"/>
      <w:bookmarkStart w:id="494" w:name="_Toc26098"/>
      <w:bookmarkStart w:id="495" w:name="_Toc318450706"/>
      <w:bookmarkStart w:id="496" w:name="_Toc152042339"/>
      <w:bookmarkStart w:id="497" w:name="_Toc22250"/>
      <w:bookmarkStart w:id="498" w:name="_Toc152045563"/>
      <w:bookmarkStart w:id="499" w:name="_Toc1546"/>
      <w:bookmarkStart w:id="500" w:name="_Toc466298122"/>
      <w:bookmarkStart w:id="501" w:name="_Toc13978"/>
      <w:bookmarkStart w:id="502" w:name="_Toc1574"/>
      <w:bookmarkStart w:id="503" w:name="_Toc8157"/>
      <w:bookmarkStart w:id="504" w:name="_Toc490667859"/>
      <w:bookmarkStart w:id="505" w:name="_Toc8725"/>
      <w:bookmarkStart w:id="506" w:name="_Toc18985"/>
      <w:bookmarkStart w:id="507" w:name="_Toc455867799"/>
      <w:bookmarkStart w:id="508" w:name="_Toc23138"/>
      <w:bookmarkStart w:id="509" w:name="_Toc455080139"/>
      <w:r>
        <w:rPr>
          <w:rFonts w:hint="eastAsia" w:ascii="宋体" w:hAnsi="宋体" w:eastAsia="宋体"/>
          <w:b/>
          <w:bCs/>
          <w:color w:val="auto"/>
          <w:sz w:val="21"/>
          <w:szCs w:val="21"/>
        </w:rPr>
        <w:t>6.1</w:t>
      </w:r>
      <w:bookmarkEnd w:id="492"/>
      <w:bookmarkEnd w:id="493"/>
      <w:bookmarkEnd w:id="494"/>
      <w:bookmarkEnd w:id="495"/>
      <w:bookmarkEnd w:id="496"/>
      <w:bookmarkEnd w:id="497"/>
      <w:bookmarkEnd w:id="498"/>
      <w:r>
        <w:rPr>
          <w:rFonts w:hint="eastAsia" w:ascii="宋体" w:hAnsi="宋体" w:eastAsia="宋体"/>
          <w:b/>
          <w:bCs/>
          <w:color w:val="auto"/>
          <w:sz w:val="21"/>
          <w:szCs w:val="21"/>
        </w:rPr>
        <w:t>磋商小组</w:t>
      </w:r>
      <w:bookmarkEnd w:id="499"/>
      <w:bookmarkEnd w:id="500"/>
      <w:bookmarkEnd w:id="501"/>
      <w:bookmarkEnd w:id="502"/>
      <w:bookmarkEnd w:id="503"/>
      <w:bookmarkEnd w:id="504"/>
      <w:bookmarkEnd w:id="505"/>
      <w:bookmarkEnd w:id="506"/>
      <w:bookmarkEnd w:id="507"/>
      <w:bookmarkEnd w:id="508"/>
      <w:bookmarkEnd w:id="509"/>
    </w:p>
    <w:p w14:paraId="2E8A247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磋商由采购人依法组建的磋商小组负责。磋商小组由采购人代表以及有关技术、经济等方面的专家组成。磋商小组成员人数以及技术、经济等方面专家的确定方式见供应商须知前附表。</w:t>
      </w:r>
    </w:p>
    <w:p w14:paraId="466ECD32">
      <w:pPr>
        <w:pStyle w:val="65"/>
        <w:tabs>
          <w:tab w:val="left" w:pos="2620"/>
        </w:tabs>
        <w:spacing w:line="360" w:lineRule="auto"/>
        <w:outlineLvl w:val="0"/>
        <w:rPr>
          <w:rFonts w:hint="eastAsia" w:ascii="宋体" w:hAnsi="宋体" w:eastAsia="宋体"/>
          <w:b/>
          <w:bCs/>
          <w:color w:val="auto"/>
          <w:sz w:val="21"/>
          <w:szCs w:val="21"/>
        </w:rPr>
      </w:pPr>
      <w:bookmarkStart w:id="510" w:name="_Toc8240"/>
      <w:bookmarkStart w:id="511" w:name="_Toc25721"/>
      <w:bookmarkStart w:id="512" w:name="_Toc152042340"/>
      <w:bookmarkStart w:id="513" w:name="_Toc144974532"/>
      <w:bookmarkStart w:id="514" w:name="_Toc490667860"/>
      <w:bookmarkStart w:id="515" w:name="_Toc455867800"/>
      <w:bookmarkStart w:id="516" w:name="_Toc318450707"/>
      <w:bookmarkStart w:id="517" w:name="_Toc9532"/>
      <w:bookmarkStart w:id="518" w:name="_Toc455080140"/>
      <w:bookmarkStart w:id="519" w:name="_Toc22143"/>
      <w:bookmarkStart w:id="520" w:name="_Toc152045564"/>
      <w:bookmarkStart w:id="521" w:name="_Toc4435"/>
      <w:bookmarkStart w:id="522" w:name="_Toc13368"/>
      <w:bookmarkStart w:id="523" w:name="_Toc8248"/>
      <w:bookmarkStart w:id="524" w:name="_Toc21102"/>
      <w:bookmarkStart w:id="525" w:name="_Toc466298123"/>
      <w:bookmarkStart w:id="526" w:name="_Toc27035"/>
      <w:bookmarkStart w:id="527" w:name="_Toc7286"/>
      <w:r>
        <w:rPr>
          <w:rFonts w:hint="eastAsia" w:ascii="宋体" w:hAnsi="宋体" w:eastAsia="宋体"/>
          <w:b/>
          <w:bCs/>
          <w:color w:val="auto"/>
          <w:sz w:val="21"/>
          <w:szCs w:val="21"/>
        </w:rPr>
        <w:t>6.2 磋商原则</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4F85A73C">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磋商活动遵循公平、公正、科学和择优的原则。</w:t>
      </w:r>
      <w:bookmarkStart w:id="528" w:name="_Toc144974533"/>
      <w:bookmarkStart w:id="529" w:name="_Toc318450708"/>
      <w:bookmarkStart w:id="530" w:name="_Toc152042341"/>
      <w:bookmarkStart w:id="531" w:name="_Toc16725"/>
      <w:bookmarkStart w:id="532" w:name="_Toc15595"/>
      <w:bookmarkStart w:id="533" w:name="_Toc8705"/>
      <w:bookmarkStart w:id="534" w:name="_Toc152045565"/>
      <w:bookmarkStart w:id="535" w:name="_Toc27036"/>
      <w:bookmarkStart w:id="536" w:name="_Toc7890"/>
      <w:bookmarkStart w:id="537" w:name="_Toc18756"/>
      <w:bookmarkStart w:id="538" w:name="_Toc3606"/>
      <w:bookmarkStart w:id="539" w:name="_Toc28734"/>
      <w:bookmarkStart w:id="540" w:name="_Toc490667861"/>
      <w:bookmarkStart w:id="541" w:name="_Toc466298124"/>
      <w:bookmarkStart w:id="542" w:name="_Toc20062"/>
      <w:bookmarkStart w:id="543" w:name="_Toc455080141"/>
      <w:bookmarkStart w:id="544" w:name="_Toc455867801"/>
      <w:bookmarkStart w:id="545" w:name="_Toc24358"/>
    </w:p>
    <w:p w14:paraId="25A1D7D6">
      <w:pPr>
        <w:spacing w:line="360" w:lineRule="auto"/>
        <w:ind w:firstLine="422" w:firstLineChars="200"/>
        <w:rPr>
          <w:rFonts w:hint="eastAsia" w:ascii="宋体" w:hAnsi="宋体"/>
          <w:color w:val="auto"/>
          <w:szCs w:val="21"/>
        </w:rPr>
      </w:pPr>
      <w:r>
        <w:rPr>
          <w:rFonts w:hint="eastAsia" w:ascii="宋体" w:hAnsi="宋体"/>
          <w:b/>
          <w:bCs/>
          <w:color w:val="auto"/>
          <w:szCs w:val="21"/>
        </w:rPr>
        <w:t xml:space="preserve">6.3 </w:t>
      </w:r>
      <w:bookmarkEnd w:id="528"/>
      <w:bookmarkEnd w:id="529"/>
      <w:bookmarkEnd w:id="530"/>
      <w:bookmarkEnd w:id="531"/>
      <w:bookmarkEnd w:id="532"/>
      <w:bookmarkEnd w:id="533"/>
      <w:bookmarkEnd w:id="534"/>
      <w:r>
        <w:rPr>
          <w:rFonts w:hint="eastAsia" w:ascii="宋体" w:hAnsi="宋体"/>
          <w:b/>
          <w:bCs/>
          <w:color w:val="auto"/>
          <w:szCs w:val="21"/>
        </w:rPr>
        <w:t>磋商</w:t>
      </w:r>
      <w:bookmarkEnd w:id="535"/>
      <w:bookmarkEnd w:id="536"/>
      <w:bookmarkEnd w:id="537"/>
      <w:bookmarkEnd w:id="538"/>
      <w:bookmarkEnd w:id="539"/>
      <w:bookmarkEnd w:id="540"/>
      <w:bookmarkEnd w:id="541"/>
      <w:bookmarkEnd w:id="542"/>
      <w:bookmarkEnd w:id="543"/>
      <w:bookmarkEnd w:id="544"/>
      <w:bookmarkEnd w:id="545"/>
    </w:p>
    <w:p w14:paraId="7203F8F7">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磋商小组按照第三章“评审办法”规定的方法、评审因素、标准和程序对响应文件进行评审。第三章“评审办法”没有规定的方法、评审因素和标准，不作为评标依据。</w:t>
      </w:r>
    </w:p>
    <w:p w14:paraId="359047C4">
      <w:pPr>
        <w:pStyle w:val="64"/>
        <w:spacing w:before="0" w:line="360" w:lineRule="auto"/>
        <w:rPr>
          <w:rFonts w:hint="eastAsia" w:ascii="宋体" w:hAnsi="宋体" w:eastAsia="宋体"/>
          <w:b/>
          <w:bCs/>
          <w:color w:val="auto"/>
          <w:sz w:val="21"/>
          <w:szCs w:val="21"/>
        </w:rPr>
      </w:pPr>
      <w:bookmarkStart w:id="546" w:name="_Toc152042342"/>
      <w:bookmarkStart w:id="547" w:name="_Toc152045566"/>
      <w:bookmarkStart w:id="548" w:name="_Toc455080142"/>
      <w:bookmarkStart w:id="549" w:name="_Toc144974534"/>
      <w:bookmarkStart w:id="550" w:name="_Toc9522"/>
      <w:r>
        <w:rPr>
          <w:rFonts w:hint="eastAsia" w:ascii="宋体" w:hAnsi="宋体" w:eastAsia="宋体"/>
          <w:b/>
          <w:bCs/>
          <w:color w:val="auto"/>
          <w:sz w:val="21"/>
          <w:szCs w:val="21"/>
        </w:rPr>
        <w:t>7. 合同授予</w:t>
      </w:r>
      <w:bookmarkEnd w:id="546"/>
      <w:bookmarkEnd w:id="547"/>
      <w:bookmarkEnd w:id="548"/>
      <w:bookmarkEnd w:id="549"/>
      <w:bookmarkEnd w:id="550"/>
    </w:p>
    <w:p w14:paraId="351E4295">
      <w:pPr>
        <w:pStyle w:val="65"/>
        <w:spacing w:line="360" w:lineRule="auto"/>
        <w:outlineLvl w:val="0"/>
        <w:rPr>
          <w:rFonts w:hint="eastAsia" w:ascii="宋体" w:hAnsi="宋体" w:eastAsia="宋体"/>
          <w:b/>
          <w:bCs/>
          <w:color w:val="auto"/>
          <w:sz w:val="21"/>
          <w:szCs w:val="21"/>
        </w:rPr>
      </w:pPr>
      <w:bookmarkStart w:id="551" w:name="_Toc152045567"/>
      <w:bookmarkStart w:id="552" w:name="_Toc25316"/>
      <w:bookmarkStart w:id="553" w:name="_Toc144974535"/>
      <w:bookmarkStart w:id="554" w:name="_Toc318450710"/>
      <w:bookmarkStart w:id="555" w:name="_Toc17660"/>
      <w:bookmarkStart w:id="556" w:name="_Toc29664"/>
      <w:bookmarkStart w:id="557" w:name="_Toc490667863"/>
      <w:bookmarkStart w:id="558" w:name="_Toc7358"/>
      <w:bookmarkStart w:id="559" w:name="_Toc29686"/>
      <w:bookmarkStart w:id="560" w:name="_Toc455080143"/>
      <w:bookmarkStart w:id="561" w:name="_Toc22461"/>
      <w:bookmarkStart w:id="562" w:name="_Toc152042343"/>
      <w:bookmarkStart w:id="563" w:name="_Toc20777"/>
      <w:bookmarkStart w:id="564" w:name="_Toc466298126"/>
      <w:bookmarkStart w:id="565" w:name="_Toc28919"/>
      <w:bookmarkStart w:id="566" w:name="_Toc11409"/>
      <w:bookmarkStart w:id="567" w:name="_Toc14528"/>
      <w:bookmarkStart w:id="568" w:name="_Toc455867803"/>
      <w:r>
        <w:rPr>
          <w:rFonts w:hint="eastAsia" w:ascii="宋体" w:hAnsi="宋体" w:eastAsia="宋体"/>
          <w:b/>
          <w:bCs/>
          <w:color w:val="auto"/>
          <w:sz w:val="21"/>
          <w:szCs w:val="21"/>
        </w:rPr>
        <w:t>7.1 定标方式</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14:paraId="3051E7BC">
      <w:pPr>
        <w:spacing w:line="360" w:lineRule="auto"/>
        <w:ind w:firstLine="420" w:firstLineChars="200"/>
        <w:rPr>
          <w:rFonts w:hint="eastAsia" w:ascii="宋体" w:hAnsi="宋体" w:cs="宋体"/>
          <w:color w:val="auto"/>
          <w:szCs w:val="21"/>
        </w:rPr>
      </w:pPr>
      <w:bookmarkStart w:id="569" w:name="_Toc28254"/>
      <w:bookmarkStart w:id="570" w:name="_Toc318450711"/>
      <w:bookmarkStart w:id="571" w:name="_Toc7066"/>
      <w:bookmarkStart w:id="572" w:name="_Toc152042344"/>
      <w:bookmarkStart w:id="573" w:name="_Toc152045568"/>
      <w:bookmarkStart w:id="574" w:name="_Toc144974536"/>
      <w:bookmarkStart w:id="575" w:name="_Toc10868"/>
      <w:r>
        <w:rPr>
          <w:rFonts w:hint="eastAsia" w:ascii="宋体" w:hAnsi="宋体" w:cs="宋体"/>
          <w:color w:val="auto"/>
          <w:szCs w:val="21"/>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1502040A">
      <w:pPr>
        <w:pStyle w:val="65"/>
        <w:spacing w:line="360" w:lineRule="auto"/>
        <w:outlineLvl w:val="0"/>
        <w:rPr>
          <w:rFonts w:hint="eastAsia" w:ascii="宋体" w:hAnsi="宋体" w:eastAsia="宋体"/>
          <w:b/>
          <w:bCs/>
          <w:color w:val="auto"/>
          <w:sz w:val="21"/>
          <w:szCs w:val="21"/>
        </w:rPr>
      </w:pPr>
      <w:bookmarkStart w:id="576" w:name="_Toc15825"/>
      <w:bookmarkStart w:id="577" w:name="_Toc455080144"/>
      <w:bookmarkStart w:id="578" w:name="_Toc16163"/>
      <w:bookmarkStart w:id="579" w:name="_Toc5428"/>
      <w:bookmarkStart w:id="580" w:name="_Toc9775"/>
      <w:bookmarkStart w:id="581" w:name="_Toc455867804"/>
      <w:bookmarkStart w:id="582" w:name="_Toc466298127"/>
      <w:bookmarkStart w:id="583" w:name="_Toc5668"/>
      <w:bookmarkStart w:id="584" w:name="_Toc9897"/>
      <w:bookmarkStart w:id="585" w:name="_Toc28177"/>
      <w:bookmarkStart w:id="586" w:name="_Toc490667864"/>
      <w:r>
        <w:rPr>
          <w:rFonts w:hint="eastAsia" w:ascii="宋体" w:hAnsi="宋体" w:eastAsia="宋体"/>
          <w:b/>
          <w:bCs/>
          <w:color w:val="auto"/>
          <w:sz w:val="21"/>
          <w:szCs w:val="21"/>
        </w:rPr>
        <w:t>7.2 成交通知</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14:paraId="3E3132D0">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在本章第3.3.1款规定的磋商有效期内，采购人以书面形式向成交人发出成交通知书，同时将成交结果通知未成交的供应商。</w:t>
      </w:r>
    </w:p>
    <w:p w14:paraId="609FF12D">
      <w:pPr>
        <w:spacing w:line="360" w:lineRule="auto"/>
        <w:rPr>
          <w:rFonts w:hint="eastAsia" w:ascii="宋体" w:hAnsi="宋体"/>
          <w:color w:val="auto"/>
          <w:szCs w:val="21"/>
        </w:rPr>
      </w:pPr>
      <w:bookmarkStart w:id="587" w:name="_Toc12663"/>
      <w:bookmarkStart w:id="588" w:name="_Toc490667865"/>
      <w:bookmarkStart w:id="589" w:name="_Toc15458"/>
      <w:bookmarkStart w:id="590" w:name="_Toc21271"/>
      <w:bookmarkStart w:id="591" w:name="_Toc24026"/>
      <w:bookmarkStart w:id="592" w:name="_Toc26760"/>
      <w:bookmarkStart w:id="593" w:name="_Toc13147"/>
      <w:bookmarkStart w:id="594" w:name="_Toc26655"/>
      <w:bookmarkStart w:id="595" w:name="_Toc10082"/>
      <w:bookmarkStart w:id="596" w:name="_Toc152042346"/>
      <w:bookmarkStart w:id="597" w:name="_Toc318450712"/>
      <w:bookmarkStart w:id="598" w:name="_Toc455867805"/>
      <w:bookmarkStart w:id="599" w:name="_Toc455080145"/>
      <w:bookmarkStart w:id="600" w:name="_Toc26915"/>
      <w:bookmarkStart w:id="601" w:name="_Toc144974538"/>
      <w:bookmarkStart w:id="602" w:name="_Toc152045570"/>
      <w:bookmarkStart w:id="603" w:name="_Toc466298128"/>
      <w:bookmarkStart w:id="604" w:name="_Toc8886"/>
      <w:r>
        <w:rPr>
          <w:rFonts w:hint="eastAsia" w:ascii="宋体" w:hAnsi="宋体"/>
          <w:b/>
          <w:color w:val="auto"/>
          <w:szCs w:val="21"/>
        </w:rPr>
        <w:t>7.3履约</w:t>
      </w:r>
      <w:r>
        <w:rPr>
          <w:rFonts w:hint="eastAsia" w:ascii="宋体" w:hAnsi="宋体"/>
          <w:b/>
          <w:color w:val="auto"/>
          <w:szCs w:val="21"/>
          <w:lang w:val="en-US" w:eastAsia="zh-CN"/>
        </w:rPr>
        <w:t>保证金</w:t>
      </w:r>
    </w:p>
    <w:p w14:paraId="14146C2E">
      <w:pPr>
        <w:pStyle w:val="65"/>
        <w:spacing w:line="360" w:lineRule="auto"/>
        <w:outlineLvl w:val="0"/>
        <w:rPr>
          <w:rFonts w:hint="eastAsia" w:ascii="宋体" w:hAnsi="宋体" w:eastAsia="宋体"/>
          <w:b w:val="0"/>
          <w:bCs w:val="0"/>
          <w:color w:val="auto"/>
          <w:sz w:val="21"/>
          <w:szCs w:val="21"/>
          <w:lang w:val="en-US" w:eastAsia="zh-CN"/>
        </w:rPr>
      </w:pPr>
      <w:r>
        <w:rPr>
          <w:rFonts w:hint="eastAsia" w:ascii="宋体" w:hAnsi="宋体" w:eastAsia="宋体"/>
          <w:b w:val="0"/>
          <w:bCs w:val="0"/>
          <w:color w:val="auto"/>
          <w:sz w:val="21"/>
          <w:szCs w:val="21"/>
          <w:lang w:val="en-US" w:eastAsia="zh-CN"/>
        </w:rPr>
        <w:t>不收取</w:t>
      </w:r>
    </w:p>
    <w:p w14:paraId="3C54F083">
      <w:pPr>
        <w:pStyle w:val="65"/>
        <w:spacing w:line="360" w:lineRule="auto"/>
        <w:outlineLvl w:val="0"/>
        <w:rPr>
          <w:rFonts w:hint="eastAsia" w:ascii="宋体" w:hAnsi="宋体" w:eastAsia="宋体"/>
          <w:b/>
          <w:bCs/>
          <w:color w:val="auto"/>
          <w:sz w:val="21"/>
          <w:szCs w:val="21"/>
        </w:rPr>
      </w:pPr>
      <w:r>
        <w:rPr>
          <w:rFonts w:hint="eastAsia" w:ascii="宋体" w:hAnsi="宋体" w:eastAsia="宋体"/>
          <w:b/>
          <w:bCs/>
          <w:color w:val="auto"/>
          <w:sz w:val="21"/>
          <w:szCs w:val="21"/>
        </w:rPr>
        <w:t>7.</w:t>
      </w:r>
      <w:r>
        <w:rPr>
          <w:rFonts w:hint="eastAsia" w:ascii="宋体" w:hAnsi="宋体" w:eastAsia="宋体"/>
          <w:b/>
          <w:bCs/>
          <w:color w:val="auto"/>
          <w:sz w:val="21"/>
          <w:szCs w:val="21"/>
          <w:lang w:val="en-US" w:eastAsia="zh-CN"/>
        </w:rPr>
        <w:t>4</w:t>
      </w:r>
      <w:r>
        <w:rPr>
          <w:rFonts w:hint="eastAsia" w:ascii="宋体" w:hAnsi="宋体" w:eastAsia="宋体"/>
          <w:b/>
          <w:bCs/>
          <w:color w:val="auto"/>
          <w:sz w:val="21"/>
          <w:szCs w:val="21"/>
        </w:rPr>
        <w:t xml:space="preserve"> 签订合同</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3458A4B5">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hint="eastAsia" w:ascii="宋体" w:hAnsi="宋体" w:cs="宋体"/>
          <w:color w:val="auto"/>
          <w:szCs w:val="21"/>
          <w:lang w:val="en-US" w:eastAsia="zh-CN"/>
        </w:rPr>
        <w:t>4</w:t>
      </w:r>
      <w:r>
        <w:rPr>
          <w:rFonts w:hint="eastAsia" w:ascii="宋体" w:hAnsi="宋体" w:cs="宋体"/>
          <w:color w:val="auto"/>
          <w:szCs w:val="21"/>
        </w:rPr>
        <w:t>.1采购人和成交人应当自成交通知书发出之日起</w:t>
      </w:r>
      <w:r>
        <w:rPr>
          <w:rFonts w:hint="eastAsia" w:ascii="宋体" w:hAnsi="宋体" w:cs="宋体"/>
          <w:color w:val="auto"/>
          <w:szCs w:val="21"/>
          <w:lang w:val="en-US" w:eastAsia="zh-CN"/>
        </w:rPr>
        <w:t>7个工作日</w:t>
      </w:r>
      <w:r>
        <w:rPr>
          <w:rFonts w:hint="eastAsia" w:ascii="宋体" w:hAnsi="宋体" w:cs="宋体"/>
          <w:color w:val="auto"/>
          <w:szCs w:val="21"/>
        </w:rPr>
        <w:t xml:space="preserve">内，根据磋商文件和成交人的响应文件订立书面合同。成交人无正当理由拒签合同的，采购人取消其成交资格；给采购人造成的损失的，成交人还应当对超过部分予以赔偿。 </w:t>
      </w:r>
    </w:p>
    <w:p w14:paraId="1783941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7.</w:t>
      </w:r>
      <w:r>
        <w:rPr>
          <w:rFonts w:hint="eastAsia" w:ascii="宋体" w:hAnsi="宋体" w:cs="宋体"/>
          <w:color w:val="auto"/>
          <w:szCs w:val="21"/>
          <w:lang w:val="en-US" w:eastAsia="zh-CN"/>
        </w:rPr>
        <w:t>4</w:t>
      </w:r>
      <w:r>
        <w:rPr>
          <w:rFonts w:hint="eastAsia" w:ascii="宋体" w:hAnsi="宋体" w:cs="宋体"/>
          <w:color w:val="auto"/>
          <w:szCs w:val="21"/>
        </w:rPr>
        <w:t xml:space="preserve">.2 发出成交通知书后，采购人无正当理由拒签合同的，给成交人造成损失的，还应当赔偿损失。  </w:t>
      </w:r>
      <w:bookmarkStart w:id="605" w:name="_Toc144974542"/>
      <w:bookmarkStart w:id="606" w:name="_Toc152045574"/>
      <w:bookmarkStart w:id="607" w:name="_Toc152042350"/>
    </w:p>
    <w:p w14:paraId="3222DE26">
      <w:pPr>
        <w:pStyle w:val="64"/>
        <w:spacing w:before="0" w:line="360" w:lineRule="auto"/>
        <w:rPr>
          <w:rFonts w:hint="eastAsia" w:ascii="宋体" w:hAnsi="宋体" w:eastAsia="宋体"/>
          <w:b/>
          <w:bCs/>
          <w:color w:val="auto"/>
          <w:sz w:val="21"/>
          <w:szCs w:val="21"/>
        </w:rPr>
      </w:pPr>
      <w:bookmarkStart w:id="608" w:name="_Toc16866"/>
      <w:bookmarkStart w:id="609" w:name="_Toc455080146"/>
      <w:r>
        <w:rPr>
          <w:rFonts w:hint="eastAsia" w:ascii="宋体" w:hAnsi="宋体" w:eastAsia="宋体"/>
          <w:b/>
          <w:bCs/>
          <w:color w:val="auto"/>
          <w:sz w:val="21"/>
          <w:szCs w:val="21"/>
        </w:rPr>
        <w:t>8.重新招标</w:t>
      </w:r>
      <w:bookmarkEnd w:id="608"/>
      <w:bookmarkEnd w:id="609"/>
    </w:p>
    <w:p w14:paraId="40FD8B8E">
      <w:pPr>
        <w:spacing w:line="360" w:lineRule="auto"/>
        <w:rPr>
          <w:rFonts w:hint="eastAsia" w:ascii="宋体" w:hAnsi="宋体"/>
          <w:color w:val="auto"/>
          <w:szCs w:val="21"/>
        </w:rPr>
      </w:pPr>
      <w:bookmarkStart w:id="610" w:name="_Toc16556"/>
      <w:r>
        <w:rPr>
          <w:rFonts w:hint="eastAsia" w:ascii="宋体" w:hAnsi="宋体"/>
          <w:b/>
          <w:bCs/>
          <w:color w:val="auto"/>
          <w:szCs w:val="21"/>
        </w:rPr>
        <w:t>8.1 重新招标</w:t>
      </w:r>
      <w:bookmarkEnd w:id="610"/>
    </w:p>
    <w:p w14:paraId="5D278B05">
      <w:pPr>
        <w:spacing w:line="360" w:lineRule="auto"/>
        <w:ind w:firstLine="480"/>
        <w:rPr>
          <w:rFonts w:hint="eastAsia" w:ascii="宋体" w:hAnsi="宋体"/>
          <w:color w:val="auto"/>
          <w:sz w:val="21"/>
          <w:szCs w:val="21"/>
        </w:rPr>
      </w:pPr>
      <w:bookmarkStart w:id="611" w:name="_Toc9985"/>
      <w:r>
        <w:rPr>
          <w:rFonts w:hint="eastAsia" w:ascii="宋体" w:hAnsi="宋体"/>
          <w:color w:val="auto"/>
          <w:sz w:val="21"/>
          <w:szCs w:val="21"/>
        </w:rPr>
        <w:t>有下列情形之一的，采购人将重新招标：</w:t>
      </w:r>
      <w:bookmarkEnd w:id="611"/>
    </w:p>
    <w:p w14:paraId="5A63923D">
      <w:pPr>
        <w:spacing w:line="360" w:lineRule="auto"/>
        <w:rPr>
          <w:rFonts w:hint="eastAsia" w:ascii="宋体" w:hAnsi="宋体"/>
          <w:color w:val="auto"/>
          <w:sz w:val="21"/>
          <w:szCs w:val="21"/>
        </w:rPr>
      </w:pPr>
      <w:bookmarkStart w:id="612" w:name="_Toc25063"/>
      <w:r>
        <w:rPr>
          <w:rFonts w:hint="eastAsia" w:ascii="宋体" w:hAnsi="宋体"/>
          <w:color w:val="auto"/>
          <w:sz w:val="21"/>
          <w:szCs w:val="21"/>
        </w:rPr>
        <w:t xml:space="preserve">   （1）提交响应文件截止时间止，供应商少于3个的；</w:t>
      </w:r>
      <w:bookmarkEnd w:id="612"/>
      <w:r>
        <w:rPr>
          <w:rFonts w:hint="eastAsia" w:ascii="宋体" w:hAnsi="宋体"/>
          <w:color w:val="auto"/>
          <w:sz w:val="21"/>
          <w:szCs w:val="21"/>
        </w:rPr>
        <w:t xml:space="preserve"> </w:t>
      </w:r>
    </w:p>
    <w:p w14:paraId="65A4CD5B">
      <w:pPr>
        <w:spacing w:line="360" w:lineRule="auto"/>
        <w:rPr>
          <w:rFonts w:hint="eastAsia" w:ascii="宋体" w:hAnsi="宋体"/>
          <w:color w:val="auto"/>
          <w:sz w:val="21"/>
          <w:szCs w:val="21"/>
        </w:rPr>
      </w:pPr>
      <w:r>
        <w:rPr>
          <w:rFonts w:hint="eastAsia" w:ascii="宋体" w:hAnsi="宋体"/>
          <w:color w:val="auto"/>
          <w:sz w:val="21"/>
          <w:szCs w:val="21"/>
        </w:rPr>
        <w:t xml:space="preserve">   </w:t>
      </w:r>
      <w:bookmarkStart w:id="613" w:name="_Toc17911"/>
      <w:r>
        <w:rPr>
          <w:rFonts w:hint="eastAsia" w:ascii="宋体" w:hAnsi="宋体"/>
          <w:color w:val="auto"/>
          <w:sz w:val="21"/>
          <w:szCs w:val="21"/>
        </w:rPr>
        <w:t>（2）经磋商小组评审后否决所有响应文件的。</w:t>
      </w:r>
      <w:bookmarkEnd w:id="613"/>
    </w:p>
    <w:p w14:paraId="66EC7A0E">
      <w:pPr>
        <w:pStyle w:val="64"/>
        <w:spacing w:before="0" w:line="360" w:lineRule="auto"/>
        <w:rPr>
          <w:rFonts w:hint="eastAsia" w:ascii="宋体" w:hAnsi="宋体" w:eastAsia="宋体"/>
          <w:b/>
          <w:bCs/>
          <w:color w:val="auto"/>
          <w:sz w:val="21"/>
          <w:szCs w:val="21"/>
        </w:rPr>
      </w:pPr>
      <w:bookmarkStart w:id="614" w:name="_Toc455080147"/>
      <w:bookmarkStart w:id="615" w:name="_Toc9996"/>
      <w:r>
        <w:rPr>
          <w:rFonts w:hint="eastAsia" w:ascii="宋体" w:hAnsi="宋体" w:eastAsia="宋体"/>
          <w:b/>
          <w:bCs/>
          <w:color w:val="auto"/>
          <w:sz w:val="21"/>
          <w:szCs w:val="21"/>
        </w:rPr>
        <w:t>9.纪律和监督</w:t>
      </w:r>
      <w:bookmarkEnd w:id="605"/>
      <w:bookmarkEnd w:id="606"/>
      <w:bookmarkEnd w:id="607"/>
      <w:bookmarkEnd w:id="614"/>
      <w:bookmarkEnd w:id="615"/>
    </w:p>
    <w:p w14:paraId="5C9BECB1">
      <w:pPr>
        <w:pStyle w:val="65"/>
        <w:spacing w:line="360" w:lineRule="auto"/>
        <w:outlineLvl w:val="0"/>
        <w:rPr>
          <w:rFonts w:hint="eastAsia" w:ascii="宋体" w:hAnsi="宋体" w:eastAsia="宋体"/>
          <w:b/>
          <w:bCs/>
          <w:color w:val="auto"/>
          <w:sz w:val="21"/>
          <w:szCs w:val="21"/>
        </w:rPr>
      </w:pPr>
      <w:bookmarkStart w:id="616" w:name="_Toc27836"/>
      <w:bookmarkStart w:id="617" w:name="_Toc144974543"/>
      <w:bookmarkStart w:id="618" w:name="_Toc1282"/>
      <w:bookmarkStart w:id="619" w:name="_Toc15592"/>
      <w:bookmarkStart w:id="620" w:name="_Toc13970"/>
      <w:bookmarkStart w:id="621" w:name="_Toc318450714"/>
      <w:bookmarkStart w:id="622" w:name="_Toc455080148"/>
      <w:bookmarkStart w:id="623" w:name="_Toc20009"/>
      <w:bookmarkStart w:id="624" w:name="_Toc15769"/>
      <w:bookmarkStart w:id="625" w:name="_Toc152042351"/>
      <w:bookmarkStart w:id="626" w:name="_Toc19159"/>
      <w:bookmarkStart w:id="627" w:name="_Toc152045575"/>
      <w:bookmarkStart w:id="628" w:name="_Toc490667868"/>
      <w:bookmarkStart w:id="629" w:name="_Toc269"/>
      <w:bookmarkStart w:id="630" w:name="_Toc12992"/>
      <w:bookmarkStart w:id="631" w:name="_Toc466298131"/>
      <w:bookmarkStart w:id="632" w:name="_Toc455867808"/>
      <w:bookmarkStart w:id="633" w:name="_Toc697"/>
      <w:r>
        <w:rPr>
          <w:rFonts w:hint="eastAsia" w:ascii="宋体" w:hAnsi="宋体" w:eastAsia="宋体"/>
          <w:b/>
          <w:bCs/>
          <w:color w:val="auto"/>
          <w:sz w:val="21"/>
          <w:szCs w:val="21"/>
        </w:rPr>
        <w:t>9.1 对采购人的纪律要求</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22FE7139">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采购人不得泄漏磋商活动中应当保密的情况和资料，不得与供应商串通损害国家利益、社会公共利益或者他人合法权益。</w:t>
      </w:r>
    </w:p>
    <w:p w14:paraId="0B95213A">
      <w:pPr>
        <w:pStyle w:val="65"/>
        <w:spacing w:line="360" w:lineRule="auto"/>
        <w:outlineLvl w:val="0"/>
        <w:rPr>
          <w:rFonts w:hint="eastAsia" w:ascii="宋体" w:hAnsi="宋体" w:eastAsia="宋体"/>
          <w:color w:val="auto"/>
          <w:sz w:val="21"/>
          <w:szCs w:val="21"/>
        </w:rPr>
      </w:pPr>
      <w:bookmarkStart w:id="634" w:name="_Toc17040"/>
      <w:bookmarkStart w:id="635" w:name="_Toc152045576"/>
      <w:bookmarkStart w:id="636" w:name="_Toc18604"/>
      <w:bookmarkStart w:id="637" w:name="_Toc7572"/>
      <w:bookmarkStart w:id="638" w:name="_Toc18204"/>
      <w:bookmarkStart w:id="639" w:name="_Toc490667869"/>
      <w:bookmarkStart w:id="640" w:name="_Toc3089"/>
      <w:bookmarkStart w:id="641" w:name="_Toc20261"/>
      <w:bookmarkStart w:id="642" w:name="_Toc1743"/>
      <w:bookmarkStart w:id="643" w:name="_Toc466298132"/>
      <w:bookmarkStart w:id="644" w:name="_Toc21646"/>
      <w:bookmarkStart w:id="645" w:name="_Toc19167"/>
      <w:bookmarkStart w:id="646" w:name="_Toc152042352"/>
      <w:bookmarkStart w:id="647" w:name="_Toc455867809"/>
      <w:bookmarkStart w:id="648" w:name="_Toc27698"/>
      <w:bookmarkStart w:id="649" w:name="_Toc318450715"/>
      <w:bookmarkStart w:id="650" w:name="_Toc144974544"/>
      <w:bookmarkStart w:id="651" w:name="_Toc455080149"/>
      <w:r>
        <w:rPr>
          <w:rFonts w:hint="eastAsia" w:ascii="宋体" w:hAnsi="宋体" w:eastAsia="宋体"/>
          <w:b/>
          <w:bCs/>
          <w:color w:val="auto"/>
          <w:sz w:val="21"/>
          <w:szCs w:val="21"/>
        </w:rPr>
        <w:t>9.2 对供应商的纪律要求</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14:paraId="11FCCBB5">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供应商不得相互串通或者与采购人串通，不得向采购人或者谈判小组行贿谋取成交，不得以他人名义或者以其他方式弄虚作假骗取成交；供应商不得以任何方式干扰、影响评审工作。</w:t>
      </w:r>
    </w:p>
    <w:p w14:paraId="59BF6174">
      <w:pPr>
        <w:pStyle w:val="65"/>
        <w:spacing w:line="360" w:lineRule="auto"/>
        <w:outlineLvl w:val="0"/>
        <w:rPr>
          <w:rFonts w:hint="eastAsia" w:ascii="宋体" w:hAnsi="宋体" w:eastAsia="宋体"/>
          <w:b/>
          <w:bCs/>
          <w:color w:val="auto"/>
          <w:sz w:val="21"/>
          <w:szCs w:val="21"/>
        </w:rPr>
      </w:pPr>
      <w:bookmarkStart w:id="652" w:name="_Toc25211"/>
      <w:bookmarkStart w:id="653" w:name="_Toc152045577"/>
      <w:bookmarkStart w:id="654" w:name="_Toc455080150"/>
      <w:bookmarkStart w:id="655" w:name="_Toc19965"/>
      <w:bookmarkStart w:id="656" w:name="_Toc25241"/>
      <w:bookmarkStart w:id="657" w:name="_Toc32320"/>
      <w:bookmarkStart w:id="658" w:name="_Toc30153"/>
      <w:bookmarkStart w:id="659" w:name="_Toc31001"/>
      <w:bookmarkStart w:id="660" w:name="_Toc28813"/>
      <w:bookmarkStart w:id="661" w:name="_Toc7439"/>
      <w:bookmarkStart w:id="662" w:name="_Toc490667870"/>
      <w:bookmarkStart w:id="663" w:name="_Toc12177"/>
      <w:bookmarkStart w:id="664" w:name="_Toc455867810"/>
      <w:bookmarkStart w:id="665" w:name="_Toc7107"/>
      <w:bookmarkStart w:id="666" w:name="_Toc152042353"/>
      <w:bookmarkStart w:id="667" w:name="_Toc144974545"/>
      <w:bookmarkStart w:id="668" w:name="_Toc318450716"/>
      <w:bookmarkStart w:id="669" w:name="_Toc466298133"/>
      <w:r>
        <w:rPr>
          <w:rFonts w:hint="eastAsia" w:ascii="宋体" w:hAnsi="宋体" w:eastAsia="宋体"/>
          <w:b/>
          <w:bCs/>
          <w:color w:val="auto"/>
          <w:sz w:val="21"/>
          <w:szCs w:val="21"/>
        </w:rPr>
        <w:t>9.3 对磋商小组成员的纪律要求</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14:paraId="21695701">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22C0BC17">
      <w:pPr>
        <w:pStyle w:val="65"/>
        <w:spacing w:line="360" w:lineRule="auto"/>
        <w:outlineLvl w:val="0"/>
        <w:rPr>
          <w:rFonts w:hint="eastAsia" w:ascii="宋体" w:hAnsi="宋体" w:eastAsia="宋体"/>
          <w:color w:val="auto"/>
          <w:sz w:val="21"/>
          <w:szCs w:val="21"/>
        </w:rPr>
      </w:pPr>
      <w:bookmarkStart w:id="670" w:name="_Toc20546"/>
      <w:bookmarkStart w:id="671" w:name="_Toc318450717"/>
      <w:bookmarkStart w:id="672" w:name="_Toc27559"/>
      <w:bookmarkStart w:id="673" w:name="_Toc9063"/>
      <w:bookmarkStart w:id="674" w:name="_Toc26462"/>
      <w:bookmarkStart w:id="675" w:name="_Toc466298134"/>
      <w:bookmarkStart w:id="676" w:name="_Toc19485"/>
      <w:bookmarkStart w:id="677" w:name="_Toc7368"/>
      <w:bookmarkStart w:id="678" w:name="_Toc490667871"/>
      <w:bookmarkStart w:id="679" w:name="_Toc24"/>
      <w:bookmarkStart w:id="680" w:name="_Toc152042354"/>
      <w:bookmarkStart w:id="681" w:name="_Toc455867811"/>
      <w:bookmarkStart w:id="682" w:name="_Toc23717"/>
      <w:bookmarkStart w:id="683" w:name="_Toc455080151"/>
      <w:bookmarkStart w:id="684" w:name="_Toc152045578"/>
      <w:bookmarkStart w:id="685" w:name="_Toc235"/>
      <w:bookmarkStart w:id="686" w:name="_Toc1295"/>
      <w:bookmarkStart w:id="687" w:name="_Toc144974546"/>
      <w:r>
        <w:rPr>
          <w:rFonts w:hint="eastAsia" w:ascii="宋体" w:hAnsi="宋体" w:eastAsia="宋体"/>
          <w:b/>
          <w:bCs/>
          <w:color w:val="auto"/>
          <w:sz w:val="21"/>
          <w:szCs w:val="21"/>
        </w:rPr>
        <w:t>9.4 对与评标活动有关的工作人员的纪律要求</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0FA8DEF3">
      <w:pPr>
        <w:spacing w:line="360" w:lineRule="auto"/>
        <w:ind w:firstLine="420" w:firstLineChars="200"/>
        <w:rPr>
          <w:rFonts w:hint="eastAsia" w:ascii="宋体" w:hAnsi="宋体" w:cs="宋体"/>
          <w:color w:val="auto"/>
          <w:sz w:val="21"/>
          <w:szCs w:val="21"/>
        </w:rPr>
      </w:pPr>
      <w:bookmarkStart w:id="688" w:name="_Toc152042355"/>
      <w:r>
        <w:rPr>
          <w:rFonts w:hint="eastAsia" w:ascii="宋体" w:hAnsi="宋体" w:cs="宋体"/>
          <w:color w:val="auto"/>
          <w:sz w:val="21"/>
          <w:szCs w:val="21"/>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688"/>
    </w:p>
    <w:p w14:paraId="54891F54">
      <w:pPr>
        <w:pStyle w:val="65"/>
        <w:spacing w:line="360" w:lineRule="auto"/>
        <w:outlineLvl w:val="0"/>
        <w:rPr>
          <w:rFonts w:hint="eastAsia" w:ascii="宋体" w:hAnsi="宋体" w:eastAsia="宋体"/>
          <w:b/>
          <w:bCs/>
          <w:color w:val="auto"/>
          <w:sz w:val="21"/>
          <w:szCs w:val="21"/>
        </w:rPr>
      </w:pPr>
      <w:bookmarkStart w:id="689" w:name="_Toc152045579"/>
      <w:bookmarkStart w:id="690" w:name="_Toc466298135"/>
      <w:bookmarkStart w:id="691" w:name="_Toc1820"/>
      <w:bookmarkStart w:id="692" w:name="_Toc17735"/>
      <w:bookmarkStart w:id="693" w:name="_Toc152042356"/>
      <w:bookmarkStart w:id="694" w:name="_Toc31010"/>
      <w:bookmarkStart w:id="695" w:name="_Toc25751"/>
      <w:bookmarkStart w:id="696" w:name="_Toc3617"/>
      <w:bookmarkStart w:id="697" w:name="_Toc455867812"/>
      <w:bookmarkStart w:id="698" w:name="_Toc8074"/>
      <w:bookmarkStart w:id="699" w:name="_Toc32675"/>
      <w:bookmarkStart w:id="700" w:name="_Toc318450718"/>
      <w:bookmarkStart w:id="701" w:name="_Toc5504"/>
      <w:bookmarkStart w:id="702" w:name="_Toc490667872"/>
      <w:bookmarkStart w:id="703" w:name="_Toc455080152"/>
      <w:bookmarkStart w:id="704" w:name="_Toc3303"/>
      <w:bookmarkStart w:id="705" w:name="_Toc6199"/>
      <w:r>
        <w:rPr>
          <w:rFonts w:hint="eastAsia" w:ascii="宋体" w:hAnsi="宋体" w:eastAsia="宋体"/>
          <w:b/>
          <w:bCs/>
          <w:color w:val="auto"/>
          <w:sz w:val="21"/>
          <w:szCs w:val="21"/>
        </w:rPr>
        <w:t>9.5 投诉</w:t>
      </w:r>
      <w:bookmarkEnd w:id="687"/>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14:paraId="2B471445">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供应商和其他利害关系人认为本次磋商活动违反法律、法规和规章规定的，有权向有关行政监督部门投诉。</w:t>
      </w:r>
    </w:p>
    <w:p w14:paraId="36A846BF">
      <w:pPr>
        <w:pStyle w:val="64"/>
        <w:spacing w:before="0" w:line="360" w:lineRule="auto"/>
        <w:rPr>
          <w:rFonts w:hint="eastAsia" w:ascii="宋体" w:hAnsi="宋体" w:eastAsia="宋体"/>
          <w:b/>
          <w:bCs/>
          <w:color w:val="auto"/>
          <w:sz w:val="21"/>
          <w:szCs w:val="21"/>
        </w:rPr>
      </w:pPr>
      <w:bookmarkStart w:id="706" w:name="_Toc14221"/>
      <w:bookmarkStart w:id="707" w:name="_Toc152045580"/>
      <w:bookmarkStart w:id="708" w:name="_Toc152042357"/>
      <w:bookmarkStart w:id="709" w:name="_Toc455080153"/>
      <w:bookmarkStart w:id="710" w:name="_Toc144974547"/>
      <w:r>
        <w:rPr>
          <w:rFonts w:hint="eastAsia" w:ascii="宋体" w:hAnsi="宋体" w:eastAsia="宋体"/>
          <w:b/>
          <w:bCs/>
          <w:color w:val="auto"/>
          <w:sz w:val="21"/>
          <w:szCs w:val="21"/>
        </w:rPr>
        <w:t>10. 需要补充的其他内容</w:t>
      </w:r>
      <w:bookmarkEnd w:id="706"/>
      <w:bookmarkEnd w:id="707"/>
      <w:bookmarkEnd w:id="708"/>
      <w:bookmarkEnd w:id="709"/>
      <w:bookmarkEnd w:id="710"/>
    </w:p>
    <w:p w14:paraId="1D23A6F0">
      <w:pPr>
        <w:spacing w:line="360" w:lineRule="auto"/>
        <w:ind w:firstLine="420" w:firstLineChars="200"/>
        <w:outlineLvl w:val="0"/>
        <w:rPr>
          <w:rFonts w:ascii="宋体" w:hAnsi="宋体" w:cs="宋体"/>
          <w:bCs/>
          <w:color w:val="auto"/>
          <w:szCs w:val="21"/>
          <w:highlight w:val="none"/>
        </w:rPr>
      </w:pPr>
      <w:bookmarkStart w:id="711" w:name="_Toc490667874"/>
      <w:bookmarkStart w:id="712" w:name="_Toc455080154"/>
      <w:bookmarkStart w:id="713" w:name="_Toc17627"/>
      <w:bookmarkStart w:id="714" w:name="_Toc455867814"/>
      <w:bookmarkStart w:id="715" w:name="_Toc5176"/>
      <w:bookmarkStart w:id="716" w:name="_Toc22486"/>
      <w:bookmarkStart w:id="717" w:name="_Toc466298137"/>
      <w:bookmarkStart w:id="718" w:name="_Toc14763"/>
      <w:r>
        <w:rPr>
          <w:rFonts w:hint="eastAsia" w:ascii="宋体" w:hAnsi="宋体" w:cs="宋体"/>
          <w:color w:val="auto"/>
          <w:sz w:val="21"/>
          <w:szCs w:val="21"/>
          <w:lang w:val="en-US" w:eastAsia="zh-CN"/>
        </w:rPr>
        <w:t>10.1</w:t>
      </w:r>
      <w:r>
        <w:rPr>
          <w:rFonts w:hint="eastAsia" w:ascii="宋体" w:hAnsi="宋体" w:cs="宋体"/>
          <w:color w:val="auto"/>
          <w:sz w:val="21"/>
          <w:szCs w:val="21"/>
        </w:rPr>
        <w:t>需要补充的其他内容：见供应商须知前附表。</w:t>
      </w:r>
      <w:bookmarkEnd w:id="711"/>
      <w:bookmarkEnd w:id="712"/>
      <w:bookmarkEnd w:id="713"/>
      <w:bookmarkEnd w:id="714"/>
      <w:bookmarkEnd w:id="715"/>
      <w:bookmarkEnd w:id="716"/>
      <w:bookmarkEnd w:id="717"/>
      <w:bookmarkEnd w:id="718"/>
    </w:p>
    <w:p w14:paraId="717CF418">
      <w:pPr>
        <w:ind w:firstLine="0" w:firstLineChars="0"/>
        <w:jc w:val="center"/>
        <w:rPr>
          <w:rStyle w:val="46"/>
          <w:rFonts w:ascii="Times New Roman" w:hAnsi="Times New Roman" w:cs="Times New Roman"/>
          <w:color w:val="auto"/>
          <w:highlight w:val="none"/>
        </w:rPr>
      </w:pPr>
      <w:r>
        <w:rPr>
          <w:rFonts w:hint="eastAsia" w:ascii="宋体" w:hAnsi="宋体" w:cs="宋体"/>
          <w:bCs/>
          <w:color w:val="auto"/>
          <w:szCs w:val="21"/>
          <w:highlight w:val="none"/>
        </w:rPr>
        <w:br w:type="page"/>
      </w:r>
      <w:bookmarkEnd w:id="35"/>
      <w:bookmarkEnd w:id="36"/>
      <w:bookmarkStart w:id="719" w:name="_Toc485"/>
      <w:r>
        <w:rPr>
          <w:rStyle w:val="46"/>
          <w:rFonts w:hint="eastAsia" w:ascii="Times New Roman" w:hAnsi="Times New Roman" w:cs="Times New Roman"/>
          <w:color w:val="auto"/>
          <w:highlight w:val="none"/>
        </w:rPr>
        <w:t>第三章  评标办法</w:t>
      </w:r>
      <w:bookmarkEnd w:id="719"/>
      <w:bookmarkStart w:id="720" w:name="_Toc381964639"/>
      <w:bookmarkStart w:id="721" w:name="_Toc381964731"/>
      <w:bookmarkStart w:id="722" w:name="_Toc374358909"/>
      <w:bookmarkStart w:id="723" w:name="_Toc11095"/>
      <w:bookmarkStart w:id="724" w:name="_Toc381018330"/>
      <w:bookmarkStart w:id="725" w:name="_Toc363053524"/>
    </w:p>
    <w:bookmarkEnd w:id="720"/>
    <w:bookmarkEnd w:id="721"/>
    <w:bookmarkEnd w:id="722"/>
    <w:bookmarkEnd w:id="723"/>
    <w:bookmarkEnd w:id="724"/>
    <w:bookmarkEnd w:id="725"/>
    <w:p w14:paraId="2016DFF7">
      <w:pPr>
        <w:pStyle w:val="5"/>
        <w:ind w:firstLine="482"/>
        <w:jc w:val="center"/>
        <w:rPr>
          <w:color w:val="auto"/>
          <w:sz w:val="24"/>
          <w:szCs w:val="24"/>
          <w:highlight w:val="none"/>
        </w:rPr>
      </w:pPr>
      <w:r>
        <w:rPr>
          <w:rFonts w:hint="eastAsia"/>
          <w:color w:val="auto"/>
          <w:sz w:val="24"/>
          <w:szCs w:val="24"/>
          <w:highlight w:val="none"/>
        </w:rPr>
        <w:t>评分办法前附表</w:t>
      </w:r>
    </w:p>
    <w:tbl>
      <w:tblPr>
        <w:tblStyle w:val="28"/>
        <w:tblW w:w="9023" w:type="dxa"/>
        <w:tblInd w:w="-3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7"/>
        <w:gridCol w:w="555"/>
        <w:gridCol w:w="3051"/>
        <w:gridCol w:w="4750"/>
      </w:tblGrid>
      <w:tr w14:paraId="5F19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blHeader/>
        </w:trPr>
        <w:tc>
          <w:tcPr>
            <w:tcW w:w="1222" w:type="dxa"/>
            <w:gridSpan w:val="2"/>
            <w:vAlign w:val="center"/>
          </w:tcPr>
          <w:p w14:paraId="43580F18">
            <w:pPr>
              <w:spacing w:line="400" w:lineRule="exact"/>
              <w:ind w:right="105" w:rightChars="50" w:firstLine="422"/>
              <w:rPr>
                <w:rFonts w:ascii="宋体" w:hAnsi="宋体" w:cs="宋体"/>
                <w:b/>
                <w:color w:val="auto"/>
                <w:szCs w:val="21"/>
                <w:highlight w:val="none"/>
              </w:rPr>
            </w:pPr>
            <w:r>
              <w:rPr>
                <w:rFonts w:hint="eastAsia" w:ascii="宋体" w:hAnsi="宋体" w:cs="宋体"/>
                <w:b/>
                <w:color w:val="auto"/>
                <w:szCs w:val="21"/>
                <w:highlight w:val="none"/>
              </w:rPr>
              <w:t>条款号</w:t>
            </w:r>
          </w:p>
        </w:tc>
        <w:tc>
          <w:tcPr>
            <w:tcW w:w="3051" w:type="dxa"/>
            <w:vAlign w:val="center"/>
          </w:tcPr>
          <w:p w14:paraId="403A1625">
            <w:pPr>
              <w:spacing w:line="400" w:lineRule="exact"/>
              <w:ind w:left="105" w:leftChars="50" w:right="105" w:rightChars="50" w:firstLine="422"/>
              <w:jc w:val="center"/>
              <w:rPr>
                <w:rFonts w:ascii="宋体" w:hAnsi="宋体" w:cs="宋体"/>
                <w:b/>
                <w:color w:val="auto"/>
                <w:szCs w:val="21"/>
                <w:highlight w:val="none"/>
              </w:rPr>
            </w:pPr>
            <w:r>
              <w:rPr>
                <w:rFonts w:hint="eastAsia" w:ascii="宋体" w:hAnsi="宋体" w:cs="宋体"/>
                <w:b/>
                <w:color w:val="auto"/>
                <w:szCs w:val="21"/>
                <w:highlight w:val="none"/>
              </w:rPr>
              <w:t>评审因素</w:t>
            </w:r>
          </w:p>
        </w:tc>
        <w:tc>
          <w:tcPr>
            <w:tcW w:w="4750" w:type="dxa"/>
            <w:vAlign w:val="center"/>
          </w:tcPr>
          <w:p w14:paraId="1BE0814E">
            <w:pPr>
              <w:spacing w:line="400" w:lineRule="exact"/>
              <w:ind w:left="105" w:leftChars="50" w:right="105" w:rightChars="50" w:firstLine="422"/>
              <w:jc w:val="center"/>
              <w:rPr>
                <w:rFonts w:ascii="宋体" w:hAnsi="宋体" w:cs="宋体"/>
                <w:b/>
                <w:color w:val="auto"/>
                <w:szCs w:val="21"/>
                <w:highlight w:val="none"/>
              </w:rPr>
            </w:pPr>
            <w:r>
              <w:rPr>
                <w:rFonts w:hint="eastAsia" w:ascii="宋体" w:hAnsi="宋体" w:cs="宋体"/>
                <w:b/>
                <w:color w:val="auto"/>
                <w:szCs w:val="21"/>
                <w:highlight w:val="none"/>
              </w:rPr>
              <w:t>评审标准</w:t>
            </w:r>
          </w:p>
        </w:tc>
      </w:tr>
      <w:tr w14:paraId="3FE2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1" w:hRule="atLeast"/>
        </w:trPr>
        <w:tc>
          <w:tcPr>
            <w:tcW w:w="667" w:type="dxa"/>
            <w:vMerge w:val="restart"/>
            <w:vAlign w:val="center"/>
          </w:tcPr>
          <w:p w14:paraId="3CA182C2">
            <w:pPr>
              <w:spacing w:line="400" w:lineRule="exact"/>
              <w:ind w:right="105" w:rightChars="50" w:firstLine="0" w:firstLineChars="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2.1</w:t>
            </w:r>
          </w:p>
        </w:tc>
        <w:tc>
          <w:tcPr>
            <w:tcW w:w="555" w:type="dxa"/>
            <w:vMerge w:val="restart"/>
            <w:vAlign w:val="center"/>
          </w:tcPr>
          <w:p w14:paraId="13800677">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资格</w:t>
            </w:r>
          </w:p>
          <w:p w14:paraId="386E15A7">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评审</w:t>
            </w:r>
          </w:p>
          <w:p w14:paraId="764CD065">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标准</w:t>
            </w:r>
          </w:p>
        </w:tc>
        <w:tc>
          <w:tcPr>
            <w:tcW w:w="3051" w:type="dxa"/>
            <w:vAlign w:val="center"/>
          </w:tcPr>
          <w:p w14:paraId="63EC7A6C">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符合《中华人民共和国政府采购法》第22条规定</w:t>
            </w:r>
          </w:p>
        </w:tc>
        <w:tc>
          <w:tcPr>
            <w:tcW w:w="4750" w:type="dxa"/>
            <w:vAlign w:val="center"/>
          </w:tcPr>
          <w:p w14:paraId="15F41611">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符合第二章“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须知”第1.4.1项规定</w:t>
            </w:r>
          </w:p>
        </w:tc>
      </w:tr>
      <w:tr w14:paraId="28B7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3" w:hRule="atLeast"/>
        </w:trPr>
        <w:tc>
          <w:tcPr>
            <w:tcW w:w="667" w:type="dxa"/>
            <w:vMerge w:val="continue"/>
            <w:vAlign w:val="center"/>
          </w:tcPr>
          <w:p w14:paraId="38C16BB6">
            <w:pPr>
              <w:spacing w:line="400" w:lineRule="exact"/>
              <w:ind w:right="105" w:rightChars="50" w:firstLine="0" w:firstLineChars="0"/>
              <w:jc w:val="center"/>
              <w:rPr>
                <w:rFonts w:ascii="宋体" w:hAnsi="宋体" w:cs="宋体"/>
                <w:color w:val="auto"/>
                <w:szCs w:val="21"/>
                <w:highlight w:val="none"/>
              </w:rPr>
            </w:pPr>
          </w:p>
        </w:tc>
        <w:tc>
          <w:tcPr>
            <w:tcW w:w="555" w:type="dxa"/>
            <w:vMerge w:val="continue"/>
            <w:vAlign w:val="center"/>
          </w:tcPr>
          <w:p w14:paraId="2CC074CC">
            <w:pPr>
              <w:spacing w:line="400" w:lineRule="exact"/>
              <w:ind w:right="105" w:rightChars="50" w:firstLine="0" w:firstLineChars="0"/>
              <w:jc w:val="center"/>
              <w:rPr>
                <w:rFonts w:ascii="宋体" w:hAnsi="宋体" w:cs="宋体"/>
                <w:color w:val="auto"/>
                <w:szCs w:val="21"/>
                <w:highlight w:val="none"/>
              </w:rPr>
            </w:pPr>
          </w:p>
        </w:tc>
        <w:tc>
          <w:tcPr>
            <w:tcW w:w="3051" w:type="dxa"/>
            <w:vAlign w:val="center"/>
          </w:tcPr>
          <w:p w14:paraId="5404ED2E">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落实政府采购政策</w:t>
            </w:r>
          </w:p>
        </w:tc>
        <w:tc>
          <w:tcPr>
            <w:tcW w:w="4750" w:type="dxa"/>
            <w:vAlign w:val="center"/>
          </w:tcPr>
          <w:p w14:paraId="07023048">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符合第二章“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须知”第1.4.1项规定</w:t>
            </w:r>
          </w:p>
        </w:tc>
      </w:tr>
      <w:tr w14:paraId="1CDC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667" w:type="dxa"/>
            <w:vMerge w:val="continue"/>
            <w:vAlign w:val="center"/>
          </w:tcPr>
          <w:p w14:paraId="514FB4A0">
            <w:pPr>
              <w:spacing w:line="400" w:lineRule="exact"/>
              <w:ind w:right="105" w:rightChars="50" w:firstLine="0" w:firstLineChars="0"/>
              <w:jc w:val="center"/>
              <w:rPr>
                <w:rFonts w:ascii="宋体" w:hAnsi="宋体" w:cs="宋体"/>
                <w:color w:val="auto"/>
                <w:szCs w:val="21"/>
                <w:highlight w:val="none"/>
              </w:rPr>
            </w:pPr>
          </w:p>
        </w:tc>
        <w:tc>
          <w:tcPr>
            <w:tcW w:w="555" w:type="dxa"/>
            <w:vMerge w:val="continue"/>
            <w:vAlign w:val="center"/>
          </w:tcPr>
          <w:p w14:paraId="0F812DF2">
            <w:pPr>
              <w:spacing w:line="400" w:lineRule="exact"/>
              <w:ind w:right="105" w:rightChars="50" w:firstLine="0" w:firstLineChars="0"/>
              <w:jc w:val="center"/>
              <w:rPr>
                <w:rFonts w:ascii="宋体" w:hAnsi="宋体" w:cs="宋体"/>
                <w:color w:val="auto"/>
                <w:szCs w:val="21"/>
                <w:highlight w:val="none"/>
              </w:rPr>
            </w:pPr>
          </w:p>
        </w:tc>
        <w:tc>
          <w:tcPr>
            <w:tcW w:w="3051" w:type="dxa"/>
            <w:vAlign w:val="center"/>
          </w:tcPr>
          <w:p w14:paraId="4F8FA6C2">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本项目的特定资格要求</w:t>
            </w:r>
          </w:p>
        </w:tc>
        <w:tc>
          <w:tcPr>
            <w:tcW w:w="4750" w:type="dxa"/>
            <w:vAlign w:val="center"/>
          </w:tcPr>
          <w:p w14:paraId="7F77F337">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符合第二章“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须知”第1.4.1项规定</w:t>
            </w:r>
          </w:p>
        </w:tc>
      </w:tr>
      <w:tr w14:paraId="04F6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667" w:type="dxa"/>
            <w:vMerge w:val="continue"/>
            <w:vAlign w:val="center"/>
          </w:tcPr>
          <w:p w14:paraId="7A789167">
            <w:pPr>
              <w:spacing w:line="400" w:lineRule="exact"/>
              <w:ind w:right="105" w:rightChars="50" w:firstLine="0" w:firstLineChars="0"/>
              <w:jc w:val="center"/>
              <w:rPr>
                <w:rFonts w:ascii="宋体" w:hAnsi="宋体" w:cs="宋体"/>
                <w:color w:val="auto"/>
                <w:szCs w:val="21"/>
                <w:highlight w:val="none"/>
              </w:rPr>
            </w:pPr>
          </w:p>
        </w:tc>
        <w:tc>
          <w:tcPr>
            <w:tcW w:w="555" w:type="dxa"/>
            <w:vMerge w:val="continue"/>
            <w:vAlign w:val="center"/>
          </w:tcPr>
          <w:p w14:paraId="6E77F5D3">
            <w:pPr>
              <w:spacing w:line="400" w:lineRule="exact"/>
              <w:ind w:right="105" w:rightChars="50" w:firstLine="0" w:firstLineChars="0"/>
              <w:jc w:val="center"/>
              <w:rPr>
                <w:rFonts w:ascii="宋体" w:hAnsi="宋体" w:cs="宋体"/>
                <w:color w:val="auto"/>
                <w:szCs w:val="21"/>
                <w:highlight w:val="none"/>
              </w:rPr>
            </w:pPr>
          </w:p>
        </w:tc>
        <w:tc>
          <w:tcPr>
            <w:tcW w:w="3051" w:type="dxa"/>
            <w:vAlign w:val="center"/>
          </w:tcPr>
          <w:p w14:paraId="7A5C3789">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其他要求</w:t>
            </w:r>
          </w:p>
        </w:tc>
        <w:tc>
          <w:tcPr>
            <w:tcW w:w="4750" w:type="dxa"/>
            <w:vAlign w:val="center"/>
          </w:tcPr>
          <w:p w14:paraId="58E0FC94">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符合第二章“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须知”</w:t>
            </w:r>
            <w:r>
              <w:rPr>
                <w:rFonts w:hint="eastAsia" w:ascii="宋体" w:hAnsi="宋体" w:cs="宋体"/>
                <w:color w:val="auto"/>
                <w:szCs w:val="21"/>
                <w:highlight w:val="none"/>
                <w:lang w:val="en-US" w:eastAsia="zh-CN"/>
              </w:rPr>
              <w:t>及磋商文件要求</w:t>
            </w:r>
          </w:p>
        </w:tc>
      </w:tr>
      <w:tr w14:paraId="64A4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1" w:hRule="atLeast"/>
        </w:trPr>
        <w:tc>
          <w:tcPr>
            <w:tcW w:w="667" w:type="dxa"/>
            <w:vMerge w:val="restart"/>
            <w:vAlign w:val="center"/>
          </w:tcPr>
          <w:p w14:paraId="4ACA5711">
            <w:pPr>
              <w:spacing w:line="400" w:lineRule="exact"/>
              <w:ind w:right="105" w:rightChars="50" w:firstLine="0" w:firstLineChars="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2.2</w:t>
            </w:r>
          </w:p>
        </w:tc>
        <w:tc>
          <w:tcPr>
            <w:tcW w:w="555" w:type="dxa"/>
            <w:vMerge w:val="restart"/>
            <w:vAlign w:val="center"/>
          </w:tcPr>
          <w:p w14:paraId="7FE3F66D">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符合性</w:t>
            </w:r>
          </w:p>
          <w:p w14:paraId="354C6CF6">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评审</w:t>
            </w:r>
          </w:p>
          <w:p w14:paraId="61A6CFBE">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标准</w:t>
            </w:r>
          </w:p>
        </w:tc>
        <w:tc>
          <w:tcPr>
            <w:tcW w:w="3051" w:type="dxa"/>
            <w:vAlign w:val="center"/>
          </w:tcPr>
          <w:p w14:paraId="38390819">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名称</w:t>
            </w:r>
          </w:p>
        </w:tc>
        <w:tc>
          <w:tcPr>
            <w:tcW w:w="4750" w:type="dxa"/>
            <w:vAlign w:val="center"/>
          </w:tcPr>
          <w:p w14:paraId="5F543070">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与营业执照一致</w:t>
            </w:r>
          </w:p>
        </w:tc>
      </w:tr>
      <w:tr w14:paraId="66F0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667" w:type="dxa"/>
            <w:vMerge w:val="continue"/>
            <w:vAlign w:val="center"/>
          </w:tcPr>
          <w:p w14:paraId="72BA683E">
            <w:pPr>
              <w:spacing w:line="400" w:lineRule="exact"/>
              <w:ind w:right="105" w:rightChars="50" w:firstLine="0" w:firstLineChars="0"/>
              <w:jc w:val="center"/>
              <w:rPr>
                <w:rFonts w:ascii="宋体" w:hAnsi="宋体" w:cs="宋体"/>
                <w:color w:val="auto"/>
                <w:szCs w:val="21"/>
                <w:highlight w:val="none"/>
              </w:rPr>
            </w:pPr>
          </w:p>
        </w:tc>
        <w:tc>
          <w:tcPr>
            <w:tcW w:w="555" w:type="dxa"/>
            <w:vMerge w:val="continue"/>
            <w:vAlign w:val="center"/>
          </w:tcPr>
          <w:p w14:paraId="110876B2">
            <w:pPr>
              <w:spacing w:line="400" w:lineRule="exact"/>
              <w:ind w:right="105" w:rightChars="50" w:firstLine="0" w:firstLineChars="0"/>
              <w:jc w:val="center"/>
              <w:rPr>
                <w:rFonts w:ascii="宋体" w:hAnsi="宋体" w:cs="宋体"/>
                <w:color w:val="auto"/>
                <w:szCs w:val="21"/>
                <w:highlight w:val="none"/>
              </w:rPr>
            </w:pPr>
          </w:p>
        </w:tc>
        <w:tc>
          <w:tcPr>
            <w:tcW w:w="3051" w:type="dxa"/>
            <w:vAlign w:val="center"/>
          </w:tcPr>
          <w:p w14:paraId="35FFCC19">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投标内容</w:t>
            </w:r>
          </w:p>
        </w:tc>
        <w:tc>
          <w:tcPr>
            <w:tcW w:w="4750" w:type="dxa"/>
            <w:vAlign w:val="center"/>
          </w:tcPr>
          <w:p w14:paraId="309FB3D2">
            <w:pPr>
              <w:spacing w:line="400" w:lineRule="exact"/>
              <w:ind w:right="105" w:rightChars="50" w:firstLine="0" w:firstLineChars="0"/>
              <w:jc w:val="center"/>
              <w:rPr>
                <w:rFonts w:ascii="宋体" w:hAnsi="宋体" w:cs="宋体"/>
                <w:color w:val="auto"/>
                <w:kern w:val="0"/>
                <w:szCs w:val="21"/>
                <w:highlight w:val="none"/>
              </w:rPr>
            </w:pPr>
            <w:r>
              <w:rPr>
                <w:rFonts w:hint="eastAsia" w:ascii="宋体" w:hAnsi="宋体" w:cs="宋体"/>
                <w:color w:val="auto"/>
                <w:szCs w:val="21"/>
                <w:highlight w:val="none"/>
              </w:rPr>
              <w:t>符合第二章“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须知”第1.3.1项规定</w:t>
            </w:r>
          </w:p>
        </w:tc>
      </w:tr>
      <w:tr w14:paraId="6A19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atLeast"/>
        </w:trPr>
        <w:tc>
          <w:tcPr>
            <w:tcW w:w="667" w:type="dxa"/>
            <w:vMerge w:val="continue"/>
            <w:vAlign w:val="center"/>
          </w:tcPr>
          <w:p w14:paraId="6E8DC77D">
            <w:pPr>
              <w:spacing w:line="400" w:lineRule="exact"/>
              <w:ind w:right="105" w:rightChars="50" w:firstLine="0" w:firstLineChars="0"/>
              <w:jc w:val="center"/>
              <w:rPr>
                <w:rFonts w:ascii="宋体" w:hAnsi="宋体" w:cs="宋体"/>
                <w:color w:val="auto"/>
                <w:szCs w:val="21"/>
                <w:highlight w:val="none"/>
              </w:rPr>
            </w:pPr>
          </w:p>
        </w:tc>
        <w:tc>
          <w:tcPr>
            <w:tcW w:w="555" w:type="dxa"/>
            <w:vMerge w:val="continue"/>
            <w:vAlign w:val="center"/>
          </w:tcPr>
          <w:p w14:paraId="691D947D">
            <w:pPr>
              <w:spacing w:line="400" w:lineRule="exact"/>
              <w:ind w:right="105" w:rightChars="50" w:firstLine="0" w:firstLineChars="0"/>
              <w:jc w:val="center"/>
              <w:rPr>
                <w:rFonts w:ascii="宋体" w:hAnsi="宋体" w:cs="宋体"/>
                <w:color w:val="auto"/>
                <w:szCs w:val="21"/>
                <w:highlight w:val="none"/>
              </w:rPr>
            </w:pPr>
          </w:p>
        </w:tc>
        <w:tc>
          <w:tcPr>
            <w:tcW w:w="3051" w:type="dxa"/>
            <w:vAlign w:val="center"/>
          </w:tcPr>
          <w:p w14:paraId="57B9525E">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签字盖章</w:t>
            </w:r>
          </w:p>
        </w:tc>
        <w:tc>
          <w:tcPr>
            <w:tcW w:w="4750" w:type="dxa"/>
            <w:vAlign w:val="center"/>
          </w:tcPr>
          <w:p w14:paraId="59B43E94">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符合第二章“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须知”第3.5.8项规定</w:t>
            </w:r>
          </w:p>
        </w:tc>
      </w:tr>
      <w:tr w14:paraId="11F2F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trPr>
        <w:tc>
          <w:tcPr>
            <w:tcW w:w="667" w:type="dxa"/>
            <w:vMerge w:val="continue"/>
            <w:vAlign w:val="center"/>
          </w:tcPr>
          <w:p w14:paraId="589882E6">
            <w:pPr>
              <w:spacing w:line="400" w:lineRule="exact"/>
              <w:ind w:right="105" w:rightChars="50" w:firstLine="0" w:firstLineChars="0"/>
              <w:jc w:val="center"/>
              <w:rPr>
                <w:rFonts w:ascii="宋体" w:hAnsi="宋体" w:cs="宋体"/>
                <w:color w:val="auto"/>
                <w:szCs w:val="21"/>
                <w:highlight w:val="none"/>
              </w:rPr>
            </w:pPr>
          </w:p>
        </w:tc>
        <w:tc>
          <w:tcPr>
            <w:tcW w:w="555" w:type="dxa"/>
            <w:vMerge w:val="continue"/>
            <w:vAlign w:val="center"/>
          </w:tcPr>
          <w:p w14:paraId="57EEC900">
            <w:pPr>
              <w:spacing w:line="400" w:lineRule="exact"/>
              <w:ind w:right="105" w:rightChars="50" w:firstLine="0" w:firstLineChars="0"/>
              <w:jc w:val="center"/>
              <w:rPr>
                <w:rFonts w:ascii="宋体" w:hAnsi="宋体" w:cs="宋体"/>
                <w:color w:val="auto"/>
                <w:szCs w:val="21"/>
                <w:highlight w:val="none"/>
              </w:rPr>
            </w:pPr>
          </w:p>
        </w:tc>
        <w:tc>
          <w:tcPr>
            <w:tcW w:w="3051" w:type="dxa"/>
            <w:vAlign w:val="center"/>
          </w:tcPr>
          <w:p w14:paraId="00678975">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格式</w:t>
            </w:r>
          </w:p>
        </w:tc>
        <w:tc>
          <w:tcPr>
            <w:tcW w:w="4750" w:type="dxa"/>
            <w:vAlign w:val="center"/>
          </w:tcPr>
          <w:p w14:paraId="34C8D1B1">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符合第六章“</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格式”的要求</w:t>
            </w:r>
          </w:p>
        </w:tc>
      </w:tr>
      <w:tr w14:paraId="7D18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8" w:hRule="atLeast"/>
        </w:trPr>
        <w:tc>
          <w:tcPr>
            <w:tcW w:w="667" w:type="dxa"/>
            <w:vMerge w:val="continue"/>
            <w:vAlign w:val="center"/>
          </w:tcPr>
          <w:p w14:paraId="0550FA21">
            <w:pPr>
              <w:spacing w:line="400" w:lineRule="exact"/>
              <w:ind w:right="105" w:rightChars="50" w:firstLine="0" w:firstLineChars="0"/>
              <w:jc w:val="center"/>
              <w:rPr>
                <w:rFonts w:ascii="宋体" w:hAnsi="宋体" w:cs="宋体"/>
                <w:color w:val="auto"/>
                <w:szCs w:val="21"/>
                <w:highlight w:val="none"/>
              </w:rPr>
            </w:pPr>
          </w:p>
        </w:tc>
        <w:tc>
          <w:tcPr>
            <w:tcW w:w="555" w:type="dxa"/>
            <w:vMerge w:val="continue"/>
            <w:vAlign w:val="center"/>
          </w:tcPr>
          <w:p w14:paraId="0A41FD3C">
            <w:pPr>
              <w:spacing w:line="400" w:lineRule="exact"/>
              <w:ind w:right="105" w:rightChars="50" w:firstLine="0" w:firstLineChars="0"/>
              <w:jc w:val="center"/>
              <w:rPr>
                <w:rFonts w:ascii="宋体" w:hAnsi="宋体" w:cs="宋体"/>
                <w:color w:val="auto"/>
                <w:szCs w:val="21"/>
                <w:highlight w:val="none"/>
              </w:rPr>
            </w:pPr>
          </w:p>
        </w:tc>
        <w:tc>
          <w:tcPr>
            <w:tcW w:w="3051" w:type="dxa"/>
            <w:vAlign w:val="center"/>
          </w:tcPr>
          <w:p w14:paraId="115CA839">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报价唯一</w:t>
            </w:r>
          </w:p>
        </w:tc>
        <w:tc>
          <w:tcPr>
            <w:tcW w:w="4750" w:type="dxa"/>
            <w:vAlign w:val="center"/>
          </w:tcPr>
          <w:p w14:paraId="09FCD0D9">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只有一个有效报价</w:t>
            </w:r>
          </w:p>
        </w:tc>
      </w:tr>
      <w:tr w14:paraId="0708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9" w:hRule="atLeast"/>
        </w:trPr>
        <w:tc>
          <w:tcPr>
            <w:tcW w:w="667" w:type="dxa"/>
            <w:vMerge w:val="continue"/>
            <w:vAlign w:val="center"/>
          </w:tcPr>
          <w:p w14:paraId="65B2A865">
            <w:pPr>
              <w:spacing w:line="400" w:lineRule="exact"/>
              <w:ind w:right="105" w:rightChars="50" w:firstLine="0" w:firstLineChars="0"/>
              <w:jc w:val="center"/>
              <w:rPr>
                <w:rFonts w:ascii="宋体" w:hAnsi="宋体" w:cs="宋体"/>
                <w:color w:val="auto"/>
                <w:szCs w:val="21"/>
                <w:highlight w:val="none"/>
              </w:rPr>
            </w:pPr>
          </w:p>
        </w:tc>
        <w:tc>
          <w:tcPr>
            <w:tcW w:w="555" w:type="dxa"/>
            <w:vMerge w:val="continue"/>
            <w:vAlign w:val="center"/>
          </w:tcPr>
          <w:p w14:paraId="0D59BE78">
            <w:pPr>
              <w:spacing w:line="400" w:lineRule="exact"/>
              <w:ind w:right="105" w:rightChars="50" w:firstLine="0" w:firstLineChars="0"/>
              <w:jc w:val="center"/>
              <w:rPr>
                <w:rFonts w:ascii="宋体" w:hAnsi="宋体" w:cs="宋体"/>
                <w:color w:val="auto"/>
                <w:szCs w:val="21"/>
                <w:highlight w:val="none"/>
              </w:rPr>
            </w:pPr>
          </w:p>
        </w:tc>
        <w:tc>
          <w:tcPr>
            <w:tcW w:w="3051" w:type="dxa"/>
            <w:vAlign w:val="center"/>
          </w:tcPr>
          <w:p w14:paraId="11ADD20B">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投标报价</w:t>
            </w:r>
          </w:p>
        </w:tc>
        <w:tc>
          <w:tcPr>
            <w:tcW w:w="4750" w:type="dxa"/>
            <w:vAlign w:val="center"/>
          </w:tcPr>
          <w:p w14:paraId="43BCA658">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报价均不超过预算价（最高限价）</w:t>
            </w:r>
          </w:p>
        </w:tc>
      </w:tr>
      <w:tr w14:paraId="17F5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trPr>
        <w:tc>
          <w:tcPr>
            <w:tcW w:w="667" w:type="dxa"/>
            <w:vMerge w:val="continue"/>
            <w:vAlign w:val="center"/>
          </w:tcPr>
          <w:p w14:paraId="4BE59987">
            <w:pPr>
              <w:spacing w:line="400" w:lineRule="exact"/>
              <w:ind w:right="105" w:rightChars="50" w:firstLine="0" w:firstLineChars="0"/>
              <w:jc w:val="center"/>
              <w:rPr>
                <w:rFonts w:ascii="宋体" w:hAnsi="宋体" w:cs="宋体"/>
                <w:color w:val="auto"/>
                <w:szCs w:val="21"/>
                <w:highlight w:val="none"/>
              </w:rPr>
            </w:pPr>
          </w:p>
        </w:tc>
        <w:tc>
          <w:tcPr>
            <w:tcW w:w="555" w:type="dxa"/>
            <w:vMerge w:val="continue"/>
            <w:vAlign w:val="center"/>
          </w:tcPr>
          <w:p w14:paraId="68B84A41">
            <w:pPr>
              <w:spacing w:line="400" w:lineRule="exact"/>
              <w:ind w:right="105" w:rightChars="50" w:firstLine="0" w:firstLineChars="0"/>
              <w:jc w:val="center"/>
              <w:rPr>
                <w:rFonts w:ascii="宋体" w:hAnsi="宋体" w:cs="宋体"/>
                <w:color w:val="auto"/>
                <w:szCs w:val="21"/>
                <w:highlight w:val="none"/>
              </w:rPr>
            </w:pPr>
          </w:p>
        </w:tc>
        <w:tc>
          <w:tcPr>
            <w:tcW w:w="3051" w:type="dxa"/>
            <w:vAlign w:val="center"/>
          </w:tcPr>
          <w:p w14:paraId="4FE93CDF">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质量要求</w:t>
            </w:r>
          </w:p>
        </w:tc>
        <w:tc>
          <w:tcPr>
            <w:tcW w:w="4750" w:type="dxa"/>
            <w:vAlign w:val="center"/>
          </w:tcPr>
          <w:p w14:paraId="1714B50D">
            <w:pPr>
              <w:spacing w:line="400" w:lineRule="exact"/>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符合第二章“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须知”第1.3.2项规定</w:t>
            </w:r>
          </w:p>
        </w:tc>
      </w:tr>
      <w:tr w14:paraId="1462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667" w:type="dxa"/>
            <w:vMerge w:val="continue"/>
            <w:vAlign w:val="center"/>
          </w:tcPr>
          <w:p w14:paraId="6E473E6A">
            <w:pPr>
              <w:spacing w:line="400" w:lineRule="exact"/>
              <w:ind w:right="105" w:rightChars="50" w:firstLine="0" w:firstLineChars="0"/>
              <w:jc w:val="center"/>
              <w:rPr>
                <w:rFonts w:ascii="宋体" w:hAnsi="宋体" w:cs="宋体"/>
                <w:color w:val="auto"/>
                <w:szCs w:val="21"/>
                <w:highlight w:val="none"/>
              </w:rPr>
            </w:pPr>
          </w:p>
        </w:tc>
        <w:tc>
          <w:tcPr>
            <w:tcW w:w="555" w:type="dxa"/>
            <w:vMerge w:val="continue"/>
            <w:vAlign w:val="center"/>
          </w:tcPr>
          <w:p w14:paraId="34B21486">
            <w:pPr>
              <w:spacing w:line="400" w:lineRule="exact"/>
              <w:ind w:right="105" w:rightChars="50" w:firstLine="0" w:firstLineChars="0"/>
              <w:jc w:val="center"/>
              <w:rPr>
                <w:rFonts w:ascii="宋体" w:hAnsi="宋体" w:cs="宋体"/>
                <w:color w:val="auto"/>
                <w:szCs w:val="21"/>
                <w:highlight w:val="none"/>
              </w:rPr>
            </w:pPr>
          </w:p>
        </w:tc>
        <w:tc>
          <w:tcPr>
            <w:tcW w:w="3051" w:type="dxa"/>
            <w:vAlign w:val="center"/>
          </w:tcPr>
          <w:p w14:paraId="1480F602">
            <w:pPr>
              <w:spacing w:line="400" w:lineRule="exact"/>
              <w:ind w:right="105" w:rightChars="50" w:firstLine="0" w:firstLineChars="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服务期限</w:t>
            </w:r>
          </w:p>
        </w:tc>
        <w:tc>
          <w:tcPr>
            <w:tcW w:w="4750" w:type="dxa"/>
            <w:vAlign w:val="center"/>
          </w:tcPr>
          <w:p w14:paraId="4756C95F">
            <w:pPr>
              <w:spacing w:line="400" w:lineRule="exact"/>
              <w:ind w:firstLine="105" w:firstLineChars="50"/>
              <w:jc w:val="center"/>
              <w:rPr>
                <w:rFonts w:ascii="宋体" w:hAnsi="宋体" w:cs="宋体"/>
                <w:color w:val="auto"/>
                <w:szCs w:val="21"/>
                <w:highlight w:val="none"/>
              </w:rPr>
            </w:pPr>
            <w:r>
              <w:rPr>
                <w:rFonts w:hint="eastAsia" w:ascii="宋体" w:hAnsi="宋体" w:cs="宋体"/>
                <w:color w:val="auto"/>
                <w:szCs w:val="21"/>
                <w:highlight w:val="none"/>
              </w:rPr>
              <w:t>符合第二章“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须知”第1.3.3项规定</w:t>
            </w:r>
          </w:p>
        </w:tc>
      </w:tr>
      <w:tr w14:paraId="6408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8" w:hRule="atLeast"/>
        </w:trPr>
        <w:tc>
          <w:tcPr>
            <w:tcW w:w="667" w:type="dxa"/>
            <w:vMerge w:val="continue"/>
            <w:vAlign w:val="center"/>
          </w:tcPr>
          <w:p w14:paraId="537F9267">
            <w:pPr>
              <w:widowControl/>
              <w:spacing w:line="400" w:lineRule="exact"/>
              <w:ind w:firstLine="420"/>
              <w:rPr>
                <w:rFonts w:ascii="宋体" w:hAnsi="宋体" w:cs="宋体"/>
                <w:color w:val="auto"/>
                <w:szCs w:val="21"/>
                <w:highlight w:val="none"/>
              </w:rPr>
            </w:pPr>
          </w:p>
        </w:tc>
        <w:tc>
          <w:tcPr>
            <w:tcW w:w="555" w:type="dxa"/>
            <w:vMerge w:val="continue"/>
            <w:vAlign w:val="center"/>
          </w:tcPr>
          <w:p w14:paraId="05CCC395">
            <w:pPr>
              <w:widowControl/>
              <w:spacing w:line="400" w:lineRule="exact"/>
              <w:ind w:firstLine="420"/>
              <w:rPr>
                <w:rFonts w:ascii="宋体" w:hAnsi="宋体" w:cs="宋体"/>
                <w:color w:val="auto"/>
                <w:szCs w:val="21"/>
                <w:highlight w:val="none"/>
              </w:rPr>
            </w:pPr>
          </w:p>
        </w:tc>
        <w:tc>
          <w:tcPr>
            <w:tcW w:w="3051" w:type="dxa"/>
            <w:vAlign w:val="center"/>
          </w:tcPr>
          <w:p w14:paraId="042DB147">
            <w:pPr>
              <w:spacing w:line="400" w:lineRule="exact"/>
              <w:ind w:right="105" w:rightChars="50" w:firstLine="1050" w:firstLineChars="500"/>
              <w:jc w:val="both"/>
              <w:rPr>
                <w:rFonts w:ascii="宋体" w:hAnsi="宋体" w:cs="宋体"/>
                <w:color w:val="auto"/>
                <w:szCs w:val="21"/>
                <w:highlight w:val="none"/>
              </w:rPr>
            </w:pPr>
            <w:r>
              <w:rPr>
                <w:rFonts w:hint="eastAsia" w:ascii="宋体" w:hAnsi="宋体" w:cs="宋体"/>
                <w:color w:val="auto"/>
                <w:szCs w:val="21"/>
                <w:highlight w:val="none"/>
              </w:rPr>
              <w:t>投标有效期</w:t>
            </w:r>
          </w:p>
        </w:tc>
        <w:tc>
          <w:tcPr>
            <w:tcW w:w="4750" w:type="dxa"/>
            <w:vAlign w:val="center"/>
          </w:tcPr>
          <w:p w14:paraId="6C3B3847">
            <w:pPr>
              <w:spacing w:line="400" w:lineRule="exact"/>
              <w:ind w:right="105" w:rightChars="50" w:firstLine="0" w:firstLineChars="0"/>
              <w:jc w:val="center"/>
              <w:rPr>
                <w:rFonts w:ascii="宋体" w:hAnsi="宋体" w:cs="宋体"/>
                <w:color w:val="auto"/>
                <w:szCs w:val="21"/>
                <w:highlight w:val="none"/>
              </w:rPr>
            </w:pPr>
            <w:r>
              <w:rPr>
                <w:rFonts w:hint="eastAsia" w:ascii="宋体" w:hAnsi="宋体" w:cs="宋体"/>
                <w:color w:val="auto"/>
                <w:szCs w:val="21"/>
                <w:highlight w:val="none"/>
              </w:rPr>
              <w:t>符合第二章“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须知”第3.4.1项规定</w:t>
            </w:r>
          </w:p>
        </w:tc>
      </w:tr>
    </w:tbl>
    <w:tbl>
      <w:tblPr>
        <w:tblStyle w:val="28"/>
        <w:tblpPr w:leftFromText="180" w:rightFromText="180" w:vertAnchor="text" w:horzAnchor="page" w:tblpX="1559" w:tblpY="767"/>
        <w:tblOverlap w:val="never"/>
        <w:tblW w:w="90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1062"/>
        <w:gridCol w:w="6907"/>
      </w:tblGrid>
      <w:tr w14:paraId="6BD4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82" w:type="dxa"/>
            <w:tcBorders>
              <w:top w:val="single" w:color="auto" w:sz="4" w:space="0"/>
              <w:left w:val="single" w:color="auto" w:sz="4" w:space="0"/>
              <w:bottom w:val="single" w:color="auto" w:sz="4" w:space="0"/>
              <w:right w:val="single" w:color="auto" w:sz="4" w:space="0"/>
              <w:tl2br w:val="nil"/>
              <w:tr2bl w:val="nil"/>
            </w:tcBorders>
            <w:noWrap/>
            <w:vAlign w:val="center"/>
          </w:tcPr>
          <w:p w14:paraId="04318EE3">
            <w:pPr>
              <w:spacing w:line="240" w:lineRule="auto"/>
              <w:ind w:firstLine="0" w:firstLineChars="0"/>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2.3</w:t>
            </w:r>
          </w:p>
        </w:tc>
        <w:tc>
          <w:tcPr>
            <w:tcW w:w="1062" w:type="dxa"/>
            <w:tcBorders>
              <w:top w:val="single" w:color="auto" w:sz="4" w:space="0"/>
              <w:left w:val="single" w:color="auto" w:sz="4" w:space="0"/>
              <w:bottom w:val="single" w:color="auto" w:sz="4" w:space="0"/>
              <w:right w:val="single" w:color="auto" w:sz="4" w:space="0"/>
              <w:tl2br w:val="nil"/>
              <w:tr2bl w:val="nil"/>
            </w:tcBorders>
            <w:noWrap/>
            <w:vAlign w:val="center"/>
          </w:tcPr>
          <w:p w14:paraId="7E6578AB">
            <w:pPr>
              <w:spacing w:line="240" w:lineRule="auto"/>
              <w:ind w:firstLine="0" w:firstLineChars="0"/>
              <w:rPr>
                <w:rFonts w:ascii="宋体" w:hAnsi="宋体" w:cs="宋体"/>
                <w:color w:val="auto"/>
                <w:highlight w:val="none"/>
              </w:rPr>
            </w:pPr>
            <w:r>
              <w:rPr>
                <w:rFonts w:hint="eastAsia" w:ascii="宋体" w:hAnsi="宋体" w:cs="宋体"/>
                <w:color w:val="auto"/>
                <w:highlight w:val="none"/>
              </w:rPr>
              <w:t>分值构成</w:t>
            </w:r>
          </w:p>
          <w:p w14:paraId="35487FAA">
            <w:pPr>
              <w:spacing w:line="240" w:lineRule="auto"/>
              <w:ind w:firstLine="0" w:firstLineChars="0"/>
              <w:rPr>
                <w:rFonts w:ascii="宋体" w:hAnsi="宋体" w:cs="宋体"/>
                <w:color w:val="auto"/>
                <w:highlight w:val="none"/>
              </w:rPr>
            </w:pPr>
            <w:r>
              <w:rPr>
                <w:rFonts w:hint="eastAsia" w:ascii="宋体" w:hAnsi="宋体" w:cs="宋体"/>
                <w:color w:val="auto"/>
                <w:highlight w:val="none"/>
              </w:rPr>
              <w:t>（总分100分）</w:t>
            </w:r>
          </w:p>
        </w:tc>
        <w:tc>
          <w:tcPr>
            <w:tcW w:w="6907" w:type="dxa"/>
            <w:tcBorders>
              <w:top w:val="single" w:color="auto" w:sz="4" w:space="0"/>
              <w:left w:val="single" w:color="auto" w:sz="4" w:space="0"/>
              <w:bottom w:val="single" w:color="auto" w:sz="4" w:space="0"/>
              <w:right w:val="single" w:color="auto" w:sz="4" w:space="0"/>
              <w:tl2br w:val="nil"/>
              <w:tr2bl w:val="nil"/>
            </w:tcBorders>
            <w:noWrap/>
            <w:vAlign w:val="center"/>
          </w:tcPr>
          <w:p w14:paraId="36FAC305">
            <w:pPr>
              <w:spacing w:line="240" w:lineRule="auto"/>
              <w:ind w:firstLine="0" w:firstLineChars="0"/>
              <w:rPr>
                <w:rFonts w:ascii="宋体" w:hAnsi="宋体" w:cs="宋体"/>
                <w:color w:val="auto"/>
                <w:highlight w:val="none"/>
              </w:rPr>
            </w:pPr>
            <w:r>
              <w:rPr>
                <w:rFonts w:hint="eastAsia" w:ascii="宋体" w:hAnsi="宋体" w:cs="宋体"/>
                <w:color w:val="auto"/>
                <w:highlight w:val="none"/>
              </w:rPr>
              <w:t>商务部分：30分</w:t>
            </w:r>
          </w:p>
          <w:p w14:paraId="6A20454D">
            <w:pPr>
              <w:spacing w:line="240" w:lineRule="auto"/>
              <w:ind w:firstLine="0" w:firstLineChars="0"/>
              <w:rPr>
                <w:rFonts w:ascii="宋体" w:hAnsi="宋体" w:cs="宋体"/>
                <w:color w:val="auto"/>
                <w:highlight w:val="none"/>
              </w:rPr>
            </w:pPr>
            <w:r>
              <w:rPr>
                <w:rFonts w:hint="eastAsia" w:ascii="宋体" w:hAnsi="宋体" w:cs="宋体"/>
                <w:color w:val="auto"/>
                <w:highlight w:val="none"/>
              </w:rPr>
              <w:t>技术部分：</w:t>
            </w:r>
            <w:r>
              <w:rPr>
                <w:rFonts w:hint="eastAsia" w:ascii="宋体" w:hAnsi="宋体" w:cs="宋体"/>
                <w:color w:val="auto"/>
                <w:highlight w:val="none"/>
                <w:lang w:val="en-US" w:eastAsia="zh-CN"/>
              </w:rPr>
              <w:t>15</w:t>
            </w:r>
            <w:r>
              <w:rPr>
                <w:rFonts w:hint="eastAsia" w:ascii="宋体" w:hAnsi="宋体" w:cs="宋体"/>
                <w:color w:val="auto"/>
                <w:highlight w:val="none"/>
              </w:rPr>
              <w:t>分</w:t>
            </w:r>
          </w:p>
          <w:p w14:paraId="7E7182B4">
            <w:pPr>
              <w:spacing w:line="240" w:lineRule="auto"/>
              <w:ind w:firstLine="0" w:firstLineChars="0"/>
              <w:rPr>
                <w:rFonts w:ascii="宋体" w:hAnsi="宋体" w:cs="宋体"/>
                <w:color w:val="auto"/>
                <w:highlight w:val="none"/>
              </w:rPr>
            </w:pPr>
            <w:r>
              <w:rPr>
                <w:rFonts w:hint="eastAsia" w:ascii="宋体" w:hAnsi="宋体" w:cs="宋体"/>
                <w:color w:val="auto"/>
                <w:highlight w:val="none"/>
              </w:rPr>
              <w:t>综合部分：</w:t>
            </w:r>
            <w:r>
              <w:rPr>
                <w:rFonts w:hint="eastAsia" w:ascii="宋体" w:hAnsi="宋体" w:cs="宋体"/>
                <w:color w:val="auto"/>
                <w:highlight w:val="none"/>
                <w:lang w:val="en-US" w:eastAsia="zh-CN"/>
              </w:rPr>
              <w:t>55</w:t>
            </w:r>
            <w:r>
              <w:rPr>
                <w:rFonts w:hint="eastAsia" w:ascii="宋体" w:hAnsi="宋体" w:cs="宋体"/>
                <w:color w:val="auto"/>
                <w:highlight w:val="none"/>
              </w:rPr>
              <w:t>分</w:t>
            </w:r>
          </w:p>
        </w:tc>
      </w:tr>
      <w:tr w14:paraId="7C4D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82" w:type="dxa"/>
            <w:tcBorders>
              <w:top w:val="single" w:color="auto" w:sz="4" w:space="0"/>
              <w:left w:val="single" w:color="auto" w:sz="4" w:space="0"/>
              <w:bottom w:val="single" w:color="auto" w:sz="4" w:space="0"/>
              <w:right w:val="single" w:color="auto" w:sz="4" w:space="0"/>
              <w:tl2br w:val="nil"/>
              <w:tr2bl w:val="nil"/>
            </w:tcBorders>
            <w:noWrap/>
            <w:vAlign w:val="center"/>
          </w:tcPr>
          <w:p w14:paraId="62EE2CFB">
            <w:pPr>
              <w:spacing w:line="240" w:lineRule="auto"/>
              <w:ind w:firstLine="0" w:firstLineChars="0"/>
              <w:rPr>
                <w:rFonts w:ascii="宋体" w:hAnsi="宋体" w:cs="宋体"/>
                <w:color w:val="auto"/>
                <w:highlight w:val="none"/>
              </w:rPr>
            </w:pPr>
            <w:r>
              <w:rPr>
                <w:rFonts w:hint="eastAsia" w:ascii="宋体" w:hAnsi="宋体" w:cs="宋体"/>
                <w:color w:val="auto"/>
                <w:highlight w:val="none"/>
              </w:rPr>
              <w:t>条款号</w:t>
            </w:r>
          </w:p>
        </w:tc>
        <w:tc>
          <w:tcPr>
            <w:tcW w:w="1062" w:type="dxa"/>
            <w:tcBorders>
              <w:top w:val="single" w:color="auto" w:sz="4" w:space="0"/>
              <w:left w:val="single" w:color="auto" w:sz="4" w:space="0"/>
              <w:bottom w:val="single" w:color="auto" w:sz="4" w:space="0"/>
              <w:right w:val="single" w:color="auto" w:sz="4" w:space="0"/>
              <w:tl2br w:val="nil"/>
              <w:tr2bl w:val="nil"/>
            </w:tcBorders>
            <w:noWrap/>
            <w:vAlign w:val="center"/>
          </w:tcPr>
          <w:p w14:paraId="624D77F5">
            <w:pPr>
              <w:spacing w:line="240" w:lineRule="auto"/>
              <w:ind w:firstLine="0" w:firstLineChars="0"/>
              <w:rPr>
                <w:rFonts w:ascii="宋体" w:hAnsi="宋体" w:cs="宋体"/>
                <w:color w:val="auto"/>
                <w:highlight w:val="none"/>
              </w:rPr>
            </w:pPr>
            <w:r>
              <w:rPr>
                <w:rFonts w:hint="eastAsia" w:ascii="宋体" w:hAnsi="宋体" w:cs="宋体"/>
                <w:color w:val="auto"/>
                <w:highlight w:val="none"/>
              </w:rPr>
              <w:t>评分因素</w:t>
            </w:r>
          </w:p>
        </w:tc>
        <w:tc>
          <w:tcPr>
            <w:tcW w:w="6907" w:type="dxa"/>
            <w:tcBorders>
              <w:top w:val="single" w:color="auto" w:sz="4" w:space="0"/>
              <w:left w:val="single" w:color="auto" w:sz="4" w:space="0"/>
              <w:bottom w:val="single" w:color="auto" w:sz="4" w:space="0"/>
              <w:right w:val="single" w:color="auto" w:sz="4" w:space="0"/>
              <w:tl2br w:val="nil"/>
              <w:tr2bl w:val="nil"/>
            </w:tcBorders>
            <w:noWrap/>
            <w:vAlign w:val="center"/>
          </w:tcPr>
          <w:p w14:paraId="3C9B1B64">
            <w:pPr>
              <w:spacing w:line="240" w:lineRule="auto"/>
              <w:ind w:firstLine="0" w:firstLineChars="0"/>
              <w:rPr>
                <w:rFonts w:ascii="宋体" w:hAnsi="宋体" w:cs="宋体"/>
                <w:color w:val="auto"/>
                <w:highlight w:val="none"/>
              </w:rPr>
            </w:pPr>
            <w:r>
              <w:rPr>
                <w:rFonts w:hint="eastAsia" w:ascii="宋体" w:hAnsi="宋体" w:cs="宋体"/>
                <w:color w:val="auto"/>
                <w:highlight w:val="none"/>
              </w:rPr>
              <w:t>评分标准</w:t>
            </w:r>
          </w:p>
        </w:tc>
      </w:tr>
      <w:tr w14:paraId="6F74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82" w:type="dxa"/>
            <w:tcBorders>
              <w:top w:val="single" w:color="auto" w:sz="4" w:space="0"/>
              <w:left w:val="single" w:color="auto" w:sz="4" w:space="0"/>
              <w:bottom w:val="single" w:color="auto" w:sz="4" w:space="0"/>
              <w:right w:val="single" w:color="auto" w:sz="4" w:space="0"/>
              <w:tl2br w:val="nil"/>
              <w:tr2bl w:val="nil"/>
            </w:tcBorders>
            <w:noWrap/>
            <w:vAlign w:val="center"/>
          </w:tcPr>
          <w:p w14:paraId="2550446F">
            <w:pPr>
              <w:spacing w:line="240" w:lineRule="auto"/>
              <w:ind w:firstLine="0" w:firstLineChars="0"/>
              <w:jc w:val="center"/>
              <w:rPr>
                <w:rFonts w:ascii="宋体" w:hAnsi="宋体" w:cs="宋体"/>
                <w:color w:val="auto"/>
                <w:highlight w:val="none"/>
              </w:rPr>
            </w:pPr>
            <w:r>
              <w:rPr>
                <w:rFonts w:hint="eastAsia" w:ascii="宋体" w:hAnsi="宋体" w:cs="宋体"/>
                <w:color w:val="auto"/>
                <w:highlight w:val="none"/>
                <w:lang w:val="en-US" w:eastAsia="zh-CN"/>
              </w:rPr>
              <w:t>2.4</w:t>
            </w:r>
            <w:r>
              <w:rPr>
                <w:rFonts w:hint="eastAsia" w:ascii="宋体" w:hAnsi="宋体" w:cs="宋体"/>
                <w:color w:val="auto"/>
                <w:highlight w:val="none"/>
              </w:rPr>
              <w:t>商务部分（30分）</w:t>
            </w:r>
          </w:p>
        </w:tc>
        <w:tc>
          <w:tcPr>
            <w:tcW w:w="1062" w:type="dxa"/>
            <w:tcBorders>
              <w:top w:val="single" w:color="auto" w:sz="4" w:space="0"/>
              <w:left w:val="single" w:color="auto" w:sz="4" w:space="0"/>
              <w:bottom w:val="single" w:color="auto" w:sz="4" w:space="0"/>
              <w:right w:val="single" w:color="auto" w:sz="4" w:space="0"/>
              <w:tl2br w:val="nil"/>
              <w:tr2bl w:val="nil"/>
            </w:tcBorders>
            <w:noWrap/>
            <w:vAlign w:val="center"/>
          </w:tcPr>
          <w:p w14:paraId="0CEC5D38">
            <w:pPr>
              <w:spacing w:line="240"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投标报价（</w:t>
            </w:r>
            <w:r>
              <w:rPr>
                <w:rFonts w:hint="eastAsia" w:ascii="宋体" w:hAnsi="宋体" w:eastAsia="宋体" w:cs="宋体"/>
                <w:color w:val="auto"/>
                <w:highlight w:val="none"/>
                <w:lang w:val="en-US" w:eastAsia="zh-CN"/>
              </w:rPr>
              <w:t>30</w:t>
            </w:r>
            <w:r>
              <w:rPr>
                <w:rFonts w:hint="eastAsia" w:ascii="宋体" w:hAnsi="宋体" w:eastAsia="宋体" w:cs="宋体"/>
                <w:color w:val="auto"/>
                <w:highlight w:val="none"/>
              </w:rPr>
              <w:t>分）</w:t>
            </w:r>
          </w:p>
        </w:tc>
        <w:tc>
          <w:tcPr>
            <w:tcW w:w="6907" w:type="dxa"/>
            <w:tcBorders>
              <w:top w:val="single" w:color="auto" w:sz="4" w:space="0"/>
              <w:left w:val="single" w:color="auto" w:sz="4" w:space="0"/>
              <w:bottom w:val="single" w:color="auto" w:sz="4" w:space="0"/>
              <w:right w:val="single" w:color="auto" w:sz="4" w:space="0"/>
              <w:tl2br w:val="nil"/>
              <w:tr2bl w:val="nil"/>
            </w:tcBorders>
            <w:noWrap/>
            <w:vAlign w:val="center"/>
          </w:tcPr>
          <w:p w14:paraId="58294C9C">
            <w:pPr>
              <w:spacing w:line="240"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评标基准值：通过初步评审的有效投标企业的最低投</w:t>
            </w:r>
            <w:r>
              <w:rPr>
                <w:rFonts w:hint="eastAsia" w:ascii="宋体" w:hAnsi="宋体" w:eastAsia="宋体" w:cs="宋体"/>
                <w:color w:val="auto"/>
                <w:highlight w:val="none"/>
                <w:lang w:val="en-US"/>
              </w:rPr>
              <w:t>标</w:t>
            </w:r>
            <w:r>
              <w:rPr>
                <w:rFonts w:hint="eastAsia" w:ascii="宋体" w:hAnsi="宋体" w:eastAsia="宋体" w:cs="宋体"/>
                <w:color w:val="auto"/>
                <w:highlight w:val="none"/>
              </w:rPr>
              <w:t>报价，得满分</w:t>
            </w:r>
            <w:r>
              <w:rPr>
                <w:rFonts w:hint="eastAsia" w:ascii="宋体" w:hAnsi="宋体" w:eastAsia="宋体" w:cs="宋体"/>
                <w:color w:val="auto"/>
                <w:highlight w:val="none"/>
                <w:lang w:val="en-US" w:eastAsia="zh-CN"/>
              </w:rPr>
              <w:t>30</w:t>
            </w:r>
            <w:r>
              <w:rPr>
                <w:rFonts w:hint="eastAsia" w:ascii="宋体" w:hAnsi="宋体" w:eastAsia="宋体" w:cs="宋体"/>
                <w:color w:val="auto"/>
                <w:highlight w:val="none"/>
              </w:rPr>
              <w:t>分；</w:t>
            </w:r>
          </w:p>
          <w:p w14:paraId="3FC2468C">
            <w:pPr>
              <w:spacing w:line="240"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投标报价得分公式：报价得分=（评标基准值/有效投标报价）×</w:t>
            </w:r>
            <w:r>
              <w:rPr>
                <w:rFonts w:hint="eastAsia" w:ascii="宋体" w:hAnsi="宋体" w:eastAsia="宋体" w:cs="宋体"/>
                <w:color w:val="auto"/>
                <w:highlight w:val="none"/>
                <w:lang w:val="en-US" w:eastAsia="zh-CN"/>
              </w:rPr>
              <w:t>30</w:t>
            </w:r>
            <w:r>
              <w:rPr>
                <w:rFonts w:hint="eastAsia" w:ascii="宋体" w:hAnsi="宋体" w:eastAsia="宋体" w:cs="宋体"/>
                <w:color w:val="auto"/>
                <w:highlight w:val="none"/>
              </w:rPr>
              <w:t>；</w:t>
            </w:r>
          </w:p>
          <w:p w14:paraId="30575DA0">
            <w:pPr>
              <w:spacing w:line="240"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注：1.价格分计算保留小数点后两位。</w:t>
            </w:r>
          </w:p>
          <w:p w14:paraId="74508022">
            <w:pPr>
              <w:spacing w:line="240"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2.注：本项目专门面向中小企业采购，评审中价格将均不予扣除，供应商应按规定提供《中小企业声明函》或监狱企业证明文件或残疾人福利性单位声明函</w:t>
            </w:r>
            <w:r>
              <w:rPr>
                <w:rFonts w:hint="eastAsia" w:ascii="宋体" w:hAnsi="宋体" w:eastAsia="宋体" w:cs="宋体"/>
                <w:color w:val="auto"/>
                <w:sz w:val="21"/>
                <w:szCs w:val="21"/>
                <w:lang w:val="en-US" w:bidi="ar-SA"/>
              </w:rPr>
              <w:t>（残疾人福利性企业、监狱企业视同</w:t>
            </w:r>
            <w:r>
              <w:rPr>
                <w:rFonts w:hint="eastAsia" w:cs="宋体"/>
                <w:color w:val="auto"/>
                <w:sz w:val="21"/>
                <w:szCs w:val="21"/>
                <w:lang w:val="en-US" w:eastAsia="zh-CN" w:bidi="ar-SA"/>
              </w:rPr>
              <w:t>中</w:t>
            </w:r>
            <w:r>
              <w:rPr>
                <w:rFonts w:hint="eastAsia" w:ascii="宋体" w:hAnsi="宋体" w:eastAsia="宋体" w:cs="宋体"/>
                <w:color w:val="auto"/>
                <w:sz w:val="21"/>
                <w:szCs w:val="21"/>
                <w:lang w:val="en-US" w:bidi="ar-SA"/>
              </w:rPr>
              <w:t>小微企业）</w:t>
            </w:r>
            <w:r>
              <w:rPr>
                <w:rFonts w:hint="eastAsia" w:ascii="宋体" w:hAnsi="宋体" w:eastAsia="宋体" w:cs="宋体"/>
                <w:color w:val="auto"/>
                <w:highlight w:val="none"/>
              </w:rPr>
              <w:t>。</w:t>
            </w:r>
          </w:p>
          <w:p w14:paraId="6CA78883">
            <w:pPr>
              <w:keepNext w:val="0"/>
              <w:keepLines w:val="0"/>
              <w:pageBreakBefore w:val="0"/>
              <w:widowControl w:val="0"/>
              <w:kinsoku/>
              <w:wordWrap/>
              <w:overflowPunct/>
              <w:topLinePunct w:val="0"/>
              <w:autoSpaceDE/>
              <w:autoSpaceDN/>
              <w:bidi w:val="0"/>
              <w:adjustRightInd/>
              <w:snapToGrid/>
              <w:spacing w:after="0" w:afterLines="0" w:afterAutospacing="0" w:line="400" w:lineRule="exact"/>
              <w:ind w:left="0" w:leftChars="0" w:firstLine="0" w:firstLineChars="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3.根据《关于推动解决政府采购异常低价问题的通知》，采购评审中出现下列情形之一的，评审委员会应当启动异常低价投标（响应）审查程序：</w:t>
            </w:r>
          </w:p>
          <w:p w14:paraId="71D773BE">
            <w:pPr>
              <w:keepNext w:val="0"/>
              <w:keepLines w:val="0"/>
              <w:pageBreakBefore w:val="0"/>
              <w:widowControl w:val="0"/>
              <w:kinsoku/>
              <w:wordWrap/>
              <w:overflowPunct/>
              <w:topLinePunct w:val="0"/>
              <w:autoSpaceDE/>
              <w:autoSpaceDN/>
              <w:bidi w:val="0"/>
              <w:adjustRightInd/>
              <w:snapToGrid/>
              <w:spacing w:after="0" w:afterLines="0" w:afterAutospacing="0" w:line="400" w:lineRule="exact"/>
              <w:ind w:left="0" w:leftChars="0" w:firstLine="0" w:firstLineChars="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（1）投标（响应）报价低于全部通过符合性审查供应商投标（响应）报价平均值65%的，即投标（响应）报价〈全部通过符合性审查供应商投标（响应）报价平均值×65%；</w:t>
            </w:r>
          </w:p>
          <w:p w14:paraId="1995A641">
            <w:pPr>
              <w:keepNext w:val="0"/>
              <w:keepLines w:val="0"/>
              <w:pageBreakBefore w:val="0"/>
              <w:widowControl w:val="0"/>
              <w:kinsoku/>
              <w:wordWrap/>
              <w:overflowPunct/>
              <w:topLinePunct w:val="0"/>
              <w:autoSpaceDE/>
              <w:autoSpaceDN/>
              <w:bidi w:val="0"/>
              <w:adjustRightInd/>
              <w:snapToGrid/>
              <w:spacing w:after="0" w:afterLines="0" w:afterAutospacing="0" w:line="400" w:lineRule="exact"/>
              <w:ind w:left="0" w:leftChars="0" w:firstLine="0" w:firstLineChars="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（2）投标（响应）报价低于通过符合性审查的次低报价供应商投标（响应）报价65%的，即投标（响应）报价通过符合性审查的次低报价供应商投标（响应）报价×65%；</w:t>
            </w:r>
          </w:p>
          <w:p w14:paraId="5AD94071">
            <w:pPr>
              <w:keepNext w:val="0"/>
              <w:keepLines w:val="0"/>
              <w:pageBreakBefore w:val="0"/>
              <w:widowControl w:val="0"/>
              <w:kinsoku/>
              <w:wordWrap/>
              <w:overflowPunct/>
              <w:topLinePunct w:val="0"/>
              <w:autoSpaceDE/>
              <w:autoSpaceDN/>
              <w:bidi w:val="0"/>
              <w:adjustRightInd/>
              <w:snapToGrid/>
              <w:spacing w:after="0" w:afterLines="0" w:afterAutospacing="0" w:line="400" w:lineRule="exact"/>
              <w:ind w:left="0" w:leftChars="0" w:firstLine="0" w:firstLineChars="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（3）投标（响应）报价低于采购项目最高限价65%的，即投标（响应）报价采购项目最高限价×65%；</w:t>
            </w:r>
          </w:p>
          <w:p w14:paraId="15934872">
            <w:pPr>
              <w:keepNext w:val="0"/>
              <w:keepLines w:val="0"/>
              <w:pageBreakBefore w:val="0"/>
              <w:widowControl w:val="0"/>
              <w:kinsoku/>
              <w:wordWrap/>
              <w:overflowPunct/>
              <w:topLinePunct w:val="0"/>
              <w:autoSpaceDE/>
              <w:autoSpaceDN/>
              <w:bidi w:val="0"/>
              <w:adjustRightInd/>
              <w:snapToGrid/>
              <w:spacing w:after="0" w:afterLines="0" w:afterAutospacing="0" w:line="400" w:lineRule="exact"/>
              <w:ind w:left="0" w:leftChars="0" w:firstLine="0" w:firstLineChars="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（4）评审委员会基于专业判断，认为供应商报价过低，有可能影响产品质量或者不能诚信履约的其他情形。</w:t>
            </w:r>
          </w:p>
          <w:p w14:paraId="485310BF">
            <w:pPr>
              <w:keepNext w:val="0"/>
              <w:keepLines w:val="0"/>
              <w:pageBreakBefore w:val="0"/>
              <w:widowControl w:val="0"/>
              <w:kinsoku/>
              <w:wordWrap/>
              <w:overflowPunct/>
              <w:topLinePunct w:val="0"/>
              <w:autoSpaceDE/>
              <w:autoSpaceDN/>
              <w:bidi w:val="0"/>
              <w:adjustRightInd/>
              <w:snapToGrid/>
              <w:spacing w:after="0" w:afterLines="0" w:afterAutospacing="0" w:line="400" w:lineRule="exact"/>
              <w:ind w:left="0" w:leftChars="0" w:firstLine="0" w:firstLineChars="0"/>
              <w:jc w:val="both"/>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评审委员会启动异常低价投标（响应）审查后，属于前述第1项至第4项情形的，应当要求相关供应商在评审现场合理的时间内对投标（响应）价格作出解释，并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D82E77E">
            <w:pPr>
              <w:spacing w:line="240" w:lineRule="auto"/>
              <w:ind w:firstLine="0" w:firstLineChars="0"/>
              <w:rPr>
                <w:rFonts w:hint="eastAsia" w:ascii="宋体" w:hAnsi="宋体" w:eastAsia="宋体" w:cs="宋体"/>
                <w:color w:val="auto"/>
                <w:highlight w:val="none"/>
              </w:rPr>
            </w:pPr>
            <w:r>
              <w:rPr>
                <w:rFonts w:hint="eastAsia" w:ascii="宋体" w:hAnsi="宋体" w:eastAsia="宋体" w:cs="宋体"/>
                <w:color w:val="auto"/>
                <w:kern w:val="0"/>
                <w:sz w:val="21"/>
                <w:szCs w:val="21"/>
                <w:lang w:val="en-US" w:eastAsia="zh-CN" w:bidi="ar-SA"/>
              </w:rPr>
              <w:t xml:space="preserve">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r>
      <w:tr w14:paraId="041C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82" w:type="dxa"/>
            <w:vMerge w:val="restart"/>
            <w:tcBorders>
              <w:left w:val="single" w:color="auto" w:sz="4" w:space="0"/>
              <w:right w:val="single" w:color="auto" w:sz="4" w:space="0"/>
              <w:tl2br w:val="nil"/>
              <w:tr2bl w:val="nil"/>
            </w:tcBorders>
            <w:noWrap/>
            <w:vAlign w:val="center"/>
          </w:tcPr>
          <w:p w14:paraId="6F2C3068">
            <w:pPr>
              <w:spacing w:line="240" w:lineRule="auto"/>
              <w:ind w:firstLine="0" w:firstLineChars="0"/>
              <w:jc w:val="center"/>
              <w:rPr>
                <w:rFonts w:ascii="宋体" w:hAnsi="宋体" w:cs="宋体"/>
                <w:color w:val="auto"/>
                <w:highlight w:val="none"/>
              </w:rPr>
            </w:pPr>
            <w:r>
              <w:rPr>
                <w:rFonts w:hint="eastAsia" w:ascii="宋体" w:hAnsi="宋体" w:cs="宋体"/>
                <w:color w:val="auto"/>
                <w:highlight w:val="none"/>
                <w:lang w:val="en-US" w:eastAsia="zh-CN"/>
              </w:rPr>
              <w:t>2.5技术</w:t>
            </w:r>
            <w:r>
              <w:rPr>
                <w:rFonts w:hint="eastAsia" w:ascii="宋体" w:hAnsi="宋体" w:cs="宋体"/>
                <w:color w:val="auto"/>
                <w:highlight w:val="none"/>
              </w:rPr>
              <w:t>部分</w:t>
            </w:r>
          </w:p>
          <w:p w14:paraId="34AEC104">
            <w:pPr>
              <w:spacing w:line="240" w:lineRule="auto"/>
              <w:ind w:firstLine="0" w:firstLineChars="0"/>
              <w:jc w:val="center"/>
              <w:rPr>
                <w:rFonts w:hint="eastAsia"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15</w:t>
            </w:r>
            <w:r>
              <w:rPr>
                <w:rFonts w:hint="eastAsia" w:ascii="宋体" w:hAnsi="宋体" w:cs="宋体"/>
                <w:color w:val="auto"/>
                <w:highlight w:val="none"/>
              </w:rPr>
              <w:t>分）</w:t>
            </w:r>
          </w:p>
        </w:tc>
        <w:tc>
          <w:tcPr>
            <w:tcW w:w="1062" w:type="dxa"/>
            <w:tcBorders>
              <w:top w:val="single" w:color="auto" w:sz="4" w:space="0"/>
              <w:left w:val="single" w:color="auto" w:sz="4" w:space="0"/>
              <w:bottom w:val="single" w:color="auto" w:sz="4" w:space="0"/>
              <w:right w:val="single" w:color="auto" w:sz="4" w:space="0"/>
              <w:tl2br w:val="nil"/>
              <w:tr2bl w:val="nil"/>
            </w:tcBorders>
            <w:noWrap/>
            <w:vAlign w:val="center"/>
          </w:tcPr>
          <w:p w14:paraId="76C00206">
            <w:pPr>
              <w:spacing w:line="240" w:lineRule="auto"/>
              <w:ind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服务方案（5分）</w:t>
            </w:r>
          </w:p>
        </w:tc>
        <w:tc>
          <w:tcPr>
            <w:tcW w:w="6907" w:type="dxa"/>
            <w:tcBorders>
              <w:top w:val="single" w:color="auto" w:sz="4" w:space="0"/>
              <w:left w:val="single" w:color="auto" w:sz="4" w:space="0"/>
              <w:bottom w:val="single" w:color="auto" w:sz="4" w:space="0"/>
              <w:right w:val="single" w:color="auto" w:sz="4" w:space="0"/>
              <w:tl2br w:val="nil"/>
              <w:tr2bl w:val="nil"/>
            </w:tcBorders>
            <w:noWrap/>
            <w:vAlign w:val="center"/>
          </w:tcPr>
          <w:p w14:paraId="5B97D0B8">
            <w:pPr>
              <w:spacing w:line="240" w:lineRule="auto"/>
              <w:ind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服务方案总体框架针对性强；服务方案内容完整全面、合理，科学、严谨，有序、高效，工作流程清晰、准确、完整，可行性强；服务方案内容完整全面、合理，科学、严谨，有序、高效，工作流程清晰、准确、完整，可行性强</w:t>
            </w:r>
            <w:r>
              <w:rPr>
                <w:rFonts w:hint="eastAsia" w:ascii="宋体" w:hAnsi="宋体" w:eastAsia="宋体" w:cs="宋体"/>
                <w:color w:val="auto"/>
                <w:highlight w:val="none"/>
                <w:lang w:val="en-US" w:eastAsia="zh-CN"/>
              </w:rPr>
              <w:t>得</w:t>
            </w:r>
            <w:r>
              <w:rPr>
                <w:rFonts w:hint="eastAsia" w:ascii="宋体" w:hAnsi="宋体" w:eastAsia="宋体" w:cs="宋体"/>
                <w:color w:val="auto"/>
                <w:highlight w:val="none"/>
              </w:rPr>
              <w:t>5分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服务方案内容完整</w:t>
            </w:r>
            <w:r>
              <w:rPr>
                <w:rFonts w:hint="eastAsia" w:ascii="宋体" w:hAnsi="宋体" w:eastAsia="宋体" w:cs="宋体"/>
                <w:color w:val="auto"/>
                <w:highlight w:val="none"/>
                <w:lang w:val="en-US" w:eastAsia="zh-CN"/>
              </w:rPr>
              <w:t>比较</w:t>
            </w:r>
            <w:r>
              <w:rPr>
                <w:rFonts w:hint="eastAsia" w:ascii="宋体" w:hAnsi="宋体" w:eastAsia="宋体" w:cs="宋体"/>
                <w:color w:val="auto"/>
                <w:highlight w:val="none"/>
              </w:rPr>
              <w:t>全面、</w:t>
            </w:r>
            <w:r>
              <w:rPr>
                <w:rFonts w:hint="eastAsia" w:ascii="宋体" w:hAnsi="宋体" w:eastAsia="宋体" w:cs="宋体"/>
                <w:color w:val="auto"/>
                <w:highlight w:val="none"/>
                <w:lang w:val="en-US" w:eastAsia="zh-CN"/>
              </w:rPr>
              <w:t>比较</w:t>
            </w:r>
            <w:r>
              <w:rPr>
                <w:rFonts w:hint="eastAsia" w:ascii="宋体" w:hAnsi="宋体" w:eastAsia="宋体" w:cs="宋体"/>
                <w:color w:val="auto"/>
                <w:highlight w:val="none"/>
              </w:rPr>
              <w:t>合理，</w:t>
            </w:r>
            <w:r>
              <w:rPr>
                <w:rFonts w:hint="eastAsia" w:ascii="宋体" w:hAnsi="宋体" w:eastAsia="宋体" w:cs="宋体"/>
                <w:color w:val="auto"/>
                <w:highlight w:val="none"/>
                <w:lang w:val="en-US" w:eastAsia="zh-CN"/>
              </w:rPr>
              <w:t>比较</w:t>
            </w:r>
            <w:r>
              <w:rPr>
                <w:rFonts w:hint="eastAsia" w:ascii="宋体" w:hAnsi="宋体" w:eastAsia="宋体" w:cs="宋体"/>
                <w:color w:val="auto"/>
                <w:highlight w:val="none"/>
              </w:rPr>
              <w:t>科学、</w:t>
            </w:r>
            <w:r>
              <w:rPr>
                <w:rFonts w:hint="eastAsia" w:ascii="宋体" w:hAnsi="宋体" w:eastAsia="宋体" w:cs="宋体"/>
                <w:color w:val="auto"/>
                <w:highlight w:val="none"/>
                <w:lang w:val="en-US" w:eastAsia="zh-CN"/>
              </w:rPr>
              <w:t>比较</w:t>
            </w:r>
            <w:r>
              <w:rPr>
                <w:rFonts w:hint="eastAsia" w:ascii="宋体" w:hAnsi="宋体" w:eastAsia="宋体" w:cs="宋体"/>
                <w:color w:val="auto"/>
                <w:highlight w:val="none"/>
              </w:rPr>
              <w:t>严谨，</w:t>
            </w:r>
            <w:r>
              <w:rPr>
                <w:rFonts w:hint="eastAsia" w:ascii="宋体" w:hAnsi="宋体" w:eastAsia="宋体" w:cs="宋体"/>
                <w:color w:val="auto"/>
                <w:highlight w:val="none"/>
                <w:lang w:val="en-US" w:eastAsia="zh-CN"/>
              </w:rPr>
              <w:t>比较</w:t>
            </w:r>
            <w:r>
              <w:rPr>
                <w:rFonts w:hint="eastAsia" w:ascii="宋体" w:hAnsi="宋体" w:eastAsia="宋体" w:cs="宋体"/>
                <w:color w:val="auto"/>
                <w:highlight w:val="none"/>
              </w:rPr>
              <w:t>有序、</w:t>
            </w:r>
            <w:r>
              <w:rPr>
                <w:rFonts w:hint="eastAsia" w:ascii="宋体" w:hAnsi="宋体" w:eastAsia="宋体" w:cs="宋体"/>
                <w:color w:val="auto"/>
                <w:highlight w:val="none"/>
                <w:lang w:val="en-US" w:eastAsia="zh-CN"/>
              </w:rPr>
              <w:t>比较</w:t>
            </w:r>
            <w:r>
              <w:rPr>
                <w:rFonts w:hint="eastAsia" w:ascii="宋体" w:hAnsi="宋体" w:eastAsia="宋体" w:cs="宋体"/>
                <w:color w:val="auto"/>
                <w:highlight w:val="none"/>
              </w:rPr>
              <w:t>高效，工作流程</w:t>
            </w:r>
            <w:r>
              <w:rPr>
                <w:rFonts w:hint="eastAsia" w:ascii="宋体" w:hAnsi="宋体" w:eastAsia="宋体" w:cs="宋体"/>
                <w:color w:val="auto"/>
                <w:highlight w:val="none"/>
                <w:lang w:val="en-US" w:eastAsia="zh-CN"/>
              </w:rPr>
              <w:t>比较</w:t>
            </w:r>
            <w:r>
              <w:rPr>
                <w:rFonts w:hint="eastAsia" w:ascii="宋体" w:hAnsi="宋体" w:eastAsia="宋体" w:cs="宋体"/>
                <w:color w:val="auto"/>
                <w:highlight w:val="none"/>
              </w:rPr>
              <w:t>清晰、</w:t>
            </w:r>
            <w:r>
              <w:rPr>
                <w:rFonts w:hint="eastAsia" w:ascii="宋体" w:hAnsi="宋体" w:eastAsia="宋体" w:cs="宋体"/>
                <w:color w:val="auto"/>
                <w:highlight w:val="none"/>
                <w:lang w:val="en-US" w:eastAsia="zh-CN"/>
              </w:rPr>
              <w:t>比较</w:t>
            </w:r>
            <w:r>
              <w:rPr>
                <w:rFonts w:hint="eastAsia" w:ascii="宋体" w:hAnsi="宋体" w:eastAsia="宋体" w:cs="宋体"/>
                <w:color w:val="auto"/>
                <w:highlight w:val="none"/>
              </w:rPr>
              <w:t>准确、</w:t>
            </w:r>
            <w:r>
              <w:rPr>
                <w:rFonts w:hint="eastAsia" w:ascii="宋体" w:hAnsi="宋体" w:eastAsia="宋体" w:cs="宋体"/>
                <w:color w:val="auto"/>
                <w:highlight w:val="none"/>
                <w:lang w:val="en-US" w:eastAsia="zh-CN"/>
              </w:rPr>
              <w:t>比较</w:t>
            </w:r>
            <w:r>
              <w:rPr>
                <w:rFonts w:hint="eastAsia" w:ascii="宋体" w:hAnsi="宋体" w:eastAsia="宋体" w:cs="宋体"/>
                <w:color w:val="auto"/>
                <w:highlight w:val="none"/>
              </w:rPr>
              <w:t>完整，可行性</w:t>
            </w:r>
            <w:r>
              <w:rPr>
                <w:rFonts w:hint="eastAsia" w:ascii="宋体" w:hAnsi="宋体" w:eastAsia="宋体" w:cs="宋体"/>
                <w:color w:val="auto"/>
                <w:highlight w:val="none"/>
                <w:lang w:val="en-US" w:eastAsia="zh-CN"/>
              </w:rPr>
              <w:t>比较</w:t>
            </w:r>
            <w:r>
              <w:rPr>
                <w:rFonts w:hint="eastAsia" w:ascii="宋体" w:hAnsi="宋体" w:eastAsia="宋体" w:cs="宋体"/>
                <w:color w:val="auto"/>
                <w:highlight w:val="none"/>
              </w:rPr>
              <w:t>强</w:t>
            </w:r>
            <w:r>
              <w:rPr>
                <w:rFonts w:hint="eastAsia" w:ascii="宋体" w:hAnsi="宋体" w:eastAsia="宋体" w:cs="宋体"/>
                <w:color w:val="auto"/>
                <w:highlight w:val="none"/>
                <w:lang w:val="en-US" w:eastAsia="zh-CN"/>
              </w:rPr>
              <w:t>得</w:t>
            </w:r>
            <w:r>
              <w:rPr>
                <w:rFonts w:hint="eastAsia" w:ascii="宋体" w:hAnsi="宋体" w:eastAsia="宋体" w:cs="宋体"/>
                <w:color w:val="auto"/>
                <w:highlight w:val="none"/>
              </w:rPr>
              <w:t>3分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服务方案内容完整</w:t>
            </w:r>
            <w:r>
              <w:rPr>
                <w:rFonts w:hint="eastAsia" w:ascii="宋体" w:hAnsi="宋体" w:eastAsia="宋体" w:cs="宋体"/>
                <w:color w:val="auto"/>
                <w:highlight w:val="none"/>
                <w:lang w:val="en-US" w:eastAsia="zh-CN"/>
              </w:rPr>
              <w:t>基本</w:t>
            </w:r>
            <w:r>
              <w:rPr>
                <w:rFonts w:hint="eastAsia" w:ascii="宋体" w:hAnsi="宋体" w:eastAsia="宋体" w:cs="宋体"/>
                <w:color w:val="auto"/>
                <w:highlight w:val="none"/>
              </w:rPr>
              <w:t>全面、</w:t>
            </w:r>
            <w:r>
              <w:rPr>
                <w:rFonts w:hint="eastAsia" w:ascii="宋体" w:hAnsi="宋体" w:eastAsia="宋体" w:cs="宋体"/>
                <w:color w:val="auto"/>
                <w:highlight w:val="none"/>
                <w:lang w:val="en-US" w:eastAsia="zh-CN"/>
              </w:rPr>
              <w:t>基本</w:t>
            </w:r>
            <w:r>
              <w:rPr>
                <w:rFonts w:hint="eastAsia" w:ascii="宋体" w:hAnsi="宋体" w:eastAsia="宋体" w:cs="宋体"/>
                <w:color w:val="auto"/>
                <w:highlight w:val="none"/>
              </w:rPr>
              <w:t>合理，</w:t>
            </w:r>
            <w:r>
              <w:rPr>
                <w:rFonts w:hint="eastAsia" w:ascii="宋体" w:hAnsi="宋体" w:eastAsia="宋体" w:cs="宋体"/>
                <w:color w:val="auto"/>
                <w:highlight w:val="none"/>
                <w:lang w:val="en-US" w:eastAsia="zh-CN"/>
              </w:rPr>
              <w:t>基本</w:t>
            </w:r>
            <w:r>
              <w:rPr>
                <w:rFonts w:hint="eastAsia" w:ascii="宋体" w:hAnsi="宋体" w:eastAsia="宋体" w:cs="宋体"/>
                <w:color w:val="auto"/>
                <w:highlight w:val="none"/>
              </w:rPr>
              <w:t>科学、</w:t>
            </w:r>
            <w:r>
              <w:rPr>
                <w:rFonts w:hint="eastAsia" w:ascii="宋体" w:hAnsi="宋体" w:eastAsia="宋体" w:cs="宋体"/>
                <w:color w:val="auto"/>
                <w:highlight w:val="none"/>
                <w:lang w:val="en-US" w:eastAsia="zh-CN"/>
              </w:rPr>
              <w:t>基本</w:t>
            </w:r>
            <w:r>
              <w:rPr>
                <w:rFonts w:hint="eastAsia" w:ascii="宋体" w:hAnsi="宋体" w:eastAsia="宋体" w:cs="宋体"/>
                <w:color w:val="auto"/>
                <w:highlight w:val="none"/>
              </w:rPr>
              <w:t>严谨，</w:t>
            </w:r>
            <w:r>
              <w:rPr>
                <w:rFonts w:hint="eastAsia" w:ascii="宋体" w:hAnsi="宋体" w:eastAsia="宋体" w:cs="宋体"/>
                <w:color w:val="auto"/>
                <w:highlight w:val="none"/>
                <w:lang w:val="en-US" w:eastAsia="zh-CN"/>
              </w:rPr>
              <w:t>基本</w:t>
            </w:r>
            <w:r>
              <w:rPr>
                <w:rFonts w:hint="eastAsia" w:ascii="宋体" w:hAnsi="宋体" w:eastAsia="宋体" w:cs="宋体"/>
                <w:color w:val="auto"/>
                <w:highlight w:val="none"/>
              </w:rPr>
              <w:t>有序、</w:t>
            </w:r>
            <w:r>
              <w:rPr>
                <w:rFonts w:hint="eastAsia" w:ascii="宋体" w:hAnsi="宋体" w:eastAsia="宋体" w:cs="宋体"/>
                <w:color w:val="auto"/>
                <w:highlight w:val="none"/>
                <w:lang w:val="en-US" w:eastAsia="zh-CN"/>
              </w:rPr>
              <w:t>基本</w:t>
            </w:r>
            <w:r>
              <w:rPr>
                <w:rFonts w:hint="eastAsia" w:ascii="宋体" w:hAnsi="宋体" w:eastAsia="宋体" w:cs="宋体"/>
                <w:color w:val="auto"/>
                <w:highlight w:val="none"/>
              </w:rPr>
              <w:t>高效，工作流程</w:t>
            </w:r>
            <w:r>
              <w:rPr>
                <w:rFonts w:hint="eastAsia" w:ascii="宋体" w:hAnsi="宋体" w:eastAsia="宋体" w:cs="宋体"/>
                <w:color w:val="auto"/>
                <w:highlight w:val="none"/>
                <w:lang w:val="en-US" w:eastAsia="zh-CN"/>
              </w:rPr>
              <w:t>基本</w:t>
            </w:r>
            <w:r>
              <w:rPr>
                <w:rFonts w:hint="eastAsia" w:ascii="宋体" w:hAnsi="宋体" w:eastAsia="宋体" w:cs="宋体"/>
                <w:color w:val="auto"/>
                <w:highlight w:val="none"/>
              </w:rPr>
              <w:t>清晰、</w:t>
            </w:r>
            <w:r>
              <w:rPr>
                <w:rFonts w:hint="eastAsia" w:ascii="宋体" w:hAnsi="宋体" w:eastAsia="宋体" w:cs="宋体"/>
                <w:color w:val="auto"/>
                <w:highlight w:val="none"/>
                <w:lang w:val="en-US" w:eastAsia="zh-CN"/>
              </w:rPr>
              <w:t>基本</w:t>
            </w:r>
            <w:r>
              <w:rPr>
                <w:rFonts w:hint="eastAsia" w:ascii="宋体" w:hAnsi="宋体" w:eastAsia="宋体" w:cs="宋体"/>
                <w:color w:val="auto"/>
                <w:highlight w:val="none"/>
              </w:rPr>
              <w:t>准确、</w:t>
            </w:r>
            <w:r>
              <w:rPr>
                <w:rFonts w:hint="eastAsia" w:ascii="宋体" w:hAnsi="宋体" w:eastAsia="宋体" w:cs="宋体"/>
                <w:color w:val="auto"/>
                <w:highlight w:val="none"/>
                <w:lang w:val="en-US" w:eastAsia="zh-CN"/>
              </w:rPr>
              <w:t>基本</w:t>
            </w:r>
            <w:r>
              <w:rPr>
                <w:rFonts w:hint="eastAsia" w:ascii="宋体" w:hAnsi="宋体" w:eastAsia="宋体" w:cs="宋体"/>
                <w:color w:val="auto"/>
                <w:highlight w:val="none"/>
              </w:rPr>
              <w:t>完整，可行性</w:t>
            </w:r>
            <w:r>
              <w:rPr>
                <w:rFonts w:hint="eastAsia" w:ascii="宋体" w:hAnsi="宋体" w:eastAsia="宋体" w:cs="宋体"/>
                <w:color w:val="auto"/>
                <w:highlight w:val="none"/>
                <w:lang w:val="en-US" w:eastAsia="zh-CN"/>
              </w:rPr>
              <w:t>基本可行得</w:t>
            </w:r>
            <w:r>
              <w:rPr>
                <w:rFonts w:hint="eastAsia" w:ascii="宋体" w:hAnsi="宋体" w:eastAsia="宋体" w:cs="宋体"/>
                <w:color w:val="auto"/>
                <w:highlight w:val="none"/>
              </w:rPr>
              <w:t>1分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服务方案内容完整</w:t>
            </w:r>
            <w:r>
              <w:rPr>
                <w:rFonts w:hint="eastAsia" w:ascii="宋体" w:hAnsi="宋体" w:eastAsia="宋体" w:cs="宋体"/>
                <w:color w:val="auto"/>
                <w:highlight w:val="none"/>
                <w:lang w:val="en-US" w:eastAsia="zh-CN"/>
              </w:rPr>
              <w:t>不</w:t>
            </w:r>
            <w:r>
              <w:rPr>
                <w:rFonts w:hint="eastAsia" w:ascii="宋体" w:hAnsi="宋体" w:eastAsia="宋体" w:cs="宋体"/>
                <w:color w:val="auto"/>
                <w:highlight w:val="none"/>
              </w:rPr>
              <w:t>全面、</w:t>
            </w:r>
            <w:r>
              <w:rPr>
                <w:rFonts w:hint="eastAsia" w:ascii="宋体" w:hAnsi="宋体" w:eastAsia="宋体" w:cs="宋体"/>
                <w:color w:val="auto"/>
                <w:highlight w:val="none"/>
                <w:lang w:val="en-US" w:eastAsia="zh-CN"/>
              </w:rPr>
              <w:t>不</w:t>
            </w:r>
            <w:r>
              <w:rPr>
                <w:rFonts w:hint="eastAsia" w:ascii="宋体" w:hAnsi="宋体" w:eastAsia="宋体" w:cs="宋体"/>
                <w:color w:val="auto"/>
                <w:highlight w:val="none"/>
              </w:rPr>
              <w:t>合理，</w:t>
            </w:r>
            <w:r>
              <w:rPr>
                <w:rFonts w:hint="eastAsia" w:ascii="宋体" w:hAnsi="宋体" w:eastAsia="宋体" w:cs="宋体"/>
                <w:color w:val="auto"/>
                <w:highlight w:val="none"/>
                <w:lang w:val="en-US" w:eastAsia="zh-CN"/>
              </w:rPr>
              <w:t>不</w:t>
            </w:r>
            <w:r>
              <w:rPr>
                <w:rFonts w:hint="eastAsia" w:ascii="宋体" w:hAnsi="宋体" w:eastAsia="宋体" w:cs="宋体"/>
                <w:color w:val="auto"/>
                <w:highlight w:val="none"/>
              </w:rPr>
              <w:t>科学、</w:t>
            </w:r>
            <w:r>
              <w:rPr>
                <w:rFonts w:hint="eastAsia" w:ascii="宋体" w:hAnsi="宋体" w:eastAsia="宋体" w:cs="宋体"/>
                <w:color w:val="auto"/>
                <w:highlight w:val="none"/>
                <w:lang w:val="en-US" w:eastAsia="zh-CN"/>
              </w:rPr>
              <w:t>不</w:t>
            </w:r>
            <w:r>
              <w:rPr>
                <w:rFonts w:hint="eastAsia" w:ascii="宋体" w:hAnsi="宋体" w:eastAsia="宋体" w:cs="宋体"/>
                <w:color w:val="auto"/>
                <w:highlight w:val="none"/>
              </w:rPr>
              <w:t>严谨，</w:t>
            </w:r>
            <w:r>
              <w:rPr>
                <w:rFonts w:hint="eastAsia" w:ascii="宋体" w:hAnsi="宋体" w:eastAsia="宋体" w:cs="宋体"/>
                <w:color w:val="auto"/>
                <w:highlight w:val="none"/>
                <w:lang w:val="en-US" w:eastAsia="zh-CN"/>
              </w:rPr>
              <w:t>不</w:t>
            </w:r>
            <w:r>
              <w:rPr>
                <w:rFonts w:hint="eastAsia" w:ascii="宋体" w:hAnsi="宋体" w:eastAsia="宋体" w:cs="宋体"/>
                <w:color w:val="auto"/>
                <w:highlight w:val="none"/>
              </w:rPr>
              <w:t>准确、</w:t>
            </w:r>
            <w:r>
              <w:rPr>
                <w:rFonts w:hint="eastAsia" w:ascii="宋体" w:hAnsi="宋体" w:eastAsia="宋体" w:cs="宋体"/>
                <w:color w:val="auto"/>
                <w:highlight w:val="none"/>
                <w:lang w:val="en-US" w:eastAsia="zh-CN"/>
              </w:rPr>
              <w:t>不</w:t>
            </w:r>
            <w:r>
              <w:rPr>
                <w:rFonts w:hint="eastAsia" w:ascii="宋体" w:hAnsi="宋体" w:eastAsia="宋体" w:cs="宋体"/>
                <w:color w:val="auto"/>
                <w:highlight w:val="none"/>
              </w:rPr>
              <w:t>完整，</w:t>
            </w:r>
            <w:r>
              <w:rPr>
                <w:rFonts w:hint="eastAsia" w:ascii="宋体" w:hAnsi="宋体" w:eastAsia="宋体" w:cs="宋体"/>
                <w:color w:val="auto"/>
                <w:highlight w:val="none"/>
                <w:lang w:val="en-US" w:eastAsia="zh-CN"/>
              </w:rPr>
              <w:t>不</w:t>
            </w:r>
            <w:r>
              <w:rPr>
                <w:rFonts w:hint="eastAsia" w:ascii="宋体" w:hAnsi="宋体" w:eastAsia="宋体" w:cs="宋体"/>
                <w:color w:val="auto"/>
                <w:highlight w:val="none"/>
              </w:rPr>
              <w:t>行性</w:t>
            </w:r>
            <w:r>
              <w:rPr>
                <w:rFonts w:hint="eastAsia" w:ascii="宋体" w:hAnsi="宋体" w:eastAsia="宋体" w:cs="宋体"/>
                <w:color w:val="auto"/>
                <w:highlight w:val="none"/>
                <w:lang w:val="en-US" w:eastAsia="zh-CN"/>
              </w:rPr>
              <w:t>得0.5</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缺项：0分。</w:t>
            </w:r>
          </w:p>
        </w:tc>
      </w:tr>
      <w:tr w14:paraId="7B4A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rPr>
        <w:tc>
          <w:tcPr>
            <w:tcW w:w="1082" w:type="dxa"/>
            <w:vMerge w:val="continue"/>
            <w:tcBorders>
              <w:left w:val="single" w:color="auto" w:sz="4" w:space="0"/>
              <w:right w:val="single" w:color="auto" w:sz="4" w:space="0"/>
              <w:tl2br w:val="nil"/>
              <w:tr2bl w:val="nil"/>
            </w:tcBorders>
            <w:noWrap/>
            <w:vAlign w:val="center"/>
          </w:tcPr>
          <w:p w14:paraId="45318424">
            <w:pPr>
              <w:spacing w:line="240" w:lineRule="auto"/>
              <w:ind w:firstLine="0" w:firstLineChars="0"/>
              <w:jc w:val="center"/>
              <w:rPr>
                <w:rFonts w:ascii="宋体" w:hAnsi="宋体" w:cs="宋体"/>
                <w:color w:val="auto"/>
                <w:highlight w:val="none"/>
              </w:rPr>
            </w:pPr>
          </w:p>
        </w:tc>
        <w:tc>
          <w:tcPr>
            <w:tcW w:w="1062" w:type="dxa"/>
            <w:tcBorders>
              <w:top w:val="single" w:color="auto" w:sz="4" w:space="0"/>
              <w:left w:val="single" w:color="auto" w:sz="4" w:space="0"/>
              <w:bottom w:val="single" w:color="auto" w:sz="4" w:space="0"/>
              <w:right w:val="single" w:color="auto" w:sz="4" w:space="0"/>
              <w:tl2br w:val="nil"/>
              <w:tr2bl w:val="nil"/>
            </w:tcBorders>
            <w:noWrap/>
            <w:vAlign w:val="center"/>
          </w:tcPr>
          <w:p w14:paraId="58FD59A7">
            <w:pPr>
              <w:spacing w:line="240" w:lineRule="auto"/>
              <w:ind w:firstLine="0" w:firstLineChars="0"/>
              <w:rPr>
                <w:rFonts w:hint="eastAsia" w:ascii="宋体" w:hAnsi="宋体" w:eastAsia="宋体" w:cs="宋体"/>
                <w:color w:val="auto"/>
                <w:highlight w:val="none"/>
                <w:lang w:val="en-US" w:eastAsia="en-US"/>
              </w:rPr>
            </w:pPr>
            <w:r>
              <w:rPr>
                <w:rFonts w:hint="eastAsia" w:ascii="宋体" w:hAnsi="宋体" w:eastAsia="宋体" w:cs="宋体"/>
                <w:color w:val="auto"/>
                <w:highlight w:val="none"/>
              </w:rPr>
              <w:t>进度保障措施（5分）</w:t>
            </w:r>
          </w:p>
        </w:tc>
        <w:tc>
          <w:tcPr>
            <w:tcW w:w="6907" w:type="dxa"/>
            <w:tcBorders>
              <w:top w:val="single" w:color="auto" w:sz="4" w:space="0"/>
              <w:left w:val="single" w:color="auto" w:sz="4" w:space="0"/>
              <w:bottom w:val="single" w:color="auto" w:sz="4" w:space="0"/>
              <w:right w:val="single" w:color="auto" w:sz="4" w:space="0"/>
              <w:tl2br w:val="nil"/>
              <w:tr2bl w:val="nil"/>
            </w:tcBorders>
            <w:noWrap/>
            <w:vAlign w:val="center"/>
          </w:tcPr>
          <w:p w14:paraId="722BD445">
            <w:pPr>
              <w:spacing w:line="240" w:lineRule="auto"/>
              <w:ind w:firstLine="0" w:firstLineChars="0"/>
              <w:rPr>
                <w:rFonts w:hint="eastAsia" w:ascii="宋体" w:hAnsi="宋体" w:eastAsia="宋体" w:cs="宋体"/>
                <w:color w:val="auto"/>
                <w:highlight w:val="none"/>
                <w:lang w:val="en-US" w:eastAsia="en-US"/>
              </w:rPr>
            </w:pPr>
            <w:r>
              <w:rPr>
                <w:rFonts w:hint="eastAsia" w:ascii="宋体" w:hAnsi="宋体" w:eastAsia="宋体" w:cs="宋体"/>
                <w:color w:val="auto"/>
                <w:highlight w:val="none"/>
              </w:rPr>
              <w:t>进度保障措施编制体系完整科学，针对性极强，完全覆盖资源调配、方案优化、工期管控、风险预警等全流程环节，可行性极强，可完全满足甚至超出项目进度要</w:t>
            </w:r>
            <w:r>
              <w:rPr>
                <w:rFonts w:hint="eastAsia" w:ascii="宋体" w:hAnsi="宋体" w:cs="宋体"/>
                <w:color w:val="auto"/>
                <w:highlight w:val="none"/>
                <w:lang w:val="en-US" w:eastAsia="zh-CN"/>
              </w:rPr>
              <w:t>得</w:t>
            </w:r>
            <w:r>
              <w:rPr>
                <w:rFonts w:hint="eastAsia" w:ascii="宋体" w:hAnsi="宋体" w:eastAsia="宋体" w:cs="宋体"/>
                <w:color w:val="auto"/>
                <w:highlight w:val="none"/>
              </w:rPr>
              <w:t>5分</w:t>
            </w:r>
            <w:r>
              <w:rPr>
                <w:rFonts w:hint="eastAsia" w:ascii="宋体" w:hAnsi="宋体" w:cs="宋体"/>
                <w:color w:val="auto"/>
                <w:highlight w:val="none"/>
                <w:lang w:eastAsia="zh-CN"/>
              </w:rPr>
              <w:t>；</w:t>
            </w:r>
            <w:r>
              <w:rPr>
                <w:rFonts w:hint="eastAsia" w:ascii="宋体" w:hAnsi="宋体" w:eastAsia="宋体" w:cs="宋体"/>
                <w:color w:val="auto"/>
                <w:highlight w:val="none"/>
              </w:rPr>
              <w:t>内容较为完整合理，具备基础可行性，核心进度管控环节无明显缺失，基本能够匹配项目常规进度需求，仅在细节完善度上存在小幅优化空间</w:t>
            </w:r>
            <w:r>
              <w:rPr>
                <w:rFonts w:hint="eastAsia" w:ascii="宋体" w:hAnsi="宋体" w:cs="宋体"/>
                <w:color w:val="auto"/>
                <w:highlight w:val="none"/>
                <w:lang w:val="en-US" w:eastAsia="zh-CN"/>
              </w:rPr>
              <w:t>得</w:t>
            </w:r>
            <w:r>
              <w:rPr>
                <w:rFonts w:hint="eastAsia" w:ascii="宋体" w:hAnsi="宋体" w:eastAsia="宋体" w:cs="宋体"/>
                <w:color w:val="auto"/>
                <w:highlight w:val="none"/>
              </w:rPr>
              <w:t>3分</w:t>
            </w:r>
            <w:r>
              <w:rPr>
                <w:rFonts w:hint="eastAsia" w:ascii="宋体" w:hAnsi="宋体" w:cs="宋体"/>
                <w:color w:val="auto"/>
                <w:highlight w:val="none"/>
                <w:lang w:eastAsia="zh-CN"/>
              </w:rPr>
              <w:t>；</w:t>
            </w:r>
            <w:r>
              <w:rPr>
                <w:rFonts w:hint="eastAsia" w:ascii="宋体" w:hAnsi="宋体" w:eastAsia="宋体" w:cs="宋体"/>
                <w:color w:val="auto"/>
                <w:highlight w:val="none"/>
              </w:rPr>
              <w:t>内容笼统片面，逻辑合理性不足，关键进度管控环节存在缺失，可行性较差，无法保障项目按计划推进，甚至会出现明显进度偏差</w:t>
            </w:r>
            <w:r>
              <w:rPr>
                <w:rFonts w:hint="eastAsia" w:ascii="宋体" w:hAnsi="宋体" w:cs="宋体"/>
                <w:color w:val="auto"/>
                <w:highlight w:val="none"/>
                <w:lang w:val="en-US" w:eastAsia="zh-CN"/>
              </w:rPr>
              <w:t>得</w:t>
            </w:r>
            <w:r>
              <w:rPr>
                <w:rFonts w:hint="eastAsia" w:ascii="宋体" w:hAnsi="宋体" w:eastAsia="宋体" w:cs="宋体"/>
                <w:color w:val="auto"/>
                <w:highlight w:val="none"/>
              </w:rPr>
              <w:t>1分</w:t>
            </w:r>
            <w:r>
              <w:rPr>
                <w:rFonts w:hint="eastAsia" w:ascii="宋体" w:hAnsi="宋体" w:cs="宋体"/>
                <w:color w:val="auto"/>
                <w:highlight w:val="none"/>
                <w:lang w:eastAsia="zh-CN"/>
              </w:rPr>
              <w:t>；</w:t>
            </w:r>
            <w:r>
              <w:rPr>
                <w:rFonts w:hint="eastAsia" w:ascii="宋体" w:hAnsi="宋体" w:eastAsia="宋体" w:cs="宋体"/>
                <w:color w:val="auto"/>
                <w:highlight w:val="none"/>
              </w:rPr>
              <w:t>缺项0分。</w:t>
            </w:r>
          </w:p>
        </w:tc>
      </w:tr>
      <w:tr w14:paraId="5A0B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1082" w:type="dxa"/>
            <w:vMerge w:val="continue"/>
            <w:tcBorders>
              <w:left w:val="single" w:color="auto" w:sz="4" w:space="0"/>
              <w:right w:val="single" w:color="auto" w:sz="4" w:space="0"/>
              <w:tl2br w:val="nil"/>
              <w:tr2bl w:val="nil"/>
            </w:tcBorders>
            <w:noWrap/>
            <w:vAlign w:val="center"/>
          </w:tcPr>
          <w:p w14:paraId="39378CD2">
            <w:pPr>
              <w:spacing w:line="240" w:lineRule="auto"/>
              <w:ind w:firstLine="0" w:firstLineChars="0"/>
              <w:jc w:val="center"/>
              <w:rPr>
                <w:rFonts w:ascii="宋体" w:hAnsi="宋体" w:cs="宋体"/>
                <w:color w:val="auto"/>
                <w:highlight w:val="none"/>
              </w:rPr>
            </w:pPr>
          </w:p>
        </w:tc>
        <w:tc>
          <w:tcPr>
            <w:tcW w:w="1062" w:type="dxa"/>
            <w:tcBorders>
              <w:top w:val="single" w:color="auto" w:sz="4" w:space="0"/>
              <w:left w:val="single" w:color="auto" w:sz="4" w:space="0"/>
              <w:bottom w:val="single" w:color="auto" w:sz="4" w:space="0"/>
              <w:right w:val="single" w:color="auto" w:sz="4" w:space="0"/>
              <w:tl2br w:val="nil"/>
              <w:tr2bl w:val="nil"/>
            </w:tcBorders>
            <w:noWrap/>
            <w:vAlign w:val="center"/>
          </w:tcPr>
          <w:p w14:paraId="01088F48">
            <w:pPr>
              <w:spacing w:line="240" w:lineRule="auto"/>
              <w:ind w:firstLine="0" w:firstLineChars="0"/>
              <w:rPr>
                <w:rFonts w:hint="eastAsia" w:ascii="宋体" w:hAnsi="宋体" w:eastAsia="宋体" w:cs="宋体"/>
                <w:color w:val="auto"/>
                <w:highlight w:val="none"/>
                <w:lang w:val="en-US" w:eastAsia="en-US"/>
              </w:rPr>
            </w:pPr>
            <w:r>
              <w:rPr>
                <w:rFonts w:hint="eastAsia" w:ascii="宋体" w:hAnsi="宋体" w:eastAsia="宋体" w:cs="宋体"/>
                <w:color w:val="auto"/>
                <w:highlight w:val="none"/>
              </w:rPr>
              <w:t>重难点分析（5分）</w:t>
            </w:r>
          </w:p>
        </w:tc>
        <w:tc>
          <w:tcPr>
            <w:tcW w:w="6907" w:type="dxa"/>
            <w:tcBorders>
              <w:top w:val="single" w:color="auto" w:sz="4" w:space="0"/>
              <w:left w:val="single" w:color="auto" w:sz="4" w:space="0"/>
              <w:bottom w:val="single" w:color="auto" w:sz="4" w:space="0"/>
              <w:right w:val="single" w:color="auto" w:sz="4" w:space="0"/>
              <w:tl2br w:val="nil"/>
              <w:tr2bl w:val="nil"/>
            </w:tcBorders>
            <w:noWrap/>
            <w:vAlign w:val="center"/>
          </w:tcPr>
          <w:p w14:paraId="10C665F0">
            <w:pPr>
              <w:spacing w:line="240" w:lineRule="auto"/>
              <w:ind w:firstLine="0" w:firstLineChars="0"/>
              <w:rPr>
                <w:rFonts w:hint="eastAsia" w:ascii="宋体" w:hAnsi="宋体" w:eastAsia="宋体" w:cs="宋体"/>
                <w:color w:val="auto"/>
                <w:highlight w:val="none"/>
                <w:lang w:val="en-US" w:eastAsia="en-US"/>
              </w:rPr>
            </w:pPr>
            <w:r>
              <w:rPr>
                <w:rFonts w:hint="eastAsia" w:ascii="宋体" w:hAnsi="宋体" w:eastAsia="宋体" w:cs="宋体"/>
                <w:color w:val="auto"/>
                <w:highlight w:val="none"/>
              </w:rPr>
              <w:t>对项目重难点问题进行分析全面；内容完全贴合项目/课程实际，重难点定位精准，分析逻辑严密，配套的突破思路、应对方案针对性极强，能直接落地指导执行</w:t>
            </w:r>
            <w:r>
              <w:rPr>
                <w:rFonts w:hint="eastAsia" w:ascii="宋体" w:hAnsi="宋体" w:cs="宋体"/>
                <w:color w:val="auto"/>
                <w:highlight w:val="none"/>
                <w:lang w:val="en-US" w:eastAsia="zh-CN"/>
              </w:rPr>
              <w:t>得</w:t>
            </w:r>
            <w:r>
              <w:rPr>
                <w:rFonts w:hint="eastAsia" w:ascii="宋体" w:hAnsi="宋体" w:eastAsia="宋体" w:cs="宋体"/>
                <w:color w:val="auto"/>
                <w:highlight w:val="none"/>
              </w:rPr>
              <w:t>5分</w:t>
            </w:r>
            <w:r>
              <w:rPr>
                <w:rFonts w:hint="eastAsia" w:ascii="宋体" w:hAnsi="宋体" w:cs="宋体"/>
                <w:color w:val="auto"/>
                <w:highlight w:val="none"/>
                <w:lang w:eastAsia="zh-CN"/>
              </w:rPr>
              <w:t>；重难点定位基本准确，内容框架完整，分析逻辑合理，仅在细节深度、方案适配性上存在小幅优化空间，基本可以支撑常规工作推进</w:t>
            </w:r>
            <w:r>
              <w:rPr>
                <w:rFonts w:hint="eastAsia" w:ascii="宋体" w:hAnsi="宋体" w:cs="宋体"/>
                <w:color w:val="auto"/>
                <w:highlight w:val="none"/>
                <w:lang w:val="en-US" w:eastAsia="zh-CN"/>
              </w:rPr>
              <w:t>得</w:t>
            </w:r>
            <w:r>
              <w:rPr>
                <w:rFonts w:hint="eastAsia" w:ascii="宋体" w:hAnsi="宋体" w:eastAsia="宋体" w:cs="宋体"/>
                <w:color w:val="auto"/>
                <w:highlight w:val="none"/>
              </w:rPr>
              <w:t>3分</w:t>
            </w:r>
            <w:r>
              <w:rPr>
                <w:rFonts w:hint="eastAsia" w:ascii="宋体" w:hAnsi="宋体" w:cs="宋体"/>
                <w:color w:val="auto"/>
                <w:highlight w:val="none"/>
                <w:lang w:eastAsia="zh-CN"/>
              </w:rPr>
              <w:t>；</w:t>
            </w:r>
            <w:r>
              <w:rPr>
                <w:rFonts w:hint="eastAsia" w:ascii="宋体" w:hAnsi="宋体" w:eastAsia="宋体" w:cs="宋体"/>
                <w:color w:val="auto"/>
                <w:highlight w:val="none"/>
              </w:rPr>
              <w:t>重难点定位出现明显偏差，内容缺失严重，逻辑混乱，分析浮于表面甚至完全脱离实际，无法为后续工作提供有效指导</w:t>
            </w:r>
            <w:r>
              <w:rPr>
                <w:rFonts w:hint="eastAsia" w:ascii="宋体" w:hAnsi="宋体" w:cs="宋体"/>
                <w:color w:val="auto"/>
                <w:highlight w:val="none"/>
                <w:lang w:val="en-US" w:eastAsia="zh-CN"/>
              </w:rPr>
              <w:t>得</w:t>
            </w:r>
            <w:r>
              <w:rPr>
                <w:rFonts w:hint="eastAsia" w:ascii="宋体" w:hAnsi="宋体" w:eastAsia="宋体" w:cs="宋体"/>
                <w:color w:val="auto"/>
                <w:highlight w:val="none"/>
              </w:rPr>
              <w:t>1分，缺项0分。</w:t>
            </w:r>
          </w:p>
        </w:tc>
      </w:tr>
      <w:tr w14:paraId="0D56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082" w:type="dxa"/>
            <w:vMerge w:val="restart"/>
            <w:tcBorders>
              <w:top w:val="single" w:color="auto" w:sz="4" w:space="0"/>
              <w:left w:val="single" w:color="auto" w:sz="4" w:space="0"/>
              <w:right w:val="single" w:color="auto" w:sz="4" w:space="0"/>
              <w:tl2br w:val="nil"/>
              <w:tr2bl w:val="nil"/>
            </w:tcBorders>
            <w:noWrap/>
            <w:vAlign w:val="center"/>
          </w:tcPr>
          <w:p w14:paraId="2431673C">
            <w:pPr>
              <w:spacing w:line="240" w:lineRule="auto"/>
              <w:ind w:firstLine="0" w:firstLineChars="0"/>
              <w:jc w:val="center"/>
              <w:rPr>
                <w:rFonts w:ascii="宋体" w:hAnsi="宋体" w:cs="宋体"/>
                <w:b w:val="0"/>
                <w:bCs w:val="0"/>
                <w:color w:val="auto"/>
                <w:highlight w:val="none"/>
              </w:rPr>
            </w:pPr>
            <w:r>
              <w:rPr>
                <w:rFonts w:hint="eastAsia" w:ascii="宋体" w:hAnsi="宋体" w:cs="宋体"/>
                <w:b w:val="0"/>
                <w:bCs w:val="0"/>
                <w:color w:val="auto"/>
                <w:highlight w:val="none"/>
                <w:lang w:val="en-US" w:eastAsia="zh-CN"/>
              </w:rPr>
              <w:t>2.6</w:t>
            </w:r>
            <w:r>
              <w:rPr>
                <w:rFonts w:hint="eastAsia" w:ascii="宋体" w:hAnsi="宋体" w:cs="宋体"/>
                <w:b w:val="0"/>
                <w:bCs w:val="0"/>
                <w:color w:val="auto"/>
                <w:highlight w:val="none"/>
              </w:rPr>
              <w:t>综合部分（</w:t>
            </w:r>
            <w:r>
              <w:rPr>
                <w:rFonts w:hint="eastAsia" w:ascii="宋体" w:hAnsi="宋体" w:cs="宋体"/>
                <w:b w:val="0"/>
                <w:bCs w:val="0"/>
                <w:color w:val="auto"/>
                <w:highlight w:val="none"/>
                <w:lang w:val="en-US" w:eastAsia="zh-CN"/>
              </w:rPr>
              <w:t>55</w:t>
            </w:r>
            <w:r>
              <w:rPr>
                <w:rFonts w:hint="eastAsia" w:ascii="宋体" w:hAnsi="宋体" w:cs="宋体"/>
                <w:b w:val="0"/>
                <w:bCs w:val="0"/>
                <w:color w:val="auto"/>
                <w:highlight w:val="none"/>
              </w:rPr>
              <w:t>分）</w:t>
            </w:r>
          </w:p>
        </w:tc>
        <w:tc>
          <w:tcPr>
            <w:tcW w:w="1062" w:type="dxa"/>
            <w:tcBorders>
              <w:top w:val="single" w:color="auto" w:sz="4" w:space="0"/>
              <w:left w:val="single" w:color="auto" w:sz="4" w:space="0"/>
              <w:bottom w:val="single" w:color="auto" w:sz="4" w:space="0"/>
              <w:right w:val="single" w:color="auto" w:sz="4" w:space="0"/>
              <w:tl2br w:val="nil"/>
              <w:tr2bl w:val="nil"/>
            </w:tcBorders>
            <w:noWrap/>
            <w:vAlign w:val="center"/>
          </w:tcPr>
          <w:p w14:paraId="6B3F1580">
            <w:pPr>
              <w:spacing w:line="240" w:lineRule="auto"/>
              <w:ind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企业业绩（</w:t>
            </w:r>
            <w:r>
              <w:rPr>
                <w:rFonts w:hint="eastAsia" w:ascii="宋体" w:hAnsi="宋体" w:cs="宋体"/>
                <w:color w:val="auto"/>
                <w:highlight w:val="none"/>
                <w:lang w:val="en-US" w:eastAsia="zh-CN"/>
              </w:rPr>
              <w:t>15</w:t>
            </w:r>
            <w:r>
              <w:rPr>
                <w:rFonts w:hint="eastAsia" w:ascii="宋体" w:hAnsi="宋体" w:eastAsia="宋体" w:cs="宋体"/>
                <w:color w:val="auto"/>
                <w:highlight w:val="none"/>
              </w:rPr>
              <w:t>分）</w:t>
            </w:r>
          </w:p>
        </w:tc>
        <w:tc>
          <w:tcPr>
            <w:tcW w:w="6907" w:type="dxa"/>
            <w:tcBorders>
              <w:top w:val="single" w:color="auto" w:sz="4" w:space="0"/>
              <w:left w:val="single" w:color="auto" w:sz="4" w:space="0"/>
              <w:bottom w:val="single" w:color="auto" w:sz="4" w:space="0"/>
              <w:right w:val="single" w:color="auto" w:sz="4" w:space="0"/>
              <w:tl2br w:val="nil"/>
              <w:tr2bl w:val="nil"/>
            </w:tcBorders>
            <w:noWrap/>
            <w:vAlign w:val="center"/>
          </w:tcPr>
          <w:p w14:paraId="4C162B31">
            <w:pPr>
              <w:spacing w:line="240" w:lineRule="auto"/>
              <w:ind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投标人（20</w:t>
            </w: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2</w:t>
            </w:r>
            <w:r>
              <w:rPr>
                <w:rFonts w:hint="eastAsia" w:ascii="宋体" w:hAnsi="宋体" w:eastAsia="宋体" w:cs="宋体"/>
                <w:color w:val="auto"/>
                <w:highlight w:val="none"/>
              </w:rPr>
              <w:t>年1月1日以来）具有类似业绩，每有一项得</w:t>
            </w:r>
            <w:r>
              <w:rPr>
                <w:rFonts w:hint="eastAsia" w:ascii="宋体" w:hAnsi="宋体" w:cs="宋体"/>
                <w:color w:val="auto"/>
                <w:highlight w:val="none"/>
                <w:lang w:val="en-US" w:eastAsia="zh-CN"/>
              </w:rPr>
              <w:t>5</w:t>
            </w:r>
            <w:r>
              <w:rPr>
                <w:rFonts w:hint="eastAsia" w:ascii="宋体" w:hAnsi="宋体" w:eastAsia="宋体" w:cs="宋体"/>
                <w:color w:val="auto"/>
                <w:highlight w:val="none"/>
              </w:rPr>
              <w:t>分，最多得</w:t>
            </w:r>
            <w:r>
              <w:rPr>
                <w:rFonts w:hint="eastAsia" w:ascii="宋体" w:hAnsi="宋体" w:cs="宋体"/>
                <w:color w:val="auto"/>
                <w:highlight w:val="none"/>
                <w:lang w:val="en-US" w:eastAsia="zh-CN"/>
              </w:rPr>
              <w:t>15</w:t>
            </w:r>
            <w:r>
              <w:rPr>
                <w:rFonts w:hint="eastAsia" w:ascii="宋体" w:hAnsi="宋体" w:eastAsia="宋体" w:cs="宋体"/>
                <w:color w:val="auto"/>
                <w:highlight w:val="none"/>
              </w:rPr>
              <w:t>分；（</w:t>
            </w:r>
            <w:r>
              <w:rPr>
                <w:rFonts w:hint="eastAsia" w:ascii="宋体" w:hAnsi="宋体" w:eastAsia="宋体" w:cs="宋体"/>
                <w:color w:val="auto"/>
                <w:highlight w:val="none"/>
                <w:lang w:val="en-US" w:eastAsia="zh-CN"/>
              </w:rPr>
              <w:t>类似业绩指：投标人须完成水库大坝安全鉴定、水库大坝安全评价、水库维修养护等业绩，</w:t>
            </w:r>
            <w:r>
              <w:rPr>
                <w:rFonts w:hint="eastAsia" w:ascii="宋体" w:hAnsi="宋体" w:eastAsia="宋体" w:cs="宋体"/>
                <w:color w:val="auto"/>
                <w:highlight w:val="none"/>
              </w:rPr>
              <w:t>投标文件中附合同或中标通知书扫描件，否则不得分）</w:t>
            </w:r>
          </w:p>
        </w:tc>
      </w:tr>
      <w:tr w14:paraId="42B7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82" w:type="dxa"/>
            <w:vMerge w:val="continue"/>
            <w:tcBorders>
              <w:left w:val="single" w:color="auto" w:sz="4" w:space="0"/>
              <w:right w:val="single" w:color="auto" w:sz="4" w:space="0"/>
              <w:tl2br w:val="nil"/>
              <w:tr2bl w:val="nil"/>
            </w:tcBorders>
            <w:noWrap/>
            <w:vAlign w:val="center"/>
          </w:tcPr>
          <w:p w14:paraId="655E186A">
            <w:pPr>
              <w:spacing w:line="240" w:lineRule="auto"/>
              <w:ind w:firstLine="0" w:firstLineChars="0"/>
              <w:jc w:val="center"/>
              <w:rPr>
                <w:rFonts w:ascii="宋体" w:hAnsi="宋体" w:cs="宋体"/>
                <w:b w:val="0"/>
                <w:bCs w:val="0"/>
                <w:color w:val="auto"/>
                <w:highlight w:val="none"/>
              </w:rPr>
            </w:pPr>
          </w:p>
        </w:tc>
        <w:tc>
          <w:tcPr>
            <w:tcW w:w="1062" w:type="dxa"/>
            <w:tcBorders>
              <w:left w:val="single" w:color="auto" w:sz="4" w:space="0"/>
              <w:bottom w:val="single" w:color="auto" w:sz="4" w:space="0"/>
              <w:right w:val="single" w:color="auto" w:sz="4" w:space="0"/>
              <w:tl2br w:val="nil"/>
              <w:tr2bl w:val="nil"/>
            </w:tcBorders>
            <w:noWrap/>
            <w:vAlign w:val="center"/>
          </w:tcPr>
          <w:p w14:paraId="7285F46C">
            <w:pPr>
              <w:spacing w:line="240" w:lineRule="auto"/>
              <w:ind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项目组成人员（</w:t>
            </w:r>
            <w:r>
              <w:rPr>
                <w:rFonts w:hint="eastAsia" w:ascii="宋体" w:hAnsi="宋体" w:cs="宋体"/>
                <w:color w:val="auto"/>
                <w:highlight w:val="none"/>
                <w:lang w:val="en-US" w:eastAsia="zh-CN"/>
              </w:rPr>
              <w:t>34</w:t>
            </w:r>
            <w:r>
              <w:rPr>
                <w:rFonts w:hint="eastAsia" w:ascii="宋体" w:hAnsi="宋体" w:eastAsia="宋体" w:cs="宋体"/>
                <w:color w:val="auto"/>
                <w:highlight w:val="none"/>
              </w:rPr>
              <w:t>分）</w:t>
            </w:r>
          </w:p>
        </w:tc>
        <w:tc>
          <w:tcPr>
            <w:tcW w:w="6907" w:type="dxa"/>
            <w:tcBorders>
              <w:top w:val="single" w:color="auto" w:sz="4" w:space="0"/>
              <w:left w:val="single" w:color="auto" w:sz="4" w:space="0"/>
              <w:bottom w:val="single" w:color="auto" w:sz="4" w:space="0"/>
              <w:right w:val="single" w:color="auto" w:sz="4" w:space="0"/>
              <w:tl2br w:val="nil"/>
              <w:tr2bl w:val="nil"/>
            </w:tcBorders>
            <w:noWrap/>
            <w:vAlign w:val="top"/>
          </w:tcPr>
          <w:p w14:paraId="5151706C">
            <w:pPr>
              <w:spacing w:line="240" w:lineRule="auto"/>
              <w:ind w:firstLine="0" w:firstLineChars="0"/>
              <w:rPr>
                <w:rFonts w:hint="eastAsia"/>
                <w:color w:val="auto"/>
              </w:rPr>
            </w:pPr>
            <w:r>
              <w:rPr>
                <w:rFonts w:hint="eastAsia" w:ascii="宋体" w:hAnsi="宋体" w:cs="宋体"/>
                <w:color w:val="auto"/>
                <w:highlight w:val="none"/>
                <w:lang w:val="en-US" w:eastAsia="zh-CN"/>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项目组成人员中，除项目负责人外，每有一个高级职称得</w:t>
            </w:r>
            <w:r>
              <w:rPr>
                <w:rFonts w:hint="eastAsia" w:ascii="宋体" w:hAnsi="宋体" w:cs="宋体"/>
                <w:color w:val="auto"/>
                <w:highlight w:val="none"/>
                <w:lang w:val="en-US" w:eastAsia="zh-CN"/>
              </w:rPr>
              <w:t>3</w:t>
            </w:r>
            <w:r>
              <w:rPr>
                <w:rFonts w:hint="eastAsia" w:ascii="宋体" w:hAnsi="宋体" w:eastAsia="宋体" w:cs="宋体"/>
                <w:color w:val="auto"/>
                <w:highlight w:val="none"/>
              </w:rPr>
              <w:t>分，最高得</w:t>
            </w:r>
            <w:r>
              <w:rPr>
                <w:rFonts w:hint="eastAsia" w:ascii="宋体" w:hAnsi="宋体" w:cs="宋体"/>
                <w:color w:val="auto"/>
                <w:highlight w:val="none"/>
                <w:lang w:val="en-US" w:eastAsia="zh-CN"/>
              </w:rPr>
              <w:t>15</w:t>
            </w:r>
            <w:r>
              <w:rPr>
                <w:rFonts w:hint="eastAsia" w:ascii="宋体" w:hAnsi="宋体" w:eastAsia="宋体" w:cs="宋体"/>
                <w:color w:val="auto"/>
                <w:highlight w:val="none"/>
              </w:rPr>
              <w:t>分。（投标文件附证书及投标人为其缴纳的近 3个月社保证明复印件或扫描件，否则不得分）</w:t>
            </w:r>
          </w:p>
          <w:p w14:paraId="6B6A8771">
            <w:pPr>
              <w:spacing w:line="240" w:lineRule="auto"/>
              <w:ind w:firstLine="0" w:firstLineChars="0"/>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项目组成人员中，除项目负责人外，每有一个水利相关专业注册类证书得</w:t>
            </w:r>
            <w:r>
              <w:rPr>
                <w:rFonts w:hint="eastAsia" w:ascii="宋体" w:hAnsi="宋体" w:cs="宋体"/>
                <w:color w:val="auto"/>
                <w:highlight w:val="none"/>
                <w:lang w:val="en-US" w:eastAsia="zh-CN"/>
              </w:rPr>
              <w:t>3</w:t>
            </w:r>
            <w:r>
              <w:rPr>
                <w:rFonts w:hint="eastAsia" w:ascii="宋体" w:hAnsi="宋体" w:eastAsia="宋体" w:cs="宋体"/>
                <w:color w:val="auto"/>
                <w:highlight w:val="none"/>
              </w:rPr>
              <w:t>分，最高得</w:t>
            </w:r>
            <w:r>
              <w:rPr>
                <w:rFonts w:hint="eastAsia" w:ascii="宋体" w:hAnsi="宋体" w:cs="宋体"/>
                <w:color w:val="auto"/>
                <w:highlight w:val="none"/>
                <w:lang w:val="en-US" w:eastAsia="zh-CN"/>
              </w:rPr>
              <w:t>15</w:t>
            </w:r>
            <w:r>
              <w:rPr>
                <w:rFonts w:hint="eastAsia" w:ascii="宋体" w:hAnsi="宋体" w:eastAsia="宋体" w:cs="宋体"/>
                <w:color w:val="auto"/>
                <w:highlight w:val="none"/>
              </w:rPr>
              <w:t>分。（投标文件附证书及投标人为其缴纳的近 3个月社保证明复印件或扫描件，否则不得分）</w:t>
            </w:r>
          </w:p>
          <w:p w14:paraId="6AD433FC">
            <w:pPr>
              <w:spacing w:line="240" w:lineRule="auto"/>
              <w:ind w:firstLine="0" w:firstLineChars="0"/>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项目组成人员中，除项目负责人外，每有一个</w:t>
            </w:r>
            <w:r>
              <w:rPr>
                <w:rFonts w:hint="eastAsia" w:ascii="宋体" w:hAnsi="宋体" w:eastAsia="宋体" w:cs="宋体"/>
                <w:color w:val="auto"/>
                <w:highlight w:val="none"/>
                <w:lang w:val="en-US" w:eastAsia="zh-CN"/>
              </w:rPr>
              <w:t>中级</w:t>
            </w:r>
            <w:r>
              <w:rPr>
                <w:rFonts w:hint="eastAsia" w:ascii="宋体" w:hAnsi="宋体" w:eastAsia="宋体" w:cs="宋体"/>
                <w:color w:val="auto"/>
                <w:highlight w:val="none"/>
              </w:rPr>
              <w:t>职称得</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分，最高得</w:t>
            </w:r>
            <w:r>
              <w:rPr>
                <w:rFonts w:hint="eastAsia" w:ascii="宋体" w:hAnsi="宋体" w:cs="宋体"/>
                <w:color w:val="auto"/>
                <w:highlight w:val="none"/>
                <w:lang w:val="en-US" w:eastAsia="zh-CN"/>
              </w:rPr>
              <w:t>4</w:t>
            </w:r>
            <w:r>
              <w:rPr>
                <w:rFonts w:hint="eastAsia" w:ascii="宋体" w:hAnsi="宋体" w:eastAsia="宋体" w:cs="宋体"/>
                <w:color w:val="auto"/>
                <w:highlight w:val="none"/>
              </w:rPr>
              <w:t>分。（投标文件附证书及投标人为其缴纳的近 3个月社保证明复印件或扫描件，否则不得分）</w:t>
            </w:r>
          </w:p>
          <w:p w14:paraId="44974DA9">
            <w:pPr>
              <w:pStyle w:val="42"/>
              <w:rPr>
                <w:rFonts w:hint="default" w:eastAsia="宋体"/>
                <w:color w:val="auto"/>
                <w:lang w:val="en-US" w:eastAsia="zh-CN"/>
              </w:rPr>
            </w:pPr>
            <w:r>
              <w:rPr>
                <w:rFonts w:hint="eastAsia" w:ascii="宋体" w:hAnsi="宋体" w:eastAsia="宋体" w:cs="宋体"/>
                <w:b/>
                <w:bCs/>
                <w:color w:val="auto"/>
                <w:kern w:val="2"/>
                <w:sz w:val="21"/>
                <w:szCs w:val="22"/>
                <w:highlight w:val="none"/>
                <w:lang w:val="en-US" w:eastAsia="zh-CN" w:bidi="ar-SA"/>
              </w:rPr>
              <w:t>注：以上项目组成人员不重复得分。</w:t>
            </w:r>
          </w:p>
        </w:tc>
      </w:tr>
      <w:tr w14:paraId="0B07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82" w:type="dxa"/>
            <w:vMerge w:val="continue"/>
            <w:tcBorders>
              <w:left w:val="single" w:color="auto" w:sz="4" w:space="0"/>
              <w:right w:val="single" w:color="auto" w:sz="4" w:space="0"/>
              <w:tl2br w:val="nil"/>
              <w:tr2bl w:val="nil"/>
            </w:tcBorders>
            <w:noWrap/>
            <w:vAlign w:val="center"/>
          </w:tcPr>
          <w:p w14:paraId="12BC4CD1">
            <w:pPr>
              <w:spacing w:line="240" w:lineRule="auto"/>
              <w:ind w:firstLine="0" w:firstLineChars="0"/>
              <w:jc w:val="center"/>
              <w:rPr>
                <w:rFonts w:ascii="宋体" w:hAnsi="宋体" w:cs="宋体"/>
                <w:b w:val="0"/>
                <w:bCs w:val="0"/>
                <w:color w:val="auto"/>
                <w:highlight w:val="none"/>
              </w:rPr>
            </w:pPr>
          </w:p>
        </w:tc>
        <w:tc>
          <w:tcPr>
            <w:tcW w:w="1062" w:type="dxa"/>
            <w:tcBorders>
              <w:top w:val="single" w:color="auto" w:sz="4" w:space="0"/>
              <w:left w:val="single" w:color="auto" w:sz="4" w:space="0"/>
              <w:bottom w:val="single" w:color="auto" w:sz="4" w:space="0"/>
              <w:right w:val="single" w:color="auto" w:sz="4" w:space="0"/>
              <w:tl2br w:val="nil"/>
              <w:tr2bl w:val="nil"/>
            </w:tcBorders>
            <w:noWrap/>
            <w:vAlign w:val="center"/>
          </w:tcPr>
          <w:p w14:paraId="12813F85">
            <w:pPr>
              <w:spacing w:line="240" w:lineRule="auto"/>
              <w:ind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三体系证书(</w:t>
            </w:r>
            <w:r>
              <w:rPr>
                <w:rFonts w:hint="eastAsia" w:ascii="宋体" w:hAnsi="宋体" w:cs="宋体"/>
                <w:color w:val="auto"/>
                <w:highlight w:val="none"/>
                <w:lang w:val="en-US" w:eastAsia="zh-CN"/>
              </w:rPr>
              <w:t>6</w:t>
            </w:r>
            <w:r>
              <w:rPr>
                <w:rFonts w:hint="eastAsia" w:ascii="宋体" w:hAnsi="宋体" w:eastAsia="宋体" w:cs="宋体"/>
                <w:color w:val="auto"/>
                <w:highlight w:val="none"/>
              </w:rPr>
              <w:t>分）</w:t>
            </w:r>
          </w:p>
        </w:tc>
        <w:tc>
          <w:tcPr>
            <w:tcW w:w="6907" w:type="dxa"/>
            <w:tcBorders>
              <w:top w:val="single" w:color="auto" w:sz="4" w:space="0"/>
              <w:left w:val="single" w:color="auto" w:sz="4" w:space="0"/>
              <w:bottom w:val="single" w:color="auto" w:sz="4" w:space="0"/>
              <w:right w:val="single" w:color="auto" w:sz="4" w:space="0"/>
              <w:tl2br w:val="nil"/>
              <w:tr2bl w:val="nil"/>
            </w:tcBorders>
            <w:noWrap/>
            <w:vAlign w:val="top"/>
          </w:tcPr>
          <w:p w14:paraId="35225E87">
            <w:pPr>
              <w:spacing w:line="240" w:lineRule="auto"/>
              <w:ind w:firstLine="0" w:firstLineChars="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质量管理体系认证证书、环境管理体系认证证书、职业健康安全管理体系认证证书；证书齐全且在有效期内的得</w:t>
            </w:r>
            <w:r>
              <w:rPr>
                <w:rFonts w:hint="eastAsia" w:ascii="宋体" w:hAnsi="宋体" w:cs="宋体"/>
                <w:color w:val="auto"/>
                <w:highlight w:val="none"/>
                <w:lang w:val="en-US" w:eastAsia="zh-CN"/>
              </w:rPr>
              <w:t>6</w:t>
            </w:r>
            <w:r>
              <w:rPr>
                <w:rFonts w:hint="eastAsia" w:ascii="宋体" w:hAnsi="宋体" w:eastAsia="宋体" w:cs="宋体"/>
                <w:color w:val="auto"/>
                <w:highlight w:val="none"/>
              </w:rPr>
              <w:t>分，缺一项扣2分，扣完为止。（投标文件中附证书复印件或扫描件，否则不得分。）</w:t>
            </w:r>
          </w:p>
        </w:tc>
      </w:tr>
      <w:tr w14:paraId="0B53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51" w:type="dxa"/>
            <w:gridSpan w:val="3"/>
            <w:tcBorders>
              <w:left w:val="single" w:color="auto" w:sz="4" w:space="0"/>
              <w:bottom w:val="single" w:color="auto" w:sz="4" w:space="0"/>
              <w:right w:val="single" w:color="auto" w:sz="6" w:space="0"/>
              <w:tl2br w:val="nil"/>
              <w:tr2bl w:val="nil"/>
            </w:tcBorders>
            <w:noWrap/>
            <w:vAlign w:val="center"/>
          </w:tcPr>
          <w:p w14:paraId="15FADF00">
            <w:pPr>
              <w:keepLines w:val="0"/>
              <w:pageBreakBefore w:val="0"/>
              <w:kinsoku/>
              <w:overflowPunct/>
              <w:topLinePunct w:val="0"/>
              <w:bidi w:val="0"/>
              <w:adjustRightInd/>
              <w:snapToGrid/>
              <w:spacing w:line="288" w:lineRule="auto"/>
              <w:textAlignment w:val="auto"/>
              <w:rPr>
                <w:rFonts w:hint="eastAsia" w:ascii="宋体" w:hAnsi="宋体" w:cs="宋体"/>
                <w:b w:val="0"/>
                <w:bCs w:val="0"/>
                <w:color w:val="auto"/>
                <w:kern w:val="0"/>
                <w:szCs w:val="21"/>
                <w:highlight w:val="none"/>
                <w:lang w:val="en-US" w:eastAsia="zh-CN"/>
              </w:rPr>
            </w:pPr>
            <w:r>
              <w:rPr>
                <w:rFonts w:hint="eastAsia" w:ascii="宋体" w:hAnsi="宋体" w:cs="宋体"/>
                <w:b w:val="0"/>
                <w:bCs w:val="0"/>
                <w:color w:val="auto"/>
                <w:kern w:val="0"/>
                <w:szCs w:val="21"/>
                <w:highlight w:val="none"/>
                <w:lang w:val="en-US" w:eastAsia="zh-CN"/>
              </w:rPr>
              <w:t>注：1、不以最低价为中标原则，评分计算过程中保留小数点后两位，最终综合得分保留小数点后两位(均采用四舍五入法)。投标报价高于预算价的按照废标处理。</w:t>
            </w:r>
          </w:p>
          <w:p w14:paraId="787E6A16">
            <w:pPr>
              <w:keepLines w:val="0"/>
              <w:pageBreakBefore w:val="0"/>
              <w:numPr>
                <w:ilvl w:val="0"/>
                <w:numId w:val="1"/>
              </w:numPr>
              <w:kinsoku/>
              <w:overflowPunct/>
              <w:topLinePunct w:val="0"/>
              <w:bidi w:val="0"/>
              <w:adjustRightInd/>
              <w:snapToGrid/>
              <w:spacing w:line="288" w:lineRule="auto"/>
              <w:textAlignment w:val="auto"/>
              <w:rPr>
                <w:rFonts w:hint="eastAsia" w:ascii="宋体" w:hAnsi="宋体" w:cs="宋体"/>
                <w:b w:val="0"/>
                <w:bCs w:val="0"/>
                <w:color w:val="auto"/>
                <w:kern w:val="0"/>
                <w:szCs w:val="21"/>
                <w:highlight w:val="none"/>
                <w:lang w:val="en-US" w:eastAsia="zh-CN"/>
              </w:rPr>
            </w:pPr>
            <w:r>
              <w:rPr>
                <w:rFonts w:hint="eastAsia" w:ascii="宋体" w:hAnsi="宋体" w:cs="宋体"/>
                <w:b w:val="0"/>
                <w:bCs w:val="0"/>
                <w:color w:val="auto"/>
                <w:kern w:val="0"/>
                <w:szCs w:val="21"/>
                <w:highlight w:val="none"/>
                <w:lang w:val="en-US" w:eastAsia="zh-CN"/>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6F347EBF">
            <w:pPr>
              <w:spacing w:after="120" w:line="240" w:lineRule="auto"/>
              <w:ind w:firstLine="0" w:firstLineChars="0"/>
              <w:rPr>
                <w:rFonts w:hint="eastAsia" w:ascii="Times New Roman" w:hAnsi="Times New Roman" w:cs="Times New Roman"/>
                <w:b w:val="0"/>
                <w:bCs w:val="0"/>
                <w:color w:val="auto"/>
                <w:szCs w:val="20"/>
                <w:highlight w:val="none"/>
              </w:rPr>
            </w:pPr>
            <w:r>
              <w:rPr>
                <w:rFonts w:hint="eastAsia" w:ascii="宋体" w:hAnsi="宋体" w:cs="宋体"/>
                <w:b w:val="0"/>
                <w:bCs w:val="0"/>
                <w:color w:val="auto"/>
                <w:kern w:val="0"/>
                <w:szCs w:val="21"/>
                <w:highlight w:val="none"/>
                <w:lang w:val="en-US" w:eastAsia="zh-CN"/>
              </w:rPr>
              <w:t>3、如中标人投标时提供虚假材料将取消其中标资格并追究法律责任。</w:t>
            </w:r>
          </w:p>
        </w:tc>
      </w:tr>
    </w:tbl>
    <w:p w14:paraId="253C466A">
      <w:pPr>
        <w:spacing w:line="360" w:lineRule="auto"/>
        <w:outlineLvl w:val="1"/>
        <w:rPr>
          <w:rFonts w:hint="eastAsia" w:ascii="宋体" w:hAnsi="宋体" w:cs="宋体"/>
          <w:b/>
          <w:bCs/>
          <w:color w:val="auto"/>
          <w:szCs w:val="21"/>
        </w:rPr>
      </w:pPr>
      <w:r>
        <w:rPr>
          <w:rFonts w:hint="eastAsia" w:ascii="宋体" w:hAnsi="宋体" w:cs="宋体"/>
          <w:b/>
          <w:bCs/>
          <w:color w:val="auto"/>
          <w:szCs w:val="21"/>
        </w:rPr>
        <w:t>1. 评审方法</w:t>
      </w:r>
    </w:p>
    <w:p w14:paraId="44EBD2C3">
      <w:pPr>
        <w:spacing w:line="360" w:lineRule="auto"/>
        <w:ind w:firstLine="420" w:firstLineChars="200"/>
        <w:rPr>
          <w:rFonts w:hint="eastAsia" w:ascii="宋体" w:hAnsi="宋体" w:cs="宋体"/>
          <w:color w:val="auto"/>
          <w:kern w:val="0"/>
          <w:szCs w:val="21"/>
        </w:rPr>
      </w:pPr>
      <w:r>
        <w:rPr>
          <w:rFonts w:hint="eastAsia" w:ascii="宋体" w:hAnsi="宋体" w:cs="宋体"/>
          <w:color w:val="auto"/>
          <w:szCs w:val="21"/>
          <w:lang w:bidi="en-US"/>
        </w:rPr>
        <w:t>本次评审采用综合评分法。磋商小组对满足磋商文件实质性要求的响应文件</w:t>
      </w:r>
      <w:r>
        <w:rPr>
          <w:rFonts w:hint="eastAsia" w:ascii="宋体" w:hAnsi="宋体" w:cs="宋体"/>
          <w:color w:val="auto"/>
          <w:szCs w:val="21"/>
        </w:rPr>
        <w:t>，按照本章规定的评分标准进行打分，并按得分由高到低顺序推荐成交候选人，</w:t>
      </w:r>
      <w:r>
        <w:rPr>
          <w:rFonts w:hint="eastAsia" w:ascii="宋体" w:hAnsi="宋体" w:cs="宋体"/>
          <w:color w:val="auto"/>
          <w:kern w:val="0"/>
          <w:szCs w:val="21"/>
        </w:rPr>
        <w:t>综合评分相等时，以报价得分高的优先；报价得分也相等的，由采购人自行确定。</w:t>
      </w:r>
      <w:bookmarkStart w:id="726" w:name="_Toc455080157"/>
      <w:bookmarkStart w:id="727" w:name="_Toc144974568"/>
      <w:bookmarkStart w:id="728" w:name="_Toc466298140"/>
      <w:bookmarkStart w:id="729" w:name="_Toc26131"/>
      <w:bookmarkStart w:id="730" w:name="_Toc281405529"/>
      <w:bookmarkStart w:id="731" w:name="_Toc490667876"/>
      <w:bookmarkStart w:id="732" w:name="_Toc24936"/>
      <w:bookmarkStart w:id="733" w:name="_Toc6612"/>
      <w:bookmarkStart w:id="734" w:name="_Toc318450723"/>
      <w:bookmarkStart w:id="735" w:name="_Toc152042378"/>
      <w:bookmarkStart w:id="736" w:name="_Toc152045601"/>
      <w:bookmarkStart w:id="737" w:name="_Toc29362"/>
      <w:bookmarkStart w:id="738" w:name="_Toc20837"/>
      <w:bookmarkStart w:id="739" w:name="_Toc455867817"/>
    </w:p>
    <w:p w14:paraId="11862501">
      <w:pPr>
        <w:spacing w:line="360" w:lineRule="auto"/>
        <w:rPr>
          <w:rFonts w:hint="eastAsia" w:ascii="宋体" w:hAnsi="宋体"/>
          <w:b/>
          <w:bCs/>
          <w:color w:val="auto"/>
          <w:szCs w:val="21"/>
        </w:rPr>
      </w:pPr>
      <w:r>
        <w:rPr>
          <w:rFonts w:hint="eastAsia" w:ascii="宋体" w:hAnsi="宋体"/>
          <w:b/>
          <w:bCs/>
          <w:color w:val="auto"/>
          <w:szCs w:val="21"/>
        </w:rPr>
        <w:t>2.评审标准</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Start w:id="740" w:name="_Toc466298141"/>
      <w:bookmarkStart w:id="741" w:name="_Toc152042379"/>
      <w:bookmarkStart w:id="742" w:name="_Toc455867818"/>
      <w:bookmarkStart w:id="743" w:name="_Toc152045602"/>
      <w:bookmarkStart w:id="744" w:name="_Toc15813"/>
      <w:bookmarkStart w:id="745" w:name="_Toc144974569"/>
      <w:bookmarkStart w:id="746" w:name="_Toc6711"/>
      <w:bookmarkStart w:id="747" w:name="_Toc24558"/>
      <w:bookmarkStart w:id="748" w:name="_Toc31037"/>
      <w:bookmarkStart w:id="749" w:name="_Toc318450724"/>
      <w:bookmarkStart w:id="750" w:name="_Toc2867"/>
      <w:bookmarkStart w:id="751" w:name="_Toc19934"/>
      <w:bookmarkStart w:id="752" w:name="_Toc455080158"/>
      <w:bookmarkStart w:id="753" w:name="_Toc11223"/>
      <w:bookmarkStart w:id="754" w:name="_Toc281405530"/>
      <w:bookmarkStart w:id="755" w:name="_Toc25637"/>
      <w:bookmarkStart w:id="756" w:name="_Toc21120"/>
      <w:bookmarkStart w:id="757" w:name="_Toc490667877"/>
    </w:p>
    <w:p w14:paraId="0EF88723">
      <w:pPr>
        <w:spacing w:line="360" w:lineRule="auto"/>
        <w:rPr>
          <w:rFonts w:hint="eastAsia" w:ascii="宋体" w:hAnsi="宋体"/>
          <w:b/>
          <w:bCs/>
          <w:color w:val="auto"/>
          <w:szCs w:val="21"/>
        </w:rPr>
      </w:pPr>
      <w:r>
        <w:rPr>
          <w:rFonts w:hint="eastAsia" w:ascii="宋体" w:hAnsi="宋体"/>
          <w:b/>
          <w:bCs/>
          <w:color w:val="auto"/>
          <w:szCs w:val="21"/>
        </w:rPr>
        <w:t>2.1 初步评审标准</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14:paraId="3F85D8D4">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2.1.1 资格性检查评审标准：见评审办法前附表。</w:t>
      </w:r>
    </w:p>
    <w:p w14:paraId="269D2DBB">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2.1.2 符合性检查评审标准：见评审办法前附表。</w:t>
      </w:r>
    </w:p>
    <w:p w14:paraId="44EC9F4A">
      <w:pPr>
        <w:pStyle w:val="65"/>
        <w:spacing w:line="360" w:lineRule="auto"/>
        <w:outlineLvl w:val="0"/>
        <w:rPr>
          <w:rFonts w:hint="eastAsia" w:ascii="宋体" w:hAnsi="宋体" w:eastAsia="宋体"/>
          <w:b/>
          <w:bCs/>
          <w:color w:val="auto"/>
          <w:sz w:val="21"/>
          <w:szCs w:val="21"/>
        </w:rPr>
      </w:pPr>
      <w:bookmarkStart w:id="758" w:name="_Toc318450725"/>
      <w:bookmarkStart w:id="759" w:name="_Toc455080159"/>
      <w:bookmarkStart w:id="760" w:name="_Toc152045603"/>
      <w:bookmarkStart w:id="761" w:name="_Toc466298142"/>
      <w:bookmarkStart w:id="762" w:name="_Toc11061"/>
      <w:bookmarkStart w:id="763" w:name="_Toc12013"/>
      <w:bookmarkStart w:id="764" w:name="_Toc22439"/>
      <w:bookmarkStart w:id="765" w:name="_Toc25492"/>
      <w:bookmarkStart w:id="766" w:name="_Toc26179"/>
      <w:bookmarkStart w:id="767" w:name="_Toc144974570"/>
      <w:bookmarkStart w:id="768" w:name="_Toc455867819"/>
      <w:bookmarkStart w:id="769" w:name="_Toc281405531"/>
      <w:bookmarkStart w:id="770" w:name="_Toc490667878"/>
      <w:bookmarkStart w:id="771" w:name="_Toc7284"/>
      <w:bookmarkStart w:id="772" w:name="_Toc24825"/>
      <w:bookmarkStart w:id="773" w:name="_Toc30189"/>
      <w:bookmarkStart w:id="774" w:name="_Toc21970"/>
      <w:bookmarkStart w:id="775" w:name="_Toc152042380"/>
      <w:bookmarkStart w:id="776" w:name="_Toc455867820"/>
      <w:bookmarkStart w:id="777" w:name="_Toc466298143"/>
      <w:bookmarkStart w:id="778" w:name="_Toc490667879"/>
      <w:bookmarkStart w:id="779" w:name="_Toc18127"/>
      <w:bookmarkStart w:id="780" w:name="_Toc16479"/>
      <w:bookmarkStart w:id="781" w:name="_Toc455080160"/>
      <w:bookmarkStart w:id="782" w:name="_Toc29297"/>
      <w:bookmarkStart w:id="783" w:name="_Toc318450726"/>
      <w:bookmarkStart w:id="784" w:name="_Toc32314"/>
      <w:bookmarkStart w:id="785" w:name="_Toc281405532"/>
      <w:bookmarkStart w:id="786" w:name="_Toc17308"/>
      <w:r>
        <w:rPr>
          <w:rFonts w:hint="eastAsia" w:ascii="宋体" w:hAnsi="宋体" w:eastAsia="宋体"/>
          <w:b/>
          <w:bCs/>
          <w:color w:val="auto"/>
          <w:sz w:val="21"/>
          <w:szCs w:val="21"/>
        </w:rPr>
        <w:t>2.2 分值构成与评分标准</w:t>
      </w:r>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14:paraId="45DFD242">
      <w:pPr>
        <w:adjustRightInd w:val="0"/>
        <w:snapToGrid w:val="0"/>
        <w:spacing w:line="360" w:lineRule="auto"/>
        <w:ind w:firstLine="422" w:firstLineChars="200"/>
        <w:rPr>
          <w:rFonts w:hint="eastAsia" w:ascii="宋体" w:hAnsi="宋体" w:cs="宋体"/>
          <w:color w:val="auto"/>
          <w:szCs w:val="21"/>
        </w:rPr>
      </w:pPr>
      <w:r>
        <w:rPr>
          <w:rFonts w:hint="eastAsia" w:ascii="宋体" w:hAnsi="宋体" w:cs="宋体"/>
          <w:b/>
          <w:bCs/>
          <w:color w:val="auto"/>
          <w:szCs w:val="21"/>
        </w:rPr>
        <w:t xml:space="preserve"> </w:t>
      </w:r>
      <w:r>
        <w:rPr>
          <w:rFonts w:hint="eastAsia" w:ascii="宋体" w:hAnsi="宋体" w:cs="宋体"/>
          <w:color w:val="auto"/>
          <w:szCs w:val="21"/>
        </w:rPr>
        <w:t>2.2.1 分值构成</w:t>
      </w:r>
    </w:p>
    <w:p w14:paraId="76668185">
      <w:pPr>
        <w:adjustRightInd w:val="0"/>
        <w:snapToGrid w:val="0"/>
        <w:spacing w:line="360" w:lineRule="auto"/>
        <w:ind w:firstLine="718" w:firstLineChars="342"/>
        <w:rPr>
          <w:rFonts w:hint="eastAsia" w:ascii="宋体" w:hAnsi="宋体" w:cs="宋体"/>
          <w:color w:val="auto"/>
          <w:szCs w:val="21"/>
        </w:rPr>
      </w:pPr>
      <w:r>
        <w:rPr>
          <w:rFonts w:hint="eastAsia" w:ascii="宋体" w:hAnsi="宋体" w:cs="宋体"/>
          <w:color w:val="auto"/>
          <w:szCs w:val="21"/>
        </w:rPr>
        <w:t>（1）商务标：见评标办法前附表；</w:t>
      </w:r>
    </w:p>
    <w:p w14:paraId="00EB94FB">
      <w:pPr>
        <w:adjustRightInd w:val="0"/>
        <w:snapToGrid w:val="0"/>
        <w:spacing w:line="360" w:lineRule="auto"/>
        <w:ind w:firstLine="718" w:firstLineChars="342"/>
        <w:rPr>
          <w:rFonts w:hint="eastAsia" w:ascii="宋体" w:hAnsi="宋体" w:cs="宋体"/>
          <w:color w:val="auto"/>
          <w:szCs w:val="21"/>
        </w:rPr>
      </w:pPr>
      <w:r>
        <w:rPr>
          <w:rFonts w:hint="eastAsia" w:ascii="宋体" w:hAnsi="宋体" w:cs="宋体"/>
          <w:color w:val="auto"/>
          <w:szCs w:val="21"/>
        </w:rPr>
        <w:t>（2）技术标：见评标办法前附表；</w:t>
      </w:r>
    </w:p>
    <w:p w14:paraId="55504951">
      <w:pPr>
        <w:adjustRightInd w:val="0"/>
        <w:snapToGrid w:val="0"/>
        <w:spacing w:line="360" w:lineRule="auto"/>
        <w:ind w:firstLine="718" w:firstLineChars="342"/>
        <w:rPr>
          <w:rFonts w:hint="eastAsia" w:ascii="宋体" w:hAnsi="宋体" w:cs="宋体"/>
          <w:color w:val="auto"/>
          <w:szCs w:val="21"/>
        </w:rPr>
      </w:pPr>
      <w:r>
        <w:rPr>
          <w:rFonts w:hint="eastAsia" w:ascii="宋体" w:hAnsi="宋体" w:cs="宋体"/>
          <w:color w:val="auto"/>
          <w:szCs w:val="21"/>
        </w:rPr>
        <w:t>（3）综合标：见评标办法前附表。</w:t>
      </w:r>
    </w:p>
    <w:p w14:paraId="4C84AF01">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2.2.2 评标基准价计算</w:t>
      </w:r>
    </w:p>
    <w:p w14:paraId="422C54B0">
      <w:pPr>
        <w:adjustRightInd w:val="0"/>
        <w:snapToGrid w:val="0"/>
        <w:spacing w:line="360" w:lineRule="auto"/>
        <w:ind w:firstLine="840" w:firstLineChars="400"/>
        <w:rPr>
          <w:rFonts w:hint="eastAsia" w:ascii="宋体" w:hAnsi="宋体" w:cs="宋体"/>
          <w:color w:val="auto"/>
          <w:szCs w:val="21"/>
        </w:rPr>
      </w:pPr>
      <w:r>
        <w:rPr>
          <w:rFonts w:hint="eastAsia" w:ascii="宋体" w:hAnsi="宋体" w:cs="宋体"/>
          <w:color w:val="auto"/>
          <w:szCs w:val="21"/>
        </w:rPr>
        <w:t>评标基准价计算方法：见评标办法前附表。</w:t>
      </w:r>
    </w:p>
    <w:p w14:paraId="7DA27095">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2.2.3 投标报价的偏差率计算</w:t>
      </w:r>
    </w:p>
    <w:p w14:paraId="08D1FA72">
      <w:pPr>
        <w:adjustRightInd w:val="0"/>
        <w:snapToGrid w:val="0"/>
        <w:spacing w:line="360" w:lineRule="auto"/>
        <w:ind w:firstLine="840" w:firstLineChars="400"/>
        <w:rPr>
          <w:rFonts w:hint="eastAsia" w:ascii="宋体" w:hAnsi="宋体" w:cs="宋体"/>
          <w:color w:val="auto"/>
          <w:szCs w:val="21"/>
        </w:rPr>
      </w:pPr>
      <w:r>
        <w:rPr>
          <w:rFonts w:hint="eastAsia" w:ascii="宋体" w:hAnsi="宋体" w:cs="宋体"/>
          <w:color w:val="auto"/>
          <w:szCs w:val="21"/>
        </w:rPr>
        <w:t>投标报价的偏差率计算公式：见评标办法前附表。</w:t>
      </w:r>
    </w:p>
    <w:p w14:paraId="29CF8053">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2.2.4 评分标准</w:t>
      </w:r>
    </w:p>
    <w:p w14:paraId="345FBA00">
      <w:pPr>
        <w:adjustRightInd w:val="0"/>
        <w:snapToGrid w:val="0"/>
        <w:spacing w:line="360" w:lineRule="auto"/>
        <w:ind w:firstLine="718" w:firstLineChars="342"/>
        <w:rPr>
          <w:rFonts w:hint="eastAsia" w:ascii="宋体" w:hAnsi="宋体" w:cs="宋体"/>
          <w:color w:val="auto"/>
          <w:szCs w:val="21"/>
        </w:rPr>
      </w:pPr>
      <w:r>
        <w:rPr>
          <w:rFonts w:hint="eastAsia" w:ascii="宋体" w:hAnsi="宋体" w:cs="宋体"/>
          <w:color w:val="auto"/>
          <w:szCs w:val="21"/>
        </w:rPr>
        <w:t>2.2.4.1商务标评分标准：见评标办法前附表；</w:t>
      </w:r>
    </w:p>
    <w:p w14:paraId="2D98BE93">
      <w:pPr>
        <w:adjustRightInd w:val="0"/>
        <w:snapToGrid w:val="0"/>
        <w:spacing w:line="360" w:lineRule="auto"/>
        <w:ind w:firstLine="718" w:firstLineChars="342"/>
        <w:rPr>
          <w:rFonts w:hint="eastAsia" w:ascii="宋体" w:hAnsi="宋体" w:cs="宋体"/>
          <w:color w:val="auto"/>
          <w:szCs w:val="21"/>
        </w:rPr>
      </w:pPr>
      <w:r>
        <w:rPr>
          <w:rFonts w:hint="eastAsia" w:ascii="宋体" w:hAnsi="宋体" w:cs="宋体"/>
          <w:color w:val="auto"/>
          <w:szCs w:val="21"/>
        </w:rPr>
        <w:t>2.2.4.2技术标评分标准：见评标办法前附表；</w:t>
      </w:r>
    </w:p>
    <w:p w14:paraId="48E91DBA">
      <w:pPr>
        <w:adjustRightInd w:val="0"/>
        <w:snapToGrid w:val="0"/>
        <w:spacing w:line="360" w:lineRule="auto"/>
        <w:ind w:firstLine="718" w:firstLineChars="342"/>
        <w:rPr>
          <w:rFonts w:hint="eastAsia" w:ascii="宋体" w:hAnsi="宋体" w:cs="宋体"/>
          <w:color w:val="auto"/>
          <w:szCs w:val="21"/>
        </w:rPr>
      </w:pPr>
      <w:r>
        <w:rPr>
          <w:rFonts w:hint="eastAsia" w:ascii="宋体" w:hAnsi="宋体" w:cs="宋体"/>
          <w:color w:val="auto"/>
          <w:szCs w:val="21"/>
        </w:rPr>
        <w:t>2.2.4.3综合标评分标准：见评标办法前附表。</w:t>
      </w:r>
    </w:p>
    <w:p w14:paraId="3D4CEAC1">
      <w:pPr>
        <w:pStyle w:val="64"/>
        <w:spacing w:before="0" w:line="360" w:lineRule="auto"/>
        <w:rPr>
          <w:rFonts w:hint="eastAsia" w:ascii="宋体" w:hAnsi="宋体" w:eastAsia="宋体"/>
          <w:b/>
          <w:bCs/>
          <w:color w:val="auto"/>
          <w:sz w:val="21"/>
          <w:szCs w:val="21"/>
        </w:rPr>
      </w:pPr>
      <w:r>
        <w:rPr>
          <w:rFonts w:hint="eastAsia" w:ascii="宋体" w:hAnsi="宋体" w:eastAsia="宋体"/>
          <w:b/>
          <w:bCs/>
          <w:color w:val="auto"/>
          <w:sz w:val="21"/>
          <w:szCs w:val="21"/>
        </w:rPr>
        <w:t>3. 评审程序</w:t>
      </w:r>
      <w:bookmarkEnd w:id="776"/>
      <w:bookmarkEnd w:id="777"/>
      <w:bookmarkEnd w:id="778"/>
      <w:bookmarkEnd w:id="779"/>
      <w:bookmarkEnd w:id="780"/>
      <w:bookmarkEnd w:id="781"/>
      <w:bookmarkEnd w:id="782"/>
      <w:bookmarkEnd w:id="783"/>
      <w:bookmarkEnd w:id="784"/>
      <w:bookmarkEnd w:id="785"/>
      <w:bookmarkEnd w:id="786"/>
    </w:p>
    <w:p w14:paraId="1DA76291">
      <w:pPr>
        <w:pStyle w:val="65"/>
        <w:spacing w:line="360" w:lineRule="auto"/>
        <w:outlineLvl w:val="0"/>
        <w:rPr>
          <w:rFonts w:hint="eastAsia" w:ascii="宋体" w:hAnsi="宋体" w:eastAsia="宋体"/>
          <w:b/>
          <w:bCs/>
          <w:color w:val="auto"/>
          <w:sz w:val="21"/>
          <w:szCs w:val="21"/>
        </w:rPr>
      </w:pPr>
      <w:bookmarkStart w:id="787" w:name="_Toc490667880"/>
      <w:bookmarkStart w:id="788" w:name="_Toc455080161"/>
      <w:bookmarkStart w:id="789" w:name="_Toc30986"/>
      <w:bookmarkStart w:id="790" w:name="_Toc29614"/>
      <w:bookmarkStart w:id="791" w:name="_Toc16892"/>
      <w:bookmarkStart w:id="792" w:name="_Toc318450727"/>
      <w:bookmarkStart w:id="793" w:name="_Toc14633"/>
      <w:bookmarkStart w:id="794" w:name="_Toc466298144"/>
      <w:bookmarkStart w:id="795" w:name="_Toc18886"/>
      <w:bookmarkStart w:id="796" w:name="_Toc2410"/>
      <w:bookmarkStart w:id="797" w:name="_Toc29092"/>
      <w:bookmarkStart w:id="798" w:name="_Toc281405533"/>
      <w:bookmarkStart w:id="799" w:name="_Toc7272"/>
      <w:bookmarkStart w:id="800" w:name="_Toc5427"/>
      <w:bookmarkStart w:id="801" w:name="_Toc9433"/>
      <w:bookmarkStart w:id="802" w:name="_Toc455867821"/>
      <w:r>
        <w:rPr>
          <w:rFonts w:hint="eastAsia" w:ascii="宋体" w:hAnsi="宋体" w:eastAsia="宋体"/>
          <w:b/>
          <w:bCs/>
          <w:color w:val="auto"/>
          <w:sz w:val="21"/>
          <w:szCs w:val="21"/>
        </w:rPr>
        <w:t>3.1 初步评审</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14:paraId="1AC10BC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3.1.1 磋商小组依据本章第2.1款规定的标准对响应文件进行初步评审。有一项不符合评审标准的，作废标处理。</w:t>
      </w:r>
    </w:p>
    <w:p w14:paraId="478F945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3.1.2 供应商有以下情形之一的，其响应文件作无效处理：</w:t>
      </w:r>
    </w:p>
    <w:p w14:paraId="288CCDB5">
      <w:pPr>
        <w:spacing w:line="360" w:lineRule="auto"/>
        <w:ind w:firstLine="718" w:firstLineChars="342"/>
        <w:rPr>
          <w:rFonts w:hint="eastAsia" w:ascii="宋体" w:hAnsi="宋体" w:cs="宋体"/>
          <w:color w:val="auto"/>
          <w:szCs w:val="21"/>
        </w:rPr>
      </w:pPr>
      <w:r>
        <w:rPr>
          <w:rFonts w:hint="eastAsia" w:ascii="宋体" w:hAnsi="宋体" w:cs="宋体"/>
          <w:color w:val="auto"/>
          <w:szCs w:val="21"/>
        </w:rPr>
        <w:t>（1）串通或弄虚作假或有其他违法行为的；</w:t>
      </w:r>
    </w:p>
    <w:p w14:paraId="66F1F578">
      <w:pPr>
        <w:spacing w:line="360" w:lineRule="auto"/>
        <w:ind w:firstLine="718" w:firstLineChars="342"/>
        <w:rPr>
          <w:rFonts w:hint="eastAsia" w:ascii="宋体" w:hAnsi="宋体" w:cs="宋体"/>
          <w:color w:val="auto"/>
          <w:szCs w:val="21"/>
        </w:rPr>
      </w:pPr>
      <w:r>
        <w:rPr>
          <w:rFonts w:hint="eastAsia" w:ascii="宋体" w:hAnsi="宋体" w:cs="宋体"/>
          <w:color w:val="auto"/>
          <w:szCs w:val="21"/>
        </w:rPr>
        <w:t>（2）不按磋商小组要求澄清、说明或补正的；</w:t>
      </w:r>
    </w:p>
    <w:p w14:paraId="34F9857B">
      <w:pPr>
        <w:spacing w:line="360" w:lineRule="auto"/>
        <w:ind w:firstLine="718" w:firstLineChars="342"/>
        <w:rPr>
          <w:rFonts w:hint="eastAsia" w:ascii="宋体" w:hAnsi="宋体" w:cs="宋体"/>
          <w:color w:val="auto"/>
          <w:szCs w:val="21"/>
        </w:rPr>
      </w:pPr>
      <w:r>
        <w:rPr>
          <w:rFonts w:hint="eastAsia" w:ascii="宋体" w:hAnsi="宋体" w:cs="宋体"/>
          <w:color w:val="auto"/>
          <w:szCs w:val="21"/>
        </w:rPr>
        <w:t>（3）未按规定格式填写、内容不全或关键字迹模糊、无法辨认的；</w:t>
      </w:r>
    </w:p>
    <w:p w14:paraId="543D591A">
      <w:pPr>
        <w:spacing w:line="360" w:lineRule="auto"/>
        <w:ind w:firstLine="718" w:firstLineChars="342"/>
        <w:rPr>
          <w:rFonts w:hint="eastAsia" w:ascii="宋体" w:hAnsi="宋体" w:cs="宋体"/>
          <w:color w:val="auto"/>
          <w:szCs w:val="21"/>
        </w:rPr>
      </w:pPr>
      <w:r>
        <w:rPr>
          <w:rFonts w:hint="eastAsia" w:ascii="宋体" w:hAnsi="宋体" w:cs="宋体"/>
          <w:color w:val="auto"/>
          <w:szCs w:val="21"/>
        </w:rPr>
        <w:t>（4）响应文件附有采购人不能接受的条件；</w:t>
      </w:r>
    </w:p>
    <w:p w14:paraId="4A64925B">
      <w:pPr>
        <w:spacing w:line="360" w:lineRule="auto"/>
        <w:ind w:firstLine="718" w:firstLineChars="342"/>
        <w:rPr>
          <w:rFonts w:hint="eastAsia" w:ascii="宋体" w:hAnsi="宋体" w:cs="宋体"/>
          <w:color w:val="auto"/>
          <w:szCs w:val="21"/>
        </w:rPr>
      </w:pPr>
      <w:r>
        <w:rPr>
          <w:rFonts w:hint="eastAsia" w:ascii="宋体" w:hAnsi="宋体" w:cs="宋体"/>
          <w:color w:val="auto"/>
          <w:szCs w:val="21"/>
        </w:rPr>
        <w:t>（5）不符合磋商文件规定的其他实质性要求。</w:t>
      </w:r>
    </w:p>
    <w:p w14:paraId="6E817434">
      <w:pPr>
        <w:pStyle w:val="65"/>
        <w:spacing w:line="360" w:lineRule="auto"/>
        <w:outlineLvl w:val="0"/>
        <w:rPr>
          <w:rFonts w:hint="eastAsia" w:ascii="宋体" w:hAnsi="宋体" w:eastAsia="宋体"/>
          <w:b/>
          <w:bCs/>
          <w:color w:val="auto"/>
          <w:sz w:val="21"/>
          <w:szCs w:val="21"/>
        </w:rPr>
      </w:pPr>
      <w:bookmarkStart w:id="803" w:name="_Toc26280"/>
      <w:bookmarkStart w:id="804" w:name="_Toc466298145"/>
      <w:bookmarkStart w:id="805" w:name="_Toc21570"/>
      <w:bookmarkStart w:id="806" w:name="_Toc21032"/>
      <w:bookmarkStart w:id="807" w:name="_Toc12406"/>
      <w:bookmarkStart w:id="808" w:name="_Toc281405534"/>
      <w:bookmarkStart w:id="809" w:name="_Toc13386"/>
      <w:bookmarkStart w:id="810" w:name="_Toc7121"/>
      <w:bookmarkStart w:id="811" w:name="_Toc22101"/>
      <w:bookmarkStart w:id="812" w:name="_Toc16964"/>
      <w:bookmarkStart w:id="813" w:name="_Toc318450728"/>
      <w:bookmarkStart w:id="814" w:name="_Toc455080162"/>
      <w:bookmarkStart w:id="815" w:name="_Toc455867822"/>
      <w:bookmarkStart w:id="816" w:name="_Toc26049"/>
      <w:bookmarkStart w:id="817" w:name="_Toc490667881"/>
      <w:bookmarkStart w:id="818" w:name="_Toc10692"/>
      <w:r>
        <w:rPr>
          <w:rFonts w:hint="eastAsia" w:ascii="宋体" w:hAnsi="宋体" w:eastAsia="宋体"/>
          <w:b/>
          <w:bCs/>
          <w:color w:val="auto"/>
          <w:sz w:val="21"/>
          <w:szCs w:val="21"/>
        </w:rPr>
        <w:t>3.2 详细评审</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14:paraId="10D0E95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3.2.1 磋商小组按本章第2.2款规定的量化因素和分值进行打分，并计算出综合评分得分。</w:t>
      </w:r>
    </w:p>
    <w:p w14:paraId="14A6B56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3.2.2 评分分值计算保留小数点后两位，小数点后第三位“四舍五入”。</w:t>
      </w:r>
    </w:p>
    <w:p w14:paraId="1726B8A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3.2.3供应商的最终得分以全部小组成员打分的算术平均值为准，作为该供应商的最终得分。</w:t>
      </w:r>
    </w:p>
    <w:p w14:paraId="07AC46A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3.2.4在磋商过程中，凡遇到磋商文件中无界定或界定不清、前后不一致使磋商小组意见有分歧且又难以协商一致的问题，均由磋商小组予以表决，获半数以上同意的即为通过，未获半数同意的即为否决。</w:t>
      </w:r>
    </w:p>
    <w:p w14:paraId="54DD6653">
      <w:pPr>
        <w:pStyle w:val="65"/>
        <w:spacing w:line="360" w:lineRule="auto"/>
        <w:outlineLvl w:val="0"/>
        <w:rPr>
          <w:rFonts w:hint="eastAsia" w:ascii="宋体" w:hAnsi="宋体" w:eastAsia="宋体"/>
          <w:b/>
          <w:bCs/>
          <w:color w:val="auto"/>
          <w:sz w:val="21"/>
          <w:szCs w:val="21"/>
        </w:rPr>
      </w:pPr>
      <w:bookmarkStart w:id="819" w:name="_Toc455867823"/>
      <w:bookmarkStart w:id="820" w:name="_Toc10153"/>
      <w:bookmarkStart w:id="821" w:name="_Toc28633"/>
      <w:bookmarkStart w:id="822" w:name="_Toc466298146"/>
      <w:bookmarkStart w:id="823" w:name="_Toc8813"/>
      <w:bookmarkStart w:id="824" w:name="_Toc8342"/>
      <w:bookmarkStart w:id="825" w:name="_Toc24862"/>
      <w:bookmarkStart w:id="826" w:name="_Toc318450729"/>
      <w:bookmarkStart w:id="827" w:name="_Toc12374"/>
      <w:bookmarkStart w:id="828" w:name="_Toc281405535"/>
      <w:bookmarkStart w:id="829" w:name="_Toc455080163"/>
      <w:bookmarkStart w:id="830" w:name="_Toc331"/>
      <w:bookmarkStart w:id="831" w:name="_Toc22084"/>
      <w:bookmarkStart w:id="832" w:name="_Toc490667882"/>
      <w:bookmarkStart w:id="833" w:name="_Toc11958"/>
      <w:bookmarkStart w:id="834" w:name="_Toc2657"/>
      <w:r>
        <w:rPr>
          <w:rFonts w:hint="eastAsia" w:ascii="宋体" w:hAnsi="宋体" w:eastAsia="宋体"/>
          <w:b/>
          <w:bCs/>
          <w:color w:val="auto"/>
          <w:sz w:val="21"/>
          <w:szCs w:val="21"/>
        </w:rPr>
        <w:t>3.3 响应文件的澄清和补正</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14:paraId="2119003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3.3.1在磋商过程中，磋商小组可以通过电子平台澄清说明要求供应商对所提交的响应文件中不明确的内容进行书面澄清或说明，或者对细微偏离进行补正。磋商小组不接受供应商主动提出的澄清、说明或补正。</w:t>
      </w:r>
    </w:p>
    <w:p w14:paraId="53CCC7C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3.3.2 澄清、说明和补正不得超出响应文件的范围或者改变响应文件的实质性内容（算术性错误修正的除外）。供应商的书面澄清、说明和补正属于响应文件的组成部分。</w:t>
      </w:r>
    </w:p>
    <w:p w14:paraId="765BDFE9">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3.3.3 磋商小组对供应商提交的澄清、说明或补正有疑问的，可以要求供应商进一步澄清、说明或补正，直至满足磋商小组的要求。</w:t>
      </w:r>
    </w:p>
    <w:p w14:paraId="6072759B">
      <w:pPr>
        <w:pStyle w:val="65"/>
        <w:spacing w:line="360" w:lineRule="auto"/>
        <w:outlineLvl w:val="0"/>
        <w:rPr>
          <w:rFonts w:hint="eastAsia" w:ascii="宋体" w:hAnsi="宋体" w:eastAsia="宋体"/>
          <w:color w:val="auto"/>
          <w:sz w:val="21"/>
          <w:szCs w:val="21"/>
        </w:rPr>
      </w:pPr>
      <w:bookmarkStart w:id="835" w:name="_Toc19938"/>
      <w:bookmarkStart w:id="836" w:name="_Toc281405536"/>
      <w:bookmarkStart w:id="837" w:name="_Toc455867824"/>
      <w:bookmarkStart w:id="838" w:name="_Toc490667883"/>
      <w:bookmarkStart w:id="839" w:name="_Toc22049"/>
      <w:bookmarkStart w:id="840" w:name="_Toc5903"/>
      <w:bookmarkStart w:id="841" w:name="_Toc466298147"/>
      <w:bookmarkStart w:id="842" w:name="_Toc318450730"/>
      <w:bookmarkStart w:id="843" w:name="_Toc455080164"/>
      <w:bookmarkStart w:id="844" w:name="_Toc26894"/>
      <w:bookmarkStart w:id="845" w:name="_Toc30053"/>
      <w:bookmarkStart w:id="846" w:name="_Toc32183"/>
      <w:bookmarkStart w:id="847" w:name="_Toc1857"/>
      <w:bookmarkStart w:id="848" w:name="_Toc22986"/>
      <w:bookmarkStart w:id="849" w:name="_Toc22682"/>
      <w:bookmarkStart w:id="850" w:name="_Toc19453"/>
      <w:r>
        <w:rPr>
          <w:rFonts w:hint="eastAsia" w:ascii="宋体" w:hAnsi="宋体" w:eastAsia="宋体"/>
          <w:color w:val="auto"/>
          <w:sz w:val="21"/>
          <w:szCs w:val="21"/>
        </w:rPr>
        <w:t>3.4 评审结果</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14:paraId="5626F612">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3.4.1除第二章“供应商须知”前附表授权直接确定成交人外，磋商小组按照得分由高到低的顺序推荐成交候选人。</w:t>
      </w:r>
    </w:p>
    <w:p w14:paraId="590E9DCF">
      <w:pPr>
        <w:rPr>
          <w:rFonts w:hint="eastAsia" w:ascii="宋体" w:hAnsi="宋体" w:cs="宋体"/>
          <w:color w:val="auto"/>
          <w:szCs w:val="21"/>
        </w:rPr>
      </w:pPr>
      <w:r>
        <w:rPr>
          <w:rFonts w:hint="eastAsia" w:ascii="宋体" w:hAnsi="宋体" w:cs="宋体"/>
          <w:color w:val="auto"/>
          <w:szCs w:val="21"/>
        </w:rPr>
        <w:t xml:space="preserve">   3.4.2 磋商小组完成评审后，应当向采购人提交书面评审报告。</w:t>
      </w:r>
    </w:p>
    <w:p w14:paraId="7EED0ED4">
      <w:pPr>
        <w:rPr>
          <w:rFonts w:ascii="宋体" w:hAnsi="宋体" w:eastAsia="宋体" w:cs="宋体"/>
          <w:color w:val="auto"/>
          <w:szCs w:val="21"/>
        </w:rPr>
      </w:pPr>
      <w:r>
        <w:rPr>
          <w:rFonts w:hint="eastAsia" w:ascii="宋体" w:hAnsi="宋体" w:cs="宋体"/>
          <w:color w:val="auto"/>
          <w:szCs w:val="21"/>
        </w:rPr>
        <w:br w:type="page"/>
      </w:r>
      <w:r>
        <w:rPr>
          <w:rFonts w:hint="eastAsia" w:ascii="宋体" w:hAnsi="宋体" w:eastAsia="宋体" w:cs="宋体"/>
          <w:color w:val="auto"/>
          <w:szCs w:val="21"/>
        </w:rPr>
        <w:t>附件：废标条件</w:t>
      </w:r>
    </w:p>
    <w:p w14:paraId="67F77F94">
      <w:pPr>
        <w:spacing w:line="400" w:lineRule="exact"/>
        <w:ind w:firstLine="422" w:firstLineChars="200"/>
        <w:jc w:val="center"/>
        <w:outlineLvl w:val="0"/>
        <w:rPr>
          <w:rFonts w:ascii="宋体" w:hAnsi="宋体" w:eastAsia="宋体" w:cs="宋体"/>
          <w:b/>
          <w:color w:val="auto"/>
          <w:szCs w:val="21"/>
        </w:rPr>
      </w:pPr>
      <w:bookmarkStart w:id="851" w:name="_Toc30274"/>
      <w:bookmarkStart w:id="852" w:name="_Toc26824"/>
      <w:r>
        <w:rPr>
          <w:rFonts w:hint="eastAsia" w:ascii="宋体" w:hAnsi="宋体" w:eastAsia="宋体" w:cs="宋体"/>
          <w:b/>
          <w:color w:val="auto"/>
          <w:szCs w:val="21"/>
        </w:rPr>
        <w:t>废标条件</w:t>
      </w:r>
      <w:bookmarkEnd w:id="851"/>
      <w:bookmarkEnd w:id="852"/>
    </w:p>
    <w:p w14:paraId="0A8BDD50">
      <w:pPr>
        <w:spacing w:line="40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本附件所集中列示的废标条件，是本章“评标办法”的组成部分，是对第二章“</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须知”和本章正文部分所规定的废标条件的总结和补充，如果出现相互矛盾的情况，以第二章“</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须知”和本章正文部分的规定为准。</w:t>
      </w:r>
    </w:p>
    <w:p w14:paraId="53AB920E">
      <w:pPr>
        <w:spacing w:line="40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 xml:space="preserve">1.未通过第三章评标办法资格评审、符合性评审的； </w:t>
      </w:r>
    </w:p>
    <w:p w14:paraId="5591435A">
      <w:pPr>
        <w:spacing w:line="40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2.不按评标委员会要求澄清、说明或补正的；</w:t>
      </w:r>
    </w:p>
    <w:p w14:paraId="0068A1EA">
      <w:pPr>
        <w:spacing w:line="40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3.投标报价有算术性错误，</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不接受修正价格的；</w:t>
      </w:r>
    </w:p>
    <w:p w14:paraId="3FEF63E2">
      <w:pPr>
        <w:spacing w:line="40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4.以他人的名义投标、以行贿手段谋取中标或者以其他弄虚作假方式投标的；</w:t>
      </w:r>
    </w:p>
    <w:p w14:paraId="36E6E39D">
      <w:pPr>
        <w:spacing w:line="40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5.属于串（围）标行为的；</w:t>
      </w:r>
    </w:p>
    <w:p w14:paraId="56D99FD4">
      <w:pPr>
        <w:spacing w:line="40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6.评标委员会认定</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以低于成本报价竞标的；</w:t>
      </w:r>
    </w:p>
    <w:p w14:paraId="0E9D4A08">
      <w:pPr>
        <w:spacing w:line="40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7．明显不符合技术规格、技术标准的要求；</w:t>
      </w:r>
    </w:p>
    <w:p w14:paraId="584756FB">
      <w:pPr>
        <w:spacing w:line="40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8.不具备</w:t>
      </w:r>
      <w:r>
        <w:rPr>
          <w:rFonts w:hint="eastAsia" w:ascii="宋体" w:hAnsi="宋体" w:cs="宋体"/>
          <w:b/>
          <w:color w:val="auto"/>
          <w:szCs w:val="21"/>
          <w:lang w:eastAsia="zh-CN"/>
        </w:rPr>
        <w:t>磋商文件</w:t>
      </w:r>
      <w:r>
        <w:rPr>
          <w:rFonts w:hint="eastAsia" w:ascii="宋体" w:hAnsi="宋体" w:eastAsia="宋体" w:cs="宋体"/>
          <w:b/>
          <w:color w:val="auto"/>
          <w:szCs w:val="21"/>
        </w:rPr>
        <w:t>中规定的资格要求的；</w:t>
      </w:r>
    </w:p>
    <w:p w14:paraId="2E445AB2">
      <w:pPr>
        <w:spacing w:line="40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9.文件制作机器码、文件创建标识码有相同的；</w:t>
      </w:r>
    </w:p>
    <w:p w14:paraId="5E52A80D">
      <w:pPr>
        <w:spacing w:line="40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10．不符合</w:t>
      </w:r>
      <w:r>
        <w:rPr>
          <w:rFonts w:hint="eastAsia" w:ascii="宋体" w:hAnsi="宋体" w:cs="宋体"/>
          <w:b/>
          <w:color w:val="auto"/>
          <w:szCs w:val="21"/>
          <w:lang w:eastAsia="zh-CN"/>
        </w:rPr>
        <w:t>磋商文件</w:t>
      </w:r>
      <w:r>
        <w:rPr>
          <w:rFonts w:hint="eastAsia" w:ascii="宋体" w:hAnsi="宋体" w:eastAsia="宋体" w:cs="宋体"/>
          <w:b/>
          <w:color w:val="auto"/>
          <w:szCs w:val="21"/>
        </w:rPr>
        <w:t>规定的其他实质性要求及相关法律、法规或规章规定可以废标的其他情形。</w:t>
      </w:r>
    </w:p>
    <w:p w14:paraId="1EC032B2">
      <w:pPr>
        <w:spacing w:line="360" w:lineRule="auto"/>
        <w:rPr>
          <w:rFonts w:hint="eastAsia" w:ascii="宋体" w:hAnsi="宋体" w:cs="宋体"/>
          <w:color w:val="auto"/>
          <w:szCs w:val="21"/>
        </w:rPr>
      </w:pPr>
    </w:p>
    <w:p w14:paraId="4A536868">
      <w:pPr>
        <w:spacing w:line="360" w:lineRule="auto"/>
        <w:rPr>
          <w:rFonts w:hint="eastAsia" w:ascii="宋体" w:hAnsi="宋体" w:cs="宋体"/>
          <w:color w:val="auto"/>
          <w:szCs w:val="21"/>
        </w:rPr>
      </w:pPr>
    </w:p>
    <w:p w14:paraId="49EB3982">
      <w:pPr>
        <w:ind w:firstLine="422"/>
        <w:rPr>
          <w:rFonts w:ascii="宋体" w:hAnsi="宋体" w:cs="宋体"/>
          <w:b/>
          <w:color w:val="auto"/>
          <w:szCs w:val="21"/>
          <w:highlight w:val="none"/>
        </w:rPr>
      </w:pPr>
      <w:r>
        <w:rPr>
          <w:rFonts w:hint="eastAsia" w:ascii="宋体" w:hAnsi="宋体" w:cs="宋体"/>
          <w:b/>
          <w:color w:val="auto"/>
          <w:szCs w:val="21"/>
          <w:highlight w:val="none"/>
        </w:rPr>
        <w:br w:type="page"/>
      </w:r>
    </w:p>
    <w:p w14:paraId="678B492F">
      <w:pPr>
        <w:pStyle w:val="4"/>
        <w:ind w:firstLine="0" w:firstLineChars="0"/>
        <w:rPr>
          <w:color w:val="auto"/>
          <w:highlight w:val="none"/>
        </w:rPr>
      </w:pPr>
      <w:bookmarkStart w:id="853" w:name="_Toc10294"/>
      <w:r>
        <w:rPr>
          <w:rFonts w:hint="eastAsia"/>
          <w:color w:val="auto"/>
          <w:highlight w:val="none"/>
        </w:rPr>
        <w:t>第四章   合同主要条款及格式</w:t>
      </w:r>
      <w:bookmarkEnd w:id="853"/>
    </w:p>
    <w:p w14:paraId="4D78F7F0">
      <w:pPr>
        <w:autoSpaceDE w:val="0"/>
        <w:autoSpaceDN w:val="0"/>
        <w:adjustRightInd w:val="0"/>
        <w:spacing w:line="360" w:lineRule="auto"/>
        <w:ind w:firstLine="422"/>
        <w:jc w:val="center"/>
        <w:rPr>
          <w:rFonts w:ascii="宋体" w:hAnsi="宋体" w:cs="宋体"/>
          <w:b/>
          <w:bCs/>
          <w:color w:val="auto"/>
          <w:kern w:val="0"/>
          <w:szCs w:val="21"/>
          <w:highlight w:val="none"/>
        </w:rPr>
      </w:pPr>
      <w:bookmarkStart w:id="854" w:name="_Toc29443"/>
      <w:r>
        <w:rPr>
          <w:rFonts w:hint="eastAsia" w:ascii="宋体" w:hAnsi="宋体" w:cs="宋体"/>
          <w:b/>
          <w:bCs/>
          <w:color w:val="auto"/>
          <w:kern w:val="0"/>
          <w:szCs w:val="21"/>
          <w:highlight w:val="none"/>
        </w:rPr>
        <w:t>（本合同仅供参考）</w:t>
      </w:r>
    </w:p>
    <w:p w14:paraId="0500B9ED">
      <w:pPr>
        <w:widowControl/>
        <w:spacing w:line="360" w:lineRule="auto"/>
        <w:ind w:firstLine="0" w:firstLineChars="0"/>
        <w:jc w:val="center"/>
        <w:rPr>
          <w:rFonts w:cs="Times New Roman"/>
          <w:color w:val="auto"/>
          <w:kern w:val="0"/>
          <w:sz w:val="36"/>
          <w:szCs w:val="36"/>
          <w:highlight w:val="none"/>
        </w:rPr>
      </w:pPr>
    </w:p>
    <w:p w14:paraId="52DA6B22">
      <w:pPr>
        <w:jc w:val="both"/>
        <w:outlineLvl w:val="9"/>
        <w:rPr>
          <w:rFonts w:hint="eastAsia" w:ascii="仿宋" w:hAnsi="仿宋" w:eastAsia="仿宋" w:cs="仿宋"/>
          <w:b/>
          <w:color w:val="auto"/>
          <w:sz w:val="32"/>
          <w:szCs w:val="32"/>
        </w:rPr>
      </w:pPr>
    </w:p>
    <w:p w14:paraId="105B0C33">
      <w:pPr>
        <w:pStyle w:val="17"/>
        <w:outlineLvl w:val="9"/>
        <w:rPr>
          <w:rFonts w:hint="eastAsia"/>
          <w:color w:val="auto"/>
        </w:rPr>
      </w:pPr>
    </w:p>
    <w:p w14:paraId="13FBC46F">
      <w:pPr>
        <w:spacing w:line="360" w:lineRule="auto"/>
        <w:jc w:val="center"/>
        <w:outlineLvl w:val="9"/>
        <w:rPr>
          <w:rFonts w:hint="eastAsia" w:ascii="宋体" w:hAnsi="宋体" w:eastAsia="宋体" w:cs="宋体"/>
          <w:b/>
          <w:color w:val="auto"/>
          <w:sz w:val="24"/>
          <w:szCs w:val="24"/>
        </w:rPr>
      </w:pPr>
    </w:p>
    <w:p w14:paraId="1D2278E0">
      <w:pPr>
        <w:spacing w:line="360" w:lineRule="auto"/>
        <w:jc w:val="center"/>
        <w:outlineLvl w:val="9"/>
        <w:rPr>
          <w:rFonts w:hint="eastAsia" w:ascii="宋体" w:hAnsi="宋体" w:eastAsia="宋体" w:cs="宋体"/>
          <w:b/>
          <w:color w:val="auto"/>
          <w:sz w:val="24"/>
          <w:szCs w:val="24"/>
        </w:rPr>
      </w:pPr>
    </w:p>
    <w:p w14:paraId="047E325F">
      <w:pPr>
        <w:spacing w:line="360" w:lineRule="auto"/>
        <w:ind w:firstLine="3855" w:firstLineChars="1600"/>
        <w:jc w:val="both"/>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政府采购合同</w:t>
      </w:r>
    </w:p>
    <w:p w14:paraId="3D702EA8">
      <w:pPr>
        <w:spacing w:line="360" w:lineRule="auto"/>
        <w:jc w:val="center"/>
        <w:rPr>
          <w:rFonts w:hint="eastAsia" w:ascii="宋体" w:hAnsi="宋体" w:eastAsia="宋体" w:cs="宋体"/>
          <w:b/>
          <w:color w:val="auto"/>
          <w:sz w:val="24"/>
          <w:szCs w:val="24"/>
        </w:rPr>
      </w:pPr>
    </w:p>
    <w:p w14:paraId="75C282A5">
      <w:pPr>
        <w:spacing w:line="360" w:lineRule="auto"/>
        <w:jc w:val="center"/>
        <w:rPr>
          <w:rFonts w:hint="eastAsia" w:ascii="宋体" w:hAnsi="宋体" w:eastAsia="宋体" w:cs="宋体"/>
          <w:b/>
          <w:color w:val="auto"/>
          <w:sz w:val="24"/>
          <w:szCs w:val="24"/>
        </w:rPr>
      </w:pPr>
    </w:p>
    <w:p w14:paraId="021C2BD3">
      <w:pPr>
        <w:spacing w:line="360" w:lineRule="auto"/>
        <w:ind w:firstLine="1920" w:firstLineChars="800"/>
        <w:outlineLvl w:val="1"/>
        <w:rPr>
          <w:rFonts w:hint="eastAsia" w:ascii="宋体" w:hAnsi="宋体" w:eastAsia="宋体" w:cs="宋体"/>
          <w:color w:val="auto"/>
          <w:sz w:val="24"/>
          <w:szCs w:val="24"/>
        </w:rPr>
      </w:pPr>
      <w:r>
        <w:rPr>
          <w:rFonts w:hint="eastAsia" w:ascii="宋体" w:hAnsi="宋体" w:eastAsia="宋体" w:cs="宋体"/>
          <w:color w:val="auto"/>
          <w:sz w:val="24"/>
          <w:szCs w:val="24"/>
        </w:rPr>
        <w:t>项目名称：</w:t>
      </w:r>
      <w:r>
        <w:rPr>
          <w:rFonts w:hint="eastAsia" w:ascii="宋体" w:hAnsi="宋体" w:eastAsia="宋体" w:cs="宋体"/>
          <w:color w:val="auto"/>
          <w:sz w:val="24"/>
          <w:szCs w:val="24"/>
          <w:u w:val="single"/>
        </w:rPr>
        <w:t xml:space="preserve">                                   </w:t>
      </w:r>
    </w:p>
    <w:p w14:paraId="59765AEB">
      <w:pPr>
        <w:spacing w:line="360" w:lineRule="auto"/>
        <w:ind w:firstLine="1920" w:firstLineChars="800"/>
        <w:outlineLvl w:val="1"/>
        <w:rPr>
          <w:rFonts w:hint="eastAsia" w:ascii="宋体" w:hAnsi="宋体" w:eastAsia="宋体" w:cs="宋体"/>
          <w:color w:val="auto"/>
          <w:sz w:val="24"/>
          <w:szCs w:val="24"/>
          <w:u w:val="single"/>
        </w:rPr>
      </w:pPr>
      <w:r>
        <w:rPr>
          <w:rFonts w:hint="eastAsia" w:ascii="宋体" w:hAnsi="宋体" w:eastAsia="宋体" w:cs="宋体"/>
          <w:color w:val="auto"/>
          <w:sz w:val="24"/>
          <w:szCs w:val="24"/>
        </w:rPr>
        <w:t>政府采购管理部门备案编号：</w:t>
      </w:r>
      <w:r>
        <w:rPr>
          <w:rFonts w:hint="eastAsia" w:ascii="宋体" w:hAnsi="宋体" w:eastAsia="宋体" w:cs="宋体"/>
          <w:color w:val="auto"/>
          <w:sz w:val="24"/>
          <w:szCs w:val="24"/>
          <w:u w:val="single"/>
        </w:rPr>
        <w:t xml:space="preserve">                   </w:t>
      </w:r>
    </w:p>
    <w:p w14:paraId="1D8193A4">
      <w:pPr>
        <w:spacing w:line="360" w:lineRule="auto"/>
        <w:ind w:firstLine="1920" w:firstLineChars="800"/>
        <w:outlineLvl w:val="1"/>
        <w:rPr>
          <w:rFonts w:hint="eastAsia" w:ascii="宋体" w:hAnsi="宋体" w:eastAsia="宋体" w:cs="宋体"/>
          <w:color w:val="auto"/>
          <w:sz w:val="24"/>
          <w:szCs w:val="24"/>
        </w:rPr>
      </w:pPr>
      <w:r>
        <w:rPr>
          <w:rFonts w:hint="eastAsia" w:ascii="宋体" w:hAnsi="宋体" w:eastAsia="宋体" w:cs="宋体"/>
          <w:color w:val="auto"/>
          <w:sz w:val="24"/>
          <w:szCs w:val="24"/>
        </w:rPr>
        <w:t>招标采购文件编号：</w:t>
      </w:r>
      <w:r>
        <w:rPr>
          <w:rFonts w:hint="eastAsia" w:ascii="宋体" w:hAnsi="宋体" w:eastAsia="宋体" w:cs="宋体"/>
          <w:color w:val="auto"/>
          <w:sz w:val="24"/>
          <w:szCs w:val="24"/>
          <w:u w:val="single"/>
        </w:rPr>
        <w:t xml:space="preserve">                           </w:t>
      </w:r>
    </w:p>
    <w:p w14:paraId="6DF30EEC">
      <w:pPr>
        <w:spacing w:line="360" w:lineRule="auto"/>
        <w:ind w:firstLine="1920" w:firstLineChars="800"/>
        <w:outlineLvl w:val="1"/>
        <w:rPr>
          <w:rFonts w:hint="eastAsia" w:ascii="宋体" w:hAnsi="宋体" w:eastAsia="宋体" w:cs="宋体"/>
          <w:color w:val="auto"/>
          <w:sz w:val="24"/>
          <w:szCs w:val="24"/>
        </w:rPr>
      </w:pPr>
      <w:r>
        <w:rPr>
          <w:rFonts w:hint="eastAsia" w:ascii="宋体" w:hAnsi="宋体" w:eastAsia="宋体" w:cs="宋体"/>
          <w:color w:val="auto"/>
          <w:sz w:val="24"/>
          <w:szCs w:val="24"/>
        </w:rPr>
        <w:t>甲方合同编号：</w:t>
      </w:r>
      <w:r>
        <w:rPr>
          <w:rFonts w:hint="eastAsia" w:ascii="宋体" w:hAnsi="宋体" w:eastAsia="宋体" w:cs="宋体"/>
          <w:color w:val="auto"/>
          <w:sz w:val="24"/>
          <w:szCs w:val="24"/>
          <w:u w:val="single"/>
        </w:rPr>
        <w:t xml:space="preserve">                               </w:t>
      </w:r>
    </w:p>
    <w:p w14:paraId="21DBCAB9">
      <w:pPr>
        <w:spacing w:line="360" w:lineRule="auto"/>
        <w:ind w:firstLine="1920" w:firstLineChars="800"/>
        <w:outlineLvl w:val="1"/>
        <w:rPr>
          <w:rFonts w:hint="eastAsia" w:ascii="宋体" w:hAnsi="宋体" w:eastAsia="宋体" w:cs="宋体"/>
          <w:color w:val="auto"/>
          <w:sz w:val="24"/>
          <w:szCs w:val="24"/>
          <w:u w:val="single"/>
        </w:rPr>
      </w:pPr>
      <w:r>
        <w:rPr>
          <w:rFonts w:hint="eastAsia" w:ascii="宋体" w:hAnsi="宋体" w:eastAsia="宋体" w:cs="宋体"/>
          <w:color w:val="auto"/>
          <w:sz w:val="24"/>
          <w:szCs w:val="24"/>
        </w:rPr>
        <w:t>甲方：</w:t>
      </w:r>
      <w:r>
        <w:rPr>
          <w:rFonts w:hint="eastAsia" w:ascii="宋体" w:hAnsi="宋体" w:eastAsia="宋体" w:cs="宋体"/>
          <w:color w:val="auto"/>
          <w:sz w:val="24"/>
          <w:szCs w:val="24"/>
          <w:u w:val="single"/>
        </w:rPr>
        <w:t xml:space="preserve">                                       </w:t>
      </w:r>
    </w:p>
    <w:p w14:paraId="5B39C83E">
      <w:pPr>
        <w:spacing w:line="360" w:lineRule="auto"/>
        <w:ind w:firstLine="1920" w:firstLineChars="800"/>
        <w:outlineLvl w:val="1"/>
        <w:rPr>
          <w:rFonts w:hint="eastAsia" w:ascii="宋体" w:hAnsi="宋体" w:eastAsia="宋体" w:cs="宋体"/>
          <w:color w:val="auto"/>
          <w:sz w:val="24"/>
          <w:szCs w:val="24"/>
        </w:rPr>
      </w:pPr>
      <w:r>
        <w:rPr>
          <w:rFonts w:hint="eastAsia" w:ascii="宋体" w:hAnsi="宋体" w:eastAsia="宋体" w:cs="宋体"/>
          <w:color w:val="auto"/>
          <w:sz w:val="24"/>
          <w:szCs w:val="24"/>
        </w:rPr>
        <w:t>乙方：</w:t>
      </w:r>
      <w:r>
        <w:rPr>
          <w:rFonts w:hint="eastAsia" w:ascii="宋体" w:hAnsi="宋体" w:eastAsia="宋体" w:cs="宋体"/>
          <w:color w:val="auto"/>
          <w:sz w:val="24"/>
          <w:szCs w:val="24"/>
          <w:u w:val="single"/>
        </w:rPr>
        <w:t xml:space="preserve">                                       </w:t>
      </w:r>
    </w:p>
    <w:p w14:paraId="27393727">
      <w:pPr>
        <w:spacing w:line="360" w:lineRule="auto"/>
        <w:ind w:firstLine="1920" w:firstLineChars="800"/>
        <w:outlineLvl w:val="1"/>
        <w:rPr>
          <w:rFonts w:hint="eastAsia" w:ascii="宋体" w:hAnsi="宋体" w:eastAsia="宋体" w:cs="宋体"/>
          <w:color w:val="auto"/>
          <w:sz w:val="24"/>
          <w:szCs w:val="24"/>
          <w:u w:val="single"/>
        </w:rPr>
      </w:pPr>
      <w:r>
        <w:rPr>
          <w:rFonts w:hint="eastAsia" w:ascii="宋体" w:hAnsi="宋体" w:eastAsia="宋体" w:cs="宋体"/>
          <w:color w:val="auto"/>
          <w:sz w:val="24"/>
          <w:szCs w:val="24"/>
        </w:rPr>
        <w:t>甲方合同法律审核部门：</w:t>
      </w:r>
      <w:r>
        <w:rPr>
          <w:rFonts w:hint="eastAsia" w:ascii="宋体" w:hAnsi="宋体" w:eastAsia="宋体" w:cs="宋体"/>
          <w:color w:val="auto"/>
          <w:sz w:val="24"/>
          <w:szCs w:val="24"/>
          <w:u w:val="single"/>
        </w:rPr>
        <w:t xml:space="preserve">                       </w:t>
      </w:r>
    </w:p>
    <w:p w14:paraId="6EE67075">
      <w:pPr>
        <w:spacing w:line="360" w:lineRule="auto"/>
        <w:rPr>
          <w:rFonts w:hint="eastAsia" w:ascii="宋体" w:hAnsi="宋体" w:eastAsia="宋体" w:cs="宋体"/>
          <w:color w:val="auto"/>
          <w:sz w:val="24"/>
          <w:szCs w:val="24"/>
        </w:rPr>
      </w:pPr>
    </w:p>
    <w:p w14:paraId="3D5A5389">
      <w:pPr>
        <w:spacing w:line="360" w:lineRule="auto"/>
        <w:rPr>
          <w:rFonts w:hint="eastAsia" w:ascii="宋体" w:hAnsi="宋体" w:eastAsia="宋体" w:cs="宋体"/>
          <w:color w:val="auto"/>
          <w:sz w:val="24"/>
          <w:szCs w:val="24"/>
        </w:rPr>
      </w:pPr>
    </w:p>
    <w:p w14:paraId="43DB99DB">
      <w:pPr>
        <w:spacing w:line="360" w:lineRule="auto"/>
        <w:rPr>
          <w:rFonts w:hint="eastAsia" w:ascii="宋体" w:hAnsi="宋体" w:eastAsia="宋体" w:cs="宋体"/>
          <w:color w:val="auto"/>
          <w:sz w:val="24"/>
          <w:szCs w:val="24"/>
        </w:rPr>
      </w:pPr>
    </w:p>
    <w:p w14:paraId="111D8006">
      <w:pPr>
        <w:spacing w:line="360" w:lineRule="auto"/>
        <w:rPr>
          <w:rFonts w:hint="eastAsia" w:ascii="宋体" w:hAnsi="宋体" w:eastAsia="宋体" w:cs="宋体"/>
          <w:color w:val="auto"/>
          <w:sz w:val="24"/>
          <w:szCs w:val="24"/>
        </w:rPr>
      </w:pPr>
    </w:p>
    <w:p w14:paraId="6BBB8170">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签订时间：      年    月    日</w:t>
      </w:r>
    </w:p>
    <w:p w14:paraId="3B35FC5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（甲方）（××项目）委托（代理机构名称）进行了政府采购。按照评委会评审推荐、甲方确定乙方为中标单位。现甲乙双方协商同意签订本合同。</w:t>
      </w:r>
    </w:p>
    <w:p w14:paraId="48C03BFE">
      <w:pPr>
        <w:numPr>
          <w:ilvl w:val="0"/>
          <w:numId w:val="2"/>
        </w:numPr>
        <w:tabs>
          <w:tab w:val="left" w:pos="0"/>
          <w:tab w:val="clear" w:pos="720"/>
        </w:tabs>
        <w:spacing w:line="360" w:lineRule="auto"/>
        <w:ind w:left="0" w:firstLine="482" w:firstLineChars="200"/>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合同文件</w:t>
      </w:r>
    </w:p>
    <w:p w14:paraId="549DA4D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下列与本次采购活动有关的文件及附件是本合同不可分割的组成部分，与本合同具有同等法律效力，这些文件包括但不限于：</w:t>
      </w:r>
    </w:p>
    <w:p w14:paraId="6415A81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1.（××号）招标采购文件</w:t>
      </w:r>
    </w:p>
    <w:p w14:paraId="796B8563">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w:t>
      </w:r>
      <w:r>
        <w:rPr>
          <w:rFonts w:hint="eastAsia" w:ascii="宋体" w:hAnsi="宋体" w:cs="宋体"/>
          <w:color w:val="auto"/>
          <w:sz w:val="24"/>
          <w:szCs w:val="24"/>
          <w:lang w:eastAsia="zh-CN"/>
        </w:rPr>
        <w:t>响应文件</w:t>
      </w:r>
    </w:p>
    <w:p w14:paraId="2EC4188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3.乙方在投标时的书面承诺</w:t>
      </w:r>
    </w:p>
    <w:p w14:paraId="1D924ED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4.（××号）中标通知书</w:t>
      </w:r>
    </w:p>
    <w:p w14:paraId="5AD69D8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5.合同补充条款或说明</w:t>
      </w:r>
    </w:p>
    <w:p w14:paraId="3FD1816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6.保密协议或条款</w:t>
      </w:r>
    </w:p>
    <w:p w14:paraId="0721961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7.相关附件、图纸及电子版资料</w:t>
      </w:r>
    </w:p>
    <w:p w14:paraId="553F9855">
      <w:pPr>
        <w:spacing w:line="360" w:lineRule="auto"/>
        <w:ind w:left="482"/>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第二条  合同内容</w:t>
      </w:r>
    </w:p>
    <w:p w14:paraId="0C65A6B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服务名称：详见合同附件中《服务一览表》  </w:t>
      </w:r>
    </w:p>
    <w:p w14:paraId="1C72B288">
      <w:pPr>
        <w:spacing w:line="360" w:lineRule="auto"/>
        <w:ind w:left="482"/>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第三条  合同总金额</w:t>
      </w:r>
    </w:p>
    <w:p w14:paraId="4D1CA37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val="en-US" w:eastAsia="zh-CN"/>
        </w:rPr>
        <w:t>中标金额</w:t>
      </w:r>
      <w:r>
        <w:rPr>
          <w:rFonts w:hint="eastAsia" w:ascii="宋体" w:hAnsi="宋体" w:eastAsia="宋体" w:cs="宋体"/>
          <w:color w:val="auto"/>
          <w:sz w:val="24"/>
          <w:szCs w:val="24"/>
        </w:rPr>
        <w:t>为</w:t>
      </w:r>
      <w:r>
        <w:rPr>
          <w:rFonts w:hint="eastAsia" w:ascii="宋体" w:hAnsi="宋体" w:eastAsia="宋体" w:cs="宋体"/>
          <w:color w:val="auto"/>
          <w:sz w:val="24"/>
          <w:szCs w:val="24"/>
          <w:lang w:val="en-US" w:eastAsia="zh-CN"/>
        </w:rPr>
        <w:t xml:space="preserve">     元</w:t>
      </w:r>
      <w:r>
        <w:rPr>
          <w:rFonts w:hint="eastAsia" w:ascii="宋体" w:hAnsi="宋体" w:eastAsia="宋体" w:cs="宋体"/>
          <w:color w:val="auto"/>
          <w:sz w:val="24"/>
          <w:szCs w:val="24"/>
        </w:rPr>
        <w:t xml:space="preserve"> 。</w:t>
      </w:r>
    </w:p>
    <w:p w14:paraId="2223516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分项价款在《服务一览表》中有明确规定。</w:t>
      </w:r>
    </w:p>
    <w:p w14:paraId="0689308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本合同总价款包括服务期间必须的日常物料、易耗品、工具、调试费、培训费等相关费用。</w:t>
      </w:r>
    </w:p>
    <w:p w14:paraId="61044F9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本合同执行期内因工作量变化而引起的服务费用的变动，在双方事先协商一致的前提下签订补充合同，但因此而增加的服务费用不得超过原中标金额的10%。</w:t>
      </w:r>
    </w:p>
    <w:p w14:paraId="02188ABF">
      <w:pPr>
        <w:spacing w:line="360" w:lineRule="auto"/>
        <w:ind w:left="482"/>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第四条  权利义务和质量保证</w:t>
      </w:r>
    </w:p>
    <w:p w14:paraId="71A0914E">
      <w:pPr>
        <w:pStyle w:val="16"/>
        <w:tabs>
          <w:tab w:val="left" w:pos="0"/>
        </w:tabs>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甲方保证服务期间，对乙方工作给予支持，提供水、电、场地等必须的基础工作条件。如乙方有需要，还应提供履行合同所必需的有关图纸、数据、资料等。没有甲方事先同意，乙方不得将甲方资料提供给与履行本合同无关的任何其他人。即使向履行本合同有关的人员提供，也应注意保密并限于履行合同的必需范围内。</w:t>
      </w:r>
    </w:p>
    <w:p w14:paraId="70483A08">
      <w:pPr>
        <w:pStyle w:val="1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乙方保证所提供的服务或其任何一部分均不会侵犯任何第三方的专利权、商标权或著作权。一旦出现侵权，索赔或诉讼，乙方应承担全部责任。乙方保证服务不存在危及人身及财产安全的隐患，不存在违反国家法规、法令、法律以及行业规范所要求的有关安全条款，否则应承担全部法律责任。</w:t>
      </w:r>
    </w:p>
    <w:p w14:paraId="35D48D62">
      <w:pPr>
        <w:spacing w:line="360" w:lineRule="auto"/>
        <w:ind w:left="482"/>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第五条  付款方式</w:t>
      </w:r>
    </w:p>
    <w:p w14:paraId="4B0A3E0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1.本合同项下所有款项均以人民币支付。</w:t>
      </w:r>
    </w:p>
    <w:p w14:paraId="704EE2D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2.乙方向甲方提交下列文件材料，经甲方审核无误后支付采购资金：</w:t>
      </w:r>
    </w:p>
    <w:p w14:paraId="51EFCB3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（1）经甲方确认的发票；</w:t>
      </w:r>
    </w:p>
    <w:p w14:paraId="601216E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（2）经甲乙双方确认签署的《验收报告》（或按项目进度阶段性《验收报告》）；</w:t>
      </w:r>
    </w:p>
    <w:p w14:paraId="3A9CB81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（3）其他材料。</w:t>
      </w:r>
    </w:p>
    <w:p w14:paraId="25F78979">
      <w:pPr>
        <w:pStyle w:val="16"/>
        <w:tabs>
          <w:tab w:val="left" w:pos="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3.合同签订后</w:t>
      </w:r>
      <w:r>
        <w:rPr>
          <w:rFonts w:hint="eastAsia" w:ascii="宋体" w:hAnsi="宋体" w:eastAsia="宋体" w:cs="宋体"/>
          <w:color w:val="auto"/>
          <w:sz w:val="24"/>
          <w:szCs w:val="24"/>
          <w:highlight w:val="none"/>
          <w:lang w:val="en-US" w:eastAsia="zh-CN"/>
        </w:rPr>
        <w:t>7个工作日内</w:t>
      </w:r>
      <w:r>
        <w:rPr>
          <w:rFonts w:hint="eastAsia" w:ascii="宋体" w:hAnsi="宋体" w:eastAsia="宋体" w:cs="宋体"/>
          <w:color w:val="auto"/>
          <w:sz w:val="24"/>
          <w:szCs w:val="24"/>
          <w:highlight w:val="none"/>
        </w:rPr>
        <w:t>，甲方向乙方预付合同金额的50%，平台建设完工验收合格后，甲方于7</w:t>
      </w:r>
      <w:r>
        <w:rPr>
          <w:rFonts w:hint="eastAsia" w:ascii="宋体" w:hAnsi="宋体" w:eastAsia="宋体" w:cs="宋体"/>
          <w:color w:val="auto"/>
          <w:sz w:val="24"/>
          <w:szCs w:val="24"/>
          <w:highlight w:val="none"/>
          <w:lang w:val="en-US" w:eastAsia="zh-CN"/>
        </w:rPr>
        <w:t>个工作</w:t>
      </w:r>
      <w:r>
        <w:rPr>
          <w:rFonts w:hint="eastAsia" w:ascii="宋体" w:hAnsi="宋体" w:eastAsia="宋体" w:cs="宋体"/>
          <w:color w:val="auto"/>
          <w:sz w:val="24"/>
          <w:szCs w:val="24"/>
          <w:highlight w:val="none"/>
        </w:rPr>
        <w:t>日内向乙方支付合同金额剩下的 50%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0710292">
      <w:pPr>
        <w:spacing w:line="360" w:lineRule="auto"/>
        <w:ind w:left="482"/>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第六条  履约保证金（</w:t>
      </w:r>
      <w:r>
        <w:rPr>
          <w:rFonts w:hint="eastAsia" w:ascii="宋体" w:hAnsi="宋体" w:eastAsia="宋体" w:cs="宋体"/>
          <w:b/>
          <w:color w:val="auto"/>
          <w:sz w:val="24"/>
          <w:szCs w:val="24"/>
          <w:lang w:val="en-US" w:eastAsia="zh-CN"/>
        </w:rPr>
        <w:t>本项目</w:t>
      </w:r>
      <w:r>
        <w:rPr>
          <w:rFonts w:hint="eastAsia" w:ascii="宋体" w:hAnsi="宋体" w:eastAsia="宋体" w:cs="宋体"/>
          <w:b/>
          <w:color w:val="auto"/>
          <w:sz w:val="24"/>
          <w:szCs w:val="24"/>
        </w:rPr>
        <w:t>采购人</w:t>
      </w:r>
      <w:r>
        <w:rPr>
          <w:rFonts w:hint="eastAsia" w:ascii="宋体" w:hAnsi="宋体" w:eastAsia="宋体" w:cs="宋体"/>
          <w:b/>
          <w:color w:val="auto"/>
          <w:sz w:val="24"/>
          <w:szCs w:val="24"/>
          <w:lang w:val="en-US" w:eastAsia="zh-CN"/>
        </w:rPr>
        <w:t>不</w:t>
      </w:r>
      <w:r>
        <w:rPr>
          <w:rFonts w:hint="eastAsia" w:ascii="宋体" w:hAnsi="宋体" w:eastAsia="宋体" w:cs="宋体"/>
          <w:b/>
          <w:color w:val="auto"/>
          <w:sz w:val="24"/>
          <w:szCs w:val="24"/>
        </w:rPr>
        <w:t>收取履约保证金）</w:t>
      </w:r>
    </w:p>
    <w:p w14:paraId="5FAFFD6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1.乙方在签订本合同之日，向甲方提交合同履约保证金</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14:paraId="52C453D8">
      <w:pPr>
        <w:spacing w:line="360" w:lineRule="auto"/>
        <w:ind w:firstLine="480" w:firstLineChars="200"/>
        <w:rPr>
          <w:rFonts w:hint="eastAsia" w:ascii="宋体" w:hAnsi="宋体" w:eastAsia="宋体" w:cs="宋体"/>
          <w:strike/>
          <w:color w:val="auto"/>
          <w:sz w:val="24"/>
          <w:szCs w:val="24"/>
        </w:rPr>
      </w:pPr>
      <w:r>
        <w:rPr>
          <w:rFonts w:hint="eastAsia" w:ascii="宋体" w:hAnsi="宋体" w:eastAsia="宋体" w:cs="宋体"/>
          <w:color w:val="auto"/>
          <w:sz w:val="24"/>
          <w:szCs w:val="24"/>
        </w:rPr>
        <w:t>2.履约保证金有效期为甲乙双方最终验收后1个月内。到期后，甲方向乙方无息退还。</w:t>
      </w:r>
    </w:p>
    <w:p w14:paraId="766E8EA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3.如乙方未能履行、或未能完全履行合同规定的义务，甲方有权从履约保证金中取得补偿。履约保证金扣除甲方应得的补偿后的余额在合同期满后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天内无息退还乙方。</w:t>
      </w:r>
    </w:p>
    <w:p w14:paraId="0D4DA60A">
      <w:pPr>
        <w:spacing w:line="360" w:lineRule="auto"/>
        <w:ind w:left="482"/>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第七条  验收</w:t>
      </w:r>
    </w:p>
    <w:p w14:paraId="7447E67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1.服务期限：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至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08A4F32F">
      <w:pPr>
        <w:spacing w:line="360" w:lineRule="auto"/>
        <w:ind w:firstLine="720" w:firstLineChars="300"/>
        <w:rPr>
          <w:rFonts w:hint="eastAsia" w:ascii="宋体" w:hAnsi="宋体" w:eastAsia="宋体" w:cs="宋体"/>
          <w:color w:val="auto"/>
          <w:sz w:val="24"/>
          <w:szCs w:val="24"/>
        </w:rPr>
      </w:pPr>
      <w:r>
        <w:rPr>
          <w:rFonts w:hint="eastAsia" w:ascii="宋体" w:hAnsi="宋体" w:eastAsia="宋体" w:cs="宋体"/>
          <w:color w:val="auto"/>
          <w:sz w:val="24"/>
          <w:szCs w:val="24"/>
        </w:rPr>
        <w:t xml:space="preserve">服务地点：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6568625C">
      <w:pPr>
        <w:spacing w:line="360" w:lineRule="auto"/>
        <w:ind w:firstLine="720" w:firstLineChars="300"/>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验收时间：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2F2943AF">
      <w:pPr>
        <w:pStyle w:val="16"/>
        <w:tabs>
          <w:tab w:val="left" w:pos="0"/>
        </w:tabs>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 乙方应对提供的服务成果作出全面自查和整理，并列出清单，作为甲方验收和使用的服务条件依据，清单应随提供的服务成果交给甲方。</w:t>
      </w:r>
    </w:p>
    <w:p w14:paraId="0D50DA8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验收时，甲乙双方必须同时在场，乙方所提供的服务不符合合同内容规定的，甲方有权拒绝验收。乙方应及时按本合同内容规定和甲方要求免费进行整改，直至验收合格，方视为乙方按本合同规定完成服务。验收合格的，由双方共同签署《验收报告》。在经过两次限期整改后，服务仍达不到合同文件规定内容的，甲方有权拒收，并可以解除合同；由此引起甲方损失及赔偿责任由乙方承担。</w:t>
      </w:r>
    </w:p>
    <w:p w14:paraId="029CB4E2">
      <w:pPr>
        <w:snapToGrid w:val="0"/>
        <w:spacing w:line="360" w:lineRule="auto"/>
        <w:ind w:firstLine="482"/>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4.甲方可以视项目规模或复杂情况聘请专业人员参与验收，大型或复杂项目，以及涉及专业服务内容的应当邀请国家认可的第三方质量检测机构参与验收，也可以视项目情况邀请参加本项目投标的落标人参与验收。</w:t>
      </w:r>
    </w:p>
    <w:p w14:paraId="6F8C8712">
      <w:pPr>
        <w:snapToGrid w:val="0"/>
        <w:spacing w:line="360" w:lineRule="auto"/>
        <w:ind w:firstLine="482"/>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5.如根据项目实施情况需要分阶段验收，则双方分阶段签署《验收报告》。</w:t>
      </w:r>
    </w:p>
    <w:p w14:paraId="08C6495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6.如果合同双方对《验收报告》有分歧，双方须于出现分歧后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天内给对方书面声明，以陈述己方的理由及要求，并附有关证据。分歧应通过协商解决。</w:t>
      </w:r>
    </w:p>
    <w:p w14:paraId="6592E104">
      <w:pPr>
        <w:spacing w:line="360" w:lineRule="auto"/>
        <w:ind w:left="482"/>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第八条  项目管理服务</w:t>
      </w:r>
    </w:p>
    <w:p w14:paraId="3145E2D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乙方应组建技术熟练、称职的团队全面履行合同,并指定不少于一人全权全程负责本项目服务的落实，包括服务的咨询、执行和后续工作。</w:t>
      </w:r>
    </w:p>
    <w:p w14:paraId="31821C01">
      <w:pPr>
        <w:snapToGrid w:val="0"/>
        <w:spacing w:line="360" w:lineRule="auto"/>
        <w:ind w:firstLine="481"/>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 xml:space="preserve">项目负责人姓名： </w:t>
      </w:r>
      <w:r>
        <w:rPr>
          <w:rFonts w:hint="eastAsia" w:ascii="宋体" w:hAnsi="宋体" w:eastAsia="宋体" w:cs="宋体"/>
          <w:color w:val="auto"/>
          <w:sz w:val="24"/>
          <w:szCs w:val="24"/>
          <w:u w:val="single" w:color="000000"/>
        </w:rPr>
        <w:t xml:space="preserve">              </w:t>
      </w:r>
      <w:r>
        <w:rPr>
          <w:rFonts w:hint="eastAsia" w:ascii="宋体" w:hAnsi="宋体" w:eastAsia="宋体" w:cs="宋体"/>
          <w:color w:val="auto"/>
          <w:sz w:val="24"/>
          <w:szCs w:val="24"/>
        </w:rPr>
        <w:t>； 联系电话：</w:t>
      </w:r>
      <w:r>
        <w:rPr>
          <w:rFonts w:hint="eastAsia" w:ascii="宋体" w:hAnsi="宋体" w:eastAsia="宋体" w:cs="宋体"/>
          <w:color w:val="auto"/>
          <w:sz w:val="24"/>
          <w:szCs w:val="24"/>
          <w:u w:val="single" w:color="000000"/>
        </w:rPr>
        <w:t xml:space="preserve">                      </w:t>
      </w:r>
      <w:r>
        <w:rPr>
          <w:rFonts w:hint="eastAsia" w:ascii="宋体" w:hAnsi="宋体" w:eastAsia="宋体" w:cs="宋体"/>
          <w:color w:val="auto"/>
          <w:sz w:val="24"/>
          <w:szCs w:val="24"/>
        </w:rPr>
        <w:t>。</w:t>
      </w:r>
    </w:p>
    <w:p w14:paraId="03880CFD">
      <w:pPr>
        <w:spacing w:line="360" w:lineRule="auto"/>
        <w:ind w:firstLine="472" w:firstLineChars="196"/>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第九条  售后服务</w:t>
      </w:r>
    </w:p>
    <w:p w14:paraId="77FA871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1.乙方提供服务的质量保证期为自服务通过最终验收之日起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个月。若国家有明确规定的质量保证期高于此质量保证期的，执行国家规定。</w:t>
      </w:r>
    </w:p>
    <w:p w14:paraId="7873B16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2.服务期内，乙方应提供相关服务支持。对甲方所反映的任何服务问题在</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日（小时）之内做出及时响应，在</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日（小时）之内赶到现场实地解决问题。若问题在</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工作日（小时）后仍无法解决，乙方应在</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日（小时）内免费提供服务的补偿、替换方案，直至服务恢复正常。</w:t>
      </w:r>
    </w:p>
    <w:p w14:paraId="720F867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3.乙方必须遵守甲方的有关管理制度、操作规程。对于乙方违规操作造成甲方损失的，由乙方按照本合同第十二条的约定承担赔偿责任。</w:t>
      </w:r>
    </w:p>
    <w:p w14:paraId="4265D851">
      <w:pPr>
        <w:spacing w:line="360" w:lineRule="auto"/>
        <w:ind w:left="482"/>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第十条  分包</w:t>
      </w:r>
    </w:p>
    <w:p w14:paraId="4DAA6927">
      <w:pPr>
        <w:spacing w:line="360" w:lineRule="auto"/>
        <w:ind w:firstLine="480" w:firstLineChars="200"/>
        <w:rPr>
          <w:rFonts w:hint="eastAsia" w:ascii="宋体" w:hAnsi="宋体" w:eastAsia="宋体" w:cs="宋体"/>
          <w:strike/>
          <w:color w:val="auto"/>
          <w:sz w:val="24"/>
          <w:szCs w:val="24"/>
        </w:rPr>
      </w:pPr>
      <w:r>
        <w:rPr>
          <w:rFonts w:hint="eastAsia" w:ascii="宋体" w:hAnsi="宋体" w:eastAsia="宋体" w:cs="宋体"/>
          <w:color w:val="auto"/>
          <w:sz w:val="24"/>
          <w:szCs w:val="24"/>
        </w:rPr>
        <w:t>除招标采购文件事先说明、且经甲方事先书面同意外，乙方不得分包、转包其应履行的合同义务。</w:t>
      </w:r>
    </w:p>
    <w:p w14:paraId="23FA8425">
      <w:pPr>
        <w:spacing w:line="360" w:lineRule="auto"/>
        <w:ind w:firstLine="482" w:firstLineChars="200"/>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第十一条  合同的生效</w:t>
      </w:r>
    </w:p>
    <w:p w14:paraId="679FE32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1.本合同经甲乙双方授权代表签字并加盖公章或合同专用章后生效。</w:t>
      </w:r>
    </w:p>
    <w:p w14:paraId="1399CAF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2.生效后，除《政府采购法》第49条、第50条第二款规定的情形外，甲乙双方不得擅自变更、中止或终止合同。</w:t>
      </w:r>
    </w:p>
    <w:p w14:paraId="22DB00EB">
      <w:pPr>
        <w:spacing w:line="360" w:lineRule="auto"/>
        <w:ind w:left="482"/>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第十二条  违约责任</w:t>
      </w:r>
    </w:p>
    <w:p w14:paraId="39B729E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1.乙方所交付服务成果不符合本合同规定的，甲方有权拒收，乙方在得到甲方通知之日起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3</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个工作日内采取补救措施，逾期仍未采取有效措施的，甲方有权要求乙方赔偿因此造成的损失或扣留履约保证金；同时乙方应向甲方支付合同总价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10</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％的违约金。</w:t>
      </w:r>
    </w:p>
    <w:p w14:paraId="043D82D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2.甲方无正当理由拒收服务，甲方应向乙方偿付拒付服务费用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％的违约金。</w:t>
      </w:r>
    </w:p>
    <w:p w14:paraId="36662A7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3.乙方无正当理由逾期交付服务的，每逾期1天，乙方向甲方偿付合同总额的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‰的违约金。如乙方逾期达</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天，甲方有权解除合同，甲方解除合同的通知自到达乙方时生效。在此情况下，乙方给甲方造成的实际损失高于违约金的，对高出违约金的部分乙方应予以赔偿。</w:t>
      </w:r>
    </w:p>
    <w:p w14:paraId="6676E89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4.甲方未按合同规定的期限向乙方支付合同款的，每逾期1天甲方向乙方偿付欠款总额的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‰违约金，但累计违约金总额不超过欠款总额的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1F61B99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5.其它未尽事宜，以《合同法》和《政府采购法》等有关法律法规规定为准，无相关规定的，双方协商解决。</w:t>
      </w:r>
    </w:p>
    <w:p w14:paraId="2C878321">
      <w:pPr>
        <w:spacing w:line="360" w:lineRule="auto"/>
        <w:ind w:left="482"/>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第十三条  不可抗力</w:t>
      </w:r>
    </w:p>
    <w:p w14:paraId="1E54364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甲、乙方中任何一方，因不可抗力不能按时或完全履行合同的，应及时通知对方，并在</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个工作日内提供相应证明，结算服务费用。未履行的部分是否继续履行、如何履行等问题，可由双方初步协商，并向主管部门和政府采购管理部门报告。确定为不可抗力原因造成的损失，免予承担责任。</w:t>
      </w:r>
    </w:p>
    <w:p w14:paraId="741C4CC5">
      <w:pPr>
        <w:spacing w:line="360" w:lineRule="auto"/>
        <w:ind w:left="482"/>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第十四条  争议的解决方式</w:t>
      </w:r>
    </w:p>
    <w:p w14:paraId="416E580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1.因服务质量问题发生争议的，应当邀请国家认可的质量检测机构对服务进行鉴定。服务符合标准的，鉴定费由甲方承担；不符合质量标准的，鉴定费由乙方承担。</w:t>
      </w:r>
    </w:p>
    <w:p w14:paraId="3774A4F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2.在解释或者执行本合同的过程中发生争议时，双方应通过协商方式解决。</w:t>
      </w:r>
    </w:p>
    <w:p w14:paraId="6425468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3.经协商不能解决的争议，双方可选择以下第</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种方式解决：</w:t>
      </w:r>
    </w:p>
    <w:p w14:paraId="17F7579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①向    市（县、区）有管辖权的法院提起诉讼；</w:t>
      </w:r>
    </w:p>
    <w:p w14:paraId="1A915E3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②向    市（县、区）仲裁委员会提出仲裁。</w:t>
      </w:r>
    </w:p>
    <w:p w14:paraId="78C2012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4.在法院审理和仲裁期间，除有争议部分外，本合同其他部分可以履行的仍应按合同条款继续履行。</w:t>
      </w:r>
    </w:p>
    <w:p w14:paraId="272A2072">
      <w:pPr>
        <w:spacing w:line="360" w:lineRule="auto"/>
        <w:ind w:left="482"/>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第十五条  其他</w:t>
      </w:r>
    </w:p>
    <w:p w14:paraId="670F0C4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符合《政府采购法》第49条规定的，经双方协商，办理政府采购手续后，可签订补充合同，所签订的补充合同与本合同具有同等法律效力。</w:t>
      </w:r>
    </w:p>
    <w:p w14:paraId="7F06276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本合同一式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份，甲、乙双方各执</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份。</w:t>
      </w:r>
    </w:p>
    <w:p w14:paraId="05E15454">
      <w:pPr>
        <w:spacing w:line="360" w:lineRule="auto"/>
        <w:ind w:firstLine="480" w:firstLineChars="200"/>
        <w:rPr>
          <w:rFonts w:hint="eastAsia" w:ascii="宋体" w:hAnsi="宋体" w:eastAsia="宋体" w:cs="宋体"/>
          <w:color w:val="auto"/>
          <w:sz w:val="24"/>
          <w:szCs w:val="24"/>
        </w:rPr>
      </w:pPr>
    </w:p>
    <w:p w14:paraId="3D75319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甲   方：                        乙   方：</w:t>
      </w:r>
    </w:p>
    <w:p w14:paraId="1C70234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名称：（盖章）                    名称：（盖章）</w:t>
      </w:r>
    </w:p>
    <w:p w14:paraId="0C056CB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地址：                           地址：</w:t>
      </w:r>
    </w:p>
    <w:p w14:paraId="46235B3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法定代表人（签字）：              法定代表人（签字）：</w:t>
      </w:r>
    </w:p>
    <w:p w14:paraId="3FC8E60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授权代表（签字）：                授权代表（签字）：</w:t>
      </w:r>
    </w:p>
    <w:p w14:paraId="2EBD55A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开户银行：                       开户银行（基本账户）：</w:t>
      </w:r>
    </w:p>
    <w:p w14:paraId="23DAFFD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银行帐号：                       银行帐号（基本账户）：</w:t>
      </w:r>
    </w:p>
    <w:p w14:paraId="114665C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甲方合同法律审核（盖章）：</w:t>
      </w:r>
    </w:p>
    <w:p w14:paraId="63E5B0A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时间：         年     月     日</w:t>
      </w:r>
    </w:p>
    <w:p w14:paraId="5EFD2871">
      <w:pPr>
        <w:spacing w:line="360" w:lineRule="auto"/>
        <w:ind w:firstLine="482" w:firstLineChars="200"/>
        <w:rPr>
          <w:rFonts w:hint="eastAsia" w:ascii="宋体" w:hAnsi="宋体" w:eastAsia="宋体" w:cs="宋体"/>
          <w:b/>
          <w:color w:val="auto"/>
          <w:sz w:val="24"/>
          <w:szCs w:val="24"/>
        </w:rPr>
      </w:pPr>
      <w:bookmarkStart w:id="855" w:name="_Toc310580633"/>
      <w:r>
        <w:rPr>
          <w:rFonts w:hint="eastAsia" w:ascii="宋体" w:hAnsi="宋体" w:eastAsia="宋体" w:cs="宋体"/>
          <w:b/>
          <w:color w:val="auto"/>
          <w:sz w:val="24"/>
          <w:szCs w:val="24"/>
        </w:rPr>
        <w:t>特别说明：</w:t>
      </w:r>
    </w:p>
    <w:p w14:paraId="59B18592">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1.本范本根据《政府采购法》、《合同法》等法律法规制定。具体项目的采购合同条款，在本范本框架内由甲乙双方协商一致签订。空格处划横线。</w:t>
      </w:r>
    </w:p>
    <w:p w14:paraId="1956053E">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2.收款单位名称应与本合同乙方单位名称、项目中标单位名称、开具发票单位名称相一致。</w:t>
      </w:r>
    </w:p>
    <w:p w14:paraId="49457023">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3.甲方（采购单位）应盖本单位公章（不允许盖内设科室章），乙方应盖单位公章或合同专用章，合同双方应盖骑缝章。</w:t>
      </w:r>
    </w:p>
    <w:p w14:paraId="2848DAF7">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4. 除涉密项目外，根据《政府采购法实施条例》第50条规定：采购人应当自政府采购合同签订之日起2个工作日内，将政府采购合同在省级以上人民政府财政部门指定的媒体上公告。</w:t>
      </w:r>
    </w:p>
    <w:bookmarkEnd w:id="855"/>
    <w:p w14:paraId="33A6CDA2">
      <w:pPr>
        <w:spacing w:line="360" w:lineRule="auto"/>
        <w:rPr>
          <w:rFonts w:hint="eastAsia" w:ascii="宋体" w:hAnsi="宋体" w:eastAsia="宋体" w:cs="宋体"/>
          <w:b/>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5.本合同仅供参考，具体以实际签订合同为准。</w:t>
      </w:r>
    </w:p>
    <w:p w14:paraId="22B9B23B">
      <w:pPr>
        <w:pStyle w:val="2"/>
        <w:rPr>
          <w:color w:val="auto"/>
          <w:highlight w:val="none"/>
        </w:rPr>
      </w:pPr>
    </w:p>
    <w:p w14:paraId="57DE0F52">
      <w:pPr>
        <w:rPr>
          <w:color w:val="auto"/>
          <w:highlight w:val="none"/>
        </w:rPr>
      </w:pPr>
      <w:r>
        <w:rPr>
          <w:color w:val="auto"/>
          <w:highlight w:val="none"/>
        </w:rPr>
        <w:br w:type="page"/>
      </w:r>
    </w:p>
    <w:bookmarkEnd w:id="854"/>
    <w:p w14:paraId="55240511">
      <w:pPr>
        <w:pStyle w:val="26"/>
        <w:numPr>
          <w:ilvl w:val="0"/>
          <w:numId w:val="3"/>
        </w:numPr>
        <w:spacing w:line="400" w:lineRule="exact"/>
        <w:ind w:firstLine="0" w:firstLineChars="0"/>
        <w:rPr>
          <w:rFonts w:ascii="宋体" w:hAnsi="宋体" w:cs="宋体"/>
          <w:color w:val="auto"/>
          <w:highlight w:val="none"/>
        </w:rPr>
      </w:pPr>
      <w:r>
        <w:rPr>
          <w:rFonts w:hint="eastAsia" w:ascii="宋体" w:hAnsi="宋体" w:cs="宋体"/>
          <w:color w:val="auto"/>
          <w:highlight w:val="none"/>
        </w:rPr>
        <w:t>采购需求</w:t>
      </w:r>
    </w:p>
    <w:p w14:paraId="749723A4">
      <w:pPr>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一、项目基本概况</w:t>
      </w:r>
    </w:p>
    <w:p w14:paraId="3956DC98">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bCs/>
          <w:color w:val="auto"/>
          <w:sz w:val="28"/>
          <w:szCs w:val="28"/>
          <w:highlight w:val="none"/>
          <w:lang w:val="en-US" w:eastAsia="zh-CN"/>
        </w:rPr>
        <w:t>项目名称：</w:t>
      </w:r>
      <w:r>
        <w:rPr>
          <w:rFonts w:hint="eastAsia" w:ascii="宋体" w:hAnsi="宋体" w:cs="宋体"/>
          <w:b w:val="0"/>
          <w:bCs w:val="0"/>
          <w:color w:val="auto"/>
          <w:sz w:val="28"/>
          <w:szCs w:val="28"/>
          <w:highlight w:val="none"/>
          <w:lang w:val="en-US" w:eastAsia="zh-CN"/>
        </w:rPr>
        <w:t>潢川县2026年度小型水库大坝安全鉴定项目</w:t>
      </w:r>
    </w:p>
    <w:p w14:paraId="73F167FD">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bCs/>
          <w:color w:val="auto"/>
          <w:sz w:val="28"/>
          <w:szCs w:val="28"/>
          <w:highlight w:val="none"/>
          <w:lang w:val="en-US" w:eastAsia="zh-CN"/>
        </w:rPr>
        <w:t>项目地点：</w:t>
      </w:r>
      <w:r>
        <w:rPr>
          <w:rFonts w:hint="eastAsia" w:ascii="宋体" w:hAnsi="宋体" w:cs="宋体"/>
          <w:b w:val="0"/>
          <w:bCs w:val="0"/>
          <w:color w:val="auto"/>
          <w:sz w:val="28"/>
          <w:szCs w:val="28"/>
          <w:highlight w:val="none"/>
          <w:lang w:val="en-US" w:eastAsia="zh-CN"/>
        </w:rPr>
        <w:t>河南省信阳市境内，共涉及16座小型水库</w:t>
      </w:r>
    </w:p>
    <w:p w14:paraId="0B4E3915">
      <w:pPr>
        <w:ind w:left="0" w:leftChars="0" w:firstLine="0" w:firstLineChars="0"/>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项目背景：</w:t>
      </w:r>
    </w:p>
    <w:p w14:paraId="16B6F193">
      <w:pPr>
        <w:ind w:left="0" w:leftChars="0" w:firstLine="560" w:firstLineChars="20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为落实《水库大坝安全鉴定管理办法》要求，全面排查辖区内小型水库安全运行隐患，精准判定大坝安全等级，保障汛期防洪与下游群众生命财产安全，启动本次安全鉴定采购工作。采购预算：本项目总预算46.089941万元，最高限价与预算金额一致，超出限价的响应文件将按无效处理。</w:t>
      </w:r>
    </w:p>
    <w:p w14:paraId="403FCC24">
      <w:pPr>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二、服务核心技术依据供应商开展全部工作必须严格遵循国家、水利行业现行有效标准，核心依据包括：</w:t>
      </w:r>
    </w:p>
    <w:p w14:paraId="3B207277">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1、法律、法规、省政府规章</w:t>
      </w:r>
    </w:p>
    <w:p w14:paraId="7EA79529">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(1)《中华人民共和国水法》(2016年);</w:t>
      </w:r>
    </w:p>
    <w:p w14:paraId="11287FC2">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(2)《中华人民共和国防洪法》(2015年);</w:t>
      </w:r>
    </w:p>
    <w:p w14:paraId="7195BE9A">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(3)《河南省水利工程管理条例》(2005年);</w:t>
      </w:r>
    </w:p>
    <w:p w14:paraId="2AE2ADF4">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(4)《河南省〈水库大坝安全管理条例&gt;实施细则》(1993年);</w:t>
      </w:r>
    </w:p>
    <w:p w14:paraId="7FFD6831">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(5)《河南省小型水库管理办法》(2015年)。</w:t>
      </w:r>
    </w:p>
    <w:p w14:paraId="7675DB0B">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2、规范、规程及标准</w:t>
      </w:r>
    </w:p>
    <w:p w14:paraId="799F4A20">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(1)《水利水电工程测量规范》(SL197-2013);</w:t>
      </w:r>
    </w:p>
    <w:p w14:paraId="2B144EF8">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(2)《水库工程管理设计规范》(SL106-2017);</w:t>
      </w:r>
    </w:p>
    <w:p w14:paraId="69C35FD8">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(3)《水库大坝安全鉴定办法》;</w:t>
      </w:r>
    </w:p>
    <w:p w14:paraId="05F5B143">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(4)《水利水电建设工程蓄水安全鉴定暂行办法》;</w:t>
      </w:r>
    </w:p>
    <w:p w14:paraId="29BE13CE">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(5)《防洪标准》(GB/T50201-2014);</w:t>
      </w:r>
    </w:p>
    <w:p w14:paraId="2EC0C137">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(6)《全球定位系统GPS 测量规范》(GB/T18314-2009);</w:t>
      </w:r>
    </w:p>
    <w:p w14:paraId="445BFF16">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(7)《国家三、四等水准测量规范》(GB12898-2009);</w:t>
      </w:r>
    </w:p>
    <w:p w14:paraId="6F17663A">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(8)《全球定位系统实时动态测量(RTK)技术规范》(CH/T</w:t>
      </w:r>
    </w:p>
    <w:p w14:paraId="6B89664F">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2009-2010);</w:t>
      </w:r>
    </w:p>
    <w:p w14:paraId="41A08B58">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(9)《数字航空摄影测量测图规范第1部分:</w:t>
      </w:r>
    </w:p>
    <w:p w14:paraId="4285A730">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1:5001:10001:2000 地形图图式》(GB/T20257.1-2017):</w:t>
      </w:r>
    </w:p>
    <w:p w14:paraId="251B9895">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(10)《国家基本比例尺地图图式第2部分:1:50001:10000地形图图式》(GB/T 20257.2-2017);</w:t>
      </w:r>
    </w:p>
    <w:p w14:paraId="38435F16">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(11)《基础地理信息要素分类与代码》(GB/13923-2006):</w:t>
      </w:r>
    </w:p>
    <w:p w14:paraId="2AE59918">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(12)《测绘成果质量检查与验收》(GB/T24356-2009);</w:t>
      </w:r>
    </w:p>
    <w:p w14:paraId="5EAB5849">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3、有关资料</w:t>
      </w:r>
    </w:p>
    <w:p w14:paraId="726C565F">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(1)1:10000及以上比例尺的地形图;(2)河南省第一次全国水利普查成果;(3)现有各类专题资料，水系图。（4）河南省、信阳市本地小型水库运行管理相关补充规定</w:t>
      </w:r>
    </w:p>
    <w:p w14:paraId="4622B762">
      <w:pPr>
        <w:ind w:left="0" w:leftChars="0" w:firstLine="0" w:firstLineChars="0"/>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三、鉴定承担单位的职责：</w:t>
      </w:r>
    </w:p>
    <w:p w14:paraId="5E91B346">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w:t>
      </w:r>
      <w:r>
        <w:rPr>
          <w:rFonts w:hint="eastAsia" w:ascii="宋体" w:hAnsi="宋体" w:cs="宋体"/>
          <w:b w:val="0"/>
          <w:bCs w:val="0"/>
          <w:color w:val="auto"/>
          <w:sz w:val="28"/>
          <w:szCs w:val="28"/>
          <w:highlight w:val="none"/>
          <w:lang w:val="en-US" w:eastAsia="zh-CN"/>
        </w:rPr>
        <w:t>一)参加现场安全检查，并负责编制现场安全检查报告；</w:t>
      </w:r>
    </w:p>
    <w:p w14:paraId="0E248A59">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(二)收集有关资料，并根据需要开展地质勘探、工程质量检测、鉴定试验等工作；</w:t>
      </w:r>
    </w:p>
    <w:p w14:paraId="02D7B4BE">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(三)按有关技术标准对大坝安全状况进行评价，并提出大坝安全评价报告；</w:t>
      </w:r>
    </w:p>
    <w:p w14:paraId="5EDF99FE">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(四)按鉴定审定部门的审查意见，补充相关工作，修改大坝安全评价报告；</w:t>
      </w:r>
    </w:p>
    <w:p w14:paraId="59E0653C">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(五)起草大坝安全鉴定报告书；</w:t>
      </w:r>
    </w:p>
    <w:p w14:paraId="270B7B8B">
      <w:pPr>
        <w:ind w:left="0" w:leftChars="0" w:firstLine="0" w:firstLineChars="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(六)其他相关职责。</w:t>
      </w:r>
    </w:p>
    <w:p w14:paraId="43053AFB">
      <w:pPr>
        <w:pStyle w:val="2"/>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val="0"/>
          <w:bCs w:val="0"/>
          <w:color w:val="auto"/>
          <w:kern w:val="2"/>
          <w:sz w:val="28"/>
          <w:szCs w:val="28"/>
          <w:highlight w:val="none"/>
          <w:lang w:val="en-US" w:eastAsia="zh-CN" w:bidi="ar-SA"/>
        </w:rPr>
        <w:t>现场安全检查包括查阅工程勘察设计、施工与运行资料，对大坝外观状况、结构安全情况、运行管理条件等进行全面检查和评估，并提出大坝安全评价工作的重点和建议，编制大坝现场安全检查报告。</w:t>
      </w:r>
    </w:p>
    <w:p w14:paraId="65937F02">
      <w:pPr>
        <w:pStyle w:val="2"/>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val="0"/>
          <w:bCs w:val="0"/>
          <w:color w:val="auto"/>
          <w:kern w:val="2"/>
          <w:sz w:val="28"/>
          <w:szCs w:val="28"/>
          <w:highlight w:val="none"/>
          <w:lang w:val="en-US" w:eastAsia="zh-CN" w:bidi="ar-SA"/>
        </w:rPr>
        <w:t>大坝安全评价包括工程质量评价、大坝运行管理评价、防洪标准复核、大坝结构安全、稳定评价、渗流安全评价、抗震安全复核、金属结构安全评价和大坝安全综合评价等。</w:t>
      </w:r>
    </w:p>
    <w:p w14:paraId="7AC21223">
      <w:pPr>
        <w:pStyle w:val="2"/>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val="0"/>
          <w:bCs w:val="0"/>
          <w:color w:val="auto"/>
          <w:kern w:val="2"/>
          <w:sz w:val="28"/>
          <w:szCs w:val="28"/>
          <w:highlight w:val="none"/>
          <w:lang w:val="en-US" w:eastAsia="zh-CN" w:bidi="ar-SA"/>
        </w:rPr>
        <w:t>大坝安全评价过程中，应根据需要补充地质勘探与土工试验，补充混凝土与金属结构检测，对重要工程隐患进行探测等。</w:t>
      </w:r>
    </w:p>
    <w:p w14:paraId="5EFA751B">
      <w:pPr>
        <w:ind w:left="0" w:leftChars="0" w:firstLine="0" w:firstLineChars="0"/>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四、合同履行与验收要求服务周期：</w:t>
      </w:r>
    </w:p>
    <w:p w14:paraId="279263E9">
      <w:pPr>
        <w:ind w:left="0" w:leftChars="0" w:firstLine="560" w:firstLineChars="200"/>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自合同正式签订之日起40日历天内，完成全部外业检测、报告编制并提交送审，最终在60</w:t>
      </w:r>
      <w:bookmarkStart w:id="872" w:name="_GoBack"/>
      <w:bookmarkEnd w:id="872"/>
      <w:r>
        <w:rPr>
          <w:rFonts w:hint="eastAsia" w:ascii="宋体" w:hAnsi="宋体" w:cs="宋体"/>
          <w:b w:val="0"/>
          <w:bCs w:val="0"/>
          <w:color w:val="auto"/>
          <w:sz w:val="28"/>
          <w:szCs w:val="28"/>
          <w:highlight w:val="none"/>
          <w:lang w:val="en-US" w:eastAsia="zh-CN"/>
        </w:rPr>
        <w:t>日历天内取得大坝安全鉴定审定部门的正式批复文件。</w:t>
      </w:r>
    </w:p>
    <w:p w14:paraId="423B3F11">
      <w:pPr>
        <w:ind w:left="0" w:leftChars="0" w:firstLine="0" w:firstLineChars="0"/>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验收标准：</w:t>
      </w:r>
    </w:p>
    <w:p w14:paraId="563CC7F2">
      <w:pPr>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 xml:space="preserve"> ① 提交的所有成果资料签章齐全、内容完整规范，符合行业规范要求；</w:t>
      </w:r>
    </w:p>
    <w:p w14:paraId="38417BF6">
      <w:pPr>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 xml:space="preserve"> ② 大坝安全评价报告顺利通过审定部门组织的专家组审查，取得正式审定意见或批复；</w:t>
      </w:r>
    </w:p>
    <w:p w14:paraId="78A8F806">
      <w:pPr>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 xml:space="preserve"> ③ 完成合同约定的全部服务内容，无遗漏项。</w:t>
      </w:r>
    </w:p>
    <w:p w14:paraId="6F7F59E1">
      <w:pPr>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质量责任：供应商对本次出具的安全鉴定报告质量终身负责，后续若因报告内容疏漏引发安全相关问题，由供应商承担对应法定责任。</w:t>
      </w:r>
    </w:p>
    <w:p w14:paraId="126FB12A">
      <w:pPr>
        <w:rPr>
          <w:rFonts w:hint="eastAsia" w:ascii="宋体" w:hAnsi="宋体" w:cs="宋体"/>
          <w:color w:val="auto"/>
          <w:highlight w:val="none"/>
        </w:rPr>
      </w:pPr>
      <w:bookmarkStart w:id="856" w:name="_Toc10831"/>
      <w:r>
        <w:rPr>
          <w:rFonts w:hint="eastAsia" w:ascii="宋体" w:hAnsi="宋体" w:cs="宋体"/>
          <w:color w:val="auto"/>
          <w:highlight w:val="none"/>
        </w:rPr>
        <w:br w:type="page"/>
      </w:r>
    </w:p>
    <w:p w14:paraId="5F2D2A91">
      <w:pPr>
        <w:rPr>
          <w:rFonts w:hint="eastAsia"/>
          <w:color w:val="auto"/>
          <w:highlight w:val="none"/>
        </w:rPr>
      </w:pPr>
    </w:p>
    <w:p w14:paraId="1BDD2285">
      <w:pPr>
        <w:pStyle w:val="26"/>
        <w:spacing w:line="400" w:lineRule="exact"/>
        <w:ind w:firstLine="0" w:firstLineChars="0"/>
        <w:rPr>
          <w:rFonts w:ascii="宋体" w:hAnsi="宋体" w:cs="宋体"/>
          <w:color w:val="auto"/>
          <w:highlight w:val="none"/>
        </w:rPr>
      </w:pPr>
      <w:r>
        <w:rPr>
          <w:rFonts w:hint="eastAsia" w:ascii="宋体" w:hAnsi="宋体" w:cs="宋体"/>
          <w:color w:val="auto"/>
          <w:highlight w:val="none"/>
        </w:rPr>
        <w:t xml:space="preserve">第六章  </w:t>
      </w:r>
      <w:r>
        <w:rPr>
          <w:rFonts w:hint="eastAsia" w:ascii="宋体" w:hAnsi="宋体" w:cs="宋体"/>
          <w:color w:val="auto"/>
          <w:highlight w:val="none"/>
          <w:lang w:eastAsia="zh-CN"/>
        </w:rPr>
        <w:t>响应文件</w:t>
      </w:r>
      <w:r>
        <w:rPr>
          <w:rFonts w:hint="eastAsia" w:ascii="宋体" w:hAnsi="宋体" w:cs="宋体"/>
          <w:color w:val="auto"/>
          <w:highlight w:val="none"/>
        </w:rPr>
        <w:t>格式</w:t>
      </w:r>
      <w:bookmarkEnd w:id="856"/>
    </w:p>
    <w:p w14:paraId="7FE25A92">
      <w:pPr>
        <w:spacing w:line="400" w:lineRule="exact"/>
        <w:ind w:firstLine="640"/>
        <w:jc w:val="center"/>
        <w:rPr>
          <w:rFonts w:ascii="宋体" w:hAnsi="宋体" w:cs="宋体"/>
          <w:color w:val="auto"/>
          <w:sz w:val="32"/>
          <w:szCs w:val="32"/>
          <w:highlight w:val="none"/>
        </w:rPr>
      </w:pPr>
    </w:p>
    <w:p w14:paraId="1B197D12">
      <w:pPr>
        <w:pStyle w:val="27"/>
        <w:spacing w:line="400" w:lineRule="exact"/>
        <w:ind w:firstLine="210"/>
        <w:rPr>
          <w:rFonts w:ascii="宋体" w:hAnsi="宋体" w:cs="宋体"/>
          <w:color w:val="auto"/>
          <w:highlight w:val="none"/>
        </w:rPr>
      </w:pPr>
      <w:r>
        <w:rPr>
          <w:rFonts w:hint="eastAsia" w:ascii="宋体" w:hAnsi="宋体" w:cs="宋体"/>
          <w:color w:val="auto"/>
          <w:highlight w:val="none"/>
        </w:rPr>
        <w:t>（封面格式）</w:t>
      </w:r>
    </w:p>
    <w:p w14:paraId="0EE79487">
      <w:pPr>
        <w:pStyle w:val="27"/>
        <w:spacing w:line="400" w:lineRule="exact"/>
        <w:ind w:firstLine="210"/>
        <w:rPr>
          <w:rFonts w:ascii="宋体" w:hAnsi="宋体" w:cs="宋体"/>
          <w:color w:val="auto"/>
          <w:highlight w:val="none"/>
        </w:rPr>
      </w:pPr>
    </w:p>
    <w:p w14:paraId="00C6D4F6">
      <w:pPr>
        <w:pStyle w:val="27"/>
        <w:spacing w:line="400" w:lineRule="exact"/>
        <w:ind w:firstLine="280"/>
        <w:jc w:val="center"/>
        <w:rPr>
          <w:rFonts w:ascii="宋体" w:hAnsi="宋体" w:cs="宋体"/>
          <w:color w:val="auto"/>
          <w:sz w:val="28"/>
          <w:szCs w:val="28"/>
          <w:highlight w:val="none"/>
        </w:rPr>
      </w:pPr>
    </w:p>
    <w:p w14:paraId="562B6D90">
      <w:pPr>
        <w:spacing w:line="400" w:lineRule="exact"/>
        <w:ind w:firstLine="640"/>
        <w:jc w:val="center"/>
        <w:rPr>
          <w:rFonts w:ascii="宋体" w:hAnsi="宋体" w:cs="宋体"/>
          <w:color w:val="auto"/>
          <w:kern w:val="0"/>
          <w:sz w:val="32"/>
          <w:szCs w:val="32"/>
          <w:highlight w:val="none"/>
          <w:u w:val="single"/>
        </w:rPr>
      </w:pPr>
    </w:p>
    <w:p w14:paraId="54665BA2">
      <w:pPr>
        <w:spacing w:line="400" w:lineRule="exact"/>
        <w:ind w:firstLine="640"/>
        <w:jc w:val="center"/>
        <w:rPr>
          <w:rFonts w:ascii="宋体" w:hAnsi="宋体" w:cs="宋体"/>
          <w:color w:val="auto"/>
          <w:kern w:val="0"/>
          <w:sz w:val="32"/>
          <w:szCs w:val="32"/>
          <w:highlight w:val="none"/>
        </w:rPr>
      </w:pPr>
      <w:r>
        <w:rPr>
          <w:rFonts w:hint="eastAsia" w:ascii="宋体" w:hAnsi="宋体" w:cs="宋体"/>
          <w:color w:val="auto"/>
          <w:kern w:val="0"/>
          <w:sz w:val="32"/>
          <w:szCs w:val="32"/>
          <w:highlight w:val="none"/>
        </w:rPr>
        <w:t>（项目名称）</w:t>
      </w:r>
    </w:p>
    <w:p w14:paraId="4369504A">
      <w:pPr>
        <w:pStyle w:val="57"/>
        <w:ind w:firstLine="880"/>
        <w:rPr>
          <w:rFonts w:ascii="宋体" w:hAnsi="宋体" w:eastAsia="宋体" w:cs="宋体"/>
          <w:color w:val="auto"/>
          <w:highlight w:val="none"/>
        </w:rPr>
      </w:pPr>
    </w:p>
    <w:p w14:paraId="12196CBC">
      <w:pPr>
        <w:spacing w:before="414" w:beforeLines="100" w:line="400" w:lineRule="exact"/>
        <w:ind w:firstLine="880"/>
        <w:jc w:val="center"/>
        <w:rPr>
          <w:rFonts w:ascii="宋体" w:hAnsi="宋体" w:cs="宋体"/>
          <w:color w:val="auto"/>
          <w:sz w:val="44"/>
          <w:szCs w:val="44"/>
          <w:highlight w:val="none"/>
        </w:rPr>
      </w:pPr>
    </w:p>
    <w:p w14:paraId="16ABCB92">
      <w:pPr>
        <w:spacing w:before="414" w:beforeLines="100" w:line="400" w:lineRule="exact"/>
        <w:ind w:firstLine="964"/>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投  标  文  件</w:t>
      </w:r>
    </w:p>
    <w:p w14:paraId="6F79117F">
      <w:pPr>
        <w:spacing w:line="400" w:lineRule="exact"/>
        <w:ind w:firstLine="640"/>
        <w:jc w:val="center"/>
        <w:rPr>
          <w:rFonts w:ascii="宋体" w:hAnsi="宋体" w:cs="宋体"/>
          <w:color w:val="auto"/>
          <w:sz w:val="32"/>
          <w:szCs w:val="32"/>
          <w:highlight w:val="none"/>
        </w:rPr>
      </w:pPr>
    </w:p>
    <w:p w14:paraId="4341A0D3">
      <w:pPr>
        <w:spacing w:line="400" w:lineRule="exact"/>
        <w:ind w:firstLine="640"/>
        <w:jc w:val="center"/>
        <w:rPr>
          <w:rFonts w:ascii="宋体" w:hAnsi="宋体" w:cs="宋体"/>
          <w:color w:val="auto"/>
          <w:sz w:val="32"/>
          <w:szCs w:val="32"/>
          <w:highlight w:val="none"/>
        </w:rPr>
      </w:pPr>
    </w:p>
    <w:p w14:paraId="178AF5FC">
      <w:pPr>
        <w:spacing w:line="400" w:lineRule="exact"/>
        <w:ind w:firstLine="640"/>
        <w:jc w:val="center"/>
        <w:rPr>
          <w:rFonts w:ascii="宋体" w:hAnsi="宋体" w:cs="宋体"/>
          <w:color w:val="auto"/>
          <w:sz w:val="32"/>
          <w:szCs w:val="32"/>
          <w:highlight w:val="none"/>
        </w:rPr>
      </w:pPr>
    </w:p>
    <w:p w14:paraId="1E9F7EDB">
      <w:pPr>
        <w:spacing w:line="400" w:lineRule="exact"/>
        <w:ind w:firstLine="640"/>
        <w:jc w:val="center"/>
        <w:rPr>
          <w:rFonts w:ascii="宋体" w:hAnsi="宋体" w:cs="宋体"/>
          <w:color w:val="auto"/>
          <w:sz w:val="32"/>
          <w:szCs w:val="32"/>
          <w:highlight w:val="none"/>
        </w:rPr>
      </w:pPr>
    </w:p>
    <w:p w14:paraId="12B5C445">
      <w:pPr>
        <w:spacing w:line="400" w:lineRule="exact"/>
        <w:ind w:firstLine="640"/>
        <w:jc w:val="center"/>
        <w:rPr>
          <w:rFonts w:ascii="宋体" w:hAnsi="宋体" w:cs="宋体"/>
          <w:color w:val="auto"/>
          <w:sz w:val="32"/>
          <w:szCs w:val="32"/>
          <w:highlight w:val="none"/>
        </w:rPr>
      </w:pPr>
    </w:p>
    <w:p w14:paraId="6FE71EB5">
      <w:pPr>
        <w:spacing w:line="400" w:lineRule="exact"/>
        <w:ind w:firstLine="640"/>
        <w:jc w:val="center"/>
        <w:rPr>
          <w:rFonts w:ascii="宋体" w:hAnsi="宋体" w:cs="宋体"/>
          <w:color w:val="auto"/>
          <w:sz w:val="32"/>
          <w:szCs w:val="32"/>
          <w:highlight w:val="none"/>
        </w:rPr>
      </w:pPr>
    </w:p>
    <w:p w14:paraId="738D6F1B">
      <w:pPr>
        <w:spacing w:line="400" w:lineRule="exact"/>
        <w:ind w:firstLine="640"/>
        <w:jc w:val="center"/>
        <w:rPr>
          <w:rFonts w:ascii="宋体" w:hAnsi="宋体" w:cs="宋体"/>
          <w:color w:val="auto"/>
          <w:sz w:val="32"/>
          <w:szCs w:val="32"/>
          <w:highlight w:val="none"/>
        </w:rPr>
      </w:pPr>
    </w:p>
    <w:p w14:paraId="19D5487B">
      <w:pPr>
        <w:spacing w:line="400" w:lineRule="exact"/>
        <w:ind w:firstLine="640"/>
        <w:jc w:val="center"/>
        <w:rPr>
          <w:rFonts w:ascii="宋体" w:hAnsi="宋体" w:cs="宋体"/>
          <w:color w:val="auto"/>
          <w:sz w:val="32"/>
          <w:szCs w:val="32"/>
          <w:highlight w:val="none"/>
        </w:rPr>
      </w:pPr>
    </w:p>
    <w:p w14:paraId="2BE0FB3C">
      <w:pPr>
        <w:spacing w:line="400" w:lineRule="exact"/>
        <w:ind w:firstLine="640"/>
        <w:rPr>
          <w:rFonts w:ascii="宋体" w:hAnsi="宋体" w:cs="宋体"/>
          <w:color w:val="auto"/>
          <w:sz w:val="32"/>
          <w:szCs w:val="32"/>
          <w:highlight w:val="none"/>
        </w:rPr>
      </w:pPr>
    </w:p>
    <w:p w14:paraId="44575751">
      <w:pPr>
        <w:pStyle w:val="2"/>
        <w:ind w:firstLine="420"/>
        <w:rPr>
          <w:color w:val="auto"/>
          <w:highlight w:val="none"/>
        </w:rPr>
      </w:pPr>
    </w:p>
    <w:p w14:paraId="7859CAF6">
      <w:pPr>
        <w:pStyle w:val="3"/>
        <w:ind w:firstLine="420"/>
        <w:rPr>
          <w:color w:val="auto"/>
          <w:highlight w:val="none"/>
        </w:rPr>
      </w:pPr>
    </w:p>
    <w:p w14:paraId="43D9EFEA">
      <w:pPr>
        <w:spacing w:line="400" w:lineRule="exact"/>
        <w:ind w:firstLine="640"/>
        <w:jc w:val="center"/>
        <w:rPr>
          <w:rFonts w:ascii="宋体" w:hAnsi="宋体" w:cs="宋体"/>
          <w:color w:val="auto"/>
          <w:sz w:val="32"/>
          <w:szCs w:val="32"/>
          <w:highlight w:val="none"/>
        </w:rPr>
      </w:pPr>
    </w:p>
    <w:p w14:paraId="6D2D04BC">
      <w:pPr>
        <w:spacing w:line="400" w:lineRule="exact"/>
        <w:ind w:firstLine="0" w:firstLineChars="0"/>
        <w:rPr>
          <w:rFonts w:ascii="宋体" w:hAnsi="宋体" w:cs="宋体"/>
          <w:color w:val="auto"/>
          <w:sz w:val="28"/>
          <w:szCs w:val="28"/>
          <w:highlight w:val="none"/>
        </w:rPr>
      </w:pPr>
      <w:r>
        <w:rPr>
          <w:rFonts w:hint="eastAsia" w:ascii="宋体" w:hAnsi="宋体" w:cs="宋体"/>
          <w:color w:val="auto"/>
          <w:sz w:val="28"/>
          <w:szCs w:val="28"/>
          <w:highlight w:val="none"/>
          <w:lang w:eastAsia="zh-CN"/>
        </w:rPr>
        <w:t>供应商</w:t>
      </w:r>
      <w:r>
        <w:rPr>
          <w:rFonts w:hint="eastAsia" w:ascii="宋体" w:hAnsi="宋体" w:cs="宋体"/>
          <w:color w:val="auto"/>
          <w:sz w:val="28"/>
          <w:szCs w:val="28"/>
          <w:highlight w:val="none"/>
        </w:rPr>
        <w:t>：（单位电子签章）</w:t>
      </w:r>
    </w:p>
    <w:p w14:paraId="680DDECC">
      <w:pPr>
        <w:spacing w:line="400" w:lineRule="exact"/>
        <w:ind w:firstLine="0" w:firstLineChars="0"/>
        <w:rPr>
          <w:rFonts w:ascii="宋体" w:hAnsi="宋体" w:cs="宋体"/>
          <w:color w:val="auto"/>
          <w:sz w:val="28"/>
          <w:szCs w:val="28"/>
          <w:highlight w:val="none"/>
        </w:rPr>
      </w:pPr>
      <w:r>
        <w:rPr>
          <w:rFonts w:hint="eastAsia" w:ascii="宋体" w:hAnsi="宋体" w:cs="宋体"/>
          <w:color w:val="auto"/>
          <w:sz w:val="28"/>
          <w:szCs w:val="28"/>
          <w:highlight w:val="none"/>
        </w:rPr>
        <w:t>法定代表人或其委托代理人：（</w:t>
      </w:r>
      <w:r>
        <w:rPr>
          <w:rFonts w:hint="eastAsia" w:ascii="宋体" w:hAnsi="宋体" w:cs="宋体"/>
          <w:color w:val="auto"/>
          <w:sz w:val="28"/>
          <w:szCs w:val="28"/>
          <w:highlight w:val="none"/>
          <w:lang w:eastAsia="zh-CN"/>
        </w:rPr>
        <w:t>电子签名或签名</w:t>
      </w:r>
      <w:r>
        <w:rPr>
          <w:rFonts w:hint="eastAsia" w:ascii="宋体" w:hAnsi="宋体" w:cs="宋体"/>
          <w:color w:val="auto"/>
          <w:sz w:val="28"/>
          <w:szCs w:val="28"/>
          <w:highlight w:val="none"/>
        </w:rPr>
        <w:t>）</w:t>
      </w:r>
    </w:p>
    <w:p w14:paraId="2CB67FB3">
      <w:pPr>
        <w:spacing w:line="400" w:lineRule="exact"/>
        <w:ind w:firstLine="1680" w:firstLineChars="600"/>
        <w:rPr>
          <w:rFonts w:ascii="宋体" w:hAnsi="宋体" w:cs="宋体"/>
          <w:color w:val="auto"/>
          <w:sz w:val="28"/>
          <w:szCs w:val="28"/>
          <w:highlight w:val="none"/>
        </w:rPr>
      </w:pPr>
      <w:bookmarkStart w:id="857" w:name="_Toc31101"/>
      <w:r>
        <w:rPr>
          <w:rFonts w:hint="eastAsia" w:ascii="宋体" w:hAnsi="宋体" w:cs="宋体"/>
          <w:color w:val="auto"/>
          <w:sz w:val="28"/>
          <w:szCs w:val="28"/>
          <w:highlight w:val="none"/>
        </w:rPr>
        <w:t>年月 日</w:t>
      </w:r>
      <w:bookmarkEnd w:id="857"/>
    </w:p>
    <w:p w14:paraId="4769017F">
      <w:pPr>
        <w:bidi w:val="0"/>
        <w:rPr>
          <w:color w:val="auto"/>
          <w:highlight w:val="none"/>
        </w:rPr>
      </w:pPr>
      <w:bookmarkStart w:id="858" w:name="_Toc16464"/>
      <w:bookmarkStart w:id="859" w:name="_Toc472337696"/>
      <w:bookmarkStart w:id="860" w:name="_Toc472429341"/>
    </w:p>
    <w:p w14:paraId="011CCB12">
      <w:pPr>
        <w:bidi w:val="0"/>
        <w:rPr>
          <w:color w:val="auto"/>
          <w:highlight w:val="none"/>
        </w:rPr>
      </w:pPr>
      <w:r>
        <w:rPr>
          <w:rFonts w:hint="eastAsia"/>
          <w:color w:val="auto"/>
          <w:highlight w:val="none"/>
        </w:rPr>
        <w:t>目    录</w:t>
      </w:r>
      <w:bookmarkEnd w:id="858"/>
    </w:p>
    <w:p w14:paraId="7F0246C2">
      <w:pPr>
        <w:bidi w:val="0"/>
        <w:jc w:val="center"/>
        <w:rPr>
          <w:color w:val="auto"/>
          <w:highlight w:val="none"/>
        </w:rPr>
      </w:pPr>
      <w:r>
        <w:rPr>
          <w:rFonts w:hint="eastAsia"/>
          <w:color w:val="auto"/>
          <w:highlight w:val="none"/>
        </w:rPr>
        <w:t>（格式自拟）</w:t>
      </w:r>
    </w:p>
    <w:p w14:paraId="23D675AF">
      <w:pPr>
        <w:bidi w:val="0"/>
        <w:rPr>
          <w:color w:val="auto"/>
          <w:highlight w:val="none"/>
        </w:rPr>
      </w:pPr>
    </w:p>
    <w:bookmarkEnd w:id="859"/>
    <w:bookmarkEnd w:id="860"/>
    <w:p w14:paraId="7BC7025B">
      <w:pPr>
        <w:bidi w:val="0"/>
        <w:rPr>
          <w:color w:val="auto"/>
          <w:highlight w:val="none"/>
        </w:rPr>
      </w:pPr>
      <w:bookmarkStart w:id="861" w:name="_Toc472337697"/>
      <w:bookmarkStart w:id="862" w:name="_Toc472429342"/>
    </w:p>
    <w:p w14:paraId="1EE5023C">
      <w:pPr>
        <w:bidi w:val="0"/>
        <w:rPr>
          <w:color w:val="auto"/>
          <w:highlight w:val="none"/>
        </w:rPr>
      </w:pPr>
    </w:p>
    <w:p w14:paraId="1B8BF093">
      <w:pPr>
        <w:bidi w:val="0"/>
        <w:rPr>
          <w:color w:val="auto"/>
          <w:highlight w:val="none"/>
        </w:rPr>
      </w:pPr>
    </w:p>
    <w:p w14:paraId="6B9F809A">
      <w:pPr>
        <w:bidi w:val="0"/>
        <w:rPr>
          <w:color w:val="auto"/>
          <w:highlight w:val="none"/>
        </w:rPr>
      </w:pPr>
    </w:p>
    <w:p w14:paraId="105E86A4">
      <w:pPr>
        <w:bidi w:val="0"/>
        <w:rPr>
          <w:color w:val="auto"/>
          <w:highlight w:val="none"/>
        </w:rPr>
      </w:pPr>
    </w:p>
    <w:p w14:paraId="5A11C6E6">
      <w:pPr>
        <w:bidi w:val="0"/>
        <w:rPr>
          <w:color w:val="auto"/>
          <w:highlight w:val="none"/>
        </w:rPr>
      </w:pPr>
    </w:p>
    <w:p w14:paraId="69E125E8">
      <w:pPr>
        <w:bidi w:val="0"/>
        <w:rPr>
          <w:color w:val="auto"/>
          <w:highlight w:val="none"/>
        </w:rPr>
      </w:pPr>
    </w:p>
    <w:p w14:paraId="777DF5E6">
      <w:pPr>
        <w:bidi w:val="0"/>
        <w:rPr>
          <w:color w:val="auto"/>
          <w:highlight w:val="none"/>
        </w:rPr>
      </w:pPr>
    </w:p>
    <w:p w14:paraId="61071D97">
      <w:pPr>
        <w:bidi w:val="0"/>
        <w:rPr>
          <w:color w:val="auto"/>
          <w:highlight w:val="none"/>
        </w:rPr>
      </w:pPr>
    </w:p>
    <w:p w14:paraId="2168508D">
      <w:pPr>
        <w:bidi w:val="0"/>
        <w:rPr>
          <w:color w:val="auto"/>
          <w:highlight w:val="none"/>
        </w:rPr>
      </w:pPr>
    </w:p>
    <w:p w14:paraId="6479437F">
      <w:pPr>
        <w:bidi w:val="0"/>
        <w:rPr>
          <w:color w:val="auto"/>
          <w:highlight w:val="none"/>
        </w:rPr>
      </w:pPr>
    </w:p>
    <w:p w14:paraId="4AAF8EF0">
      <w:pPr>
        <w:bidi w:val="0"/>
        <w:rPr>
          <w:color w:val="auto"/>
          <w:highlight w:val="none"/>
        </w:rPr>
      </w:pPr>
    </w:p>
    <w:p w14:paraId="0E488788">
      <w:pPr>
        <w:bidi w:val="0"/>
        <w:rPr>
          <w:color w:val="auto"/>
          <w:highlight w:val="none"/>
        </w:rPr>
      </w:pPr>
    </w:p>
    <w:p w14:paraId="22FDF29A">
      <w:pPr>
        <w:bidi w:val="0"/>
        <w:rPr>
          <w:color w:val="auto"/>
          <w:highlight w:val="none"/>
        </w:rPr>
      </w:pPr>
    </w:p>
    <w:p w14:paraId="4166C71C">
      <w:pPr>
        <w:bidi w:val="0"/>
        <w:rPr>
          <w:color w:val="auto"/>
          <w:highlight w:val="none"/>
        </w:rPr>
      </w:pPr>
    </w:p>
    <w:p w14:paraId="7801B5DC">
      <w:pPr>
        <w:bidi w:val="0"/>
        <w:rPr>
          <w:color w:val="auto"/>
          <w:highlight w:val="none"/>
        </w:rPr>
      </w:pPr>
    </w:p>
    <w:p w14:paraId="6A9BF59C">
      <w:pPr>
        <w:bidi w:val="0"/>
        <w:rPr>
          <w:color w:val="auto"/>
          <w:highlight w:val="none"/>
        </w:rPr>
      </w:pPr>
    </w:p>
    <w:p w14:paraId="75BD3AE4">
      <w:pPr>
        <w:bidi w:val="0"/>
        <w:rPr>
          <w:color w:val="auto"/>
          <w:highlight w:val="none"/>
        </w:rPr>
      </w:pPr>
    </w:p>
    <w:p w14:paraId="6406B777">
      <w:pPr>
        <w:bidi w:val="0"/>
        <w:rPr>
          <w:color w:val="auto"/>
          <w:highlight w:val="none"/>
        </w:rPr>
      </w:pPr>
    </w:p>
    <w:p w14:paraId="41D54239">
      <w:pPr>
        <w:bidi w:val="0"/>
        <w:rPr>
          <w:color w:val="auto"/>
          <w:highlight w:val="none"/>
        </w:rPr>
      </w:pPr>
    </w:p>
    <w:p w14:paraId="24F54921">
      <w:pPr>
        <w:bidi w:val="0"/>
        <w:rPr>
          <w:color w:val="auto"/>
          <w:highlight w:val="none"/>
        </w:rPr>
      </w:pPr>
    </w:p>
    <w:p w14:paraId="273A0A4E">
      <w:pPr>
        <w:bidi w:val="0"/>
        <w:rPr>
          <w:color w:val="auto"/>
          <w:highlight w:val="none"/>
        </w:rPr>
      </w:pPr>
    </w:p>
    <w:p w14:paraId="03778A84">
      <w:pPr>
        <w:bidi w:val="0"/>
        <w:rPr>
          <w:color w:val="auto"/>
          <w:highlight w:val="none"/>
        </w:rPr>
      </w:pPr>
    </w:p>
    <w:p w14:paraId="15E7CBB0">
      <w:pPr>
        <w:ind w:firstLine="0" w:firstLineChars="0"/>
        <w:jc w:val="center"/>
        <w:outlineLvl w:val="9"/>
        <w:rPr>
          <w:color w:val="auto"/>
          <w:highlight w:val="none"/>
        </w:rPr>
      </w:pPr>
    </w:p>
    <w:p w14:paraId="2C0AF374">
      <w:pPr>
        <w:pStyle w:val="5"/>
        <w:ind w:firstLine="0" w:firstLineChars="0"/>
        <w:jc w:val="center"/>
        <w:rPr>
          <w:color w:val="auto"/>
          <w:highlight w:val="none"/>
        </w:rPr>
      </w:pPr>
      <w:r>
        <w:rPr>
          <w:rFonts w:hint="eastAsia"/>
          <w:color w:val="auto"/>
          <w:highlight w:val="none"/>
        </w:rPr>
        <w:t>一、投标函及投标函附录</w:t>
      </w:r>
      <w:bookmarkEnd w:id="861"/>
      <w:bookmarkEnd w:id="862"/>
    </w:p>
    <w:p w14:paraId="3625733E">
      <w:pPr>
        <w:pStyle w:val="6"/>
        <w:ind w:firstLine="0" w:firstLineChars="0"/>
        <w:jc w:val="center"/>
        <w:rPr>
          <w:color w:val="auto"/>
          <w:highlight w:val="none"/>
        </w:rPr>
      </w:pPr>
      <w:r>
        <w:rPr>
          <w:rFonts w:hint="eastAsia"/>
          <w:color w:val="auto"/>
          <w:highlight w:val="none"/>
        </w:rPr>
        <w:t>（一）投标函</w:t>
      </w:r>
    </w:p>
    <w:p w14:paraId="1DFA29C2">
      <w:pPr>
        <w:widowControl/>
        <w:spacing w:line="40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（采购人）    </w:t>
      </w:r>
    </w:p>
    <w:p w14:paraId="1114EF2B">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1.我方己仔细研究了</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磋商文件</w:t>
      </w:r>
      <w:r>
        <w:rPr>
          <w:rFonts w:hint="eastAsia" w:ascii="宋体" w:hAnsi="宋体" w:cs="宋体"/>
          <w:color w:val="auto"/>
          <w:szCs w:val="21"/>
          <w:highlight w:val="none"/>
        </w:rPr>
        <w:t>的全部内容，愿意以人民币（大写）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）的投标总报价，按合同约定实施和完成</w:t>
      </w:r>
      <w:r>
        <w:rPr>
          <w:rFonts w:hint="eastAsia" w:ascii="宋体" w:hAnsi="宋体" w:cs="宋体"/>
          <w:color w:val="auto"/>
          <w:szCs w:val="21"/>
          <w:highlight w:val="none"/>
          <w:lang w:eastAsia="zh-CN"/>
        </w:rPr>
        <w:t>合同全部工作内容</w:t>
      </w:r>
      <w:r>
        <w:rPr>
          <w:rFonts w:hint="eastAsia" w:ascii="宋体" w:hAnsi="宋体" w:cs="宋体"/>
          <w:color w:val="auto"/>
          <w:szCs w:val="21"/>
          <w:highlight w:val="none"/>
        </w:rPr>
        <w:t>，质量达到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E7ECE69">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2.我方承诺投标有效期为自投标截止之日起60日历天。在投标有效期内不修改、撤销</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w:t>
      </w:r>
    </w:p>
    <w:p w14:paraId="44DB32AA">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3.如我方中标：</w:t>
      </w:r>
    </w:p>
    <w:p w14:paraId="358A1575">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（1）我方承诺在收到中标通知书后，在中标通知书规定的期限内与你方签订合同。</w:t>
      </w:r>
    </w:p>
    <w:p w14:paraId="73934894">
      <w:pPr>
        <w:spacing w:line="4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（2）随同本投标函递交的投标函附录属于合同文件的组成部分。</w:t>
      </w:r>
    </w:p>
    <w:p w14:paraId="23577632">
      <w:pPr>
        <w:spacing w:line="4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（3）我方承诺按照</w:t>
      </w:r>
      <w:r>
        <w:rPr>
          <w:rFonts w:hint="eastAsia" w:ascii="宋体" w:hAnsi="宋体" w:cs="宋体"/>
          <w:color w:val="auto"/>
          <w:szCs w:val="21"/>
          <w:highlight w:val="none"/>
          <w:lang w:eastAsia="zh-CN"/>
        </w:rPr>
        <w:t>磋商文件</w:t>
      </w:r>
      <w:r>
        <w:rPr>
          <w:rFonts w:hint="eastAsia" w:ascii="宋体" w:hAnsi="宋体" w:cs="宋体"/>
          <w:color w:val="auto"/>
          <w:szCs w:val="21"/>
          <w:highlight w:val="none"/>
        </w:rPr>
        <w:t>规定向你方递交履约担保。</w:t>
      </w:r>
    </w:p>
    <w:p w14:paraId="2C67FE3E">
      <w:pPr>
        <w:spacing w:line="40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（4）如果我方中标，同意按</w:t>
      </w:r>
      <w:r>
        <w:rPr>
          <w:rFonts w:hint="eastAsia" w:ascii="宋体" w:hAnsi="宋体" w:cs="宋体"/>
          <w:color w:val="auto"/>
          <w:szCs w:val="21"/>
          <w:highlight w:val="none"/>
          <w:lang w:eastAsia="zh-CN"/>
        </w:rPr>
        <w:t>磋商文件</w:t>
      </w:r>
      <w:r>
        <w:rPr>
          <w:rFonts w:hint="eastAsia" w:ascii="宋体" w:hAnsi="宋体" w:cs="宋体"/>
          <w:color w:val="auto"/>
          <w:szCs w:val="21"/>
          <w:highlight w:val="none"/>
        </w:rPr>
        <w:t>规定的收费标准向采购代理机构支付服务费。</w:t>
      </w:r>
    </w:p>
    <w:p w14:paraId="7C3B23B3">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4.我方在此声明，所递交的</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及有关资料内容完整、真实和准确，且不存在第二章“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须知”第1.4.3项规定的任何一种情形。</w:t>
      </w:r>
    </w:p>
    <w:p w14:paraId="20A74A03">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 xml:space="preserve">5. </w:t>
      </w:r>
      <w:r>
        <w:rPr>
          <w:rFonts w:hint="eastAsia" w:ascii="宋体" w:hAnsi="宋体" w:cs="宋体"/>
          <w:color w:val="auto"/>
          <w:szCs w:val="21"/>
          <w:highlight w:val="none"/>
          <w:u w:val="single"/>
        </w:rPr>
        <w:t>（其他补充说明）</w:t>
      </w:r>
      <w:r>
        <w:rPr>
          <w:rFonts w:hint="eastAsia" w:ascii="宋体" w:hAnsi="宋体" w:cs="宋体"/>
          <w:color w:val="auto"/>
          <w:szCs w:val="21"/>
          <w:highlight w:val="none"/>
        </w:rPr>
        <w:t>。</w:t>
      </w:r>
    </w:p>
    <w:p w14:paraId="539752FF">
      <w:pPr>
        <w:spacing w:line="400" w:lineRule="exact"/>
        <w:ind w:firstLine="420"/>
        <w:rPr>
          <w:rFonts w:ascii="宋体" w:hAnsi="宋体" w:cs="宋体"/>
          <w:color w:val="auto"/>
          <w:szCs w:val="21"/>
          <w:highlight w:val="none"/>
        </w:rPr>
      </w:pPr>
    </w:p>
    <w:p w14:paraId="2354F6C0">
      <w:pPr>
        <w:spacing w:line="400" w:lineRule="exact"/>
        <w:ind w:firstLine="3885" w:firstLineChars="1850"/>
        <w:rPr>
          <w:rFonts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：（单位电子签章）</w:t>
      </w:r>
    </w:p>
    <w:p w14:paraId="321371A3">
      <w:pPr>
        <w:spacing w:line="400" w:lineRule="exact"/>
        <w:ind w:firstLine="3885" w:firstLineChars="1850"/>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lang w:eastAsia="zh-CN"/>
        </w:rPr>
        <w:t>电子签名或签名</w:t>
      </w:r>
      <w:r>
        <w:rPr>
          <w:rFonts w:hint="eastAsia" w:ascii="宋体" w:hAnsi="宋体" w:cs="宋体"/>
          <w:color w:val="auto"/>
          <w:szCs w:val="21"/>
          <w:highlight w:val="none"/>
        </w:rPr>
        <w:t>）</w:t>
      </w:r>
    </w:p>
    <w:p w14:paraId="62AB89D3">
      <w:pPr>
        <w:spacing w:line="400" w:lineRule="exact"/>
        <w:ind w:firstLine="3885" w:firstLineChars="1850"/>
        <w:rPr>
          <w:rFonts w:ascii="宋体" w:hAnsi="宋体" w:cs="宋体"/>
          <w:color w:val="auto"/>
          <w:szCs w:val="21"/>
          <w:highlight w:val="none"/>
        </w:rPr>
      </w:pPr>
      <w:r>
        <w:rPr>
          <w:rFonts w:hint="eastAsia" w:ascii="宋体" w:hAnsi="宋体" w:cs="宋体"/>
          <w:color w:val="auto"/>
          <w:szCs w:val="21"/>
          <w:highlight w:val="none"/>
        </w:rPr>
        <w:t>地址：</w:t>
      </w:r>
    </w:p>
    <w:p w14:paraId="58748427">
      <w:pPr>
        <w:spacing w:line="400" w:lineRule="exact"/>
        <w:ind w:firstLine="3885" w:firstLineChars="1850"/>
        <w:rPr>
          <w:rFonts w:ascii="宋体" w:hAnsi="宋体" w:cs="宋体"/>
          <w:color w:val="auto"/>
          <w:szCs w:val="21"/>
          <w:highlight w:val="none"/>
        </w:rPr>
      </w:pPr>
      <w:r>
        <w:rPr>
          <w:rFonts w:hint="eastAsia" w:ascii="宋体" w:hAnsi="宋体" w:cs="宋体"/>
          <w:color w:val="auto"/>
          <w:szCs w:val="21"/>
          <w:highlight w:val="none"/>
        </w:rPr>
        <w:t>电话：</w:t>
      </w:r>
    </w:p>
    <w:p w14:paraId="1E417AEB">
      <w:pPr>
        <w:spacing w:line="400" w:lineRule="exact"/>
        <w:ind w:firstLine="3885" w:firstLineChars="1850"/>
        <w:rPr>
          <w:rFonts w:ascii="宋体" w:hAnsi="宋体" w:cs="宋体"/>
          <w:color w:val="auto"/>
          <w:szCs w:val="21"/>
          <w:highlight w:val="none"/>
        </w:rPr>
      </w:pPr>
      <w:r>
        <w:rPr>
          <w:rFonts w:hint="eastAsia" w:ascii="宋体" w:hAnsi="宋体" w:cs="宋体"/>
          <w:color w:val="auto"/>
          <w:szCs w:val="21"/>
          <w:highlight w:val="none"/>
        </w:rPr>
        <w:t>年   月  日</w:t>
      </w:r>
    </w:p>
    <w:p w14:paraId="65893626">
      <w:pPr>
        <w:ind w:firstLine="420"/>
        <w:rPr>
          <w:rFonts w:ascii="宋体" w:hAnsi="宋体" w:cs="宋体"/>
          <w:color w:val="auto"/>
          <w:szCs w:val="21"/>
          <w:highlight w:val="none"/>
        </w:rPr>
      </w:pPr>
      <w:r>
        <w:rPr>
          <w:rFonts w:hint="eastAsia" w:ascii="宋体" w:hAnsi="宋体" w:cs="宋体"/>
          <w:color w:val="auto"/>
          <w:szCs w:val="21"/>
          <w:highlight w:val="none"/>
        </w:rPr>
        <w:br w:type="page"/>
      </w:r>
    </w:p>
    <w:p w14:paraId="18F4144B">
      <w:pPr>
        <w:pStyle w:val="6"/>
        <w:ind w:firstLine="0" w:firstLineChars="0"/>
        <w:jc w:val="center"/>
        <w:rPr>
          <w:color w:val="auto"/>
          <w:highlight w:val="none"/>
        </w:rPr>
      </w:pPr>
      <w:r>
        <w:rPr>
          <w:rFonts w:hint="eastAsia"/>
          <w:color w:val="auto"/>
          <w:highlight w:val="none"/>
        </w:rPr>
        <w:t>（二）投标函附录</w:t>
      </w:r>
    </w:p>
    <w:p w14:paraId="01EC50F6">
      <w:pPr>
        <w:spacing w:line="400" w:lineRule="exact"/>
        <w:ind w:firstLine="420"/>
        <w:rPr>
          <w:rFonts w:ascii="宋体" w:hAnsi="宋体" w:cs="宋体"/>
          <w:color w:val="auto"/>
          <w:szCs w:val="21"/>
          <w:highlight w:val="none"/>
        </w:rPr>
      </w:pPr>
    </w:p>
    <w:tbl>
      <w:tblPr>
        <w:tblStyle w:val="28"/>
        <w:tblW w:w="85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6"/>
        <w:gridCol w:w="6536"/>
      </w:tblGrid>
      <w:tr w14:paraId="0AD49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1986" w:type="dxa"/>
            <w:vAlign w:val="center"/>
          </w:tcPr>
          <w:p w14:paraId="3B39259A">
            <w:pPr>
              <w:widowControl/>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项目名称</w:t>
            </w:r>
          </w:p>
        </w:tc>
        <w:tc>
          <w:tcPr>
            <w:tcW w:w="6536" w:type="dxa"/>
            <w:vAlign w:val="center"/>
          </w:tcPr>
          <w:p w14:paraId="7BAAB607">
            <w:pPr>
              <w:widowControl/>
              <w:spacing w:line="400" w:lineRule="exact"/>
              <w:ind w:firstLine="420"/>
              <w:jc w:val="center"/>
              <w:rPr>
                <w:rFonts w:ascii="宋体" w:hAnsi="宋体" w:cs="宋体"/>
                <w:color w:val="auto"/>
                <w:szCs w:val="21"/>
                <w:highlight w:val="none"/>
              </w:rPr>
            </w:pPr>
          </w:p>
        </w:tc>
      </w:tr>
      <w:tr w14:paraId="55DD52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1986" w:type="dxa"/>
            <w:vAlign w:val="center"/>
          </w:tcPr>
          <w:p w14:paraId="21992391">
            <w:pPr>
              <w:widowControl/>
              <w:spacing w:line="400" w:lineRule="exact"/>
              <w:ind w:firstLine="420"/>
              <w:rPr>
                <w:rFonts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名称</w:t>
            </w:r>
          </w:p>
        </w:tc>
        <w:tc>
          <w:tcPr>
            <w:tcW w:w="6536" w:type="dxa"/>
            <w:vAlign w:val="center"/>
          </w:tcPr>
          <w:p w14:paraId="4BFBCCA9">
            <w:pPr>
              <w:widowControl/>
              <w:spacing w:line="400" w:lineRule="exact"/>
              <w:ind w:firstLine="420"/>
              <w:jc w:val="center"/>
              <w:rPr>
                <w:rFonts w:ascii="宋体" w:hAnsi="宋体" w:cs="宋体"/>
                <w:color w:val="auto"/>
                <w:szCs w:val="21"/>
                <w:highlight w:val="none"/>
              </w:rPr>
            </w:pPr>
          </w:p>
        </w:tc>
      </w:tr>
      <w:tr w14:paraId="77480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9" w:hRule="atLeast"/>
          <w:jc w:val="center"/>
        </w:trPr>
        <w:tc>
          <w:tcPr>
            <w:tcW w:w="1986" w:type="dxa"/>
            <w:vAlign w:val="center"/>
          </w:tcPr>
          <w:p w14:paraId="2D1CACED">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投标报价（元）</w:t>
            </w:r>
          </w:p>
        </w:tc>
        <w:tc>
          <w:tcPr>
            <w:tcW w:w="6536" w:type="dxa"/>
            <w:vAlign w:val="center"/>
          </w:tcPr>
          <w:p w14:paraId="333715E2">
            <w:pPr>
              <w:spacing w:line="400" w:lineRule="exact"/>
              <w:ind w:firstLine="420"/>
              <w:jc w:val="center"/>
              <w:rPr>
                <w:rFonts w:ascii="宋体" w:hAnsi="宋体" w:cs="宋体"/>
                <w:color w:val="auto"/>
                <w:szCs w:val="21"/>
                <w:highlight w:val="none"/>
              </w:rPr>
            </w:pPr>
          </w:p>
        </w:tc>
      </w:tr>
      <w:tr w14:paraId="165CDE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9" w:hRule="atLeast"/>
          <w:jc w:val="center"/>
        </w:trPr>
        <w:tc>
          <w:tcPr>
            <w:tcW w:w="1986" w:type="dxa"/>
            <w:vAlign w:val="center"/>
          </w:tcPr>
          <w:p w14:paraId="110D059D">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投标内容</w:t>
            </w:r>
          </w:p>
        </w:tc>
        <w:tc>
          <w:tcPr>
            <w:tcW w:w="6536" w:type="dxa"/>
            <w:vAlign w:val="center"/>
          </w:tcPr>
          <w:p w14:paraId="2FA486A7">
            <w:pPr>
              <w:spacing w:line="400" w:lineRule="exact"/>
              <w:ind w:firstLine="420"/>
              <w:jc w:val="center"/>
              <w:rPr>
                <w:rFonts w:ascii="宋体" w:hAnsi="宋体" w:cs="宋体"/>
                <w:color w:val="auto"/>
                <w:szCs w:val="21"/>
                <w:highlight w:val="none"/>
              </w:rPr>
            </w:pPr>
          </w:p>
        </w:tc>
      </w:tr>
      <w:tr w14:paraId="51039C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5" w:hRule="atLeast"/>
          <w:jc w:val="center"/>
        </w:trPr>
        <w:tc>
          <w:tcPr>
            <w:tcW w:w="1986" w:type="dxa"/>
            <w:vAlign w:val="center"/>
          </w:tcPr>
          <w:p w14:paraId="161BE51F">
            <w:pPr>
              <w:widowControl/>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质量要求</w:t>
            </w:r>
          </w:p>
        </w:tc>
        <w:tc>
          <w:tcPr>
            <w:tcW w:w="6536" w:type="dxa"/>
            <w:vAlign w:val="center"/>
          </w:tcPr>
          <w:p w14:paraId="5C04BA57">
            <w:pPr>
              <w:spacing w:line="400" w:lineRule="exact"/>
              <w:ind w:firstLine="420"/>
              <w:jc w:val="center"/>
              <w:rPr>
                <w:rFonts w:ascii="宋体" w:hAnsi="宋体" w:cs="宋体"/>
                <w:color w:val="auto"/>
                <w:szCs w:val="21"/>
                <w:highlight w:val="none"/>
              </w:rPr>
            </w:pPr>
          </w:p>
        </w:tc>
      </w:tr>
      <w:tr w14:paraId="7AADC3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5" w:hRule="atLeast"/>
          <w:jc w:val="center"/>
        </w:trPr>
        <w:tc>
          <w:tcPr>
            <w:tcW w:w="1986" w:type="dxa"/>
            <w:vAlign w:val="center"/>
          </w:tcPr>
          <w:p w14:paraId="26C70FDC">
            <w:pPr>
              <w:widowControl/>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投标有效期</w:t>
            </w:r>
          </w:p>
        </w:tc>
        <w:tc>
          <w:tcPr>
            <w:tcW w:w="6536" w:type="dxa"/>
            <w:vAlign w:val="center"/>
          </w:tcPr>
          <w:p w14:paraId="5EDA5757">
            <w:pPr>
              <w:spacing w:line="400" w:lineRule="exact"/>
              <w:ind w:firstLine="420"/>
              <w:jc w:val="center"/>
              <w:rPr>
                <w:rFonts w:ascii="宋体" w:hAnsi="宋体" w:cs="宋体"/>
                <w:color w:val="auto"/>
                <w:szCs w:val="21"/>
                <w:highlight w:val="none"/>
              </w:rPr>
            </w:pPr>
          </w:p>
        </w:tc>
      </w:tr>
      <w:tr w14:paraId="4AF964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5" w:hRule="atLeast"/>
          <w:jc w:val="center"/>
        </w:trPr>
        <w:tc>
          <w:tcPr>
            <w:tcW w:w="1986" w:type="dxa"/>
            <w:vAlign w:val="center"/>
          </w:tcPr>
          <w:p w14:paraId="21F35000">
            <w:pPr>
              <w:widowControl/>
              <w:spacing w:line="400" w:lineRule="exact"/>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服务期限</w:t>
            </w:r>
          </w:p>
        </w:tc>
        <w:tc>
          <w:tcPr>
            <w:tcW w:w="6536" w:type="dxa"/>
            <w:vAlign w:val="center"/>
          </w:tcPr>
          <w:p w14:paraId="379820D9">
            <w:pPr>
              <w:spacing w:line="400" w:lineRule="exact"/>
              <w:ind w:firstLine="420"/>
              <w:jc w:val="center"/>
              <w:rPr>
                <w:rFonts w:ascii="宋体" w:hAnsi="宋体" w:cs="宋体"/>
                <w:color w:val="auto"/>
                <w:szCs w:val="21"/>
                <w:highlight w:val="none"/>
              </w:rPr>
            </w:pPr>
          </w:p>
        </w:tc>
      </w:tr>
      <w:tr w14:paraId="357F82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5" w:hRule="atLeast"/>
          <w:jc w:val="center"/>
        </w:trPr>
        <w:tc>
          <w:tcPr>
            <w:tcW w:w="1986" w:type="dxa"/>
            <w:vAlign w:val="center"/>
          </w:tcPr>
          <w:p w14:paraId="0484E921">
            <w:pPr>
              <w:widowControl/>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备  注</w:t>
            </w:r>
          </w:p>
        </w:tc>
        <w:tc>
          <w:tcPr>
            <w:tcW w:w="6536" w:type="dxa"/>
            <w:vAlign w:val="center"/>
          </w:tcPr>
          <w:p w14:paraId="2AB0785C">
            <w:pPr>
              <w:widowControl/>
              <w:spacing w:line="400" w:lineRule="exact"/>
              <w:ind w:firstLine="420"/>
              <w:jc w:val="left"/>
              <w:rPr>
                <w:rFonts w:ascii="宋体" w:hAnsi="宋体" w:cs="宋体"/>
                <w:color w:val="auto"/>
                <w:szCs w:val="21"/>
                <w:highlight w:val="none"/>
              </w:rPr>
            </w:pPr>
          </w:p>
        </w:tc>
      </w:tr>
    </w:tbl>
    <w:p w14:paraId="6F16C413">
      <w:pPr>
        <w:spacing w:line="400" w:lineRule="exact"/>
        <w:ind w:firstLine="422"/>
        <w:rPr>
          <w:rFonts w:ascii="宋体" w:hAnsi="宋体" w:cs="宋体"/>
          <w:b/>
          <w:color w:val="auto"/>
          <w:szCs w:val="21"/>
          <w:highlight w:val="none"/>
        </w:rPr>
      </w:pPr>
    </w:p>
    <w:p w14:paraId="33DB0AE8">
      <w:pPr>
        <w:spacing w:line="400" w:lineRule="exact"/>
        <w:ind w:firstLine="3885" w:firstLineChars="1850"/>
        <w:rPr>
          <w:rFonts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：（单位电子签章）</w:t>
      </w:r>
    </w:p>
    <w:p w14:paraId="2A1223C1">
      <w:pPr>
        <w:spacing w:line="400" w:lineRule="exact"/>
        <w:ind w:firstLine="3885" w:firstLineChars="1850"/>
        <w:rPr>
          <w:rFonts w:ascii="宋体" w:hAnsi="宋体" w:cs="宋体"/>
          <w:color w:val="auto"/>
          <w:szCs w:val="21"/>
          <w:highlight w:val="none"/>
        </w:rPr>
      </w:pPr>
    </w:p>
    <w:p w14:paraId="53863A90">
      <w:pPr>
        <w:spacing w:line="400" w:lineRule="exact"/>
        <w:ind w:firstLine="3885" w:firstLineChars="1850"/>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lang w:eastAsia="zh-CN"/>
        </w:rPr>
        <w:t>电子签名或签名</w:t>
      </w:r>
      <w:r>
        <w:rPr>
          <w:rFonts w:hint="eastAsia" w:ascii="宋体" w:hAnsi="宋体" w:cs="宋体"/>
          <w:color w:val="auto"/>
          <w:szCs w:val="21"/>
          <w:highlight w:val="none"/>
        </w:rPr>
        <w:t>）</w:t>
      </w:r>
    </w:p>
    <w:p w14:paraId="5F24AE96">
      <w:pPr>
        <w:spacing w:line="400" w:lineRule="exact"/>
        <w:ind w:firstLine="3885" w:firstLineChars="1850"/>
        <w:rPr>
          <w:rFonts w:ascii="宋体" w:hAnsi="宋体" w:cs="宋体"/>
          <w:color w:val="auto"/>
          <w:szCs w:val="21"/>
          <w:highlight w:val="none"/>
        </w:rPr>
      </w:pPr>
    </w:p>
    <w:p w14:paraId="7816938A">
      <w:pPr>
        <w:spacing w:line="400" w:lineRule="exact"/>
        <w:ind w:firstLine="3990" w:firstLineChars="1900"/>
        <w:rPr>
          <w:rFonts w:ascii="宋体" w:hAnsi="宋体" w:cs="宋体"/>
          <w:color w:val="auto"/>
          <w:szCs w:val="21"/>
          <w:highlight w:val="none"/>
        </w:rPr>
      </w:pPr>
      <w:r>
        <w:rPr>
          <w:rFonts w:hint="eastAsia" w:ascii="宋体" w:hAnsi="宋体" w:cs="宋体"/>
          <w:color w:val="auto"/>
          <w:szCs w:val="21"/>
          <w:highlight w:val="none"/>
        </w:rPr>
        <w:t>年   月    日</w:t>
      </w:r>
    </w:p>
    <w:p w14:paraId="563AE2AF">
      <w:pPr>
        <w:spacing w:after="207" w:afterLines="50" w:line="400" w:lineRule="exact"/>
        <w:ind w:firstLine="420"/>
        <w:jc w:val="center"/>
        <w:rPr>
          <w:rFonts w:ascii="宋体" w:hAnsi="宋体" w:cs="宋体"/>
          <w:color w:val="auto"/>
          <w:szCs w:val="21"/>
          <w:highlight w:val="none"/>
        </w:rPr>
      </w:pPr>
    </w:p>
    <w:p w14:paraId="39B36DA2">
      <w:pPr>
        <w:pStyle w:val="27"/>
        <w:spacing w:line="400" w:lineRule="exact"/>
        <w:ind w:firstLine="210"/>
        <w:rPr>
          <w:rFonts w:ascii="宋体" w:hAnsi="宋体" w:cs="宋体"/>
          <w:color w:val="auto"/>
          <w:szCs w:val="21"/>
          <w:highlight w:val="none"/>
        </w:rPr>
      </w:pPr>
    </w:p>
    <w:p w14:paraId="573ED249">
      <w:pPr>
        <w:pStyle w:val="14"/>
        <w:rPr>
          <w:rFonts w:ascii="宋体" w:hAnsi="宋体" w:cs="宋体"/>
          <w:color w:val="auto"/>
          <w:szCs w:val="21"/>
          <w:highlight w:val="none"/>
        </w:rPr>
      </w:pPr>
    </w:p>
    <w:p w14:paraId="02A7D066">
      <w:pPr>
        <w:ind w:firstLine="420"/>
        <w:rPr>
          <w:rFonts w:ascii="宋体" w:hAnsi="宋体" w:cs="宋体"/>
          <w:color w:val="auto"/>
          <w:szCs w:val="21"/>
          <w:highlight w:val="none"/>
        </w:rPr>
      </w:pPr>
    </w:p>
    <w:p w14:paraId="259196FA">
      <w:pPr>
        <w:pStyle w:val="27"/>
        <w:ind w:firstLine="210"/>
        <w:rPr>
          <w:rFonts w:ascii="宋体" w:hAnsi="宋体" w:cs="宋体"/>
          <w:color w:val="auto"/>
          <w:szCs w:val="21"/>
          <w:highlight w:val="none"/>
        </w:rPr>
      </w:pPr>
    </w:p>
    <w:p w14:paraId="170E2DB9">
      <w:pPr>
        <w:pStyle w:val="14"/>
        <w:rPr>
          <w:color w:val="auto"/>
          <w:highlight w:val="none"/>
        </w:rPr>
      </w:pPr>
    </w:p>
    <w:p w14:paraId="6910F65B">
      <w:pPr>
        <w:pStyle w:val="14"/>
        <w:rPr>
          <w:color w:val="auto"/>
          <w:highlight w:val="none"/>
        </w:rPr>
      </w:pPr>
    </w:p>
    <w:p w14:paraId="6BFC0B81">
      <w:pPr>
        <w:pStyle w:val="5"/>
        <w:ind w:firstLine="0" w:firstLineChars="0"/>
        <w:jc w:val="center"/>
        <w:rPr>
          <w:color w:val="auto"/>
          <w:highlight w:val="none"/>
        </w:rPr>
      </w:pPr>
      <w:r>
        <w:rPr>
          <w:rFonts w:hint="eastAsia"/>
          <w:color w:val="auto"/>
          <w:highlight w:val="none"/>
        </w:rPr>
        <w:t>二、法定代表人（单位负责人）身份证明</w:t>
      </w:r>
    </w:p>
    <w:p w14:paraId="436405F8">
      <w:pPr>
        <w:spacing w:line="400" w:lineRule="exact"/>
        <w:ind w:firstLine="420"/>
        <w:rPr>
          <w:rFonts w:ascii="宋体" w:hAnsi="宋体" w:cs="宋体"/>
          <w:color w:val="auto"/>
          <w:szCs w:val="21"/>
          <w:highlight w:val="none"/>
        </w:rPr>
      </w:pPr>
    </w:p>
    <w:p w14:paraId="2F51AF7C">
      <w:pPr>
        <w:spacing w:line="400" w:lineRule="exact"/>
        <w:ind w:firstLine="420"/>
        <w:rPr>
          <w:rFonts w:ascii="宋体" w:hAnsi="宋体" w:cs="宋体"/>
          <w:color w:val="auto"/>
          <w:szCs w:val="21"/>
          <w:highlight w:val="none"/>
          <w:u w:val="singl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名称：  </w:t>
      </w:r>
    </w:p>
    <w:p w14:paraId="31B803C4">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姓名：</w:t>
      </w:r>
    </w:p>
    <w:p w14:paraId="4AA49315">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性别：</w:t>
      </w:r>
    </w:p>
    <w:p w14:paraId="766A76F1">
      <w:pPr>
        <w:spacing w:line="40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年龄：职务：</w:t>
      </w:r>
    </w:p>
    <w:p w14:paraId="7B1BAA47">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名称）的法定代表人。</w:t>
      </w:r>
    </w:p>
    <w:p w14:paraId="0BAC59ED">
      <w:pPr>
        <w:spacing w:line="400" w:lineRule="exact"/>
        <w:ind w:firstLine="840" w:firstLineChars="400"/>
        <w:rPr>
          <w:rFonts w:ascii="宋体" w:hAnsi="宋体" w:cs="宋体"/>
          <w:color w:val="auto"/>
          <w:szCs w:val="21"/>
          <w:highlight w:val="none"/>
        </w:rPr>
      </w:pPr>
      <w:r>
        <w:rPr>
          <w:rFonts w:hint="eastAsia" w:ascii="宋体" w:hAnsi="宋体" w:cs="宋体"/>
          <w:color w:val="auto"/>
          <w:szCs w:val="21"/>
          <w:highlight w:val="none"/>
        </w:rPr>
        <w:t>特此证明。</w:t>
      </w:r>
    </w:p>
    <w:p w14:paraId="334DD47A">
      <w:pPr>
        <w:spacing w:line="400" w:lineRule="exact"/>
        <w:ind w:firstLine="420"/>
        <w:rPr>
          <w:rFonts w:ascii="宋体" w:hAnsi="宋体" w:cs="宋体"/>
          <w:color w:val="auto"/>
          <w:szCs w:val="21"/>
          <w:highlight w:val="none"/>
        </w:rPr>
      </w:pPr>
    </w:p>
    <w:p w14:paraId="1865611A">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附：法定代表人身份证复印件。</w:t>
      </w:r>
    </w:p>
    <w:p w14:paraId="5F60D99C">
      <w:pPr>
        <w:pStyle w:val="27"/>
        <w:spacing w:line="400" w:lineRule="exact"/>
        <w:ind w:firstLine="210"/>
        <w:rPr>
          <w:rFonts w:ascii="宋体" w:hAnsi="宋体" w:cs="宋体"/>
          <w:color w:val="auto"/>
          <w:szCs w:val="21"/>
          <w:highlight w:val="none"/>
        </w:rPr>
      </w:pPr>
    </w:p>
    <w:p w14:paraId="763C5B0F">
      <w:pPr>
        <w:spacing w:line="400" w:lineRule="exact"/>
        <w:ind w:firstLine="420"/>
        <w:rPr>
          <w:rFonts w:ascii="宋体" w:hAnsi="宋体" w:cs="宋体"/>
          <w:color w:val="auto"/>
          <w:szCs w:val="21"/>
          <w:highlight w:val="none"/>
        </w:rPr>
      </w:pPr>
    </w:p>
    <w:p w14:paraId="2D0ECF43">
      <w:pPr>
        <w:spacing w:line="400" w:lineRule="exact"/>
        <w:ind w:firstLine="4200" w:firstLineChars="2000"/>
        <w:rPr>
          <w:rFonts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：（单位电子签章）</w:t>
      </w:r>
    </w:p>
    <w:p w14:paraId="4746355E">
      <w:pPr>
        <w:spacing w:line="400" w:lineRule="exact"/>
        <w:ind w:firstLine="4515" w:firstLineChars="2150"/>
        <w:rPr>
          <w:rFonts w:ascii="宋体" w:hAnsi="宋体" w:cs="宋体"/>
          <w:color w:val="auto"/>
          <w:szCs w:val="21"/>
          <w:highlight w:val="none"/>
          <w:u w:val="single"/>
        </w:rPr>
      </w:pPr>
    </w:p>
    <w:p w14:paraId="0C1FF8E2">
      <w:pPr>
        <w:spacing w:line="400" w:lineRule="exact"/>
        <w:ind w:firstLine="4515" w:firstLineChars="2150"/>
        <w:rPr>
          <w:rFonts w:ascii="宋体" w:hAnsi="宋体" w:cs="宋体"/>
          <w:color w:val="auto"/>
          <w:szCs w:val="21"/>
          <w:highlight w:val="none"/>
        </w:rPr>
      </w:pPr>
      <w:r>
        <w:rPr>
          <w:rFonts w:hint="eastAsia" w:ascii="宋体" w:hAnsi="宋体" w:cs="宋体"/>
          <w:color w:val="auto"/>
          <w:szCs w:val="21"/>
          <w:highlight w:val="none"/>
        </w:rPr>
        <w:t>年  月   日</w:t>
      </w:r>
    </w:p>
    <w:p w14:paraId="68A21EA4">
      <w:pPr>
        <w:spacing w:line="400" w:lineRule="exact"/>
        <w:ind w:firstLine="420"/>
        <w:rPr>
          <w:rFonts w:ascii="宋体" w:hAnsi="宋体" w:cs="宋体"/>
          <w:color w:val="auto"/>
          <w:szCs w:val="21"/>
          <w:highlight w:val="none"/>
        </w:rPr>
        <w:sectPr>
          <w:footerReference r:id="rId10" w:type="default"/>
          <w:pgSz w:w="11905" w:h="16838"/>
          <w:pgMar w:top="1440" w:right="1803" w:bottom="1440" w:left="1803" w:header="850" w:footer="850" w:gutter="0"/>
          <w:cols w:space="0" w:num="1"/>
          <w:docGrid w:type="lines" w:linePitch="414" w:charSpace="0"/>
        </w:sectPr>
      </w:pPr>
    </w:p>
    <w:p w14:paraId="162D4044">
      <w:pPr>
        <w:pStyle w:val="5"/>
        <w:ind w:firstLine="0" w:firstLineChars="0"/>
        <w:jc w:val="center"/>
        <w:rPr>
          <w:color w:val="auto"/>
          <w:highlight w:val="none"/>
        </w:rPr>
      </w:pPr>
      <w:bookmarkStart w:id="863" w:name="_Toc184635140"/>
      <w:r>
        <w:rPr>
          <w:rFonts w:hint="eastAsia"/>
          <w:color w:val="auto"/>
          <w:highlight w:val="none"/>
        </w:rPr>
        <w:t>二、授权委托书</w:t>
      </w:r>
      <w:bookmarkEnd w:id="863"/>
    </w:p>
    <w:p w14:paraId="42D30FAD">
      <w:pPr>
        <w:spacing w:line="400" w:lineRule="exact"/>
        <w:ind w:firstLine="420"/>
        <w:rPr>
          <w:rFonts w:ascii="宋体" w:hAnsi="宋体" w:cs="宋体"/>
          <w:color w:val="auto"/>
          <w:szCs w:val="21"/>
          <w:highlight w:val="none"/>
        </w:rPr>
      </w:pPr>
    </w:p>
    <w:p w14:paraId="00C203A8">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（姓名）</w:t>
      </w:r>
      <w:r>
        <w:rPr>
          <w:rFonts w:hint="eastAsia" w:ascii="宋体" w:hAnsi="宋体" w:cs="宋体"/>
          <w:color w:val="auto"/>
          <w:szCs w:val="21"/>
          <w:highlight w:val="none"/>
        </w:rPr>
        <w:t>系（</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名称）的法定代表人，现委托（姓名）为我方代理人。代理人根据授权，以我方名义签署、澄清、说明、补正、递交、撤回、修改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、签订合同和处理有关事宜，其法律后果由我方承担。</w:t>
      </w:r>
    </w:p>
    <w:p w14:paraId="2304F56B">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代理人无转委托权。</w:t>
      </w:r>
    </w:p>
    <w:p w14:paraId="1D86D2CF">
      <w:pPr>
        <w:pStyle w:val="2"/>
        <w:ind w:firstLine="420"/>
        <w:rPr>
          <w:rFonts w:ascii="宋体" w:hAnsi="宋体" w:cs="宋体"/>
          <w:color w:val="auto"/>
          <w:szCs w:val="21"/>
          <w:highlight w:val="none"/>
        </w:rPr>
      </w:pPr>
    </w:p>
    <w:p w14:paraId="4CE49815">
      <w:pPr>
        <w:spacing w:line="400" w:lineRule="exact"/>
        <w:ind w:firstLine="422"/>
        <w:rPr>
          <w:rFonts w:ascii="宋体" w:hAnsi="宋体" w:cs="宋体"/>
          <w:b/>
          <w:bCs/>
          <w:color w:val="auto"/>
          <w:szCs w:val="21"/>
          <w:highlight w:val="none"/>
        </w:rPr>
      </w:pPr>
      <w:r>
        <w:rPr>
          <w:rFonts w:hint="eastAsia" w:ascii="宋体" w:hAnsi="宋体" w:cs="宋体"/>
          <w:b/>
          <w:bCs/>
          <w:color w:val="auto"/>
          <w:szCs w:val="21"/>
          <w:highlight w:val="none"/>
        </w:rPr>
        <w:t>委托期限：本授权书至投标有效期结束前始终有效。</w:t>
      </w:r>
    </w:p>
    <w:p w14:paraId="55BB6E91">
      <w:pPr>
        <w:spacing w:line="400" w:lineRule="exact"/>
        <w:ind w:firstLine="420"/>
        <w:rPr>
          <w:rFonts w:ascii="宋体" w:hAnsi="宋体" w:cs="宋体"/>
          <w:color w:val="auto"/>
          <w:szCs w:val="21"/>
          <w:highlight w:val="none"/>
        </w:rPr>
      </w:pPr>
    </w:p>
    <w:p w14:paraId="76F8AB4F">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附：法定代表人身份证复印件及委托代理人身份证复印件</w:t>
      </w:r>
    </w:p>
    <w:p w14:paraId="1D447C1C">
      <w:pPr>
        <w:spacing w:line="400" w:lineRule="exact"/>
        <w:ind w:firstLine="420"/>
        <w:rPr>
          <w:rFonts w:ascii="宋体" w:hAnsi="宋体" w:cs="宋体"/>
          <w:color w:val="auto"/>
          <w:szCs w:val="21"/>
          <w:highlight w:val="none"/>
        </w:rPr>
      </w:pPr>
    </w:p>
    <w:p w14:paraId="21820FB0">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注：本授权委托书需由</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加盖单位公章并由法定代表人和委托代理人签字。</w:t>
      </w:r>
    </w:p>
    <w:p w14:paraId="5400A7C5">
      <w:pPr>
        <w:spacing w:line="400" w:lineRule="exact"/>
        <w:ind w:firstLine="420"/>
        <w:rPr>
          <w:rFonts w:ascii="宋体" w:hAnsi="宋体" w:cs="宋体"/>
          <w:color w:val="auto"/>
          <w:szCs w:val="21"/>
          <w:highlight w:val="none"/>
        </w:rPr>
      </w:pPr>
    </w:p>
    <w:p w14:paraId="6A95A79D">
      <w:pPr>
        <w:spacing w:line="400" w:lineRule="exact"/>
        <w:ind w:firstLine="4725" w:firstLineChars="2250"/>
        <w:rPr>
          <w:rFonts w:ascii="宋体" w:hAnsi="宋体" w:cs="宋体"/>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：（单位电子签章）</w:t>
      </w:r>
    </w:p>
    <w:p w14:paraId="76933CFA">
      <w:pPr>
        <w:spacing w:line="400" w:lineRule="exact"/>
        <w:ind w:firstLine="420"/>
        <w:rPr>
          <w:rFonts w:ascii="宋体" w:hAnsi="宋体" w:cs="宋体"/>
          <w:color w:val="auto"/>
          <w:szCs w:val="21"/>
          <w:highlight w:val="none"/>
        </w:rPr>
      </w:pPr>
    </w:p>
    <w:p w14:paraId="32383994">
      <w:pPr>
        <w:spacing w:line="400" w:lineRule="exact"/>
        <w:ind w:firstLine="4725" w:firstLineChars="2250"/>
        <w:rPr>
          <w:rFonts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lang w:eastAsia="zh-CN"/>
        </w:rPr>
        <w:t>电子签名或签名</w:t>
      </w:r>
      <w:r>
        <w:rPr>
          <w:rFonts w:hint="eastAsia" w:ascii="宋体" w:hAnsi="宋体" w:cs="宋体"/>
          <w:color w:val="auto"/>
          <w:szCs w:val="21"/>
          <w:highlight w:val="none"/>
        </w:rPr>
        <w:t>）</w:t>
      </w:r>
    </w:p>
    <w:p w14:paraId="0CB5D5EC">
      <w:pPr>
        <w:spacing w:line="400" w:lineRule="exact"/>
        <w:ind w:firstLine="420"/>
        <w:rPr>
          <w:rFonts w:ascii="宋体" w:hAnsi="宋体" w:cs="宋体"/>
          <w:color w:val="auto"/>
          <w:szCs w:val="21"/>
          <w:highlight w:val="none"/>
        </w:rPr>
      </w:pPr>
    </w:p>
    <w:p w14:paraId="31B8A247">
      <w:pPr>
        <w:spacing w:line="400" w:lineRule="exact"/>
        <w:ind w:firstLine="4725" w:firstLineChars="2250"/>
        <w:rPr>
          <w:rFonts w:ascii="宋体" w:hAnsi="宋体" w:cs="宋体"/>
          <w:color w:val="auto"/>
          <w:szCs w:val="21"/>
          <w:highlight w:val="none"/>
        </w:rPr>
      </w:pPr>
      <w:r>
        <w:rPr>
          <w:rFonts w:hint="eastAsia" w:ascii="宋体" w:hAnsi="宋体" w:cs="宋体"/>
          <w:color w:val="auto"/>
          <w:szCs w:val="21"/>
          <w:highlight w:val="none"/>
        </w:rPr>
        <w:t>身份证号码：</w:t>
      </w:r>
    </w:p>
    <w:p w14:paraId="57F41511">
      <w:pPr>
        <w:spacing w:line="400" w:lineRule="exact"/>
        <w:ind w:firstLine="4725" w:firstLineChars="2250"/>
        <w:rPr>
          <w:rFonts w:ascii="宋体" w:hAnsi="宋体" w:cs="宋体"/>
          <w:color w:val="auto"/>
          <w:szCs w:val="21"/>
          <w:highlight w:val="none"/>
        </w:rPr>
      </w:pPr>
      <w:r>
        <w:rPr>
          <w:rFonts w:hint="eastAsia" w:ascii="宋体" w:hAnsi="宋体" w:cs="宋体"/>
          <w:color w:val="auto"/>
          <w:szCs w:val="21"/>
          <w:highlight w:val="none"/>
        </w:rPr>
        <w:t>委托代理人：（</w:t>
      </w:r>
      <w:r>
        <w:rPr>
          <w:rFonts w:hint="eastAsia" w:ascii="宋体" w:hAnsi="宋体" w:cs="宋体"/>
          <w:color w:val="auto"/>
          <w:szCs w:val="21"/>
          <w:highlight w:val="none"/>
          <w:lang w:eastAsia="zh-CN"/>
        </w:rPr>
        <w:t>电子签名或签名</w:t>
      </w:r>
      <w:r>
        <w:rPr>
          <w:rFonts w:hint="eastAsia" w:ascii="宋体" w:hAnsi="宋体" w:cs="宋体"/>
          <w:color w:val="auto"/>
          <w:szCs w:val="21"/>
          <w:highlight w:val="none"/>
        </w:rPr>
        <w:t>）</w:t>
      </w:r>
    </w:p>
    <w:p w14:paraId="1B94E283">
      <w:pPr>
        <w:spacing w:line="400" w:lineRule="exact"/>
        <w:ind w:firstLine="420"/>
        <w:rPr>
          <w:rFonts w:ascii="宋体" w:hAnsi="宋体" w:cs="宋体"/>
          <w:color w:val="auto"/>
          <w:szCs w:val="21"/>
          <w:highlight w:val="none"/>
        </w:rPr>
      </w:pPr>
    </w:p>
    <w:p w14:paraId="096ADA23">
      <w:pPr>
        <w:spacing w:line="400" w:lineRule="exact"/>
        <w:ind w:firstLine="4725" w:firstLineChars="2250"/>
        <w:rPr>
          <w:rFonts w:ascii="宋体" w:hAnsi="宋体" w:cs="宋体"/>
          <w:color w:val="auto"/>
          <w:szCs w:val="21"/>
          <w:highlight w:val="none"/>
          <w:u w:val="single"/>
        </w:rPr>
      </w:pPr>
      <w:r>
        <w:rPr>
          <w:rFonts w:hint="eastAsia" w:ascii="宋体" w:hAnsi="宋体" w:cs="宋体"/>
          <w:color w:val="auto"/>
          <w:szCs w:val="21"/>
          <w:highlight w:val="none"/>
        </w:rPr>
        <w:t>身份证号码：</w:t>
      </w:r>
    </w:p>
    <w:p w14:paraId="618E862B">
      <w:pPr>
        <w:spacing w:line="400" w:lineRule="exact"/>
        <w:ind w:firstLine="5355" w:firstLineChars="2550"/>
        <w:rPr>
          <w:rFonts w:ascii="宋体" w:hAnsi="宋体" w:cs="宋体"/>
          <w:color w:val="auto"/>
          <w:szCs w:val="21"/>
          <w:highlight w:val="none"/>
        </w:rPr>
      </w:pPr>
    </w:p>
    <w:p w14:paraId="493EE0D1">
      <w:pPr>
        <w:spacing w:line="400" w:lineRule="exact"/>
        <w:ind w:firstLine="5040" w:firstLineChars="2400"/>
        <w:rPr>
          <w:rFonts w:ascii="宋体" w:hAnsi="宋体" w:cs="宋体"/>
          <w:color w:val="auto"/>
          <w:szCs w:val="21"/>
          <w:highlight w:val="none"/>
        </w:rPr>
      </w:pPr>
      <w:r>
        <w:rPr>
          <w:rFonts w:hint="eastAsia" w:ascii="宋体" w:hAnsi="宋体" w:cs="宋体"/>
          <w:color w:val="auto"/>
          <w:szCs w:val="21"/>
          <w:highlight w:val="none"/>
        </w:rPr>
        <w:t>年  月   日</w:t>
      </w:r>
    </w:p>
    <w:p w14:paraId="1ECE468F">
      <w:pPr>
        <w:spacing w:line="400" w:lineRule="exact"/>
        <w:ind w:firstLine="420"/>
        <w:rPr>
          <w:rFonts w:ascii="宋体" w:hAnsi="宋体" w:cs="宋体"/>
          <w:color w:val="auto"/>
          <w:szCs w:val="21"/>
          <w:highlight w:val="none"/>
        </w:rPr>
      </w:pPr>
    </w:p>
    <w:p w14:paraId="3A30BCB3">
      <w:pPr>
        <w:spacing w:line="400" w:lineRule="exact"/>
        <w:ind w:firstLine="420"/>
        <w:rPr>
          <w:rFonts w:ascii="宋体" w:hAnsi="宋体" w:cs="宋体"/>
          <w:bCs/>
          <w:color w:val="auto"/>
          <w:szCs w:val="21"/>
          <w:highlight w:val="none"/>
        </w:rPr>
      </w:pPr>
    </w:p>
    <w:p w14:paraId="17F45D81">
      <w:pPr>
        <w:spacing w:line="400" w:lineRule="exact"/>
        <w:ind w:firstLine="420"/>
        <w:rPr>
          <w:rFonts w:ascii="宋体" w:hAnsi="宋体" w:cs="宋体"/>
          <w:bCs/>
          <w:color w:val="auto"/>
          <w:szCs w:val="21"/>
          <w:highlight w:val="none"/>
        </w:rPr>
      </w:pPr>
    </w:p>
    <w:p w14:paraId="766C4A6A">
      <w:pPr>
        <w:pStyle w:val="27"/>
        <w:spacing w:line="400" w:lineRule="exact"/>
        <w:ind w:firstLine="0" w:firstLineChars="0"/>
        <w:rPr>
          <w:rFonts w:ascii="宋体" w:hAnsi="宋体" w:cs="宋体"/>
          <w:color w:val="auto"/>
          <w:szCs w:val="21"/>
          <w:highlight w:val="none"/>
        </w:rPr>
      </w:pPr>
    </w:p>
    <w:p w14:paraId="10F7A155">
      <w:pPr>
        <w:pStyle w:val="14"/>
        <w:rPr>
          <w:color w:val="auto"/>
          <w:highlight w:val="none"/>
        </w:rPr>
      </w:pPr>
    </w:p>
    <w:p w14:paraId="4F1C93AD">
      <w:pPr>
        <w:pStyle w:val="45"/>
        <w:ind w:firstLine="420"/>
        <w:rPr>
          <w:color w:val="auto"/>
          <w:highlight w:val="none"/>
        </w:rPr>
      </w:pPr>
    </w:p>
    <w:p w14:paraId="33CEB0DC">
      <w:pPr>
        <w:ind w:firstLine="420"/>
        <w:rPr>
          <w:color w:val="auto"/>
          <w:highlight w:val="none"/>
        </w:rPr>
      </w:pPr>
    </w:p>
    <w:p w14:paraId="5FF558A8">
      <w:pPr>
        <w:pStyle w:val="2"/>
        <w:ind w:firstLine="420"/>
        <w:rPr>
          <w:color w:val="auto"/>
          <w:highlight w:val="none"/>
        </w:rPr>
      </w:pPr>
    </w:p>
    <w:p w14:paraId="7309B1E8">
      <w:pPr>
        <w:pStyle w:val="14"/>
        <w:rPr>
          <w:rFonts w:ascii="宋体" w:hAnsi="宋体" w:cs="宋体"/>
          <w:color w:val="auto"/>
          <w:szCs w:val="21"/>
          <w:highlight w:val="none"/>
        </w:rPr>
      </w:pPr>
    </w:p>
    <w:p w14:paraId="7BC2F44A">
      <w:pPr>
        <w:pStyle w:val="14"/>
        <w:rPr>
          <w:color w:val="auto"/>
          <w:highlight w:val="none"/>
        </w:rPr>
      </w:pPr>
    </w:p>
    <w:p w14:paraId="10056A7D">
      <w:pPr>
        <w:pStyle w:val="5"/>
        <w:widowControl/>
        <w:ind w:firstLine="602"/>
        <w:jc w:val="center"/>
        <w:rPr>
          <w:rFonts w:cs="宋体"/>
          <w:color w:val="auto"/>
          <w:sz w:val="28"/>
          <w:szCs w:val="28"/>
          <w:highlight w:val="none"/>
        </w:rPr>
      </w:pPr>
      <w:r>
        <w:rPr>
          <w:rFonts w:hint="eastAsia"/>
          <w:color w:val="auto"/>
          <w:highlight w:val="none"/>
          <w:lang w:val="en-US" w:eastAsia="zh-CN"/>
        </w:rPr>
        <w:t>三</w:t>
      </w:r>
      <w:r>
        <w:rPr>
          <w:rFonts w:hint="eastAsia"/>
          <w:color w:val="auto"/>
          <w:highlight w:val="none"/>
        </w:rPr>
        <w:t>、</w:t>
      </w:r>
      <w:r>
        <w:rPr>
          <w:rFonts w:hint="eastAsia" w:cs="宋体"/>
          <w:color w:val="auto"/>
          <w:sz w:val="28"/>
          <w:szCs w:val="28"/>
          <w:highlight w:val="none"/>
        </w:rPr>
        <w:t>技术部分</w:t>
      </w:r>
    </w:p>
    <w:p w14:paraId="5C97A4DA">
      <w:pPr>
        <w:pStyle w:val="16"/>
        <w:spacing w:line="360" w:lineRule="auto"/>
        <w:jc w:val="center"/>
        <w:rPr>
          <w:rFonts w:hAnsi="宋体"/>
          <w:b/>
          <w:color w:val="auto"/>
          <w:highlight w:val="none"/>
        </w:rPr>
      </w:pPr>
      <w:r>
        <w:rPr>
          <w:rFonts w:hint="eastAsia" w:hAnsi="宋体"/>
          <w:b/>
          <w:color w:val="auto"/>
          <w:highlight w:val="none"/>
        </w:rPr>
        <w:t>（根据</w:t>
      </w:r>
      <w:r>
        <w:rPr>
          <w:rFonts w:hint="eastAsia" w:hAnsi="宋体"/>
          <w:b/>
          <w:color w:val="auto"/>
          <w:highlight w:val="none"/>
          <w:lang w:eastAsia="zh-CN"/>
        </w:rPr>
        <w:t>磋商文件</w:t>
      </w:r>
      <w:r>
        <w:rPr>
          <w:rFonts w:hint="eastAsia" w:hAnsi="宋体"/>
          <w:b/>
          <w:color w:val="auto"/>
          <w:highlight w:val="none"/>
        </w:rPr>
        <w:t>中的技术评分标准，格式自拟。）</w:t>
      </w:r>
    </w:p>
    <w:p w14:paraId="38EE070B">
      <w:pPr>
        <w:spacing w:line="400" w:lineRule="exact"/>
        <w:ind w:firstLine="4095" w:firstLineChars="1950"/>
        <w:rPr>
          <w:rFonts w:ascii="宋体" w:hAnsi="宋体" w:cs="宋体"/>
          <w:color w:val="auto"/>
          <w:szCs w:val="21"/>
          <w:highlight w:val="none"/>
        </w:rPr>
      </w:pPr>
    </w:p>
    <w:p w14:paraId="4AE2C3C0">
      <w:pPr>
        <w:ind w:firstLine="420"/>
        <w:rPr>
          <w:rFonts w:ascii="宋体" w:hAnsi="宋体" w:cs="宋体"/>
          <w:color w:val="auto"/>
          <w:szCs w:val="21"/>
          <w:highlight w:val="none"/>
        </w:rPr>
      </w:pPr>
      <w:r>
        <w:rPr>
          <w:rFonts w:hint="eastAsia" w:ascii="宋体" w:hAnsi="宋体" w:cs="宋体"/>
          <w:color w:val="auto"/>
          <w:szCs w:val="21"/>
          <w:highlight w:val="none"/>
        </w:rPr>
        <w:br w:type="page"/>
      </w:r>
    </w:p>
    <w:p w14:paraId="2C6F359C">
      <w:pPr>
        <w:pStyle w:val="5"/>
        <w:ind w:firstLine="0" w:firstLineChars="0"/>
        <w:jc w:val="center"/>
        <w:rPr>
          <w:color w:val="auto"/>
          <w:highlight w:val="none"/>
        </w:rPr>
      </w:pPr>
      <w:bookmarkStart w:id="864" w:name="_Toc150653531"/>
      <w:r>
        <w:rPr>
          <w:rFonts w:hint="eastAsia"/>
          <w:color w:val="auto"/>
          <w:highlight w:val="none"/>
          <w:lang w:val="en-US" w:eastAsia="zh-CN"/>
        </w:rPr>
        <w:t>四</w:t>
      </w:r>
      <w:r>
        <w:rPr>
          <w:rFonts w:hint="eastAsia"/>
          <w:color w:val="auto"/>
          <w:highlight w:val="none"/>
        </w:rPr>
        <w:t>、综合</w:t>
      </w:r>
      <w:r>
        <w:rPr>
          <w:rFonts w:hint="eastAsia" w:cs="宋体"/>
          <w:color w:val="auto"/>
          <w:sz w:val="28"/>
          <w:szCs w:val="28"/>
          <w:highlight w:val="none"/>
        </w:rPr>
        <w:t>部分</w:t>
      </w:r>
    </w:p>
    <w:p w14:paraId="0F9D4391">
      <w:pPr>
        <w:pStyle w:val="16"/>
        <w:spacing w:line="360" w:lineRule="auto"/>
        <w:jc w:val="center"/>
        <w:rPr>
          <w:rFonts w:hAnsi="宋体"/>
          <w:b/>
          <w:color w:val="auto"/>
          <w:highlight w:val="none"/>
        </w:rPr>
      </w:pPr>
      <w:r>
        <w:rPr>
          <w:rFonts w:hint="eastAsia" w:hAnsi="宋体"/>
          <w:b/>
          <w:color w:val="auto"/>
          <w:highlight w:val="none"/>
        </w:rPr>
        <w:t>（根据</w:t>
      </w:r>
      <w:r>
        <w:rPr>
          <w:rFonts w:hint="eastAsia" w:hAnsi="宋体"/>
          <w:b/>
          <w:color w:val="auto"/>
          <w:highlight w:val="none"/>
          <w:lang w:eastAsia="zh-CN"/>
        </w:rPr>
        <w:t>磋商文件</w:t>
      </w:r>
      <w:r>
        <w:rPr>
          <w:rFonts w:hint="eastAsia" w:hAnsi="宋体"/>
          <w:b/>
          <w:color w:val="auto"/>
          <w:highlight w:val="none"/>
        </w:rPr>
        <w:t>中的综合评分标准，格式自拟。）</w:t>
      </w:r>
    </w:p>
    <w:p w14:paraId="77534027">
      <w:pPr>
        <w:pStyle w:val="14"/>
        <w:rPr>
          <w:rFonts w:ascii="宋体" w:hAnsi="宋体" w:cs="宋体"/>
          <w:color w:val="auto"/>
          <w:kern w:val="0"/>
          <w:szCs w:val="21"/>
          <w:highlight w:val="none"/>
        </w:rPr>
      </w:pPr>
    </w:p>
    <w:p w14:paraId="4F4F9DE9">
      <w:pPr>
        <w:ind w:firstLine="420"/>
        <w:rPr>
          <w:rFonts w:ascii="宋体" w:hAnsi="宋体" w:cs="宋体"/>
          <w:color w:val="auto"/>
          <w:kern w:val="0"/>
          <w:szCs w:val="21"/>
          <w:highlight w:val="none"/>
        </w:rPr>
      </w:pPr>
    </w:p>
    <w:p w14:paraId="21360587">
      <w:pPr>
        <w:pStyle w:val="27"/>
        <w:ind w:firstLine="210"/>
        <w:rPr>
          <w:rFonts w:ascii="宋体" w:hAnsi="宋体" w:cs="宋体"/>
          <w:color w:val="auto"/>
          <w:kern w:val="0"/>
          <w:szCs w:val="21"/>
          <w:highlight w:val="none"/>
        </w:rPr>
      </w:pPr>
    </w:p>
    <w:p w14:paraId="24C6E0F2">
      <w:pPr>
        <w:pStyle w:val="14"/>
        <w:rPr>
          <w:rFonts w:ascii="宋体" w:hAnsi="宋体" w:cs="宋体"/>
          <w:color w:val="auto"/>
          <w:kern w:val="0"/>
          <w:szCs w:val="21"/>
          <w:highlight w:val="none"/>
        </w:rPr>
      </w:pPr>
    </w:p>
    <w:p w14:paraId="771A8FBF">
      <w:pPr>
        <w:ind w:firstLine="420"/>
        <w:rPr>
          <w:rFonts w:ascii="宋体" w:hAnsi="宋体" w:cs="宋体"/>
          <w:color w:val="auto"/>
          <w:kern w:val="0"/>
          <w:szCs w:val="21"/>
          <w:highlight w:val="none"/>
        </w:rPr>
      </w:pPr>
    </w:p>
    <w:p w14:paraId="3BCECB32">
      <w:pPr>
        <w:pStyle w:val="27"/>
        <w:ind w:firstLine="210"/>
        <w:rPr>
          <w:rFonts w:ascii="宋体" w:hAnsi="宋体" w:cs="宋体"/>
          <w:color w:val="auto"/>
          <w:kern w:val="0"/>
          <w:szCs w:val="21"/>
          <w:highlight w:val="none"/>
        </w:rPr>
      </w:pPr>
    </w:p>
    <w:p w14:paraId="2AACC6E2">
      <w:pPr>
        <w:pStyle w:val="14"/>
        <w:rPr>
          <w:rFonts w:ascii="宋体" w:hAnsi="宋体" w:cs="宋体"/>
          <w:color w:val="auto"/>
          <w:kern w:val="0"/>
          <w:szCs w:val="21"/>
          <w:highlight w:val="none"/>
        </w:rPr>
      </w:pPr>
    </w:p>
    <w:p w14:paraId="74CADDFB">
      <w:pPr>
        <w:ind w:firstLine="420"/>
        <w:rPr>
          <w:rFonts w:ascii="宋体" w:hAnsi="宋体" w:cs="宋体"/>
          <w:color w:val="auto"/>
          <w:kern w:val="0"/>
          <w:szCs w:val="21"/>
          <w:highlight w:val="none"/>
        </w:rPr>
      </w:pPr>
    </w:p>
    <w:p w14:paraId="552BB48A">
      <w:pPr>
        <w:pStyle w:val="27"/>
        <w:ind w:firstLine="210"/>
        <w:rPr>
          <w:rFonts w:ascii="宋体" w:hAnsi="宋体" w:cs="宋体"/>
          <w:color w:val="auto"/>
          <w:kern w:val="0"/>
          <w:szCs w:val="21"/>
          <w:highlight w:val="none"/>
        </w:rPr>
      </w:pPr>
    </w:p>
    <w:p w14:paraId="247F9AEC">
      <w:pPr>
        <w:pStyle w:val="14"/>
        <w:rPr>
          <w:rFonts w:ascii="宋体" w:hAnsi="宋体" w:cs="宋体"/>
          <w:color w:val="auto"/>
          <w:kern w:val="0"/>
          <w:szCs w:val="21"/>
          <w:highlight w:val="none"/>
        </w:rPr>
      </w:pPr>
    </w:p>
    <w:p w14:paraId="7756BC08">
      <w:pPr>
        <w:ind w:firstLine="420"/>
        <w:rPr>
          <w:color w:val="auto"/>
          <w:highlight w:val="none"/>
        </w:rPr>
      </w:pPr>
    </w:p>
    <w:p w14:paraId="040B6919">
      <w:pPr>
        <w:ind w:firstLine="420"/>
        <w:rPr>
          <w:rFonts w:ascii="宋体" w:hAnsi="宋体" w:cs="宋体"/>
          <w:color w:val="auto"/>
          <w:kern w:val="0"/>
          <w:szCs w:val="21"/>
          <w:highlight w:val="none"/>
        </w:rPr>
      </w:pPr>
    </w:p>
    <w:p w14:paraId="667E9F8F">
      <w:pPr>
        <w:pStyle w:val="27"/>
        <w:ind w:firstLine="210"/>
        <w:rPr>
          <w:rFonts w:ascii="宋体" w:hAnsi="宋体" w:cs="宋体"/>
          <w:color w:val="auto"/>
          <w:kern w:val="0"/>
          <w:szCs w:val="21"/>
          <w:highlight w:val="none"/>
        </w:rPr>
      </w:pPr>
    </w:p>
    <w:p w14:paraId="579AD163">
      <w:pPr>
        <w:pStyle w:val="14"/>
        <w:rPr>
          <w:color w:val="auto"/>
          <w:highlight w:val="none"/>
        </w:rPr>
      </w:pPr>
    </w:p>
    <w:p w14:paraId="38ADC526">
      <w:pPr>
        <w:pStyle w:val="14"/>
        <w:ind w:left="840" w:leftChars="400" w:firstLine="0" w:firstLineChars="0"/>
        <w:rPr>
          <w:color w:val="auto"/>
          <w:highlight w:val="none"/>
        </w:rPr>
      </w:pPr>
    </w:p>
    <w:p w14:paraId="09ADF513">
      <w:pPr>
        <w:ind w:firstLine="562"/>
        <w:rPr>
          <w:rFonts w:ascii="宋体" w:hAnsi="宋体" w:cs="宋体"/>
          <w:b/>
          <w:color w:val="auto"/>
          <w:sz w:val="28"/>
          <w:szCs w:val="28"/>
          <w:highlight w:val="none"/>
        </w:rPr>
      </w:pPr>
      <w:r>
        <w:rPr>
          <w:rFonts w:hint="eastAsia" w:ascii="宋体" w:hAnsi="宋体" w:cs="宋体"/>
          <w:b/>
          <w:color w:val="auto"/>
          <w:sz w:val="28"/>
          <w:szCs w:val="28"/>
          <w:highlight w:val="none"/>
        </w:rPr>
        <w:br w:type="page"/>
      </w:r>
    </w:p>
    <w:bookmarkEnd w:id="864"/>
    <w:p w14:paraId="225F1E82">
      <w:pPr>
        <w:pStyle w:val="5"/>
        <w:ind w:firstLine="0" w:firstLineChars="0"/>
        <w:jc w:val="center"/>
        <w:rPr>
          <w:color w:val="auto"/>
          <w:highlight w:val="none"/>
        </w:rPr>
      </w:pPr>
      <w:r>
        <w:rPr>
          <w:rFonts w:hint="eastAsia"/>
          <w:color w:val="auto"/>
          <w:highlight w:val="none"/>
          <w:lang w:val="en-US" w:eastAsia="zh-CN"/>
        </w:rPr>
        <w:t>五</w:t>
      </w:r>
      <w:r>
        <w:rPr>
          <w:rFonts w:hint="eastAsia"/>
          <w:color w:val="auto"/>
          <w:highlight w:val="none"/>
        </w:rPr>
        <w:t>、 资格审查资料</w:t>
      </w:r>
    </w:p>
    <w:p w14:paraId="1594481F">
      <w:pPr>
        <w:spacing w:before="414" w:beforeLines="100" w:after="207" w:afterLines="50"/>
        <w:ind w:firstLine="422"/>
        <w:rPr>
          <w:rFonts w:ascii="宋体" w:hAnsi="宋体" w:cs="Times New Roman"/>
          <w:b/>
          <w:color w:val="auto"/>
          <w:szCs w:val="21"/>
          <w:highlight w:val="none"/>
        </w:rPr>
      </w:pPr>
      <w:bookmarkStart w:id="865" w:name="_Toc456185719"/>
      <w:r>
        <w:rPr>
          <w:rFonts w:hint="eastAsia" w:ascii="宋体" w:hAnsi="宋体" w:cs="Times New Roman"/>
          <w:b/>
          <w:color w:val="auto"/>
          <w:szCs w:val="21"/>
          <w:highlight w:val="none"/>
        </w:rPr>
        <w:t>1、</w:t>
      </w:r>
      <w:r>
        <w:rPr>
          <w:rFonts w:hint="eastAsia" w:ascii="宋体" w:hAnsi="宋体" w:cs="Times New Roman"/>
          <w:b/>
          <w:color w:val="auto"/>
          <w:szCs w:val="21"/>
          <w:highlight w:val="none"/>
          <w:lang w:eastAsia="zh-CN"/>
        </w:rPr>
        <w:t>供应商</w:t>
      </w:r>
      <w:r>
        <w:rPr>
          <w:rFonts w:hint="eastAsia" w:ascii="宋体" w:hAnsi="宋体" w:cs="Times New Roman"/>
          <w:b/>
          <w:color w:val="auto"/>
          <w:szCs w:val="21"/>
          <w:highlight w:val="none"/>
        </w:rPr>
        <w:t>基本情况表</w:t>
      </w:r>
      <w:bookmarkEnd w:id="865"/>
    </w:p>
    <w:tbl>
      <w:tblPr>
        <w:tblStyle w:val="28"/>
        <w:tblW w:w="8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884"/>
        <w:gridCol w:w="2462"/>
        <w:gridCol w:w="1230"/>
        <w:gridCol w:w="2357"/>
      </w:tblGrid>
      <w:tr w14:paraId="7B18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vAlign w:val="center"/>
          </w:tcPr>
          <w:p w14:paraId="465F92A9">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lang w:eastAsia="zh-CN"/>
              </w:rPr>
              <w:t>供应商</w:t>
            </w:r>
            <w:r>
              <w:rPr>
                <w:rFonts w:hint="eastAsia" w:ascii="宋体" w:hAnsi="宋体" w:cs="Times New Roman"/>
                <w:color w:val="auto"/>
                <w:szCs w:val="21"/>
                <w:highlight w:val="none"/>
              </w:rPr>
              <w:t>名称</w:t>
            </w:r>
          </w:p>
        </w:tc>
        <w:tc>
          <w:tcPr>
            <w:tcW w:w="6933" w:type="dxa"/>
            <w:gridSpan w:val="4"/>
            <w:vAlign w:val="center"/>
          </w:tcPr>
          <w:p w14:paraId="047F1A77">
            <w:pPr>
              <w:ind w:firstLine="0" w:firstLineChars="0"/>
              <w:jc w:val="center"/>
              <w:rPr>
                <w:rFonts w:ascii="宋体" w:hAnsi="宋体" w:cs="Times New Roman"/>
                <w:color w:val="auto"/>
                <w:szCs w:val="21"/>
                <w:highlight w:val="none"/>
              </w:rPr>
            </w:pPr>
          </w:p>
        </w:tc>
      </w:tr>
      <w:tr w14:paraId="7707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vAlign w:val="center"/>
          </w:tcPr>
          <w:p w14:paraId="1C78E6A5">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注册地址</w:t>
            </w:r>
          </w:p>
        </w:tc>
        <w:tc>
          <w:tcPr>
            <w:tcW w:w="3346" w:type="dxa"/>
            <w:gridSpan w:val="2"/>
            <w:vAlign w:val="center"/>
          </w:tcPr>
          <w:p w14:paraId="605077CD">
            <w:pPr>
              <w:ind w:firstLine="0" w:firstLineChars="0"/>
              <w:jc w:val="center"/>
              <w:rPr>
                <w:rFonts w:ascii="宋体" w:hAnsi="宋体" w:cs="Times New Roman"/>
                <w:color w:val="auto"/>
                <w:szCs w:val="21"/>
                <w:highlight w:val="none"/>
              </w:rPr>
            </w:pPr>
          </w:p>
        </w:tc>
        <w:tc>
          <w:tcPr>
            <w:tcW w:w="1230" w:type="dxa"/>
            <w:vAlign w:val="center"/>
          </w:tcPr>
          <w:p w14:paraId="2B81DDFF">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邮政编码</w:t>
            </w:r>
          </w:p>
        </w:tc>
        <w:tc>
          <w:tcPr>
            <w:tcW w:w="2357" w:type="dxa"/>
            <w:vAlign w:val="center"/>
          </w:tcPr>
          <w:p w14:paraId="1DF584D7">
            <w:pPr>
              <w:ind w:firstLine="0" w:firstLineChars="0"/>
              <w:jc w:val="center"/>
              <w:rPr>
                <w:rFonts w:ascii="宋体" w:hAnsi="宋体" w:cs="Times New Roman"/>
                <w:color w:val="auto"/>
                <w:szCs w:val="21"/>
                <w:highlight w:val="none"/>
              </w:rPr>
            </w:pPr>
          </w:p>
        </w:tc>
      </w:tr>
      <w:tr w14:paraId="71EC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vMerge w:val="restart"/>
            <w:vAlign w:val="center"/>
          </w:tcPr>
          <w:p w14:paraId="7C18720A">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联系方式</w:t>
            </w:r>
          </w:p>
        </w:tc>
        <w:tc>
          <w:tcPr>
            <w:tcW w:w="884" w:type="dxa"/>
            <w:vAlign w:val="center"/>
          </w:tcPr>
          <w:p w14:paraId="6935A5DA">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联系人</w:t>
            </w:r>
          </w:p>
        </w:tc>
        <w:tc>
          <w:tcPr>
            <w:tcW w:w="2462" w:type="dxa"/>
            <w:vAlign w:val="center"/>
          </w:tcPr>
          <w:p w14:paraId="4A2BF0C9">
            <w:pPr>
              <w:ind w:firstLine="0" w:firstLineChars="0"/>
              <w:jc w:val="center"/>
              <w:rPr>
                <w:rFonts w:ascii="宋体" w:hAnsi="宋体" w:cs="Times New Roman"/>
                <w:color w:val="auto"/>
                <w:szCs w:val="21"/>
                <w:highlight w:val="none"/>
              </w:rPr>
            </w:pPr>
          </w:p>
        </w:tc>
        <w:tc>
          <w:tcPr>
            <w:tcW w:w="1230" w:type="dxa"/>
            <w:vAlign w:val="center"/>
          </w:tcPr>
          <w:p w14:paraId="0DEEA436">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电</w:t>
            </w:r>
            <w:r>
              <w:rPr>
                <w:rFonts w:ascii="宋体" w:hAnsi="宋体" w:cs="Times New Roman"/>
                <w:color w:val="auto"/>
                <w:szCs w:val="21"/>
                <w:highlight w:val="none"/>
              </w:rPr>
              <w:t xml:space="preserve">  </w:t>
            </w:r>
            <w:r>
              <w:rPr>
                <w:rFonts w:hint="eastAsia" w:ascii="宋体" w:hAnsi="宋体" w:cs="Times New Roman"/>
                <w:color w:val="auto"/>
                <w:szCs w:val="21"/>
                <w:highlight w:val="none"/>
              </w:rPr>
              <w:t>话</w:t>
            </w:r>
          </w:p>
        </w:tc>
        <w:tc>
          <w:tcPr>
            <w:tcW w:w="2357" w:type="dxa"/>
            <w:vAlign w:val="center"/>
          </w:tcPr>
          <w:p w14:paraId="3A4B4465">
            <w:pPr>
              <w:ind w:firstLine="0" w:firstLineChars="0"/>
              <w:jc w:val="center"/>
              <w:rPr>
                <w:rFonts w:ascii="宋体" w:hAnsi="宋体" w:cs="Times New Roman"/>
                <w:color w:val="auto"/>
                <w:szCs w:val="21"/>
                <w:highlight w:val="none"/>
              </w:rPr>
            </w:pPr>
          </w:p>
        </w:tc>
      </w:tr>
      <w:tr w14:paraId="1B92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vMerge w:val="continue"/>
            <w:vAlign w:val="center"/>
          </w:tcPr>
          <w:p w14:paraId="3347F467">
            <w:pPr>
              <w:ind w:firstLine="0" w:firstLineChars="0"/>
              <w:jc w:val="center"/>
              <w:rPr>
                <w:rFonts w:ascii="宋体" w:hAnsi="宋体" w:cs="Times New Roman"/>
                <w:color w:val="auto"/>
                <w:szCs w:val="21"/>
                <w:highlight w:val="none"/>
              </w:rPr>
            </w:pPr>
          </w:p>
        </w:tc>
        <w:tc>
          <w:tcPr>
            <w:tcW w:w="884" w:type="dxa"/>
            <w:vAlign w:val="center"/>
          </w:tcPr>
          <w:p w14:paraId="2F70E26E">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传</w:t>
            </w:r>
            <w:r>
              <w:rPr>
                <w:rFonts w:ascii="宋体" w:hAnsi="宋体" w:cs="Times New Roman"/>
                <w:color w:val="auto"/>
                <w:szCs w:val="21"/>
                <w:highlight w:val="none"/>
              </w:rPr>
              <w:t xml:space="preserve">  </w:t>
            </w:r>
            <w:r>
              <w:rPr>
                <w:rFonts w:hint="eastAsia" w:ascii="宋体" w:hAnsi="宋体" w:cs="Times New Roman"/>
                <w:color w:val="auto"/>
                <w:szCs w:val="21"/>
                <w:highlight w:val="none"/>
              </w:rPr>
              <w:t>真</w:t>
            </w:r>
          </w:p>
        </w:tc>
        <w:tc>
          <w:tcPr>
            <w:tcW w:w="2462" w:type="dxa"/>
            <w:vAlign w:val="center"/>
          </w:tcPr>
          <w:p w14:paraId="0635E336">
            <w:pPr>
              <w:ind w:firstLine="0" w:firstLineChars="0"/>
              <w:jc w:val="center"/>
              <w:rPr>
                <w:rFonts w:ascii="宋体" w:hAnsi="宋体" w:cs="Times New Roman"/>
                <w:color w:val="auto"/>
                <w:szCs w:val="21"/>
                <w:highlight w:val="none"/>
              </w:rPr>
            </w:pPr>
          </w:p>
        </w:tc>
        <w:tc>
          <w:tcPr>
            <w:tcW w:w="1230" w:type="dxa"/>
            <w:vAlign w:val="center"/>
          </w:tcPr>
          <w:p w14:paraId="06B0E106">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网</w:t>
            </w:r>
            <w:r>
              <w:rPr>
                <w:rFonts w:ascii="宋体" w:hAnsi="宋体" w:cs="Times New Roman"/>
                <w:color w:val="auto"/>
                <w:szCs w:val="21"/>
                <w:highlight w:val="none"/>
              </w:rPr>
              <w:t xml:space="preserve">  </w:t>
            </w:r>
            <w:r>
              <w:rPr>
                <w:rFonts w:hint="eastAsia" w:ascii="宋体" w:hAnsi="宋体" w:cs="Times New Roman"/>
                <w:color w:val="auto"/>
                <w:szCs w:val="21"/>
                <w:highlight w:val="none"/>
              </w:rPr>
              <w:t>址</w:t>
            </w:r>
          </w:p>
        </w:tc>
        <w:tc>
          <w:tcPr>
            <w:tcW w:w="2357" w:type="dxa"/>
            <w:vAlign w:val="center"/>
          </w:tcPr>
          <w:p w14:paraId="657B7316">
            <w:pPr>
              <w:ind w:firstLine="0" w:firstLineChars="0"/>
              <w:jc w:val="center"/>
              <w:rPr>
                <w:rFonts w:ascii="宋体" w:hAnsi="宋体" w:cs="Times New Roman"/>
                <w:color w:val="auto"/>
                <w:szCs w:val="21"/>
                <w:highlight w:val="none"/>
              </w:rPr>
            </w:pPr>
          </w:p>
        </w:tc>
      </w:tr>
      <w:tr w14:paraId="06BA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vAlign w:val="center"/>
          </w:tcPr>
          <w:p w14:paraId="20DC88EF">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组织结构</w:t>
            </w:r>
          </w:p>
        </w:tc>
        <w:tc>
          <w:tcPr>
            <w:tcW w:w="6933" w:type="dxa"/>
            <w:gridSpan w:val="4"/>
            <w:vAlign w:val="center"/>
          </w:tcPr>
          <w:p w14:paraId="0BA73A29">
            <w:pPr>
              <w:ind w:firstLine="0" w:firstLineChars="0"/>
              <w:jc w:val="center"/>
              <w:rPr>
                <w:rFonts w:ascii="宋体" w:hAnsi="宋体" w:cs="Times New Roman"/>
                <w:color w:val="auto"/>
                <w:szCs w:val="21"/>
                <w:highlight w:val="none"/>
              </w:rPr>
            </w:pPr>
          </w:p>
        </w:tc>
      </w:tr>
      <w:tr w14:paraId="73074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vAlign w:val="center"/>
          </w:tcPr>
          <w:p w14:paraId="17A1131D">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法定代表人</w:t>
            </w:r>
          </w:p>
        </w:tc>
        <w:tc>
          <w:tcPr>
            <w:tcW w:w="884" w:type="dxa"/>
            <w:vAlign w:val="center"/>
          </w:tcPr>
          <w:p w14:paraId="61082DE2">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姓名</w:t>
            </w:r>
          </w:p>
        </w:tc>
        <w:tc>
          <w:tcPr>
            <w:tcW w:w="2462" w:type="dxa"/>
            <w:vAlign w:val="center"/>
          </w:tcPr>
          <w:p w14:paraId="472509AF">
            <w:pPr>
              <w:ind w:firstLine="0" w:firstLineChars="0"/>
              <w:jc w:val="center"/>
              <w:rPr>
                <w:rFonts w:ascii="宋体" w:hAnsi="宋体" w:cs="Times New Roman"/>
                <w:color w:val="auto"/>
                <w:szCs w:val="21"/>
                <w:highlight w:val="none"/>
              </w:rPr>
            </w:pPr>
          </w:p>
        </w:tc>
        <w:tc>
          <w:tcPr>
            <w:tcW w:w="1230" w:type="dxa"/>
            <w:vAlign w:val="center"/>
          </w:tcPr>
          <w:p w14:paraId="26207303">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电话</w:t>
            </w:r>
          </w:p>
        </w:tc>
        <w:tc>
          <w:tcPr>
            <w:tcW w:w="2357" w:type="dxa"/>
            <w:vAlign w:val="center"/>
          </w:tcPr>
          <w:p w14:paraId="5B34F72D">
            <w:pPr>
              <w:ind w:firstLine="0" w:firstLineChars="0"/>
              <w:jc w:val="center"/>
              <w:rPr>
                <w:rFonts w:ascii="宋体" w:hAnsi="宋体" w:cs="Times New Roman"/>
                <w:color w:val="auto"/>
                <w:szCs w:val="21"/>
                <w:highlight w:val="none"/>
              </w:rPr>
            </w:pPr>
          </w:p>
        </w:tc>
      </w:tr>
      <w:tr w14:paraId="1A20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vAlign w:val="center"/>
          </w:tcPr>
          <w:p w14:paraId="638709E3">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项目负责人</w:t>
            </w:r>
          </w:p>
        </w:tc>
        <w:tc>
          <w:tcPr>
            <w:tcW w:w="884" w:type="dxa"/>
            <w:vAlign w:val="center"/>
          </w:tcPr>
          <w:p w14:paraId="04B47B6F">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姓名</w:t>
            </w:r>
          </w:p>
        </w:tc>
        <w:tc>
          <w:tcPr>
            <w:tcW w:w="2462" w:type="dxa"/>
            <w:vAlign w:val="center"/>
          </w:tcPr>
          <w:p w14:paraId="228D5E5C">
            <w:pPr>
              <w:ind w:firstLine="0" w:firstLineChars="0"/>
              <w:jc w:val="center"/>
              <w:rPr>
                <w:rFonts w:ascii="宋体" w:hAnsi="宋体" w:cs="Times New Roman"/>
                <w:color w:val="auto"/>
                <w:szCs w:val="21"/>
                <w:highlight w:val="none"/>
              </w:rPr>
            </w:pPr>
          </w:p>
        </w:tc>
        <w:tc>
          <w:tcPr>
            <w:tcW w:w="1230" w:type="dxa"/>
            <w:vAlign w:val="center"/>
          </w:tcPr>
          <w:p w14:paraId="474161B0">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电话</w:t>
            </w:r>
          </w:p>
        </w:tc>
        <w:tc>
          <w:tcPr>
            <w:tcW w:w="2357" w:type="dxa"/>
            <w:vAlign w:val="center"/>
          </w:tcPr>
          <w:p w14:paraId="495B9010">
            <w:pPr>
              <w:ind w:firstLine="0" w:firstLineChars="0"/>
              <w:jc w:val="center"/>
              <w:rPr>
                <w:rFonts w:ascii="宋体" w:hAnsi="宋体" w:cs="Times New Roman"/>
                <w:color w:val="auto"/>
                <w:szCs w:val="21"/>
                <w:highlight w:val="none"/>
              </w:rPr>
            </w:pPr>
          </w:p>
        </w:tc>
      </w:tr>
      <w:tr w14:paraId="2389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466" w:type="dxa"/>
            <w:vAlign w:val="center"/>
          </w:tcPr>
          <w:p w14:paraId="1603FF3C">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成立时间</w:t>
            </w:r>
          </w:p>
        </w:tc>
        <w:tc>
          <w:tcPr>
            <w:tcW w:w="6933" w:type="dxa"/>
            <w:gridSpan w:val="4"/>
            <w:vAlign w:val="center"/>
          </w:tcPr>
          <w:p w14:paraId="1601ECDD">
            <w:pPr>
              <w:ind w:firstLine="0" w:firstLineChars="0"/>
              <w:jc w:val="center"/>
              <w:rPr>
                <w:rFonts w:ascii="宋体" w:hAnsi="宋体" w:cs="Times New Roman"/>
                <w:color w:val="auto"/>
                <w:szCs w:val="21"/>
                <w:highlight w:val="none"/>
              </w:rPr>
            </w:pPr>
          </w:p>
        </w:tc>
      </w:tr>
      <w:tr w14:paraId="29E4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atLeast"/>
          <w:jc w:val="center"/>
        </w:trPr>
        <w:tc>
          <w:tcPr>
            <w:tcW w:w="1466" w:type="dxa"/>
            <w:vAlign w:val="center"/>
          </w:tcPr>
          <w:p w14:paraId="5435F4B3">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经营范围</w:t>
            </w:r>
          </w:p>
        </w:tc>
        <w:tc>
          <w:tcPr>
            <w:tcW w:w="6933" w:type="dxa"/>
            <w:gridSpan w:val="4"/>
            <w:vAlign w:val="center"/>
          </w:tcPr>
          <w:p w14:paraId="1E60CDF7">
            <w:pPr>
              <w:ind w:firstLine="0" w:firstLineChars="0"/>
              <w:jc w:val="center"/>
              <w:rPr>
                <w:rFonts w:ascii="宋体" w:hAnsi="宋体" w:cs="Times New Roman"/>
                <w:color w:val="auto"/>
                <w:szCs w:val="21"/>
                <w:highlight w:val="none"/>
              </w:rPr>
            </w:pPr>
          </w:p>
        </w:tc>
      </w:tr>
      <w:tr w14:paraId="3A7A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466" w:type="dxa"/>
            <w:vAlign w:val="center"/>
          </w:tcPr>
          <w:p w14:paraId="609F47FE">
            <w:pPr>
              <w:ind w:firstLine="0" w:firstLineChars="0"/>
              <w:jc w:val="center"/>
              <w:rPr>
                <w:rFonts w:ascii="宋体" w:hAnsi="宋体" w:cs="Times New Roman"/>
                <w:color w:val="auto"/>
                <w:szCs w:val="21"/>
                <w:highlight w:val="none"/>
              </w:rPr>
            </w:pPr>
            <w:r>
              <w:rPr>
                <w:rFonts w:hint="eastAsia" w:ascii="宋体" w:hAnsi="宋体" w:cs="Times New Roman"/>
                <w:color w:val="auto"/>
                <w:szCs w:val="21"/>
                <w:highlight w:val="none"/>
              </w:rPr>
              <w:t>备注</w:t>
            </w:r>
          </w:p>
        </w:tc>
        <w:tc>
          <w:tcPr>
            <w:tcW w:w="6933" w:type="dxa"/>
            <w:gridSpan w:val="4"/>
            <w:vAlign w:val="center"/>
          </w:tcPr>
          <w:p w14:paraId="137A81B6">
            <w:pPr>
              <w:ind w:firstLine="0" w:firstLineChars="0"/>
              <w:jc w:val="center"/>
              <w:rPr>
                <w:rFonts w:ascii="宋体" w:hAnsi="宋体" w:cs="Times New Roman"/>
                <w:color w:val="auto"/>
                <w:szCs w:val="21"/>
                <w:highlight w:val="none"/>
              </w:rPr>
            </w:pPr>
          </w:p>
        </w:tc>
      </w:tr>
    </w:tbl>
    <w:p w14:paraId="45C46EB8">
      <w:pPr>
        <w:pStyle w:val="5"/>
        <w:ind w:firstLine="630" w:firstLineChars="300"/>
        <w:rPr>
          <w:b w:val="0"/>
          <w:bCs/>
          <w:color w:val="auto"/>
          <w:kern w:val="2"/>
          <w:sz w:val="21"/>
          <w:szCs w:val="21"/>
          <w:highlight w:val="none"/>
        </w:rPr>
      </w:pPr>
      <w:r>
        <w:rPr>
          <w:rFonts w:hint="eastAsia"/>
          <w:b w:val="0"/>
          <w:bCs/>
          <w:color w:val="auto"/>
          <w:kern w:val="2"/>
          <w:sz w:val="21"/>
          <w:szCs w:val="21"/>
          <w:highlight w:val="none"/>
        </w:rPr>
        <w:t>注：1.应提供</w:t>
      </w:r>
      <w:r>
        <w:rPr>
          <w:rFonts w:hint="eastAsia"/>
          <w:b w:val="0"/>
          <w:bCs/>
          <w:color w:val="auto"/>
          <w:kern w:val="2"/>
          <w:sz w:val="21"/>
          <w:szCs w:val="21"/>
          <w:highlight w:val="none"/>
          <w:lang w:eastAsia="zh-CN"/>
        </w:rPr>
        <w:t>供应商</w:t>
      </w:r>
      <w:r>
        <w:rPr>
          <w:rFonts w:hint="eastAsia"/>
          <w:b w:val="0"/>
          <w:bCs/>
          <w:color w:val="auto"/>
          <w:kern w:val="2"/>
          <w:sz w:val="21"/>
          <w:szCs w:val="21"/>
          <w:highlight w:val="none"/>
        </w:rPr>
        <w:t>须知前附表要求的其他资格证明文件。</w:t>
      </w:r>
    </w:p>
    <w:p w14:paraId="47CECA86">
      <w:pPr>
        <w:ind w:firstLine="0" w:firstLineChars="0"/>
        <w:jc w:val="center"/>
        <w:outlineLvl w:val="9"/>
        <w:rPr>
          <w:color w:val="auto"/>
          <w:kern w:val="2"/>
          <w:sz w:val="21"/>
          <w:szCs w:val="21"/>
          <w:highlight w:val="none"/>
        </w:rPr>
      </w:pPr>
    </w:p>
    <w:p w14:paraId="1DA68C52">
      <w:pPr>
        <w:ind w:firstLine="0" w:firstLineChars="0"/>
        <w:jc w:val="center"/>
        <w:outlineLvl w:val="9"/>
        <w:rPr>
          <w:color w:val="auto"/>
          <w:kern w:val="2"/>
          <w:sz w:val="21"/>
          <w:szCs w:val="21"/>
          <w:highlight w:val="none"/>
        </w:rPr>
      </w:pPr>
    </w:p>
    <w:p w14:paraId="006AFC68">
      <w:pPr>
        <w:ind w:firstLine="420"/>
        <w:rPr>
          <w:rFonts w:ascii="宋体" w:hAnsi="宋体" w:cs="Times New Roman"/>
          <w:color w:val="auto"/>
          <w:szCs w:val="21"/>
          <w:highlight w:val="none"/>
        </w:rPr>
      </w:pPr>
    </w:p>
    <w:p w14:paraId="473E367A">
      <w:pPr>
        <w:shd w:val="clear" w:color="auto" w:fill="auto"/>
        <w:spacing w:after="120" w:afterLines="50" w:line="520" w:lineRule="exact"/>
        <w:ind w:firstLine="482" w:firstLineChars="200"/>
        <w:jc w:val="center"/>
        <w:rPr>
          <w:rFonts w:hint="eastAsia" w:ascii="宋体" w:hAnsi="宋体" w:eastAsia="宋体" w:cs="宋体"/>
          <w:b/>
          <w:color w:val="auto"/>
          <w:sz w:val="24"/>
          <w:highlight w:val="none"/>
          <w:lang w:eastAsia="zh-CN"/>
        </w:rPr>
      </w:pPr>
      <w:r>
        <w:rPr>
          <w:rFonts w:hint="eastAsia"/>
          <w:b/>
          <w:bCs/>
          <w:color w:val="auto"/>
          <w:sz w:val="24"/>
          <w:szCs w:val="28"/>
          <w:highlight w:val="none"/>
        </w:rPr>
        <w:t>七</w:t>
      </w:r>
      <w:r>
        <w:rPr>
          <w:rFonts w:hint="eastAsia"/>
          <w:color w:val="auto"/>
          <w:highlight w:val="none"/>
        </w:rPr>
        <w:t>、</w:t>
      </w:r>
      <w:bookmarkStart w:id="866" w:name="OLE_LINK16"/>
      <w:r>
        <w:rPr>
          <w:rFonts w:hint="eastAsia" w:ascii="宋体" w:hAnsi="宋体" w:eastAsia="宋体" w:cs="宋体"/>
          <w:b/>
          <w:color w:val="auto"/>
          <w:sz w:val="24"/>
          <w:highlight w:val="none"/>
        </w:rPr>
        <w:t>中小微企业声明函</w:t>
      </w:r>
      <w:r>
        <w:rPr>
          <w:rFonts w:hint="eastAsia" w:ascii="宋体" w:hAnsi="宋体" w:eastAsia="宋体" w:cs="宋体"/>
          <w:b/>
          <w:color w:val="auto"/>
          <w:sz w:val="24"/>
          <w:highlight w:val="none"/>
          <w:lang w:eastAsia="zh-CN"/>
        </w:rPr>
        <w:t>（</w:t>
      </w:r>
      <w:r>
        <w:rPr>
          <w:rFonts w:hint="eastAsia" w:ascii="宋体" w:hAnsi="宋体" w:cs="宋体"/>
          <w:b/>
          <w:color w:val="auto"/>
          <w:sz w:val="24"/>
          <w:highlight w:val="none"/>
          <w:lang w:val="en-US" w:eastAsia="zh-CN"/>
        </w:rPr>
        <w:t>服务</w:t>
      </w:r>
      <w:r>
        <w:rPr>
          <w:rFonts w:hint="eastAsia" w:ascii="宋体" w:hAnsi="宋体" w:eastAsia="宋体" w:cs="宋体"/>
          <w:b/>
          <w:color w:val="auto"/>
          <w:sz w:val="24"/>
          <w:highlight w:val="none"/>
          <w:lang w:eastAsia="zh-CN"/>
        </w:rPr>
        <w:t>）</w:t>
      </w:r>
    </w:p>
    <w:bookmarkEnd w:id="866"/>
    <w:p w14:paraId="7DDEF766">
      <w:pPr>
        <w:shd w:val="clear" w:color="auto" w:fill="auto"/>
        <w:spacing w:line="360" w:lineRule="auto"/>
        <w:rPr>
          <w:rFonts w:hint="eastAsia" w:ascii="宋体" w:hAnsi="宋体" w:eastAsia="宋体" w:cs="宋体"/>
          <w:color w:val="auto"/>
          <w:sz w:val="24"/>
          <w:highlight w:val="none"/>
        </w:rPr>
      </w:pPr>
    </w:p>
    <w:p w14:paraId="7B040519">
      <w:pPr>
        <w:shd w:val="clear" w:color="auto" w:fill="auto"/>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本公司郑重声明 ，根据《政府采购促进中小企业发展管理办法》（财库﹝2020﹞46号）的规定，本公司参加</w:t>
      </w:r>
      <w:r>
        <w:rPr>
          <w:rFonts w:hint="eastAsia" w:ascii="宋体" w:hAnsi="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color w:val="auto"/>
          <w:sz w:val="24"/>
          <w:highlight w:val="none"/>
          <w:u w:val="single"/>
        </w:rPr>
        <w:t>（单位名称）</w:t>
      </w:r>
      <w:r>
        <w:rPr>
          <w:rFonts w:hint="eastAsia" w:ascii="宋体" w:hAnsi="宋体" w:eastAsia="宋体"/>
          <w:color w:val="auto"/>
          <w:sz w:val="24"/>
          <w:highlight w:val="none"/>
          <w:u w:val="single"/>
          <w:lang w:val="en-US" w:eastAsia="zh-CN"/>
        </w:rPr>
        <w:t xml:space="preserve">  </w:t>
      </w:r>
      <w:r>
        <w:rPr>
          <w:rFonts w:hint="eastAsia" w:ascii="宋体" w:hAnsi="宋体"/>
          <w:color w:val="auto"/>
          <w:sz w:val="24"/>
          <w:highlight w:val="none"/>
        </w:rPr>
        <w:t>的</w:t>
      </w:r>
      <w:r>
        <w:rPr>
          <w:rFonts w:hint="eastAsia" w:ascii="宋体" w:hAnsi="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color w:val="auto"/>
          <w:sz w:val="24"/>
          <w:highlight w:val="none"/>
          <w:u w:val="single"/>
        </w:rPr>
        <w:t>（项目名称）</w:t>
      </w:r>
      <w:r>
        <w:rPr>
          <w:rFonts w:hint="eastAsia" w:ascii="宋体" w:hAnsi="宋体"/>
          <w:color w:val="auto"/>
          <w:sz w:val="24"/>
          <w:highlight w:val="none"/>
        </w:rPr>
        <w:t>采购活动</w:t>
      </w:r>
      <w:r>
        <w:rPr>
          <w:rFonts w:hint="eastAsia" w:ascii="宋体" w:hAnsi="宋体" w:eastAsia="宋体"/>
          <w:color w:val="auto"/>
          <w:sz w:val="24"/>
          <w:highlight w:val="none"/>
          <w:lang w:eastAsia="zh-CN"/>
        </w:rPr>
        <w:t>，</w:t>
      </w:r>
      <w:r>
        <w:rPr>
          <w:rFonts w:hint="eastAsia" w:ascii="宋体" w:hAnsi="宋体"/>
          <w:color w:val="auto"/>
          <w:sz w:val="24"/>
          <w:highlight w:val="none"/>
        </w:rPr>
        <w:t>服务全部由符合政策要求的中小企业承接。相关企业（含联合体中的中小企业</w:t>
      </w:r>
      <w:r>
        <w:rPr>
          <w:rFonts w:hint="eastAsia" w:ascii="宋体" w:hAnsi="宋体" w:eastAsia="宋体"/>
          <w:color w:val="auto"/>
          <w:sz w:val="24"/>
          <w:highlight w:val="none"/>
          <w:lang w:eastAsia="zh-CN"/>
        </w:rPr>
        <w:t>、</w:t>
      </w:r>
      <w:r>
        <w:rPr>
          <w:rFonts w:hint="eastAsia" w:ascii="宋体" w:hAnsi="宋体"/>
          <w:color w:val="auto"/>
          <w:sz w:val="24"/>
          <w:highlight w:val="none"/>
        </w:rPr>
        <w:t>签订分包意向协议的中小企业）的具体情况如下 ：</w:t>
      </w:r>
    </w:p>
    <w:p w14:paraId="38380AC1">
      <w:pPr>
        <w:shd w:val="clear" w:color="auto" w:fill="auto"/>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w:t>
      </w:r>
      <w:r>
        <w:rPr>
          <w:rFonts w:hint="eastAsia" w:ascii="宋体" w:hAnsi="宋体" w:eastAsia="宋体"/>
          <w:color w:val="auto"/>
          <w:sz w:val="24"/>
          <w:highlight w:val="none"/>
          <w:lang w:val="en-US" w:eastAsia="zh-CN"/>
        </w:rPr>
        <w:t>.</w:t>
      </w:r>
      <w:r>
        <w:rPr>
          <w:rFonts w:hint="eastAsia" w:ascii="宋体" w:hAnsi="宋体"/>
          <w:color w:val="auto"/>
          <w:sz w:val="24"/>
          <w:highlight w:val="none"/>
          <w:u w:val="single"/>
        </w:rPr>
        <w:t>（标的名称）</w:t>
      </w:r>
      <w:r>
        <w:rPr>
          <w:rFonts w:hint="eastAsia" w:ascii="宋体" w:hAnsi="宋体" w:eastAsia="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（采购文件中明确的所属行业）行业</w:t>
      </w:r>
      <w:r>
        <w:rPr>
          <w:rFonts w:hint="eastAsia" w:ascii="宋体" w:hAnsi="宋体"/>
          <w:color w:val="auto"/>
          <w:sz w:val="24"/>
          <w:highlight w:val="none"/>
          <w:u w:val="single"/>
          <w:lang w:eastAsia="zh-CN"/>
        </w:rPr>
        <w:t>，</w:t>
      </w:r>
      <w:r>
        <w:rPr>
          <w:rFonts w:hint="eastAsia" w:ascii="宋体" w:hAnsi="宋体"/>
          <w:color w:val="auto"/>
          <w:sz w:val="24"/>
          <w:highlight w:val="none"/>
          <w:lang w:eastAsia="zh-CN"/>
        </w:rPr>
        <w:t>承接企业</w:t>
      </w:r>
      <w:r>
        <w:rPr>
          <w:rFonts w:hint="eastAsia" w:ascii="宋体" w:hAnsi="宋体"/>
          <w:color w:val="auto"/>
          <w:sz w:val="24"/>
          <w:highlight w:val="none"/>
        </w:rPr>
        <w:t>为</w:t>
      </w:r>
      <w:r>
        <w:rPr>
          <w:rFonts w:hint="eastAsia" w:ascii="宋体" w:hAnsi="宋体"/>
          <w:color w:val="auto"/>
          <w:sz w:val="24"/>
          <w:highlight w:val="none"/>
          <w:u w:val="single"/>
        </w:rPr>
        <w:t>（企业名称）</w:t>
      </w:r>
      <w:r>
        <w:rPr>
          <w:rFonts w:hint="eastAsia" w:ascii="宋体" w:hAnsi="宋体" w:eastAsia="宋体"/>
          <w:color w:val="auto"/>
          <w:sz w:val="24"/>
          <w:highlight w:val="none"/>
          <w:u w:val="single"/>
          <w:lang w:val="en-US" w:eastAsia="zh-CN"/>
        </w:rPr>
        <w:t xml:space="preserve">  </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hint="eastAsia" w:ascii="宋体" w:hAnsi="宋体"/>
          <w:color w:val="auto"/>
          <w:sz w:val="24"/>
          <w:highlight w:val="none"/>
        </w:rPr>
        <w:t>人 ， 营业收入为</w:t>
      </w:r>
      <w:r>
        <w:rPr>
          <w:rFonts w:hint="eastAsia" w:ascii="宋体" w:hAnsi="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万元 ，资产总额为</w:t>
      </w:r>
      <w:r>
        <w:rPr>
          <w:rFonts w:hint="eastAsia" w:ascii="宋体" w:hAnsi="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万元 ，属于 </w:t>
      </w:r>
      <w:r>
        <w:rPr>
          <w:rFonts w:hint="eastAsia" w:ascii="宋体" w:hAnsi="宋体"/>
          <w:color w:val="auto"/>
          <w:sz w:val="24"/>
          <w:highlight w:val="none"/>
          <w:u w:val="single"/>
        </w:rPr>
        <w:t>（中型企业、小 型企业、微型企业）</w:t>
      </w:r>
      <w:r>
        <w:rPr>
          <w:rFonts w:hint="eastAsia" w:ascii="宋体" w:hAnsi="宋体" w:eastAsia="宋体"/>
          <w:color w:val="auto"/>
          <w:sz w:val="24"/>
          <w:highlight w:val="none"/>
          <w:u w:val="single"/>
          <w:lang w:val="en-US" w:eastAsia="zh-CN"/>
        </w:rPr>
        <w:t xml:space="preserve">  </w:t>
      </w:r>
      <w:r>
        <w:rPr>
          <w:rFonts w:hint="eastAsia" w:ascii="宋体" w:hAnsi="宋体"/>
          <w:color w:val="auto"/>
          <w:sz w:val="24"/>
          <w:highlight w:val="none"/>
        </w:rPr>
        <w:t>；</w:t>
      </w:r>
    </w:p>
    <w:p w14:paraId="38E41B21">
      <w:pPr>
        <w:shd w:val="clear" w:color="auto" w:fill="auto"/>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eastAsia="宋体"/>
          <w:color w:val="auto"/>
          <w:sz w:val="24"/>
          <w:highlight w:val="none"/>
          <w:lang w:val="en-US" w:eastAsia="zh-CN"/>
        </w:rPr>
        <w:t>.</w:t>
      </w:r>
      <w:r>
        <w:rPr>
          <w:rFonts w:hint="eastAsia" w:ascii="宋体" w:hAnsi="宋体"/>
          <w:color w:val="auto"/>
          <w:sz w:val="24"/>
          <w:highlight w:val="none"/>
          <w:u w:val="single"/>
        </w:rPr>
        <w:t xml:space="preserve"> （标的名称）</w:t>
      </w:r>
      <w:r>
        <w:rPr>
          <w:rFonts w:hint="eastAsia" w:ascii="宋体" w:hAnsi="宋体" w:eastAsia="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，属于</w:t>
      </w:r>
      <w:r>
        <w:rPr>
          <w:rFonts w:hint="eastAsia" w:ascii="宋体" w:hAnsi="宋体"/>
          <w:color w:val="auto"/>
          <w:sz w:val="24"/>
          <w:highlight w:val="none"/>
          <w:u w:val="single"/>
        </w:rPr>
        <w:t xml:space="preserve"> （采购文件中明确的所属行业） 行业</w:t>
      </w:r>
      <w:r>
        <w:rPr>
          <w:rFonts w:hint="eastAsia" w:ascii="宋体" w:hAnsi="宋体"/>
          <w:color w:val="auto"/>
          <w:sz w:val="24"/>
          <w:highlight w:val="none"/>
        </w:rPr>
        <w:t>；</w:t>
      </w:r>
      <w:r>
        <w:rPr>
          <w:rFonts w:hint="eastAsia" w:ascii="宋体" w:hAnsi="宋体"/>
          <w:color w:val="auto"/>
          <w:sz w:val="24"/>
          <w:highlight w:val="none"/>
          <w:lang w:eastAsia="zh-CN"/>
        </w:rPr>
        <w:t>承接企业</w:t>
      </w:r>
      <w:r>
        <w:rPr>
          <w:rFonts w:hint="eastAsia" w:ascii="宋体" w:hAnsi="宋体"/>
          <w:color w:val="auto"/>
          <w:sz w:val="24"/>
          <w:highlight w:val="none"/>
        </w:rPr>
        <w:t>为</w:t>
      </w:r>
      <w:r>
        <w:rPr>
          <w:rFonts w:hint="eastAsia" w:ascii="宋体" w:hAnsi="宋体"/>
          <w:color w:val="auto"/>
          <w:sz w:val="24"/>
          <w:highlight w:val="none"/>
          <w:u w:val="single"/>
        </w:rPr>
        <w:t xml:space="preserve"> （企业名称）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hint="eastAsia" w:ascii="宋体" w:hAnsi="宋体"/>
          <w:color w:val="auto"/>
          <w:sz w:val="24"/>
          <w:highlight w:val="none"/>
        </w:rPr>
        <w:t>人</w:t>
      </w:r>
      <w:r>
        <w:rPr>
          <w:rFonts w:hint="eastAsia" w:ascii="宋体" w:hAnsi="宋体" w:eastAsia="宋体"/>
          <w:color w:val="auto"/>
          <w:sz w:val="24"/>
          <w:highlight w:val="none"/>
          <w:lang w:eastAsia="zh-CN"/>
        </w:rPr>
        <w:t>，</w:t>
      </w:r>
      <w:r>
        <w:rPr>
          <w:rFonts w:hint="eastAsia" w:ascii="宋体" w:hAnsi="宋体"/>
          <w:color w:val="auto"/>
          <w:sz w:val="24"/>
          <w:highlight w:val="none"/>
        </w:rPr>
        <w:t>营业收入为</w:t>
      </w:r>
      <w:r>
        <w:rPr>
          <w:rFonts w:hint="eastAsia"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hint="eastAsia" w:ascii="宋体" w:hAnsi="宋体"/>
          <w:color w:val="auto"/>
          <w:sz w:val="24"/>
          <w:highlight w:val="none"/>
        </w:rPr>
        <w:t>万元</w:t>
      </w:r>
      <w:r>
        <w:rPr>
          <w:rFonts w:hint="eastAsia" w:ascii="宋体" w:hAnsi="宋体" w:eastAsia="宋体"/>
          <w:color w:val="auto"/>
          <w:sz w:val="24"/>
          <w:highlight w:val="none"/>
          <w:lang w:eastAsia="zh-CN"/>
        </w:rPr>
        <w:t>，</w:t>
      </w:r>
      <w:r>
        <w:rPr>
          <w:rFonts w:hint="eastAsia" w:ascii="宋体" w:hAnsi="宋体"/>
          <w:color w:val="auto"/>
          <w:sz w:val="24"/>
          <w:highlight w:val="none"/>
        </w:rPr>
        <w:t>属于</w:t>
      </w:r>
      <w:r>
        <w:rPr>
          <w:rFonts w:hint="eastAsia" w:ascii="宋体" w:hAnsi="宋体"/>
          <w:color w:val="auto"/>
          <w:sz w:val="24"/>
          <w:highlight w:val="none"/>
          <w:u w:val="single"/>
        </w:rPr>
        <w:t xml:space="preserve"> （中型企业、小型 企业、微型企业）</w:t>
      </w:r>
      <w:r>
        <w:rPr>
          <w:rFonts w:hint="eastAsia" w:ascii="宋体" w:hAnsi="宋体"/>
          <w:color w:val="auto"/>
          <w:sz w:val="24"/>
          <w:highlight w:val="none"/>
        </w:rPr>
        <w:t>；</w:t>
      </w:r>
    </w:p>
    <w:p w14:paraId="21CDC60C">
      <w:pPr>
        <w:shd w:val="clear" w:color="auto" w:fill="auto"/>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w:t>
      </w:r>
    </w:p>
    <w:p w14:paraId="7CE6E6C9">
      <w:pPr>
        <w:shd w:val="clear" w:color="auto" w:fill="auto"/>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以上企业</w:t>
      </w:r>
      <w:r>
        <w:rPr>
          <w:rFonts w:hint="eastAsia" w:ascii="宋体" w:hAnsi="宋体" w:eastAsia="宋体"/>
          <w:color w:val="auto"/>
          <w:sz w:val="24"/>
          <w:highlight w:val="none"/>
          <w:lang w:eastAsia="zh-CN"/>
        </w:rPr>
        <w:t>，</w:t>
      </w:r>
      <w:r>
        <w:rPr>
          <w:rFonts w:hint="eastAsia" w:ascii="宋体" w:hAnsi="宋体"/>
          <w:color w:val="auto"/>
          <w:sz w:val="24"/>
          <w:highlight w:val="none"/>
        </w:rPr>
        <w:t>不属于大企业的分支机构</w:t>
      </w:r>
      <w:r>
        <w:rPr>
          <w:rFonts w:hint="eastAsia" w:ascii="宋体" w:hAnsi="宋体" w:eastAsia="宋体"/>
          <w:color w:val="auto"/>
          <w:sz w:val="24"/>
          <w:highlight w:val="none"/>
          <w:lang w:eastAsia="zh-CN"/>
        </w:rPr>
        <w:t>，</w:t>
      </w:r>
      <w:r>
        <w:rPr>
          <w:rFonts w:hint="eastAsia" w:ascii="宋体" w:hAnsi="宋体"/>
          <w:color w:val="auto"/>
          <w:sz w:val="24"/>
          <w:highlight w:val="none"/>
        </w:rPr>
        <w:t>不存在控股股东为大企业的情形</w:t>
      </w:r>
      <w:r>
        <w:rPr>
          <w:rFonts w:hint="eastAsia" w:ascii="宋体" w:hAnsi="宋体" w:eastAsia="宋体"/>
          <w:color w:val="auto"/>
          <w:sz w:val="24"/>
          <w:highlight w:val="none"/>
          <w:lang w:eastAsia="zh-CN"/>
        </w:rPr>
        <w:t>，</w:t>
      </w:r>
      <w:r>
        <w:rPr>
          <w:rFonts w:hint="eastAsia" w:ascii="宋体" w:hAnsi="宋体"/>
          <w:color w:val="auto"/>
          <w:sz w:val="24"/>
          <w:highlight w:val="none"/>
        </w:rPr>
        <w:t>也不存在与大企业的负责人为同一人的情形 。</w:t>
      </w:r>
    </w:p>
    <w:p w14:paraId="4F270AC8">
      <w:pPr>
        <w:shd w:val="clear" w:color="auto" w:fill="auto"/>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本企业对上述声明内容的真实性负责</w:t>
      </w:r>
      <w:r>
        <w:rPr>
          <w:rFonts w:hint="eastAsia" w:ascii="宋体" w:hAnsi="宋体" w:eastAsia="宋体"/>
          <w:color w:val="auto"/>
          <w:sz w:val="24"/>
          <w:highlight w:val="none"/>
          <w:lang w:eastAsia="zh-CN"/>
        </w:rPr>
        <w:t>。</w:t>
      </w:r>
      <w:r>
        <w:rPr>
          <w:rFonts w:hint="eastAsia" w:ascii="宋体" w:hAnsi="宋体"/>
          <w:color w:val="auto"/>
          <w:sz w:val="24"/>
          <w:highlight w:val="none"/>
        </w:rPr>
        <w:t>如有虚假</w:t>
      </w:r>
      <w:r>
        <w:rPr>
          <w:rFonts w:hint="eastAsia" w:ascii="宋体" w:hAnsi="宋体" w:eastAsia="宋体"/>
          <w:color w:val="auto"/>
          <w:sz w:val="24"/>
          <w:highlight w:val="none"/>
          <w:lang w:eastAsia="zh-CN"/>
        </w:rPr>
        <w:t>，</w:t>
      </w:r>
      <w:r>
        <w:rPr>
          <w:rFonts w:hint="eastAsia" w:ascii="宋体" w:hAnsi="宋体"/>
          <w:color w:val="auto"/>
          <w:sz w:val="24"/>
          <w:highlight w:val="none"/>
        </w:rPr>
        <w:t>将依法承担相应责任</w:t>
      </w:r>
      <w:r>
        <w:rPr>
          <w:rFonts w:hint="eastAsia" w:ascii="宋体" w:hAnsi="宋体" w:eastAsia="宋体"/>
          <w:color w:val="auto"/>
          <w:sz w:val="24"/>
          <w:highlight w:val="none"/>
          <w:lang w:eastAsia="zh-CN"/>
        </w:rPr>
        <w:t>。</w:t>
      </w:r>
    </w:p>
    <w:p w14:paraId="762E4950">
      <w:pPr>
        <w:shd w:val="clear" w:color="auto" w:fill="auto"/>
        <w:spacing w:line="360" w:lineRule="auto"/>
        <w:ind w:firstLine="480" w:firstLineChars="200"/>
        <w:jc w:val="right"/>
        <w:rPr>
          <w:rFonts w:hint="eastAsia" w:ascii="宋体" w:hAnsi="宋体"/>
          <w:color w:val="auto"/>
          <w:sz w:val="24"/>
          <w:highlight w:val="none"/>
        </w:rPr>
      </w:pPr>
    </w:p>
    <w:p w14:paraId="08A4D66C">
      <w:pPr>
        <w:shd w:val="clear" w:color="auto" w:fill="auto"/>
        <w:spacing w:line="360" w:lineRule="auto"/>
        <w:ind w:firstLine="480" w:firstLineChars="200"/>
        <w:jc w:val="right"/>
        <w:rPr>
          <w:rFonts w:hint="eastAsia" w:ascii="宋体" w:hAnsi="宋体"/>
          <w:color w:val="auto"/>
          <w:sz w:val="24"/>
          <w:highlight w:val="none"/>
        </w:rPr>
      </w:pPr>
    </w:p>
    <w:p w14:paraId="417085E5">
      <w:pPr>
        <w:shd w:val="clear" w:color="auto" w:fill="auto"/>
        <w:wordWrap w:val="0"/>
        <w:spacing w:line="360" w:lineRule="auto"/>
        <w:ind w:firstLine="480" w:firstLineChars="200"/>
        <w:jc w:val="right"/>
        <w:rPr>
          <w:rFonts w:hint="default" w:ascii="宋体" w:hAnsi="宋体" w:eastAsia="宋体"/>
          <w:color w:val="auto"/>
          <w:sz w:val="24"/>
          <w:highlight w:val="none"/>
          <w:u w:val="single"/>
          <w:lang w:val="en-US" w:eastAsia="zh-CN"/>
        </w:rPr>
      </w:pPr>
      <w:r>
        <w:rPr>
          <w:rFonts w:hint="eastAsia" w:ascii="宋体" w:hAnsi="宋体" w:cs="Times New Roman"/>
          <w:color w:val="auto"/>
          <w:sz w:val="24"/>
          <w:highlight w:val="none"/>
        </w:rPr>
        <w:t>企业名称（</w:t>
      </w:r>
      <w:r>
        <w:rPr>
          <w:rFonts w:hint="eastAsia" w:ascii="宋体" w:hAnsi="宋体" w:cs="Times New Roman"/>
          <w:color w:val="auto"/>
          <w:sz w:val="24"/>
          <w:highlight w:val="none"/>
          <w:lang w:eastAsia="zh-CN"/>
        </w:rPr>
        <w:t>单位电子签章</w:t>
      </w:r>
      <w:r>
        <w:rPr>
          <w:rFonts w:hint="eastAsia" w:ascii="宋体" w:hAnsi="宋体" w:cs="Times New Roman"/>
          <w:color w:val="auto"/>
          <w:sz w:val="24"/>
          <w:highlight w:val="none"/>
        </w:rPr>
        <w:t>）</w:t>
      </w:r>
      <w:r>
        <w:rPr>
          <w:rFonts w:hint="eastAsia" w:ascii="宋体" w:hAnsi="宋体"/>
          <w:color w:val="auto"/>
          <w:sz w:val="24"/>
          <w:highlight w:val="none"/>
        </w:rPr>
        <w:t>：</w:t>
      </w:r>
      <w:r>
        <w:rPr>
          <w:rFonts w:hint="eastAsia" w:ascii="宋体" w:hAnsi="宋体" w:eastAsia="宋体"/>
          <w:color w:val="auto"/>
          <w:sz w:val="24"/>
          <w:highlight w:val="none"/>
          <w:u w:val="single"/>
          <w:lang w:val="en-US" w:eastAsia="zh-CN"/>
        </w:rPr>
        <w:t xml:space="preserve">                 </w:t>
      </w:r>
    </w:p>
    <w:p w14:paraId="2AE19B5B">
      <w:pPr>
        <w:shd w:val="clear" w:color="auto" w:fill="auto"/>
        <w:spacing w:line="480" w:lineRule="auto"/>
        <w:ind w:firstLine="480" w:firstLineChars="200"/>
        <w:jc w:val="right"/>
        <w:rPr>
          <w:rFonts w:hint="eastAsia" w:ascii="宋体" w:hAnsi="宋体"/>
          <w:color w:val="auto"/>
          <w:sz w:val="24"/>
          <w:highlight w:val="none"/>
        </w:rPr>
      </w:pPr>
      <w:r>
        <w:rPr>
          <w:rFonts w:hint="eastAsia" w:ascii="宋体" w:hAnsi="宋体"/>
          <w:color w:val="auto"/>
          <w:sz w:val="24"/>
          <w:highlight w:val="none"/>
        </w:rPr>
        <w:t>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E85798A">
      <w:pPr>
        <w:shd w:val="clear" w:color="auto" w:fill="auto"/>
        <w:rPr>
          <w:rFonts w:hint="eastAsia" w:ascii="宋体" w:hAnsi="宋体"/>
          <w:color w:val="auto"/>
          <w:sz w:val="24"/>
          <w:highlight w:val="none"/>
        </w:rPr>
      </w:pPr>
    </w:p>
    <w:p w14:paraId="6AF9C2E3">
      <w:pPr>
        <w:pStyle w:val="2"/>
        <w:shd w:val="clear" w:color="auto" w:fill="auto"/>
        <w:spacing w:line="360" w:lineRule="auto"/>
        <w:jc w:val="left"/>
        <w:rPr>
          <w:rFonts w:hint="eastAsia" w:ascii="宋体" w:hAnsi="宋体" w:eastAsia="宋体" w:cs="宋体"/>
          <w:color w:val="auto"/>
          <w:highlight w:val="none"/>
        </w:rPr>
      </w:pPr>
      <w:r>
        <w:rPr>
          <w:rFonts w:hint="eastAsia" w:ascii="宋体" w:hAnsi="宋体" w:eastAsia="宋体"/>
          <w:color w:val="auto"/>
          <w:sz w:val="24"/>
          <w:highlight w:val="none"/>
          <w:lang w:eastAsia="zh-CN"/>
        </w:rPr>
        <w:t>注：</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lang w:eastAsia="zh-CN"/>
        </w:rPr>
        <w:t>从业人员、营业收入、资产总额填报上一年度数据，无上一年度数据的新成立企业可不填报 。</w:t>
      </w:r>
    </w:p>
    <w:p w14:paraId="12344E44">
      <w:pPr>
        <w:pStyle w:val="25"/>
        <w:widowControl w:val="0"/>
        <w:shd w:val="clear" w:color="auto" w:fill="auto"/>
        <w:spacing w:before="0" w:beforeAutospacing="0" w:after="0" w:afterAutospacing="0" w:line="360" w:lineRule="auto"/>
        <w:ind w:firstLine="480" w:firstLineChars="200"/>
        <w:jc w:val="both"/>
        <w:rPr>
          <w:rFonts w:hint="default" w:eastAsia="宋体"/>
          <w:color w:val="auto"/>
          <w:highlight w:val="none"/>
          <w:lang w:val="en-US" w:eastAsia="zh-CN"/>
        </w:rPr>
        <w:sectPr>
          <w:footerReference r:id="rId11" w:type="default"/>
          <w:pgSz w:w="11910" w:h="16840"/>
          <w:pgMar w:top="1420" w:right="940" w:bottom="1380" w:left="1280" w:header="964" w:footer="1134"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highlight w:val="none"/>
          <w:lang w:val="en-US" w:eastAsia="zh-CN"/>
        </w:rPr>
        <w:t>2.</w:t>
      </w:r>
      <w:r>
        <w:rPr>
          <w:rFonts w:hint="eastAsia" w:cs="宋体"/>
          <w:color w:val="auto"/>
          <w:highlight w:val="none"/>
          <w:lang w:val="en-US" w:eastAsia="zh-CN"/>
        </w:rPr>
        <w:t>供应商</w:t>
      </w:r>
      <w:r>
        <w:rPr>
          <w:rFonts w:hint="eastAsia" w:cs="宋体"/>
          <w:color w:val="auto"/>
          <w:kern w:val="1"/>
          <w:sz w:val="24"/>
          <w:szCs w:val="24"/>
          <w:highlight w:val="none"/>
          <w:lang w:val="en-US" w:eastAsia="zh-CN" w:bidi="ar-SA"/>
        </w:rPr>
        <w:t>如不属于此类企业，响应文件内可</w:t>
      </w:r>
      <w:r>
        <w:rPr>
          <w:rFonts w:hint="eastAsia" w:ascii="宋体" w:hAnsi="宋体" w:eastAsia="宋体" w:cs="宋体"/>
          <w:color w:val="auto"/>
          <w:kern w:val="1"/>
          <w:sz w:val="24"/>
          <w:szCs w:val="24"/>
          <w:highlight w:val="none"/>
          <w:lang w:val="en-US" w:eastAsia="zh-CN" w:bidi="ar-SA"/>
        </w:rPr>
        <w:t>不提供该声明</w:t>
      </w:r>
    </w:p>
    <w:p w14:paraId="47C5792B">
      <w:pPr>
        <w:spacing w:line="360" w:lineRule="auto"/>
        <w:ind w:firstLine="0" w:firstLineChars="0"/>
        <w:rPr>
          <w:rFonts w:ascii="宋体" w:hAnsi="宋体" w:cs="宋体"/>
          <w:b/>
          <w:bCs/>
          <w:color w:val="auto"/>
          <w:szCs w:val="21"/>
          <w:highlight w:val="none"/>
        </w:rPr>
      </w:pPr>
      <w:r>
        <w:rPr>
          <w:rFonts w:hint="eastAsia" w:ascii="宋体" w:hAnsi="宋体" w:cs="宋体"/>
          <w:b/>
          <w:bCs/>
          <w:color w:val="auto"/>
          <w:szCs w:val="21"/>
          <w:highlight w:val="none"/>
        </w:rPr>
        <w:drawing>
          <wp:inline distT="0" distB="0" distL="114300" distR="114300">
            <wp:extent cx="5526405" cy="7250430"/>
            <wp:effectExtent l="0" t="0" r="17145" b="7620"/>
            <wp:docPr id="3" name="图片 3" descr="b5fac7394fa1ac969b6265fadd700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5fac7394fa1ac969b6265fadd700b7"/>
                    <pic:cNvPicPr>
                      <a:picLocks noChangeAspect="1"/>
                    </pic:cNvPicPr>
                  </pic:nvPicPr>
                  <pic:blipFill>
                    <a:blip r:embed="rId17"/>
                    <a:stretch>
                      <a:fillRect/>
                    </a:stretch>
                  </pic:blipFill>
                  <pic:spPr>
                    <a:xfrm>
                      <a:off x="0" y="0"/>
                      <a:ext cx="5526405" cy="7250430"/>
                    </a:xfrm>
                    <a:prstGeom prst="rect">
                      <a:avLst/>
                    </a:prstGeom>
                  </pic:spPr>
                </pic:pic>
              </a:graphicData>
            </a:graphic>
          </wp:inline>
        </w:drawing>
      </w:r>
    </w:p>
    <w:p w14:paraId="5CE05355">
      <w:pPr>
        <w:pStyle w:val="27"/>
        <w:ind w:firstLine="211"/>
        <w:rPr>
          <w:rFonts w:ascii="宋体" w:hAnsi="宋体" w:cs="宋体"/>
          <w:b/>
          <w:bCs/>
          <w:color w:val="auto"/>
          <w:szCs w:val="21"/>
          <w:highlight w:val="none"/>
        </w:rPr>
      </w:pPr>
    </w:p>
    <w:p w14:paraId="41FF43A5">
      <w:pPr>
        <w:pStyle w:val="14"/>
        <w:ind w:firstLine="422"/>
        <w:rPr>
          <w:rFonts w:ascii="宋体" w:hAnsi="宋体" w:cs="宋体"/>
          <w:b/>
          <w:bCs/>
          <w:color w:val="auto"/>
          <w:szCs w:val="21"/>
          <w:highlight w:val="none"/>
        </w:rPr>
      </w:pPr>
    </w:p>
    <w:p w14:paraId="6E7315E6">
      <w:pPr>
        <w:ind w:firstLine="422"/>
        <w:rPr>
          <w:rFonts w:ascii="宋体" w:hAnsi="宋体" w:cs="宋体"/>
          <w:b/>
          <w:bCs/>
          <w:color w:val="auto"/>
          <w:szCs w:val="21"/>
          <w:highlight w:val="none"/>
        </w:rPr>
      </w:pPr>
    </w:p>
    <w:p w14:paraId="05643769">
      <w:pPr>
        <w:pStyle w:val="27"/>
        <w:ind w:firstLine="210"/>
        <w:rPr>
          <w:color w:val="auto"/>
          <w:highlight w:val="none"/>
        </w:rPr>
      </w:pPr>
    </w:p>
    <w:p w14:paraId="14CDDF19">
      <w:pPr>
        <w:pStyle w:val="5"/>
        <w:ind w:firstLine="0" w:firstLineChars="0"/>
        <w:jc w:val="center"/>
        <w:rPr>
          <w:color w:val="auto"/>
          <w:highlight w:val="none"/>
        </w:rPr>
      </w:pPr>
      <w:bookmarkStart w:id="867" w:name="_Toc525210052"/>
      <w:r>
        <w:rPr>
          <w:rFonts w:hint="eastAsia"/>
          <w:color w:val="auto"/>
          <w:highlight w:val="none"/>
        </w:rPr>
        <w:t>八、残疾人福利性单位声明函</w:t>
      </w:r>
      <w:bookmarkEnd w:id="867"/>
    </w:p>
    <w:p w14:paraId="2EA2F0EA">
      <w:pPr>
        <w:spacing w:line="360" w:lineRule="auto"/>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（属于残疾人福利企业的填写，不属于的无需填写此项内容）</w:t>
      </w:r>
    </w:p>
    <w:p w14:paraId="1E706479">
      <w:pPr>
        <w:pStyle w:val="51"/>
        <w:ind w:firstLine="420"/>
        <w:rPr>
          <w:rFonts w:ascii="宋体" w:hAnsi="宋体" w:cs="宋体"/>
          <w:color w:val="auto"/>
          <w:szCs w:val="21"/>
          <w:highlight w:val="none"/>
        </w:rPr>
      </w:pPr>
    </w:p>
    <w:p w14:paraId="29D77EB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或者提供（其他残疾人福利性单位名称）制造的货物（不包括使用非残疾人福利性单位注册商标的货物）。货物的名称品牌型号是。</w:t>
      </w:r>
    </w:p>
    <w:p w14:paraId="6A5E932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本单位对上述声明的真实性负责。如有虚假，将承担相应的法律责任。</w:t>
      </w:r>
    </w:p>
    <w:p w14:paraId="64F987E9">
      <w:pPr>
        <w:spacing w:line="360" w:lineRule="auto"/>
        <w:ind w:firstLine="420"/>
        <w:rPr>
          <w:rFonts w:ascii="宋体" w:hAnsi="宋体" w:cs="宋体"/>
          <w:color w:val="auto"/>
          <w:szCs w:val="21"/>
          <w:highlight w:val="none"/>
        </w:rPr>
      </w:pPr>
    </w:p>
    <w:p w14:paraId="5A491BFE">
      <w:pPr>
        <w:spacing w:line="360" w:lineRule="auto"/>
        <w:ind w:firstLine="420"/>
        <w:rPr>
          <w:rFonts w:ascii="宋体" w:hAnsi="宋体" w:cs="宋体"/>
          <w:color w:val="auto"/>
          <w:szCs w:val="21"/>
          <w:highlight w:val="none"/>
        </w:rPr>
      </w:pPr>
    </w:p>
    <w:p w14:paraId="3F98E4F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供应商名称（单位电子签章）：</w:t>
      </w:r>
    </w:p>
    <w:p w14:paraId="7F1695C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日期：</w:t>
      </w:r>
    </w:p>
    <w:p w14:paraId="3BC63B5F">
      <w:pPr>
        <w:ind w:firstLine="420"/>
        <w:rPr>
          <w:rFonts w:ascii="宋体" w:hAnsi="宋体" w:cs="宋体"/>
          <w:color w:val="auto"/>
          <w:szCs w:val="21"/>
          <w:highlight w:val="none"/>
        </w:rPr>
      </w:pPr>
      <w:r>
        <w:rPr>
          <w:rFonts w:hint="eastAsia" w:ascii="宋体" w:hAnsi="宋体" w:cs="宋体"/>
          <w:color w:val="auto"/>
          <w:szCs w:val="21"/>
          <w:highlight w:val="none"/>
        </w:rPr>
        <w:br w:type="page"/>
      </w:r>
    </w:p>
    <w:p w14:paraId="1D433AA7">
      <w:pPr>
        <w:pStyle w:val="5"/>
        <w:ind w:firstLine="0" w:firstLineChars="0"/>
        <w:jc w:val="center"/>
        <w:rPr>
          <w:color w:val="auto"/>
          <w:highlight w:val="none"/>
        </w:rPr>
      </w:pPr>
      <w:r>
        <w:rPr>
          <w:rFonts w:hint="eastAsia"/>
          <w:color w:val="auto"/>
          <w:highlight w:val="none"/>
        </w:rPr>
        <w:t>九、监狱企业证明文件（如有）</w:t>
      </w:r>
    </w:p>
    <w:p w14:paraId="1438868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%的价格扣除，但必须提供由省级以上监狱管理局、戒毒管理局（含新疆生产建设兵团）出具的属于监狱企业的证明文件，否则评审时不予价格扣除优惠。</w:t>
      </w:r>
    </w:p>
    <w:p w14:paraId="711A9D40">
      <w:pPr>
        <w:spacing w:line="360" w:lineRule="auto"/>
        <w:ind w:firstLine="420"/>
        <w:jc w:val="center"/>
        <w:rPr>
          <w:rFonts w:ascii="宋体" w:hAnsi="宋体" w:cs="宋体"/>
          <w:color w:val="auto"/>
          <w:szCs w:val="21"/>
          <w:highlight w:val="none"/>
        </w:rPr>
      </w:pPr>
    </w:p>
    <w:p w14:paraId="1C2BD57A">
      <w:pPr>
        <w:spacing w:line="360" w:lineRule="auto"/>
        <w:ind w:firstLine="420"/>
        <w:jc w:val="center"/>
        <w:rPr>
          <w:rFonts w:ascii="宋体" w:hAnsi="宋体" w:cs="宋体"/>
          <w:color w:val="auto"/>
          <w:szCs w:val="21"/>
          <w:highlight w:val="none"/>
        </w:rPr>
      </w:pPr>
    </w:p>
    <w:p w14:paraId="477E05E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注：在</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中附扫描件。</w:t>
      </w:r>
    </w:p>
    <w:p w14:paraId="7595CCC9">
      <w:pPr>
        <w:ind w:firstLine="420"/>
        <w:rPr>
          <w:rFonts w:ascii="宋体" w:hAnsi="宋体" w:cs="宋体"/>
          <w:color w:val="auto"/>
          <w:szCs w:val="21"/>
          <w:highlight w:val="none"/>
        </w:rPr>
      </w:pPr>
      <w:r>
        <w:rPr>
          <w:rFonts w:hint="eastAsia" w:ascii="宋体" w:hAnsi="宋体" w:cs="宋体"/>
          <w:color w:val="auto"/>
          <w:szCs w:val="21"/>
          <w:highlight w:val="none"/>
        </w:rPr>
        <w:br w:type="page"/>
      </w:r>
    </w:p>
    <w:p w14:paraId="09350F49">
      <w:pPr>
        <w:pStyle w:val="5"/>
        <w:ind w:firstLine="0" w:firstLineChars="0"/>
        <w:jc w:val="center"/>
        <w:rPr>
          <w:color w:val="auto"/>
          <w:highlight w:val="none"/>
        </w:rPr>
      </w:pPr>
      <w:r>
        <w:rPr>
          <w:rFonts w:hint="eastAsia"/>
          <w:color w:val="auto"/>
          <w:highlight w:val="none"/>
        </w:rPr>
        <w:t>十、反商业贿赂承诺书</w:t>
      </w:r>
    </w:p>
    <w:p w14:paraId="3C142462">
      <w:pPr>
        <w:pStyle w:val="27"/>
        <w:ind w:firstLine="210"/>
        <w:rPr>
          <w:rFonts w:ascii="宋体" w:hAnsi="宋体" w:cs="宋体"/>
          <w:color w:val="auto"/>
          <w:szCs w:val="21"/>
          <w:highlight w:val="none"/>
        </w:rPr>
      </w:pPr>
    </w:p>
    <w:p w14:paraId="75EC13FA">
      <w:pPr>
        <w:autoSpaceDE w:val="0"/>
        <w:autoSpaceDN w:val="0"/>
        <w:adjustRightInd w:val="0"/>
        <w:spacing w:line="360" w:lineRule="auto"/>
        <w:ind w:firstLine="630" w:firstLineChars="300"/>
        <w:jc w:val="left"/>
        <w:rPr>
          <w:rFonts w:ascii="宋体" w:hAnsi="宋体" w:cs="宋体"/>
          <w:color w:val="auto"/>
          <w:szCs w:val="21"/>
          <w:highlight w:val="none"/>
          <w:lang w:val="zh-CN"/>
        </w:rPr>
      </w:pPr>
      <w:r>
        <w:rPr>
          <w:rFonts w:hint="eastAsia" w:ascii="宋体" w:hAnsi="宋体" w:cs="宋体"/>
          <w:color w:val="auto"/>
          <w:szCs w:val="21"/>
          <w:highlight w:val="none"/>
          <w:lang w:val="zh-CN"/>
        </w:rPr>
        <w:t>我方承诺：</w:t>
      </w:r>
    </w:p>
    <w:p w14:paraId="2C93FFFF">
      <w:pPr>
        <w:autoSpaceDE w:val="0"/>
        <w:autoSpaceDN w:val="0"/>
        <w:adjustRightInd w:val="0"/>
        <w:spacing w:line="360" w:lineRule="auto"/>
        <w:ind w:firstLine="630" w:firstLineChars="300"/>
        <w:jc w:val="left"/>
        <w:rPr>
          <w:rFonts w:ascii="宋体" w:hAnsi="宋体" w:cs="宋体"/>
          <w:color w:val="auto"/>
          <w:szCs w:val="21"/>
          <w:highlight w:val="none"/>
          <w:lang w:val="zh-CN"/>
        </w:rPr>
      </w:pPr>
      <w:r>
        <w:rPr>
          <w:rFonts w:hint="eastAsia" w:ascii="宋体" w:hAnsi="宋体" w:cs="宋体"/>
          <w:color w:val="auto"/>
          <w:szCs w:val="21"/>
          <w:highlight w:val="none"/>
          <w:lang w:val="zh-CN"/>
        </w:rPr>
        <w:t>在</w:t>
      </w:r>
      <w:r>
        <w:rPr>
          <w:rFonts w:hint="eastAsia" w:ascii="宋体" w:hAnsi="宋体" w:cs="宋体"/>
          <w:color w:val="auto"/>
          <w:szCs w:val="21"/>
          <w:highlight w:val="none"/>
          <w:u w:val="single"/>
          <w:lang w:val="zh-CN"/>
        </w:rPr>
        <w:t>（项目名称）（项目编号：  ）</w:t>
      </w:r>
      <w:r>
        <w:rPr>
          <w:rFonts w:hint="eastAsia" w:ascii="宋体" w:hAnsi="宋体" w:cs="宋体"/>
          <w:color w:val="auto"/>
          <w:szCs w:val="21"/>
          <w:highlight w:val="none"/>
          <w:lang w:val="zh-CN"/>
        </w:rPr>
        <w:t>投标活动中，我方保证做到：</w:t>
      </w:r>
    </w:p>
    <w:p w14:paraId="1C68FC38">
      <w:pPr>
        <w:autoSpaceDE w:val="0"/>
        <w:autoSpaceDN w:val="0"/>
        <w:adjustRightInd w:val="0"/>
        <w:spacing w:line="360" w:lineRule="auto"/>
        <w:ind w:firstLine="630" w:firstLineChars="300"/>
        <w:jc w:val="left"/>
        <w:rPr>
          <w:rFonts w:ascii="宋体" w:hAnsi="宋体" w:cs="宋体"/>
          <w:color w:val="auto"/>
          <w:szCs w:val="21"/>
          <w:highlight w:val="none"/>
          <w:lang w:val="zh-CN"/>
        </w:rPr>
      </w:pPr>
      <w:r>
        <w:rPr>
          <w:rFonts w:hint="eastAsia" w:ascii="宋体" w:hAnsi="宋体" w:cs="宋体"/>
          <w:color w:val="auto"/>
          <w:szCs w:val="21"/>
          <w:highlight w:val="none"/>
          <w:lang w:val="zh-CN"/>
        </w:rPr>
        <w:t>一、公平竞争参加本次公开采购活动。</w:t>
      </w:r>
    </w:p>
    <w:p w14:paraId="5649E714">
      <w:pPr>
        <w:autoSpaceDE w:val="0"/>
        <w:autoSpaceDN w:val="0"/>
        <w:adjustRightInd w:val="0"/>
        <w:spacing w:line="360" w:lineRule="auto"/>
        <w:ind w:firstLine="630" w:firstLineChars="300"/>
        <w:jc w:val="left"/>
        <w:rPr>
          <w:rFonts w:ascii="宋体" w:hAnsi="宋体" w:cs="宋体"/>
          <w:color w:val="auto"/>
          <w:szCs w:val="21"/>
          <w:highlight w:val="none"/>
          <w:lang w:val="zh-CN"/>
        </w:rPr>
      </w:pPr>
      <w:r>
        <w:rPr>
          <w:rFonts w:hint="eastAsia" w:ascii="宋体" w:hAnsi="宋体" w:cs="宋体"/>
          <w:color w:val="auto"/>
          <w:szCs w:val="21"/>
          <w:highlight w:val="none"/>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7E1705B0">
      <w:pPr>
        <w:autoSpaceDE w:val="0"/>
        <w:autoSpaceDN w:val="0"/>
        <w:adjustRightInd w:val="0"/>
        <w:spacing w:line="360" w:lineRule="auto"/>
        <w:ind w:firstLine="630" w:firstLineChars="300"/>
        <w:jc w:val="left"/>
        <w:rPr>
          <w:rFonts w:ascii="宋体" w:hAnsi="宋体" w:cs="宋体"/>
          <w:color w:val="auto"/>
          <w:szCs w:val="21"/>
          <w:highlight w:val="none"/>
          <w:lang w:val="zh-CN"/>
        </w:rPr>
      </w:pPr>
      <w:r>
        <w:rPr>
          <w:rFonts w:hint="eastAsia" w:ascii="宋体" w:hAnsi="宋体" w:cs="宋体"/>
          <w:color w:val="auto"/>
          <w:szCs w:val="21"/>
          <w:highlight w:val="none"/>
          <w:lang w:val="zh-CN"/>
        </w:rPr>
        <w:t>三、若出现上述行为，我方及参与投标的工作人员愿意接受按照国家法律法规等有关规定给予的处罚。</w:t>
      </w:r>
    </w:p>
    <w:p w14:paraId="20597FBA">
      <w:pPr>
        <w:spacing w:line="360" w:lineRule="auto"/>
        <w:ind w:left="645" w:firstLine="420"/>
        <w:rPr>
          <w:rFonts w:ascii="宋体" w:hAnsi="宋体" w:cs="宋体"/>
          <w:color w:val="auto"/>
          <w:szCs w:val="21"/>
          <w:highlight w:val="none"/>
        </w:rPr>
      </w:pPr>
    </w:p>
    <w:p w14:paraId="12E3F276">
      <w:pPr>
        <w:spacing w:line="360" w:lineRule="auto"/>
        <w:ind w:left="645" w:firstLine="420"/>
        <w:rPr>
          <w:rFonts w:ascii="宋体" w:hAnsi="宋体" w:cs="宋体"/>
          <w:color w:val="auto"/>
          <w:szCs w:val="21"/>
          <w:highlight w:val="none"/>
        </w:rPr>
      </w:pPr>
    </w:p>
    <w:p w14:paraId="1F931747">
      <w:pPr>
        <w:spacing w:line="360" w:lineRule="auto"/>
        <w:ind w:left="645" w:firstLine="420"/>
        <w:rPr>
          <w:rFonts w:ascii="宋体" w:hAnsi="宋体" w:cs="宋体"/>
          <w:color w:val="auto"/>
          <w:szCs w:val="21"/>
          <w:highlight w:val="none"/>
        </w:rPr>
      </w:pPr>
    </w:p>
    <w:p w14:paraId="416BDAAA">
      <w:pPr>
        <w:spacing w:line="360" w:lineRule="auto"/>
        <w:ind w:left="645" w:firstLine="420"/>
        <w:rPr>
          <w:rFonts w:ascii="宋体" w:hAnsi="宋体" w:cs="宋体"/>
          <w:color w:val="auto"/>
          <w:szCs w:val="21"/>
          <w:highlight w:val="none"/>
        </w:rPr>
      </w:pPr>
    </w:p>
    <w:p w14:paraId="6F8A4F2F">
      <w:pPr>
        <w:spacing w:line="360" w:lineRule="auto"/>
        <w:ind w:left="645" w:firstLine="420"/>
        <w:rPr>
          <w:rFonts w:ascii="宋体" w:hAnsi="宋体" w:cs="宋体"/>
          <w:color w:val="auto"/>
          <w:szCs w:val="21"/>
          <w:highlight w:val="none"/>
        </w:rPr>
      </w:pPr>
    </w:p>
    <w:p w14:paraId="05B966D4">
      <w:pPr>
        <w:ind w:firstLine="420"/>
        <w:rPr>
          <w:color w:val="auto"/>
          <w:highlight w:val="none"/>
        </w:rPr>
      </w:pPr>
      <w:bookmarkStart w:id="868" w:name="_Toc20561"/>
      <w:r>
        <w:rPr>
          <w:rFonts w:hint="eastAsia"/>
          <w:color w:val="auto"/>
          <w:highlight w:val="none"/>
        </w:rPr>
        <w:t>供应商（单位电子签章）：</w:t>
      </w:r>
      <w:bookmarkEnd w:id="868"/>
      <w:r>
        <w:rPr>
          <w:rFonts w:hint="eastAsia"/>
          <w:color w:val="auto"/>
          <w:highlight w:val="none"/>
        </w:rPr>
        <w:t>　</w:t>
      </w:r>
    </w:p>
    <w:p w14:paraId="323FEC0A">
      <w:pPr>
        <w:ind w:firstLine="420"/>
        <w:rPr>
          <w:color w:val="auto"/>
          <w:highlight w:val="none"/>
        </w:rPr>
      </w:pPr>
    </w:p>
    <w:p w14:paraId="6CF31B7F">
      <w:pPr>
        <w:ind w:firstLine="420"/>
        <w:rPr>
          <w:color w:val="auto"/>
          <w:highlight w:val="none"/>
        </w:rPr>
      </w:pPr>
      <w:bookmarkStart w:id="869" w:name="_Toc5607"/>
      <w:r>
        <w:rPr>
          <w:rFonts w:hint="eastAsia"/>
          <w:color w:val="auto"/>
          <w:highlight w:val="none"/>
        </w:rPr>
        <w:t>法定代表人或授权代表（</w:t>
      </w:r>
      <w:r>
        <w:rPr>
          <w:rFonts w:hint="eastAsia"/>
          <w:color w:val="auto"/>
          <w:highlight w:val="none"/>
          <w:lang w:eastAsia="zh-CN"/>
        </w:rPr>
        <w:t>电子签名或签名</w:t>
      </w:r>
      <w:r>
        <w:rPr>
          <w:rFonts w:hint="eastAsia"/>
          <w:color w:val="auto"/>
          <w:highlight w:val="none"/>
        </w:rPr>
        <w:t>）：</w:t>
      </w:r>
      <w:bookmarkEnd w:id="869"/>
    </w:p>
    <w:p w14:paraId="20B75065">
      <w:pPr>
        <w:ind w:firstLine="420"/>
        <w:rPr>
          <w:color w:val="auto"/>
          <w:highlight w:val="none"/>
        </w:rPr>
      </w:pPr>
    </w:p>
    <w:p w14:paraId="19EEC820">
      <w:pPr>
        <w:ind w:firstLine="420"/>
        <w:rPr>
          <w:color w:val="auto"/>
          <w:highlight w:val="none"/>
        </w:rPr>
      </w:pPr>
      <w:bookmarkStart w:id="870" w:name="_Toc23777"/>
      <w:r>
        <w:rPr>
          <w:rFonts w:hint="eastAsia"/>
          <w:color w:val="auto"/>
          <w:highlight w:val="none"/>
        </w:rPr>
        <w:t>日期：    年　　月　　日</w:t>
      </w:r>
      <w:bookmarkEnd w:id="870"/>
    </w:p>
    <w:p w14:paraId="5650CB7B">
      <w:pPr>
        <w:ind w:firstLine="420"/>
        <w:rPr>
          <w:rFonts w:ascii="宋体" w:hAnsi="宋体" w:cs="宋体"/>
          <w:color w:val="auto"/>
          <w:szCs w:val="21"/>
          <w:highlight w:val="none"/>
        </w:rPr>
      </w:pPr>
      <w:r>
        <w:rPr>
          <w:rFonts w:hint="eastAsia" w:ascii="宋体" w:hAnsi="宋体" w:cs="宋体"/>
          <w:color w:val="auto"/>
          <w:szCs w:val="21"/>
          <w:highlight w:val="none"/>
        </w:rPr>
        <w:br w:type="page"/>
      </w:r>
    </w:p>
    <w:p w14:paraId="443EFC6E">
      <w:pPr>
        <w:pStyle w:val="5"/>
        <w:ind w:firstLine="0" w:firstLineChars="0"/>
        <w:jc w:val="center"/>
        <w:rPr>
          <w:color w:val="auto"/>
          <w:highlight w:val="none"/>
        </w:rPr>
      </w:pPr>
      <w:r>
        <w:rPr>
          <w:rFonts w:hint="eastAsia"/>
          <w:color w:val="auto"/>
          <w:highlight w:val="none"/>
        </w:rPr>
        <w:t>十一、其他材料</w:t>
      </w:r>
    </w:p>
    <w:p w14:paraId="3380DBEE">
      <w:pPr>
        <w:pStyle w:val="25"/>
        <w:shd w:val="clear" w:color="auto" w:fill="FFFFFF"/>
        <w:spacing w:beforeAutospacing="0" w:afterAutospacing="0" w:line="405" w:lineRule="atLeast"/>
        <w:ind w:firstLine="0" w:firstLineChars="0"/>
        <w:jc w:val="center"/>
        <w:rPr>
          <w:b/>
          <w:color w:val="auto"/>
          <w:sz w:val="21"/>
          <w:szCs w:val="21"/>
          <w:highlight w:val="none"/>
        </w:rPr>
      </w:pPr>
      <w:r>
        <w:rPr>
          <w:rFonts w:hint="eastAsia"/>
          <w:b/>
          <w:color w:val="auto"/>
          <w:sz w:val="21"/>
          <w:szCs w:val="21"/>
          <w:highlight w:val="none"/>
          <w:lang w:val="en-US" w:eastAsia="zh-CN"/>
        </w:rPr>
        <w:t>1</w:t>
      </w:r>
      <w:r>
        <w:rPr>
          <w:rFonts w:hint="eastAsia"/>
          <w:b/>
          <w:color w:val="auto"/>
          <w:sz w:val="21"/>
          <w:szCs w:val="21"/>
          <w:highlight w:val="none"/>
        </w:rPr>
        <w:t>、采购代理服务费承诺函</w:t>
      </w:r>
    </w:p>
    <w:p w14:paraId="1D37FE27">
      <w:pPr>
        <w:pStyle w:val="25"/>
        <w:shd w:val="clear" w:color="auto" w:fill="FFFFFF"/>
        <w:spacing w:beforeAutospacing="0" w:afterAutospacing="0"/>
        <w:ind w:firstLine="452"/>
        <w:jc w:val="both"/>
        <w:rPr>
          <w:color w:val="auto"/>
          <w:spacing w:val="8"/>
          <w:sz w:val="21"/>
          <w:szCs w:val="21"/>
          <w:highlight w:val="none"/>
        </w:rPr>
      </w:pPr>
      <w:r>
        <w:rPr>
          <w:rFonts w:hint="eastAsia"/>
          <w:color w:val="auto"/>
          <w:spacing w:val="8"/>
          <w:sz w:val="21"/>
          <w:szCs w:val="21"/>
          <w:highlight w:val="none"/>
          <w:shd w:val="clear" w:color="auto" w:fill="FFFFFF"/>
        </w:rPr>
        <w:t> </w:t>
      </w:r>
    </w:p>
    <w:p w14:paraId="3311C44C">
      <w:pPr>
        <w:pStyle w:val="25"/>
        <w:shd w:val="clear" w:color="auto" w:fill="FFFFFF"/>
        <w:spacing w:beforeAutospacing="0" w:afterAutospacing="0" w:line="360" w:lineRule="auto"/>
        <w:ind w:firstLine="452"/>
        <w:jc w:val="both"/>
        <w:rPr>
          <w:color w:val="auto"/>
          <w:spacing w:val="8"/>
          <w:sz w:val="21"/>
          <w:szCs w:val="21"/>
          <w:highlight w:val="none"/>
        </w:rPr>
      </w:pPr>
      <w:r>
        <w:rPr>
          <w:rFonts w:hint="eastAsia"/>
          <w:color w:val="auto"/>
          <w:spacing w:val="8"/>
          <w:sz w:val="21"/>
          <w:szCs w:val="21"/>
          <w:highlight w:val="none"/>
          <w:shd w:val="clear" w:color="auto" w:fill="FFFFFF"/>
        </w:rPr>
        <w:t>致</w:t>
      </w:r>
      <w:r>
        <w:rPr>
          <w:rFonts w:hint="eastAsia"/>
          <w:color w:val="auto"/>
          <w:spacing w:val="8"/>
          <w:sz w:val="21"/>
          <w:szCs w:val="21"/>
          <w:highlight w:val="none"/>
          <w:u w:val="single"/>
          <w:shd w:val="clear" w:color="auto" w:fill="FFFFFF"/>
        </w:rPr>
        <w:t>（采购人及采购代理机构） </w:t>
      </w:r>
      <w:r>
        <w:rPr>
          <w:rFonts w:hint="eastAsia"/>
          <w:color w:val="auto"/>
          <w:spacing w:val="8"/>
          <w:sz w:val="21"/>
          <w:szCs w:val="21"/>
          <w:highlight w:val="none"/>
          <w:shd w:val="clear" w:color="auto" w:fill="FFFFFF"/>
        </w:rPr>
        <w:t>：</w:t>
      </w:r>
    </w:p>
    <w:p w14:paraId="2318463B">
      <w:pPr>
        <w:pStyle w:val="25"/>
        <w:shd w:val="clear" w:color="auto" w:fill="FFFFFF"/>
        <w:spacing w:beforeAutospacing="0" w:afterAutospacing="0" w:line="360" w:lineRule="auto"/>
        <w:ind w:firstLine="452"/>
        <w:jc w:val="both"/>
        <w:rPr>
          <w:color w:val="auto"/>
          <w:spacing w:val="8"/>
          <w:sz w:val="21"/>
          <w:szCs w:val="21"/>
          <w:highlight w:val="none"/>
        </w:rPr>
      </w:pPr>
      <w:r>
        <w:rPr>
          <w:rFonts w:hint="eastAsia"/>
          <w:color w:val="auto"/>
          <w:spacing w:val="8"/>
          <w:sz w:val="21"/>
          <w:szCs w:val="21"/>
          <w:highlight w:val="none"/>
          <w:shd w:val="clear" w:color="auto" w:fill="FFFFFF"/>
        </w:rPr>
        <w:t>我们在贵公司组织的（项目名称：，采购编号：）招标采购中若获中标（成交），我们保证按</w:t>
      </w:r>
      <w:r>
        <w:rPr>
          <w:rFonts w:hint="eastAsia"/>
          <w:color w:val="auto"/>
          <w:spacing w:val="8"/>
          <w:sz w:val="21"/>
          <w:szCs w:val="21"/>
          <w:highlight w:val="none"/>
          <w:shd w:val="clear" w:color="auto" w:fill="FFFFFF"/>
          <w:lang w:eastAsia="zh-CN"/>
        </w:rPr>
        <w:t>磋商文件</w:t>
      </w:r>
      <w:r>
        <w:rPr>
          <w:rFonts w:hint="eastAsia"/>
          <w:color w:val="auto"/>
          <w:spacing w:val="8"/>
          <w:sz w:val="21"/>
          <w:szCs w:val="21"/>
          <w:highlight w:val="none"/>
          <w:shd w:val="clear" w:color="auto" w:fill="FFFFFF"/>
        </w:rPr>
        <w:t>的规定，以支票、银行转账、汇票或现金，向贵公司一次性支付采购代理服务费用。否则，由此产生的一切法律后果和责任由我公司承担。我公司声明放弃对此提出任何异议和追索的权利。</w:t>
      </w:r>
    </w:p>
    <w:p w14:paraId="0A018D85">
      <w:pPr>
        <w:pStyle w:val="25"/>
        <w:shd w:val="clear" w:color="auto" w:fill="FFFFFF"/>
        <w:spacing w:beforeAutospacing="0" w:afterAutospacing="0" w:line="360" w:lineRule="auto"/>
        <w:ind w:firstLine="452"/>
        <w:jc w:val="both"/>
        <w:rPr>
          <w:color w:val="auto"/>
          <w:spacing w:val="8"/>
          <w:sz w:val="21"/>
          <w:szCs w:val="21"/>
          <w:highlight w:val="none"/>
        </w:rPr>
      </w:pPr>
      <w:r>
        <w:rPr>
          <w:rFonts w:hint="eastAsia"/>
          <w:color w:val="auto"/>
          <w:spacing w:val="8"/>
          <w:sz w:val="21"/>
          <w:szCs w:val="21"/>
          <w:highlight w:val="none"/>
          <w:shd w:val="clear" w:color="auto" w:fill="FFFFFF"/>
        </w:rPr>
        <w:t>特此承诺。</w:t>
      </w:r>
    </w:p>
    <w:p w14:paraId="7D846EAC">
      <w:pPr>
        <w:pStyle w:val="25"/>
        <w:shd w:val="clear" w:color="auto" w:fill="FFFFFF"/>
        <w:spacing w:beforeAutospacing="0" w:afterAutospacing="0" w:line="360" w:lineRule="auto"/>
        <w:ind w:firstLine="452"/>
        <w:jc w:val="both"/>
        <w:rPr>
          <w:color w:val="auto"/>
          <w:spacing w:val="8"/>
          <w:sz w:val="21"/>
          <w:szCs w:val="21"/>
          <w:highlight w:val="none"/>
        </w:rPr>
      </w:pPr>
      <w:r>
        <w:rPr>
          <w:rFonts w:hint="eastAsia"/>
          <w:color w:val="auto"/>
          <w:spacing w:val="8"/>
          <w:sz w:val="21"/>
          <w:szCs w:val="21"/>
          <w:highlight w:val="none"/>
          <w:shd w:val="clear" w:color="auto" w:fill="FFFFFF"/>
        </w:rPr>
        <w:t> </w:t>
      </w:r>
    </w:p>
    <w:p w14:paraId="18649FE6">
      <w:pPr>
        <w:pStyle w:val="25"/>
        <w:shd w:val="clear" w:color="auto" w:fill="FFFFFF"/>
        <w:spacing w:beforeAutospacing="0" w:afterAutospacing="0" w:line="360" w:lineRule="auto"/>
        <w:ind w:firstLine="452"/>
        <w:jc w:val="both"/>
        <w:rPr>
          <w:color w:val="auto"/>
          <w:spacing w:val="8"/>
          <w:sz w:val="21"/>
          <w:szCs w:val="21"/>
          <w:highlight w:val="none"/>
        </w:rPr>
      </w:pPr>
      <w:r>
        <w:rPr>
          <w:rFonts w:hint="eastAsia"/>
          <w:color w:val="auto"/>
          <w:spacing w:val="8"/>
          <w:sz w:val="21"/>
          <w:szCs w:val="21"/>
          <w:highlight w:val="none"/>
          <w:shd w:val="clear" w:color="auto" w:fill="FFFFFF"/>
        </w:rPr>
        <w:t> </w:t>
      </w:r>
    </w:p>
    <w:p w14:paraId="53FBDCA4">
      <w:pPr>
        <w:pStyle w:val="25"/>
        <w:shd w:val="clear" w:color="auto" w:fill="FFFFFF"/>
        <w:spacing w:beforeAutospacing="0" w:afterAutospacing="0" w:line="360" w:lineRule="auto"/>
        <w:ind w:firstLine="452"/>
        <w:rPr>
          <w:color w:val="auto"/>
          <w:spacing w:val="8"/>
          <w:sz w:val="21"/>
          <w:szCs w:val="21"/>
          <w:highlight w:val="none"/>
        </w:rPr>
      </w:pPr>
      <w:r>
        <w:rPr>
          <w:rFonts w:hint="eastAsia"/>
          <w:color w:val="auto"/>
          <w:spacing w:val="8"/>
          <w:sz w:val="21"/>
          <w:szCs w:val="21"/>
          <w:highlight w:val="none"/>
          <w:shd w:val="clear" w:color="auto" w:fill="FFFFFF"/>
        </w:rPr>
        <w:t>供应商名称：</w:t>
      </w:r>
      <w:r>
        <w:rPr>
          <w:rFonts w:hint="eastAsia"/>
          <w:color w:val="auto"/>
          <w:spacing w:val="8"/>
          <w:sz w:val="21"/>
          <w:szCs w:val="21"/>
          <w:highlight w:val="none"/>
          <w:u w:val="single"/>
          <w:shd w:val="clear" w:color="auto" w:fill="FFFFFF"/>
        </w:rPr>
        <w:t>          </w:t>
      </w:r>
      <w:r>
        <w:rPr>
          <w:rFonts w:hint="eastAsia"/>
          <w:color w:val="auto"/>
          <w:spacing w:val="8"/>
          <w:sz w:val="21"/>
          <w:szCs w:val="21"/>
          <w:highlight w:val="none"/>
          <w:shd w:val="clear" w:color="auto" w:fill="FFFFFF"/>
        </w:rPr>
        <w:t>（单位电子签章）</w:t>
      </w:r>
    </w:p>
    <w:p w14:paraId="720D3BA7">
      <w:pPr>
        <w:pStyle w:val="25"/>
        <w:shd w:val="clear" w:color="auto" w:fill="FFFFFF"/>
        <w:spacing w:beforeAutospacing="0" w:afterAutospacing="0" w:line="360" w:lineRule="auto"/>
        <w:ind w:firstLine="452"/>
        <w:rPr>
          <w:color w:val="auto"/>
          <w:spacing w:val="8"/>
          <w:sz w:val="21"/>
          <w:szCs w:val="21"/>
          <w:highlight w:val="none"/>
        </w:rPr>
      </w:pPr>
      <w:r>
        <w:rPr>
          <w:rFonts w:hint="eastAsia"/>
          <w:color w:val="auto"/>
          <w:spacing w:val="8"/>
          <w:sz w:val="21"/>
          <w:szCs w:val="21"/>
          <w:highlight w:val="none"/>
          <w:shd w:val="clear" w:color="auto" w:fill="FFFFFF"/>
        </w:rPr>
        <w:t>法定代表人或授权代表：</w:t>
      </w:r>
      <w:r>
        <w:rPr>
          <w:rFonts w:hint="eastAsia"/>
          <w:color w:val="auto"/>
          <w:spacing w:val="8"/>
          <w:sz w:val="21"/>
          <w:szCs w:val="21"/>
          <w:highlight w:val="none"/>
          <w:u w:val="single"/>
          <w:shd w:val="clear" w:color="auto" w:fill="FFFFFF"/>
        </w:rPr>
        <w:t>      </w:t>
      </w:r>
      <w:r>
        <w:rPr>
          <w:rFonts w:hint="eastAsia"/>
          <w:color w:val="auto"/>
          <w:spacing w:val="8"/>
          <w:sz w:val="21"/>
          <w:szCs w:val="21"/>
          <w:highlight w:val="none"/>
          <w:shd w:val="clear" w:color="auto" w:fill="FFFFFF"/>
        </w:rPr>
        <w:t>（</w:t>
      </w:r>
      <w:r>
        <w:rPr>
          <w:rFonts w:hint="eastAsia"/>
          <w:color w:val="auto"/>
          <w:spacing w:val="8"/>
          <w:sz w:val="21"/>
          <w:szCs w:val="21"/>
          <w:highlight w:val="none"/>
          <w:shd w:val="clear" w:color="auto" w:fill="FFFFFF"/>
          <w:lang w:eastAsia="zh-CN"/>
        </w:rPr>
        <w:t>电子签名或签名</w:t>
      </w:r>
      <w:r>
        <w:rPr>
          <w:rFonts w:hint="eastAsia"/>
          <w:color w:val="auto"/>
          <w:spacing w:val="8"/>
          <w:sz w:val="21"/>
          <w:szCs w:val="21"/>
          <w:highlight w:val="none"/>
          <w:shd w:val="clear" w:color="auto" w:fill="FFFFFF"/>
        </w:rPr>
        <w:t>）</w:t>
      </w:r>
    </w:p>
    <w:p w14:paraId="7E2E9B9C">
      <w:pPr>
        <w:pStyle w:val="25"/>
        <w:shd w:val="clear" w:color="auto" w:fill="FFFFFF"/>
        <w:spacing w:beforeAutospacing="0" w:afterAutospacing="0" w:line="360" w:lineRule="auto"/>
        <w:ind w:firstLine="452"/>
        <w:jc w:val="both"/>
        <w:rPr>
          <w:color w:val="auto"/>
          <w:spacing w:val="8"/>
          <w:sz w:val="21"/>
          <w:szCs w:val="21"/>
          <w:highlight w:val="none"/>
        </w:rPr>
      </w:pPr>
      <w:r>
        <w:rPr>
          <w:rFonts w:hint="eastAsia"/>
          <w:color w:val="auto"/>
          <w:spacing w:val="8"/>
          <w:sz w:val="21"/>
          <w:szCs w:val="21"/>
          <w:highlight w:val="none"/>
          <w:shd w:val="clear" w:color="auto" w:fill="FFFFFF"/>
        </w:rPr>
        <w:t>日期：</w:t>
      </w:r>
      <w:r>
        <w:rPr>
          <w:rFonts w:hint="eastAsia"/>
          <w:color w:val="auto"/>
          <w:spacing w:val="8"/>
          <w:sz w:val="21"/>
          <w:szCs w:val="21"/>
          <w:highlight w:val="none"/>
          <w:u w:val="single"/>
          <w:shd w:val="clear" w:color="auto" w:fill="FFFFFF"/>
        </w:rPr>
        <w:t>              </w:t>
      </w:r>
    </w:p>
    <w:p w14:paraId="426C4719">
      <w:pPr>
        <w:pStyle w:val="25"/>
        <w:shd w:val="clear" w:color="auto" w:fill="FFFFFF"/>
        <w:spacing w:beforeAutospacing="0" w:afterAutospacing="0" w:line="360" w:lineRule="auto"/>
        <w:ind w:firstLine="452"/>
        <w:jc w:val="both"/>
        <w:rPr>
          <w:color w:val="auto"/>
          <w:spacing w:val="8"/>
          <w:sz w:val="21"/>
          <w:szCs w:val="21"/>
          <w:highlight w:val="none"/>
        </w:rPr>
      </w:pPr>
      <w:r>
        <w:rPr>
          <w:rFonts w:hint="eastAsia"/>
          <w:color w:val="auto"/>
          <w:spacing w:val="8"/>
          <w:sz w:val="21"/>
          <w:szCs w:val="21"/>
          <w:highlight w:val="none"/>
          <w:shd w:val="clear" w:color="auto" w:fill="FFFFFF"/>
        </w:rPr>
        <w:t> </w:t>
      </w:r>
    </w:p>
    <w:p w14:paraId="3EEDC8CE">
      <w:pPr>
        <w:ind w:firstLine="420"/>
        <w:rPr>
          <w:rFonts w:ascii="宋体" w:hAnsi="宋体" w:cs="宋体"/>
          <w:color w:val="auto"/>
          <w:szCs w:val="21"/>
          <w:highlight w:val="none"/>
        </w:rPr>
      </w:pPr>
    </w:p>
    <w:p w14:paraId="67D65B74">
      <w:pPr>
        <w:spacing w:line="360" w:lineRule="auto"/>
        <w:ind w:firstLine="420"/>
        <w:jc w:val="center"/>
        <w:rPr>
          <w:rFonts w:ascii="宋体" w:hAnsi="宋体" w:cs="宋体"/>
          <w:color w:val="auto"/>
          <w:szCs w:val="21"/>
          <w:highlight w:val="none"/>
        </w:rPr>
      </w:pPr>
    </w:p>
    <w:p w14:paraId="2130E0D5">
      <w:pPr>
        <w:ind w:firstLine="0" w:firstLineChars="0"/>
        <w:jc w:val="center"/>
        <w:rPr>
          <w:rFonts w:ascii="宋体" w:hAnsi="宋体" w:cs="宋体"/>
          <w:b/>
          <w:color w:val="auto"/>
          <w:szCs w:val="21"/>
          <w:highlight w:val="none"/>
        </w:rPr>
        <w:sectPr>
          <w:headerReference r:id="rId12" w:type="default"/>
          <w:footerReference r:id="rId13" w:type="default"/>
          <w:pgSz w:w="11905" w:h="16838"/>
          <w:pgMar w:top="1440" w:right="1803" w:bottom="1440" w:left="1803" w:header="850" w:footer="850" w:gutter="0"/>
          <w:cols w:space="0" w:num="1"/>
          <w:docGrid w:type="lines" w:linePitch="414" w:charSpace="0"/>
        </w:sectPr>
      </w:pPr>
    </w:p>
    <w:p w14:paraId="24465656">
      <w:pPr>
        <w:ind w:firstLine="0" w:firstLineChars="0"/>
        <w:jc w:val="center"/>
        <w:rPr>
          <w:rFonts w:ascii="宋体" w:hAnsi="宋体" w:cs="宋体"/>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、供应商认为需要的其他资料</w:t>
      </w:r>
    </w:p>
    <w:p w14:paraId="1302F0BF">
      <w:pPr>
        <w:ind w:firstLine="422"/>
        <w:jc w:val="center"/>
        <w:rPr>
          <w:rFonts w:ascii="宋体" w:hAnsi="宋体" w:cs="宋体"/>
          <w:b/>
          <w:bCs/>
          <w:color w:val="auto"/>
          <w:szCs w:val="21"/>
          <w:highlight w:val="none"/>
        </w:rPr>
      </w:pPr>
    </w:p>
    <w:p w14:paraId="6630BBBE">
      <w:pPr>
        <w:ind w:firstLine="422"/>
        <w:jc w:val="center"/>
        <w:rPr>
          <w:rFonts w:ascii="宋体" w:hAnsi="宋体" w:cs="宋体"/>
          <w:b/>
          <w:bCs/>
          <w:color w:val="auto"/>
          <w:szCs w:val="21"/>
          <w:highlight w:val="none"/>
        </w:rPr>
      </w:pPr>
    </w:p>
    <w:p w14:paraId="293F80D2">
      <w:pPr>
        <w:pStyle w:val="27"/>
        <w:ind w:firstLine="211"/>
        <w:rPr>
          <w:rFonts w:ascii="宋体" w:hAnsi="宋体" w:cs="宋体"/>
          <w:b/>
          <w:bCs/>
          <w:color w:val="auto"/>
          <w:szCs w:val="21"/>
          <w:highlight w:val="none"/>
        </w:rPr>
      </w:pPr>
    </w:p>
    <w:p w14:paraId="15F77FAE">
      <w:pPr>
        <w:pStyle w:val="14"/>
        <w:ind w:firstLine="422"/>
        <w:rPr>
          <w:rFonts w:ascii="宋体" w:hAnsi="宋体" w:cs="宋体"/>
          <w:b/>
          <w:bCs/>
          <w:color w:val="auto"/>
          <w:szCs w:val="21"/>
          <w:highlight w:val="none"/>
        </w:rPr>
      </w:pPr>
    </w:p>
    <w:p w14:paraId="3D3D9A06">
      <w:pPr>
        <w:ind w:firstLine="422"/>
        <w:rPr>
          <w:rFonts w:ascii="宋体" w:hAnsi="宋体" w:cs="宋体"/>
          <w:b/>
          <w:bCs/>
          <w:color w:val="auto"/>
          <w:szCs w:val="21"/>
          <w:highlight w:val="none"/>
        </w:rPr>
      </w:pPr>
    </w:p>
    <w:p w14:paraId="3CF31006">
      <w:pPr>
        <w:pStyle w:val="27"/>
        <w:ind w:firstLine="211"/>
        <w:rPr>
          <w:rFonts w:ascii="宋体" w:hAnsi="宋体" w:cs="宋体"/>
          <w:b/>
          <w:bCs/>
          <w:color w:val="auto"/>
          <w:szCs w:val="21"/>
          <w:highlight w:val="none"/>
        </w:rPr>
      </w:pPr>
    </w:p>
    <w:p w14:paraId="2189749D">
      <w:pPr>
        <w:pStyle w:val="14"/>
        <w:ind w:firstLine="422"/>
        <w:rPr>
          <w:rFonts w:ascii="宋体" w:hAnsi="宋体" w:cs="宋体"/>
          <w:b/>
          <w:bCs/>
          <w:color w:val="auto"/>
          <w:szCs w:val="21"/>
          <w:highlight w:val="none"/>
        </w:rPr>
      </w:pPr>
    </w:p>
    <w:p w14:paraId="0542CFEA">
      <w:pPr>
        <w:ind w:firstLine="422"/>
        <w:rPr>
          <w:rFonts w:ascii="宋体" w:hAnsi="宋体" w:cs="宋体"/>
          <w:b/>
          <w:bCs/>
          <w:color w:val="auto"/>
          <w:szCs w:val="21"/>
          <w:highlight w:val="none"/>
        </w:rPr>
      </w:pPr>
    </w:p>
    <w:p w14:paraId="7595C2E4">
      <w:pPr>
        <w:pStyle w:val="27"/>
        <w:ind w:firstLine="211"/>
        <w:rPr>
          <w:rFonts w:ascii="宋体" w:hAnsi="宋体" w:cs="宋体"/>
          <w:b/>
          <w:bCs/>
          <w:color w:val="auto"/>
          <w:szCs w:val="21"/>
          <w:highlight w:val="none"/>
        </w:rPr>
      </w:pPr>
    </w:p>
    <w:p w14:paraId="1C9B8811">
      <w:pPr>
        <w:pStyle w:val="14"/>
        <w:ind w:firstLine="422"/>
        <w:rPr>
          <w:rFonts w:ascii="宋体" w:hAnsi="宋体" w:cs="宋体"/>
          <w:b/>
          <w:bCs/>
          <w:color w:val="auto"/>
          <w:szCs w:val="21"/>
          <w:highlight w:val="none"/>
        </w:rPr>
      </w:pPr>
    </w:p>
    <w:p w14:paraId="44FC9E46">
      <w:pPr>
        <w:ind w:firstLine="422"/>
        <w:rPr>
          <w:rFonts w:ascii="宋体" w:hAnsi="宋体" w:cs="宋体"/>
          <w:b/>
          <w:bCs/>
          <w:color w:val="auto"/>
          <w:szCs w:val="21"/>
          <w:highlight w:val="none"/>
        </w:rPr>
      </w:pPr>
    </w:p>
    <w:p w14:paraId="183892E6">
      <w:pPr>
        <w:pStyle w:val="27"/>
        <w:ind w:firstLine="211"/>
        <w:rPr>
          <w:rFonts w:ascii="宋体" w:hAnsi="宋体" w:cs="宋体"/>
          <w:b/>
          <w:bCs/>
          <w:color w:val="auto"/>
          <w:szCs w:val="21"/>
          <w:highlight w:val="none"/>
        </w:rPr>
      </w:pPr>
    </w:p>
    <w:p w14:paraId="20DB030F">
      <w:pPr>
        <w:pStyle w:val="14"/>
        <w:ind w:firstLine="422"/>
        <w:rPr>
          <w:rFonts w:ascii="宋体" w:hAnsi="宋体" w:cs="宋体"/>
          <w:b/>
          <w:bCs/>
          <w:color w:val="auto"/>
          <w:szCs w:val="21"/>
          <w:highlight w:val="none"/>
        </w:rPr>
      </w:pPr>
    </w:p>
    <w:p w14:paraId="441397B8">
      <w:pPr>
        <w:ind w:firstLine="422"/>
        <w:rPr>
          <w:rFonts w:ascii="宋体" w:hAnsi="宋体" w:cs="宋体"/>
          <w:b/>
          <w:bCs/>
          <w:color w:val="auto"/>
          <w:szCs w:val="21"/>
          <w:highlight w:val="none"/>
        </w:rPr>
      </w:pPr>
    </w:p>
    <w:p w14:paraId="68DD6B9F">
      <w:pPr>
        <w:pStyle w:val="27"/>
        <w:ind w:firstLine="211"/>
        <w:rPr>
          <w:rFonts w:ascii="宋体" w:hAnsi="宋体" w:cs="宋体"/>
          <w:b/>
          <w:bCs/>
          <w:color w:val="auto"/>
          <w:szCs w:val="21"/>
          <w:highlight w:val="none"/>
        </w:rPr>
      </w:pPr>
    </w:p>
    <w:p w14:paraId="1D097153">
      <w:pPr>
        <w:pStyle w:val="14"/>
        <w:ind w:firstLine="422"/>
        <w:rPr>
          <w:rFonts w:ascii="宋体" w:hAnsi="宋体" w:cs="宋体"/>
          <w:b/>
          <w:bCs/>
          <w:color w:val="auto"/>
          <w:szCs w:val="21"/>
          <w:highlight w:val="none"/>
        </w:rPr>
      </w:pPr>
    </w:p>
    <w:p w14:paraId="7C23719D">
      <w:pPr>
        <w:ind w:firstLine="422"/>
        <w:rPr>
          <w:rFonts w:ascii="宋体" w:hAnsi="宋体" w:cs="宋体"/>
          <w:b/>
          <w:bCs/>
          <w:color w:val="auto"/>
          <w:szCs w:val="21"/>
          <w:highlight w:val="none"/>
        </w:rPr>
      </w:pPr>
    </w:p>
    <w:p w14:paraId="3773412B">
      <w:pPr>
        <w:pStyle w:val="27"/>
        <w:ind w:firstLine="211"/>
        <w:rPr>
          <w:rFonts w:ascii="宋体" w:hAnsi="宋体" w:cs="宋体"/>
          <w:b/>
          <w:bCs/>
          <w:color w:val="auto"/>
          <w:szCs w:val="21"/>
          <w:highlight w:val="none"/>
        </w:rPr>
      </w:pPr>
    </w:p>
    <w:p w14:paraId="1E5505B2">
      <w:pPr>
        <w:pStyle w:val="14"/>
        <w:ind w:firstLine="422"/>
        <w:rPr>
          <w:rFonts w:ascii="宋体" w:hAnsi="宋体" w:cs="宋体"/>
          <w:b/>
          <w:bCs/>
          <w:color w:val="auto"/>
          <w:szCs w:val="21"/>
          <w:highlight w:val="none"/>
        </w:rPr>
      </w:pPr>
    </w:p>
    <w:p w14:paraId="0909EB55">
      <w:pPr>
        <w:ind w:firstLine="422"/>
        <w:rPr>
          <w:rFonts w:ascii="宋体" w:hAnsi="宋体" w:cs="宋体"/>
          <w:b/>
          <w:bCs/>
          <w:color w:val="auto"/>
          <w:szCs w:val="21"/>
          <w:highlight w:val="none"/>
        </w:rPr>
      </w:pPr>
    </w:p>
    <w:p w14:paraId="7BF7F864">
      <w:pPr>
        <w:pStyle w:val="27"/>
        <w:ind w:firstLine="0" w:firstLineChars="0"/>
        <w:rPr>
          <w:rFonts w:ascii="宋体" w:hAnsi="宋体" w:cs="宋体"/>
          <w:b/>
          <w:bCs/>
          <w:color w:val="auto"/>
          <w:szCs w:val="21"/>
          <w:highlight w:val="none"/>
        </w:rPr>
      </w:pPr>
    </w:p>
    <w:p w14:paraId="5D76F762">
      <w:pPr>
        <w:ind w:firstLine="0" w:firstLineChars="0"/>
        <w:jc w:val="center"/>
        <w:outlineLvl w:val="0"/>
        <w:rPr>
          <w:rFonts w:ascii="宋体" w:hAnsi="宋体" w:cs="宋体"/>
          <w:b/>
          <w:color w:val="auto"/>
          <w:szCs w:val="21"/>
          <w:highlight w:val="none"/>
        </w:rPr>
        <w:sectPr>
          <w:footerReference r:id="rId14" w:type="default"/>
          <w:pgSz w:w="11905" w:h="16838"/>
          <w:pgMar w:top="1440" w:right="1803" w:bottom="1440" w:left="1803" w:header="850" w:footer="850" w:gutter="0"/>
          <w:cols w:space="0" w:num="1"/>
          <w:docGrid w:type="lines" w:linePitch="414" w:charSpace="0"/>
        </w:sectPr>
      </w:pPr>
    </w:p>
    <w:p w14:paraId="0989873B">
      <w:pPr>
        <w:ind w:firstLine="0" w:firstLineChars="0"/>
        <w:jc w:val="center"/>
        <w:outlineLvl w:val="0"/>
        <w:rPr>
          <w:rFonts w:ascii="宋体" w:hAnsi="宋体" w:cs="宋体"/>
          <w:b/>
          <w:bCs/>
          <w:color w:val="auto"/>
          <w:szCs w:val="21"/>
          <w:highlight w:val="none"/>
        </w:rPr>
      </w:pPr>
      <w:bookmarkStart w:id="871" w:name="_Toc2692"/>
      <w:r>
        <w:rPr>
          <w:rFonts w:hint="eastAsia" w:ascii="宋体" w:hAnsi="宋体" w:cs="宋体"/>
          <w:b/>
          <w:color w:val="auto"/>
          <w:szCs w:val="21"/>
          <w:highlight w:val="none"/>
        </w:rPr>
        <w:t>河南省政府采购合同融资政策告知函</w:t>
      </w:r>
      <w:bookmarkEnd w:id="871"/>
    </w:p>
    <w:p w14:paraId="57EE1330">
      <w:pPr>
        <w:ind w:firstLine="420"/>
        <w:rPr>
          <w:rFonts w:eastAsia="仿宋" w:cs="Calibri"/>
          <w:color w:val="auto"/>
          <w:szCs w:val="21"/>
          <w:highlight w:val="none"/>
        </w:rPr>
      </w:pPr>
    </w:p>
    <w:p w14:paraId="508CFFAE">
      <w:pPr>
        <w:spacing w:line="480" w:lineRule="auto"/>
        <w:ind w:firstLine="420"/>
        <w:rPr>
          <w:rFonts w:ascii="宋体" w:hAnsi="宋体" w:cs="宋体"/>
          <w:color w:val="auto"/>
          <w:szCs w:val="21"/>
          <w:highlight w:val="none"/>
        </w:rPr>
      </w:pPr>
      <w:r>
        <w:rPr>
          <w:rFonts w:hint="eastAsia" w:ascii="宋体" w:hAnsi="宋体" w:cs="宋体"/>
          <w:color w:val="auto"/>
          <w:szCs w:val="21"/>
          <w:highlight w:val="none"/>
        </w:rPr>
        <w:t>各</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w:t>
      </w:r>
    </w:p>
    <w:p w14:paraId="342718C7">
      <w:pPr>
        <w:spacing w:line="480" w:lineRule="auto"/>
        <w:ind w:firstLine="420"/>
        <w:rPr>
          <w:rFonts w:ascii="宋体" w:hAnsi="宋体" w:cs="宋体"/>
          <w:color w:val="auto"/>
          <w:szCs w:val="21"/>
          <w:highlight w:val="none"/>
        </w:rPr>
      </w:pPr>
      <w:r>
        <w:rPr>
          <w:rFonts w:hint="eastAsia" w:ascii="宋体" w:hAnsi="宋体" w:cs="宋体"/>
          <w:color w:val="auto"/>
          <w:szCs w:val="21"/>
          <w:highlight w:val="none"/>
        </w:rPr>
        <w:t>欢迎贵公司参与河南省政府采购活动！</w:t>
      </w:r>
    </w:p>
    <w:p w14:paraId="3814928D">
      <w:pPr>
        <w:spacing w:line="480" w:lineRule="auto"/>
        <w:ind w:firstLine="420"/>
        <w:rPr>
          <w:rFonts w:ascii="宋体" w:hAnsi="宋体" w:cs="宋体"/>
          <w:color w:val="auto"/>
          <w:szCs w:val="21"/>
          <w:highlight w:val="none"/>
        </w:rPr>
      </w:pPr>
      <w:r>
        <w:rPr>
          <w:rFonts w:hint="eastAsia" w:ascii="宋体" w:hAnsi="宋体" w:cs="宋体"/>
          <w:color w:val="auto"/>
          <w:szCs w:val="21"/>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218F5CB">
      <w:pPr>
        <w:spacing w:line="480" w:lineRule="auto"/>
        <w:ind w:firstLine="420"/>
        <w:rPr>
          <w:rFonts w:ascii="宋体" w:hAnsi="宋体" w:cs="宋体"/>
          <w:color w:val="auto"/>
          <w:szCs w:val="21"/>
          <w:highlight w:val="none"/>
        </w:rPr>
      </w:pPr>
      <w:r>
        <w:rPr>
          <w:rFonts w:hint="eastAsia" w:ascii="宋体" w:hAnsi="宋体" w:cs="宋体"/>
          <w:color w:val="auto"/>
          <w:szCs w:val="21"/>
          <w:highlight w:val="none"/>
        </w:rPr>
        <w:t>贷款渠道和提供贷款的金融机构，可在河南省政府采购网“河南省政府采购合同融资平台”查询联系。政策解读网址：http://www.hngp.gov.cn/henan/content?infoId=1601449567470800&amp;channelCode=H6016</w:t>
      </w:r>
    </w:p>
    <w:p w14:paraId="1C8A3D14">
      <w:pPr>
        <w:pStyle w:val="25"/>
        <w:shd w:val="clear" w:color="070000" w:fill="FFFFFF"/>
        <w:spacing w:beforeAutospacing="0" w:afterAutospacing="0" w:line="360" w:lineRule="auto"/>
        <w:ind w:firstLine="452"/>
        <w:jc w:val="both"/>
        <w:rPr>
          <w:color w:val="auto"/>
          <w:spacing w:val="8"/>
          <w:sz w:val="21"/>
          <w:szCs w:val="21"/>
          <w:highlight w:val="none"/>
          <w:shd w:val="clear" w:color="080000" w:fill="FFFFFF"/>
        </w:rPr>
      </w:pPr>
    </w:p>
    <w:p w14:paraId="19789865">
      <w:pPr>
        <w:pStyle w:val="25"/>
        <w:shd w:val="clear" w:color="070000" w:fill="FFFFFF"/>
        <w:spacing w:beforeAutospacing="0" w:afterAutospacing="0" w:line="360" w:lineRule="auto"/>
        <w:ind w:firstLine="452"/>
        <w:jc w:val="both"/>
        <w:rPr>
          <w:color w:val="auto"/>
          <w:spacing w:val="8"/>
          <w:sz w:val="21"/>
          <w:szCs w:val="21"/>
          <w:highlight w:val="none"/>
          <w:shd w:val="clear" w:color="080000" w:fill="FFFFFF"/>
        </w:rPr>
      </w:pPr>
    </w:p>
    <w:p w14:paraId="6503EB87">
      <w:pPr>
        <w:pStyle w:val="25"/>
        <w:shd w:val="clear" w:color="070000" w:fill="FFFFFF"/>
        <w:spacing w:beforeAutospacing="0" w:afterAutospacing="0" w:line="360" w:lineRule="auto"/>
        <w:ind w:firstLine="452"/>
        <w:rPr>
          <w:color w:val="auto"/>
          <w:spacing w:val="8"/>
          <w:sz w:val="21"/>
          <w:szCs w:val="21"/>
          <w:highlight w:val="none"/>
          <w:shd w:val="clear" w:color="080000" w:fill="FFFFFF"/>
        </w:rPr>
      </w:pPr>
      <w:r>
        <w:rPr>
          <w:rFonts w:hint="eastAsia"/>
          <w:color w:val="auto"/>
          <w:spacing w:val="8"/>
          <w:sz w:val="21"/>
          <w:szCs w:val="21"/>
          <w:highlight w:val="none"/>
          <w:shd w:val="clear" w:color="080000" w:fill="FFFFFF"/>
        </w:rPr>
        <w:t>注：1.此项仅为告知，无须附到</w:t>
      </w:r>
      <w:r>
        <w:rPr>
          <w:rFonts w:hint="eastAsia"/>
          <w:color w:val="auto"/>
          <w:spacing w:val="8"/>
          <w:sz w:val="21"/>
          <w:szCs w:val="21"/>
          <w:highlight w:val="none"/>
          <w:shd w:val="clear" w:color="080000" w:fill="FFFFFF"/>
          <w:lang w:eastAsia="zh-CN"/>
        </w:rPr>
        <w:t>响应文件</w:t>
      </w:r>
      <w:r>
        <w:rPr>
          <w:rFonts w:hint="eastAsia"/>
          <w:color w:val="auto"/>
          <w:spacing w:val="8"/>
          <w:sz w:val="21"/>
          <w:szCs w:val="21"/>
          <w:highlight w:val="none"/>
          <w:shd w:val="clear" w:color="080000" w:fill="FFFFFF"/>
        </w:rPr>
        <w:t>中。</w:t>
      </w:r>
    </w:p>
    <w:p w14:paraId="059076A6">
      <w:pPr>
        <w:pStyle w:val="14"/>
        <w:numPr>
          <w:ilvl w:val="0"/>
          <w:numId w:val="4"/>
        </w:numPr>
        <w:ind w:left="0" w:leftChars="0" w:firstLine="422"/>
        <w:jc w:val="left"/>
        <w:rPr>
          <w:rFonts w:ascii="宋体" w:hAnsi="宋体" w:cs="宋体"/>
          <w:b/>
          <w:bCs/>
          <w:color w:val="auto"/>
          <w:szCs w:val="21"/>
          <w:highlight w:val="none"/>
        </w:rPr>
      </w:pPr>
      <w:r>
        <w:rPr>
          <w:rFonts w:hint="eastAsia" w:ascii="宋体" w:hAnsi="宋体" w:cs="宋体"/>
          <w:b/>
          <w:bCs/>
          <w:color w:val="auto"/>
          <w:szCs w:val="21"/>
          <w:highlight w:val="none"/>
        </w:rPr>
        <w:t>预进行合同融资的，在签订合同时，供应商的合同账号需为合同融资行指定的账户和账号。</w:t>
      </w:r>
    </w:p>
    <w:p w14:paraId="4D03D255">
      <w:pPr>
        <w:pStyle w:val="14"/>
        <w:ind w:firstLine="0" w:firstLineChars="0"/>
        <w:jc w:val="left"/>
        <w:rPr>
          <w:rFonts w:ascii="宋体" w:hAnsi="宋体" w:cs="宋体"/>
          <w:b/>
          <w:bCs/>
          <w:color w:val="auto"/>
          <w:szCs w:val="21"/>
          <w:highlight w:val="none"/>
        </w:rPr>
      </w:pPr>
      <w:r>
        <w:rPr>
          <w:rFonts w:hint="eastAsia" w:ascii="宋体" w:hAnsi="宋体" w:cs="宋体"/>
          <w:b/>
          <w:bCs/>
          <w:color w:val="auto"/>
          <w:szCs w:val="21"/>
          <w:highlight w:val="none"/>
        </w:rPr>
        <w:t>3.预进行合同融资的，请提醒采购人在合同备案时，将备案系统中供应商默认账号修改后合同融资行指定的账户和账号，然后再提交合同备案。</w:t>
      </w:r>
    </w:p>
    <w:p w14:paraId="4921AE11">
      <w:pPr>
        <w:pStyle w:val="27"/>
        <w:ind w:firstLine="210"/>
        <w:rPr>
          <w:color w:val="auto"/>
          <w:highlight w:val="none"/>
        </w:rPr>
      </w:pPr>
    </w:p>
    <w:sectPr>
      <w:footerReference r:id="rId15" w:type="default"/>
      <w:pgSz w:w="11905" w:h="16838"/>
      <w:pgMar w:top="1440" w:right="1803" w:bottom="1440" w:left="1803" w:header="850" w:footer="850" w:gutter="0"/>
      <w:cols w:space="0" w:num="1"/>
      <w:docGrid w:type="lines" w:linePitch="41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10" w:usb3="00000000" w:csb0="0004009F" w:csb1="00000000"/>
  </w:font>
  <w:font w:name="楷体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altName w:val="宋体"/>
    <w:panose1 w:val="020B0604020202020204"/>
    <w:charset w:val="86"/>
    <w:family w:val="roman"/>
    <w:pitch w:val="default"/>
    <w:sig w:usb0="00000000" w:usb1="00000000" w:usb2="0000003F" w:usb3="00000000" w:csb0="603F01FF" w:csb1="FFFF0000"/>
  </w:font>
  <w:font w:name="方正大标宋简体">
    <w:altName w:val="微软雅黑"/>
    <w:panose1 w:val="03000509000000000000"/>
    <w:charset w:val="86"/>
    <w:family w:val="script"/>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D7C1F">
    <w:pPr>
      <w:pStyle w:val="19"/>
      <w:ind w:right="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03A90">
    <w:pPr>
      <w:pStyle w:val="19"/>
      <w:tabs>
        <w:tab w:val="center" w:pos="4933"/>
        <w:tab w:val="right" w:pos="9746"/>
      </w:tabs>
      <w:jc w:val="center"/>
      <w:rPr>
        <w:rFonts w:hint="eastAsia" w:eastAsia="宋体"/>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47BFF">
    <w:pPr>
      <w:ind w:firstLine="420"/>
    </w:pPr>
    <w:r>
      <w:c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AD731">
    <w:pPr>
      <w:ind w:left="420"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9B1AC">
                          <w:pPr>
                            <w:pStyle w:val="19"/>
                            <w:ind w:firstLine="36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5D9B1AC">
                    <w:pPr>
                      <w:pStyle w:val="19"/>
                      <w:ind w:firstLine="36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F89DC">
    <w:pPr>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61BC14E">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761BC14E">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F24D2">
    <w:pPr>
      <w:pStyle w:val="19"/>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E1660">
                          <w:pPr>
                            <w:pStyle w:val="19"/>
                            <w:ind w:firstLine="360"/>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30E1660">
                    <w:pPr>
                      <w:pStyle w:val="19"/>
                      <w:ind w:firstLine="360"/>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64EC">
    <w:pPr>
      <w:pStyle w:val="19"/>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382464">
                          <w:pPr>
                            <w:pStyle w:val="19"/>
                            <w:ind w:firstLine="360"/>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2382464">
                    <w:pPr>
                      <w:pStyle w:val="19"/>
                      <w:ind w:firstLine="360"/>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78007">
    <w:pPr>
      <w:pStyle w:val="19"/>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38C52">
                          <w:pPr>
                            <w:pStyle w:val="19"/>
                            <w:ind w:firstLine="360"/>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B738C52">
                    <w:pPr>
                      <w:pStyle w:val="19"/>
                      <w:ind w:firstLine="360"/>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9111C">
    <w:pPr>
      <w:pStyle w:val="19"/>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9F34C">
    <w:pPr>
      <w:pStyle w:val="21"/>
      <w:pBdr>
        <w:bottom w:val="none" w:color="auto" w:sz="0" w:space="1"/>
      </w:pBdr>
      <w:ind w:firstLine="0" w:firstLineChars="0"/>
      <w:jc w:val="both"/>
      <w:rPr>
        <w:rFonts w:ascii="黑体" w:eastAsia="黑体"/>
        <w:color w:val="0000FF"/>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3B9E1">
    <w:pPr>
      <w:pStyle w:val="21"/>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8A45A"/>
    <w:multiLevelType w:val="singleLevel"/>
    <w:tmpl w:val="9A48A45A"/>
    <w:lvl w:ilvl="0" w:tentative="0">
      <w:start w:val="2"/>
      <w:numFmt w:val="decimal"/>
      <w:suff w:val="nothing"/>
      <w:lvlText w:val="%1、"/>
      <w:lvlJc w:val="left"/>
    </w:lvl>
  </w:abstractNum>
  <w:abstractNum w:abstractNumId="1">
    <w:nsid w:val="16A32F38"/>
    <w:multiLevelType w:val="multilevel"/>
    <w:tmpl w:val="16A32F38"/>
    <w:lvl w:ilvl="0" w:tentative="0">
      <w:start w:val="1"/>
      <w:numFmt w:val="japaneseCounting"/>
      <w:lvlText w:val="第%1条"/>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4A23804"/>
    <w:multiLevelType w:val="singleLevel"/>
    <w:tmpl w:val="54A23804"/>
    <w:lvl w:ilvl="0" w:tentative="0">
      <w:start w:val="1"/>
      <w:numFmt w:val="decimal"/>
      <w:suff w:val="space"/>
      <w:lvlText w:val="%1."/>
      <w:lvlJc w:val="left"/>
    </w:lvl>
  </w:abstractNum>
  <w:abstractNum w:abstractNumId="3">
    <w:nsid w:val="5F935246"/>
    <w:multiLevelType w:val="singleLevel"/>
    <w:tmpl w:val="5F935246"/>
    <w:lvl w:ilvl="0" w:tentative="0">
      <w:start w:val="5"/>
      <w:numFmt w:val="chineseCounting"/>
      <w:suff w:val="space"/>
      <w:lvlText w:val="第%1章"/>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HorizontalSpacing w:val="105"/>
  <w:drawingGridVerticalSpacing w:val="207"/>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3NWU1YmVkZjRhNmRiZTVlMmQyOWRjYzNjMWEyOWUifQ=="/>
    <w:docVar w:name="KSO_WPS_MARK_KEY" w:val="64b5752c-ab9b-49ff-8061-64726978501c"/>
  </w:docVars>
  <w:rsids>
    <w:rsidRoot w:val="00172A27"/>
    <w:rsid w:val="000B0B5A"/>
    <w:rsid w:val="000E77E9"/>
    <w:rsid w:val="00172A27"/>
    <w:rsid w:val="001B0136"/>
    <w:rsid w:val="002016F7"/>
    <w:rsid w:val="00223FB9"/>
    <w:rsid w:val="00270BE1"/>
    <w:rsid w:val="00273A15"/>
    <w:rsid w:val="00307A95"/>
    <w:rsid w:val="00406403"/>
    <w:rsid w:val="00481EA5"/>
    <w:rsid w:val="004B7749"/>
    <w:rsid w:val="005E0AA6"/>
    <w:rsid w:val="00606A84"/>
    <w:rsid w:val="006C10FF"/>
    <w:rsid w:val="006D480C"/>
    <w:rsid w:val="00734287"/>
    <w:rsid w:val="008906B3"/>
    <w:rsid w:val="008B1C42"/>
    <w:rsid w:val="008D026E"/>
    <w:rsid w:val="008E5E58"/>
    <w:rsid w:val="009E674E"/>
    <w:rsid w:val="00A92B99"/>
    <w:rsid w:val="00AB3A94"/>
    <w:rsid w:val="00AB707F"/>
    <w:rsid w:val="00B02E81"/>
    <w:rsid w:val="00BF30DE"/>
    <w:rsid w:val="00BF4476"/>
    <w:rsid w:val="00C65BFC"/>
    <w:rsid w:val="00FC62C0"/>
    <w:rsid w:val="00FE576B"/>
    <w:rsid w:val="01063ECB"/>
    <w:rsid w:val="015233E3"/>
    <w:rsid w:val="01536D2A"/>
    <w:rsid w:val="018A0DA4"/>
    <w:rsid w:val="01B36BD0"/>
    <w:rsid w:val="021B1804"/>
    <w:rsid w:val="02685C0C"/>
    <w:rsid w:val="02931935"/>
    <w:rsid w:val="02A418D7"/>
    <w:rsid w:val="02AD7E99"/>
    <w:rsid w:val="03190CB5"/>
    <w:rsid w:val="03767B2E"/>
    <w:rsid w:val="03B1493A"/>
    <w:rsid w:val="03F45E22"/>
    <w:rsid w:val="0422162E"/>
    <w:rsid w:val="045C354F"/>
    <w:rsid w:val="049A0A9D"/>
    <w:rsid w:val="04E45D24"/>
    <w:rsid w:val="04F96FF0"/>
    <w:rsid w:val="05020A43"/>
    <w:rsid w:val="05A60C94"/>
    <w:rsid w:val="06565D7C"/>
    <w:rsid w:val="06D74DCF"/>
    <w:rsid w:val="07563389"/>
    <w:rsid w:val="07E86197"/>
    <w:rsid w:val="091C30B6"/>
    <w:rsid w:val="093F3382"/>
    <w:rsid w:val="09594501"/>
    <w:rsid w:val="095B0516"/>
    <w:rsid w:val="09871F1B"/>
    <w:rsid w:val="09A910F2"/>
    <w:rsid w:val="09D62555"/>
    <w:rsid w:val="09ED6D9F"/>
    <w:rsid w:val="0A390C74"/>
    <w:rsid w:val="0A615B77"/>
    <w:rsid w:val="0AD2152B"/>
    <w:rsid w:val="0BFC1173"/>
    <w:rsid w:val="0C4312F6"/>
    <w:rsid w:val="0C691462"/>
    <w:rsid w:val="0C923886"/>
    <w:rsid w:val="0CC65558"/>
    <w:rsid w:val="0D2D382A"/>
    <w:rsid w:val="0D315845"/>
    <w:rsid w:val="0D7C256C"/>
    <w:rsid w:val="0E48191E"/>
    <w:rsid w:val="0E506C93"/>
    <w:rsid w:val="0E7B0A75"/>
    <w:rsid w:val="0EAF1702"/>
    <w:rsid w:val="0F5749B5"/>
    <w:rsid w:val="0FAF7EF1"/>
    <w:rsid w:val="0FFA3C1C"/>
    <w:rsid w:val="105552F6"/>
    <w:rsid w:val="105570A4"/>
    <w:rsid w:val="106D0892"/>
    <w:rsid w:val="10EF7EDE"/>
    <w:rsid w:val="112C4BCD"/>
    <w:rsid w:val="114A0BD3"/>
    <w:rsid w:val="11643746"/>
    <w:rsid w:val="121A1DD0"/>
    <w:rsid w:val="129A3494"/>
    <w:rsid w:val="12CA3043"/>
    <w:rsid w:val="12E60488"/>
    <w:rsid w:val="1338305D"/>
    <w:rsid w:val="13B0090F"/>
    <w:rsid w:val="13F866C4"/>
    <w:rsid w:val="14010DE0"/>
    <w:rsid w:val="14160CEE"/>
    <w:rsid w:val="14321BA8"/>
    <w:rsid w:val="145D64FF"/>
    <w:rsid w:val="14C609F3"/>
    <w:rsid w:val="151F0E36"/>
    <w:rsid w:val="15C313AD"/>
    <w:rsid w:val="1692422D"/>
    <w:rsid w:val="17075B69"/>
    <w:rsid w:val="17174335"/>
    <w:rsid w:val="178F760F"/>
    <w:rsid w:val="17E31439"/>
    <w:rsid w:val="18130E35"/>
    <w:rsid w:val="181B1C6E"/>
    <w:rsid w:val="18226406"/>
    <w:rsid w:val="185D11EC"/>
    <w:rsid w:val="18F27B86"/>
    <w:rsid w:val="196E0D0E"/>
    <w:rsid w:val="1B3A6860"/>
    <w:rsid w:val="1B4B4580"/>
    <w:rsid w:val="1B993A77"/>
    <w:rsid w:val="1B9C64CF"/>
    <w:rsid w:val="1BD61ADD"/>
    <w:rsid w:val="1C536B8E"/>
    <w:rsid w:val="1D47305A"/>
    <w:rsid w:val="1D511F6E"/>
    <w:rsid w:val="1E197606"/>
    <w:rsid w:val="1E271B7C"/>
    <w:rsid w:val="1E4D585F"/>
    <w:rsid w:val="1EDA17E8"/>
    <w:rsid w:val="1EE14BBD"/>
    <w:rsid w:val="1F00316D"/>
    <w:rsid w:val="1F941C5B"/>
    <w:rsid w:val="1FA8435F"/>
    <w:rsid w:val="20230F6D"/>
    <w:rsid w:val="20B816B5"/>
    <w:rsid w:val="20DE4255"/>
    <w:rsid w:val="21376286"/>
    <w:rsid w:val="214D5D45"/>
    <w:rsid w:val="2241392C"/>
    <w:rsid w:val="23700025"/>
    <w:rsid w:val="23A91789"/>
    <w:rsid w:val="24191D7B"/>
    <w:rsid w:val="2530507E"/>
    <w:rsid w:val="254F5753"/>
    <w:rsid w:val="25D54AB7"/>
    <w:rsid w:val="25D74E40"/>
    <w:rsid w:val="26086C3B"/>
    <w:rsid w:val="265949C5"/>
    <w:rsid w:val="26B02E2F"/>
    <w:rsid w:val="26B61111"/>
    <w:rsid w:val="26C97624"/>
    <w:rsid w:val="26D610CE"/>
    <w:rsid w:val="26E825C8"/>
    <w:rsid w:val="286F5B1F"/>
    <w:rsid w:val="28C4605E"/>
    <w:rsid w:val="28C52BC1"/>
    <w:rsid w:val="292639D6"/>
    <w:rsid w:val="2A174FCB"/>
    <w:rsid w:val="2AAF3B29"/>
    <w:rsid w:val="2ACC5BD6"/>
    <w:rsid w:val="2AE50682"/>
    <w:rsid w:val="2AE94F98"/>
    <w:rsid w:val="2BB539CA"/>
    <w:rsid w:val="2BF11F1F"/>
    <w:rsid w:val="2C1F030F"/>
    <w:rsid w:val="2C862667"/>
    <w:rsid w:val="2C9A0CC8"/>
    <w:rsid w:val="2CF10775"/>
    <w:rsid w:val="2D502DBA"/>
    <w:rsid w:val="2D7828F8"/>
    <w:rsid w:val="2EF835C5"/>
    <w:rsid w:val="2F210D6D"/>
    <w:rsid w:val="2F5E50B1"/>
    <w:rsid w:val="2FC260AC"/>
    <w:rsid w:val="30421016"/>
    <w:rsid w:val="3189249F"/>
    <w:rsid w:val="319121DA"/>
    <w:rsid w:val="321F6337"/>
    <w:rsid w:val="322D17D7"/>
    <w:rsid w:val="323D51DC"/>
    <w:rsid w:val="3244724D"/>
    <w:rsid w:val="32EF01FD"/>
    <w:rsid w:val="33C148CD"/>
    <w:rsid w:val="343216A0"/>
    <w:rsid w:val="343A5E47"/>
    <w:rsid w:val="35551CAB"/>
    <w:rsid w:val="36455C9A"/>
    <w:rsid w:val="36596D6E"/>
    <w:rsid w:val="36873BAC"/>
    <w:rsid w:val="369736C3"/>
    <w:rsid w:val="36A03D62"/>
    <w:rsid w:val="37052D23"/>
    <w:rsid w:val="3790548B"/>
    <w:rsid w:val="380C3C27"/>
    <w:rsid w:val="38226ABC"/>
    <w:rsid w:val="38433B03"/>
    <w:rsid w:val="385C2E16"/>
    <w:rsid w:val="388C0301"/>
    <w:rsid w:val="38B4055C"/>
    <w:rsid w:val="38B92017"/>
    <w:rsid w:val="3971644D"/>
    <w:rsid w:val="39A971A0"/>
    <w:rsid w:val="39BA4298"/>
    <w:rsid w:val="39DE7F87"/>
    <w:rsid w:val="3A0F2F8B"/>
    <w:rsid w:val="3A23599A"/>
    <w:rsid w:val="3A461688"/>
    <w:rsid w:val="3AA0348E"/>
    <w:rsid w:val="3AB4100C"/>
    <w:rsid w:val="3AB842AC"/>
    <w:rsid w:val="3ACE2323"/>
    <w:rsid w:val="3B0357CB"/>
    <w:rsid w:val="3B084B8F"/>
    <w:rsid w:val="3B3D0CDD"/>
    <w:rsid w:val="3B3D2A8B"/>
    <w:rsid w:val="3B7577FA"/>
    <w:rsid w:val="3B950B19"/>
    <w:rsid w:val="3B954675"/>
    <w:rsid w:val="3BA752C3"/>
    <w:rsid w:val="3BC60CD2"/>
    <w:rsid w:val="3C0D3047"/>
    <w:rsid w:val="3C8A7F52"/>
    <w:rsid w:val="3C97266F"/>
    <w:rsid w:val="3CF3094E"/>
    <w:rsid w:val="3D085B96"/>
    <w:rsid w:val="3E012496"/>
    <w:rsid w:val="3E057CB3"/>
    <w:rsid w:val="3E23065E"/>
    <w:rsid w:val="3E6E6BE8"/>
    <w:rsid w:val="3E6F2695"/>
    <w:rsid w:val="3E706C67"/>
    <w:rsid w:val="3EDC644D"/>
    <w:rsid w:val="3F233824"/>
    <w:rsid w:val="3F3C12AC"/>
    <w:rsid w:val="3F47037C"/>
    <w:rsid w:val="3F6C3C11"/>
    <w:rsid w:val="3FD419C9"/>
    <w:rsid w:val="3FF102E8"/>
    <w:rsid w:val="401C35B7"/>
    <w:rsid w:val="403E001A"/>
    <w:rsid w:val="4048237E"/>
    <w:rsid w:val="409C46F8"/>
    <w:rsid w:val="40BD6A52"/>
    <w:rsid w:val="40BF1F1D"/>
    <w:rsid w:val="40DF6392"/>
    <w:rsid w:val="411C1692"/>
    <w:rsid w:val="41814045"/>
    <w:rsid w:val="41D57CAD"/>
    <w:rsid w:val="41F41ECB"/>
    <w:rsid w:val="420D339B"/>
    <w:rsid w:val="421C414D"/>
    <w:rsid w:val="42E934F8"/>
    <w:rsid w:val="433C725A"/>
    <w:rsid w:val="43EF2D90"/>
    <w:rsid w:val="44436C6D"/>
    <w:rsid w:val="44693B0A"/>
    <w:rsid w:val="44AB315B"/>
    <w:rsid w:val="44B1239B"/>
    <w:rsid w:val="44BA6EFA"/>
    <w:rsid w:val="44FD2DBF"/>
    <w:rsid w:val="45C344D5"/>
    <w:rsid w:val="45C96122"/>
    <w:rsid w:val="46261D54"/>
    <w:rsid w:val="46D329AE"/>
    <w:rsid w:val="46DC6426"/>
    <w:rsid w:val="46ED08B9"/>
    <w:rsid w:val="474443BB"/>
    <w:rsid w:val="47465A0F"/>
    <w:rsid w:val="475E3750"/>
    <w:rsid w:val="48446D0B"/>
    <w:rsid w:val="486755EB"/>
    <w:rsid w:val="48D7397C"/>
    <w:rsid w:val="48E1714C"/>
    <w:rsid w:val="48FD7CFE"/>
    <w:rsid w:val="49191FE5"/>
    <w:rsid w:val="493D6110"/>
    <w:rsid w:val="49543DC1"/>
    <w:rsid w:val="499248EA"/>
    <w:rsid w:val="49F73AE6"/>
    <w:rsid w:val="4ACF1226"/>
    <w:rsid w:val="4B157580"/>
    <w:rsid w:val="4B6E4551"/>
    <w:rsid w:val="4B842010"/>
    <w:rsid w:val="4BE6132A"/>
    <w:rsid w:val="4C04492D"/>
    <w:rsid w:val="4C2C4B82"/>
    <w:rsid w:val="4C2D26A8"/>
    <w:rsid w:val="4C3719EC"/>
    <w:rsid w:val="4CB90905"/>
    <w:rsid w:val="4CD80866"/>
    <w:rsid w:val="4CF94FC1"/>
    <w:rsid w:val="4D0C6761"/>
    <w:rsid w:val="4D707E18"/>
    <w:rsid w:val="4DAD31F9"/>
    <w:rsid w:val="4DB33ED5"/>
    <w:rsid w:val="4DFF18BD"/>
    <w:rsid w:val="4E0947F5"/>
    <w:rsid w:val="4E5F55F5"/>
    <w:rsid w:val="4F344AEC"/>
    <w:rsid w:val="4F3600D4"/>
    <w:rsid w:val="4F48131D"/>
    <w:rsid w:val="4F563149"/>
    <w:rsid w:val="4F780C88"/>
    <w:rsid w:val="4F7A20A8"/>
    <w:rsid w:val="502A05F9"/>
    <w:rsid w:val="50632B3C"/>
    <w:rsid w:val="50723E01"/>
    <w:rsid w:val="50F06BDE"/>
    <w:rsid w:val="51566E4B"/>
    <w:rsid w:val="516F72BF"/>
    <w:rsid w:val="518C7CB0"/>
    <w:rsid w:val="523D3AB0"/>
    <w:rsid w:val="526B217C"/>
    <w:rsid w:val="52FC20B6"/>
    <w:rsid w:val="53530C46"/>
    <w:rsid w:val="53547635"/>
    <w:rsid w:val="53A5346C"/>
    <w:rsid w:val="53F22F88"/>
    <w:rsid w:val="54131123"/>
    <w:rsid w:val="54181E8F"/>
    <w:rsid w:val="54907C78"/>
    <w:rsid w:val="54971006"/>
    <w:rsid w:val="54BB00D4"/>
    <w:rsid w:val="54D73AF9"/>
    <w:rsid w:val="54F20FA5"/>
    <w:rsid w:val="55403E82"/>
    <w:rsid w:val="556A1ACE"/>
    <w:rsid w:val="55A47EF0"/>
    <w:rsid w:val="55AB26B3"/>
    <w:rsid w:val="56066443"/>
    <w:rsid w:val="57684EDC"/>
    <w:rsid w:val="57AD0FDC"/>
    <w:rsid w:val="57C17DC1"/>
    <w:rsid w:val="57DE0202"/>
    <w:rsid w:val="581F733A"/>
    <w:rsid w:val="58975A79"/>
    <w:rsid w:val="58ED4DAF"/>
    <w:rsid w:val="58FC62F2"/>
    <w:rsid w:val="59B46A60"/>
    <w:rsid w:val="5A9A6D9C"/>
    <w:rsid w:val="5AB76105"/>
    <w:rsid w:val="5B497575"/>
    <w:rsid w:val="5B9E711E"/>
    <w:rsid w:val="5C7A3128"/>
    <w:rsid w:val="5C86208C"/>
    <w:rsid w:val="5C9A78E6"/>
    <w:rsid w:val="5D81116A"/>
    <w:rsid w:val="5E883E1E"/>
    <w:rsid w:val="5EA833A5"/>
    <w:rsid w:val="5ED03A93"/>
    <w:rsid w:val="5F904FD0"/>
    <w:rsid w:val="6045400C"/>
    <w:rsid w:val="607C7302"/>
    <w:rsid w:val="60934D78"/>
    <w:rsid w:val="60940AF0"/>
    <w:rsid w:val="60FD48E7"/>
    <w:rsid w:val="612E4AA0"/>
    <w:rsid w:val="61B11BBB"/>
    <w:rsid w:val="62061579"/>
    <w:rsid w:val="620F6680"/>
    <w:rsid w:val="623205C0"/>
    <w:rsid w:val="625D4A21"/>
    <w:rsid w:val="626324E8"/>
    <w:rsid w:val="630755A9"/>
    <w:rsid w:val="630930CF"/>
    <w:rsid w:val="63323C6C"/>
    <w:rsid w:val="633D6FBD"/>
    <w:rsid w:val="63640C4D"/>
    <w:rsid w:val="63BC45E5"/>
    <w:rsid w:val="63C65464"/>
    <w:rsid w:val="64612066"/>
    <w:rsid w:val="649D436C"/>
    <w:rsid w:val="64E24BAD"/>
    <w:rsid w:val="64F20901"/>
    <w:rsid w:val="655D371D"/>
    <w:rsid w:val="65F33A50"/>
    <w:rsid w:val="65FC54ED"/>
    <w:rsid w:val="6625733D"/>
    <w:rsid w:val="66D315A5"/>
    <w:rsid w:val="66F77BD6"/>
    <w:rsid w:val="67374B51"/>
    <w:rsid w:val="67386806"/>
    <w:rsid w:val="673F5EBD"/>
    <w:rsid w:val="677E1BB2"/>
    <w:rsid w:val="68335507"/>
    <w:rsid w:val="683B5215"/>
    <w:rsid w:val="68475FAB"/>
    <w:rsid w:val="68587859"/>
    <w:rsid w:val="685A7E88"/>
    <w:rsid w:val="688C5948"/>
    <w:rsid w:val="68A65864"/>
    <w:rsid w:val="690031C6"/>
    <w:rsid w:val="69451930"/>
    <w:rsid w:val="69D501AF"/>
    <w:rsid w:val="69DD00E6"/>
    <w:rsid w:val="6A0171F6"/>
    <w:rsid w:val="6A2E78BF"/>
    <w:rsid w:val="6A721EA2"/>
    <w:rsid w:val="6A876EB1"/>
    <w:rsid w:val="6A974EF2"/>
    <w:rsid w:val="6AD75E94"/>
    <w:rsid w:val="6AE83309"/>
    <w:rsid w:val="6B6C0F31"/>
    <w:rsid w:val="6B7400C0"/>
    <w:rsid w:val="6BB33957"/>
    <w:rsid w:val="6BD808EE"/>
    <w:rsid w:val="6BF86C0A"/>
    <w:rsid w:val="6C2E0F31"/>
    <w:rsid w:val="6CD4112D"/>
    <w:rsid w:val="6DB97DE8"/>
    <w:rsid w:val="6E083531"/>
    <w:rsid w:val="6E256270"/>
    <w:rsid w:val="6E424C7C"/>
    <w:rsid w:val="6E70494A"/>
    <w:rsid w:val="6E8977BA"/>
    <w:rsid w:val="6F08623E"/>
    <w:rsid w:val="6F240E42"/>
    <w:rsid w:val="6FFE0A75"/>
    <w:rsid w:val="70156180"/>
    <w:rsid w:val="705A140E"/>
    <w:rsid w:val="70836CF8"/>
    <w:rsid w:val="70986CED"/>
    <w:rsid w:val="70BF74C3"/>
    <w:rsid w:val="70C1148D"/>
    <w:rsid w:val="712369C8"/>
    <w:rsid w:val="71493231"/>
    <w:rsid w:val="71614A1E"/>
    <w:rsid w:val="72A252EE"/>
    <w:rsid w:val="72CC4119"/>
    <w:rsid w:val="72F272AB"/>
    <w:rsid w:val="73A40BF2"/>
    <w:rsid w:val="73F751C6"/>
    <w:rsid w:val="740718AD"/>
    <w:rsid w:val="74AE719D"/>
    <w:rsid w:val="74BF6A5F"/>
    <w:rsid w:val="753542BD"/>
    <w:rsid w:val="75432002"/>
    <w:rsid w:val="75503479"/>
    <w:rsid w:val="7554592C"/>
    <w:rsid w:val="75772CB6"/>
    <w:rsid w:val="75B70DB7"/>
    <w:rsid w:val="7625426C"/>
    <w:rsid w:val="7662101C"/>
    <w:rsid w:val="76677F73"/>
    <w:rsid w:val="76BD3E54"/>
    <w:rsid w:val="76D35A76"/>
    <w:rsid w:val="76F85106"/>
    <w:rsid w:val="775A3F27"/>
    <w:rsid w:val="776B16AF"/>
    <w:rsid w:val="7780027E"/>
    <w:rsid w:val="77C11D73"/>
    <w:rsid w:val="788F783B"/>
    <w:rsid w:val="78912E9A"/>
    <w:rsid w:val="78C92F4A"/>
    <w:rsid w:val="79B33020"/>
    <w:rsid w:val="7A0C60AF"/>
    <w:rsid w:val="7A705A79"/>
    <w:rsid w:val="7B4A74A3"/>
    <w:rsid w:val="7BF070CA"/>
    <w:rsid w:val="7C2F7BF3"/>
    <w:rsid w:val="7C55517F"/>
    <w:rsid w:val="7CAA0BB1"/>
    <w:rsid w:val="7D2A03BA"/>
    <w:rsid w:val="7D2A0C57"/>
    <w:rsid w:val="7D326B11"/>
    <w:rsid w:val="7D75168E"/>
    <w:rsid w:val="7D934365"/>
    <w:rsid w:val="7DC062BC"/>
    <w:rsid w:val="7E362B7B"/>
    <w:rsid w:val="7E4A4225"/>
    <w:rsid w:val="7E5E4464"/>
    <w:rsid w:val="7E8F5A2E"/>
    <w:rsid w:val="7EB94FA6"/>
    <w:rsid w:val="7EDB5E10"/>
    <w:rsid w:val="7FE81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uiPriority="0" w:name="toa heading"/>
    <w:lsdException w:uiPriority="0" w:name="List"/>
    <w:lsdException w:uiPriority="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iPriority="0" w:name="Body Text Indent 3"/>
    <w:lsdException w:uiPriority="0"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iPriority="99" w:name="HTML Acronym"/>
    <w:lsdException w:uiPriority="0" w:name="HTML Address"/>
    <w:lsdException w:qFormat="1" w:uiPriority="99" w:name="HTML Cite"/>
    <w:lsdException w:qFormat="1" w:uiPriority="99" w:name="HTML Code"/>
    <w:lsdException w:qFormat="1" w:uiPriority="99" w:name="HTML Definition"/>
    <w:lsdException w:qFormat="1" w:uiPriority="99" w:name="HTML Keyboard"/>
    <w:lsdException w:uiPriority="0" w:name="HTML Preformatted"/>
    <w:lsdException w:qFormat="1" w:uiPriority="99" w:name="HTML Sample"/>
    <w:lsdException w:qFormat="1" w:uiPriority="99" w:name="HTML Typewriter"/>
    <w:lsdException w:qFormat="1" w:uiPriority="99"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76"/>
    <w:qFormat/>
    <w:uiPriority w:val="0"/>
    <w:pPr>
      <w:widowControl w:val="0"/>
      <w:spacing w:line="600" w:lineRule="exact"/>
      <w:ind w:firstLine="200" w:firstLineChars="200"/>
      <w:jc w:val="both"/>
    </w:pPr>
    <w:rPr>
      <w:rFonts w:ascii="Calibri" w:hAnsi="Calibri" w:eastAsia="宋体" w:cs="黑体"/>
      <w:kern w:val="2"/>
      <w:sz w:val="21"/>
      <w:szCs w:val="22"/>
      <w:lang w:val="en-US" w:eastAsia="zh-CN" w:bidi="ar-SA"/>
    </w:rPr>
  </w:style>
  <w:style w:type="paragraph" w:styleId="4">
    <w:name w:val="heading 1"/>
    <w:basedOn w:val="1"/>
    <w:next w:val="1"/>
    <w:link w:val="46"/>
    <w:qFormat/>
    <w:uiPriority w:val="0"/>
    <w:pPr>
      <w:keepNext/>
      <w:jc w:val="center"/>
      <w:outlineLvl w:val="0"/>
    </w:pPr>
    <w:rPr>
      <w:rFonts w:ascii="Times New Roman" w:hAnsi="Times New Roman" w:cs="Times New Roman"/>
      <w:b/>
      <w:bCs/>
      <w:color w:val="000000"/>
      <w:kern w:val="0"/>
      <w:sz w:val="32"/>
      <w:szCs w:val="20"/>
    </w:rPr>
  </w:style>
  <w:style w:type="paragraph" w:styleId="5">
    <w:name w:val="heading 2"/>
    <w:basedOn w:val="1"/>
    <w:next w:val="1"/>
    <w:link w:val="47"/>
    <w:qFormat/>
    <w:uiPriority w:val="0"/>
    <w:pPr>
      <w:keepNext/>
      <w:keepLines/>
      <w:spacing w:line="460" w:lineRule="exact"/>
      <w:outlineLvl w:val="1"/>
    </w:pPr>
    <w:rPr>
      <w:rFonts w:ascii="宋体" w:hAnsi="宋体" w:cs="Times New Roman"/>
      <w:b/>
      <w:kern w:val="0"/>
      <w:sz w:val="30"/>
      <w:szCs w:val="30"/>
    </w:rPr>
  </w:style>
  <w:style w:type="paragraph" w:styleId="6">
    <w:name w:val="heading 3"/>
    <w:basedOn w:val="1"/>
    <w:next w:val="1"/>
    <w:qFormat/>
    <w:uiPriority w:val="0"/>
    <w:pPr>
      <w:keepNext/>
      <w:keepLines/>
      <w:spacing w:line="460" w:lineRule="exact"/>
      <w:jc w:val="left"/>
      <w:outlineLvl w:val="2"/>
    </w:pPr>
    <w:rPr>
      <w:b/>
      <w:sz w:val="24"/>
    </w:rPr>
  </w:style>
  <w:style w:type="paragraph" w:styleId="7">
    <w:name w:val="heading 4"/>
    <w:basedOn w:val="1"/>
    <w:next w:val="1"/>
    <w:qFormat/>
    <w:uiPriority w:val="0"/>
    <w:pPr>
      <w:keepNext/>
      <w:keepLines/>
      <w:spacing w:line="360" w:lineRule="auto"/>
      <w:outlineLvl w:val="3"/>
    </w:pPr>
    <w:rPr>
      <w:rFonts w:ascii="Arial" w:hAnsi="Arial"/>
      <w:b/>
      <w:bCs/>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Body Text 2"/>
    <w:basedOn w:val="1"/>
    <w:next w:val="2"/>
    <w:qFormat/>
    <w:uiPriority w:val="0"/>
    <w:pPr>
      <w:spacing w:line="480" w:lineRule="auto"/>
    </w:pPr>
  </w:style>
  <w:style w:type="paragraph" w:styleId="8">
    <w:name w:val="table of authorities"/>
    <w:basedOn w:val="1"/>
    <w:next w:val="1"/>
    <w:qFormat/>
    <w:uiPriority w:val="0"/>
    <w:pPr>
      <w:spacing w:line="240" w:lineRule="auto"/>
      <w:ind w:left="420" w:firstLine="0"/>
    </w:pPr>
  </w:style>
  <w:style w:type="paragraph" w:styleId="9">
    <w:name w:val="index 8"/>
    <w:basedOn w:val="1"/>
    <w:next w:val="1"/>
    <w:qFormat/>
    <w:uiPriority w:val="0"/>
    <w:pPr>
      <w:ind w:left="1400" w:leftChars="1400"/>
    </w:pPr>
    <w:rPr>
      <w:rFonts w:ascii="Times New Roman" w:hAnsi="Times New Roman" w:cs="Times New Roman"/>
    </w:rPr>
  </w:style>
  <w:style w:type="paragraph" w:styleId="10">
    <w:name w:val="Normal Indent"/>
    <w:basedOn w:val="1"/>
    <w:next w:val="3"/>
    <w:qFormat/>
    <w:uiPriority w:val="0"/>
    <w:pPr>
      <w:ind w:firstLine="420"/>
    </w:pPr>
  </w:style>
  <w:style w:type="paragraph" w:styleId="11">
    <w:name w:val="annotation text"/>
    <w:basedOn w:val="1"/>
    <w:qFormat/>
    <w:uiPriority w:val="99"/>
    <w:pPr>
      <w:jc w:val="left"/>
    </w:pPr>
  </w:style>
  <w:style w:type="paragraph" w:styleId="12">
    <w:name w:val="Body Text 3"/>
    <w:basedOn w:val="1"/>
    <w:qFormat/>
    <w:uiPriority w:val="0"/>
    <w:rPr>
      <w:rFonts w:hAnsi="Times New Roman"/>
      <w:kern w:val="0"/>
      <w:sz w:val="24"/>
      <w:szCs w:val="20"/>
    </w:rPr>
  </w:style>
  <w:style w:type="paragraph" w:styleId="13">
    <w:name w:val="Body Text Indent"/>
    <w:basedOn w:val="1"/>
    <w:next w:val="14"/>
    <w:qFormat/>
    <w:uiPriority w:val="0"/>
    <w:pPr>
      <w:spacing w:line="312" w:lineRule="auto"/>
      <w:ind w:firstLine="735" w:firstLineChars="245"/>
    </w:pPr>
  </w:style>
  <w:style w:type="paragraph" w:styleId="14">
    <w:name w:val="Body Text First Indent 2"/>
    <w:basedOn w:val="13"/>
    <w:next w:val="1"/>
    <w:qFormat/>
    <w:uiPriority w:val="0"/>
    <w:pPr>
      <w:spacing w:line="240" w:lineRule="auto"/>
      <w:ind w:left="420" w:leftChars="200" w:firstLine="420" w:firstLineChars="200"/>
    </w:pPr>
  </w:style>
  <w:style w:type="paragraph" w:styleId="15">
    <w:name w:val="List 2"/>
    <w:basedOn w:val="1"/>
    <w:qFormat/>
    <w:uiPriority w:val="0"/>
    <w:pPr>
      <w:ind w:left="100" w:leftChars="200" w:hanging="200" w:hangingChars="200"/>
    </w:pPr>
    <w:rPr>
      <w:szCs w:val="24"/>
    </w:rPr>
  </w:style>
  <w:style w:type="paragraph" w:styleId="16">
    <w:name w:val="Plain Text"/>
    <w:basedOn w:val="1"/>
    <w:next w:val="2"/>
    <w:link w:val="70"/>
    <w:qFormat/>
    <w:uiPriority w:val="0"/>
    <w:pPr>
      <w:spacing w:line="240" w:lineRule="auto"/>
      <w:ind w:firstLine="0" w:firstLineChars="0"/>
    </w:pPr>
    <w:rPr>
      <w:rFonts w:ascii="宋体" w:hAnsi="Courier New" w:cs="Times New Roman"/>
      <w:sz w:val="24"/>
      <w:szCs w:val="20"/>
    </w:rPr>
  </w:style>
  <w:style w:type="paragraph" w:styleId="17">
    <w:name w:val="Body Text Indent 2"/>
    <w:basedOn w:val="1"/>
    <w:qFormat/>
    <w:uiPriority w:val="0"/>
    <w:pPr>
      <w:spacing w:line="400" w:lineRule="exact"/>
      <w:ind w:firstLine="560"/>
    </w:pPr>
    <w:rPr>
      <w:sz w:val="28"/>
    </w:rPr>
  </w:style>
  <w:style w:type="paragraph" w:styleId="18">
    <w:name w:val="Balloon Text"/>
    <w:basedOn w:val="1"/>
    <w:link w:val="68"/>
    <w:semiHidden/>
    <w:unhideWhenUsed/>
    <w:qFormat/>
    <w:uiPriority w:val="99"/>
    <w:pPr>
      <w:spacing w:line="240" w:lineRule="auto"/>
    </w:pPr>
    <w:rPr>
      <w:sz w:val="18"/>
      <w:szCs w:val="18"/>
    </w:rPr>
  </w:style>
  <w:style w:type="paragraph" w:styleId="19">
    <w:name w:val="footer"/>
    <w:basedOn w:val="1"/>
    <w:next w:val="1"/>
    <w:link w:val="67"/>
    <w:unhideWhenUsed/>
    <w:qFormat/>
    <w:uiPriority w:val="99"/>
    <w:pPr>
      <w:tabs>
        <w:tab w:val="center" w:pos="4153"/>
        <w:tab w:val="right" w:pos="8306"/>
      </w:tabs>
      <w:snapToGrid w:val="0"/>
      <w:spacing w:line="240" w:lineRule="atLeast"/>
      <w:jc w:val="left"/>
    </w:pPr>
    <w:rPr>
      <w:sz w:val="18"/>
      <w:szCs w:val="18"/>
    </w:rPr>
  </w:style>
  <w:style w:type="paragraph" w:styleId="20">
    <w:name w:val="envelope return"/>
    <w:basedOn w:val="1"/>
    <w:unhideWhenUsed/>
    <w:qFormat/>
    <w:uiPriority w:val="99"/>
    <w:pPr>
      <w:snapToGrid w:val="0"/>
    </w:pPr>
    <w:rPr>
      <w:rFonts w:ascii="Arial" w:hAnsi="Arial"/>
    </w:rPr>
  </w:style>
  <w:style w:type="paragraph" w:styleId="21">
    <w:name w:val="header"/>
    <w:basedOn w:val="1"/>
    <w:link w:val="66"/>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2">
    <w:name w:val="toc 1"/>
    <w:basedOn w:val="1"/>
    <w:next w:val="1"/>
    <w:qFormat/>
    <w:uiPriority w:val="39"/>
  </w:style>
  <w:style w:type="paragraph" w:styleId="23">
    <w:name w:val="footnote text"/>
    <w:basedOn w:val="1"/>
    <w:qFormat/>
    <w:uiPriority w:val="0"/>
    <w:pPr>
      <w:snapToGrid w:val="0"/>
      <w:jc w:val="left"/>
    </w:pPr>
    <w:rPr>
      <w:sz w:val="18"/>
      <w:szCs w:val="18"/>
    </w:rPr>
  </w:style>
  <w:style w:type="paragraph" w:styleId="24">
    <w:name w:val="toc 2"/>
    <w:basedOn w:val="1"/>
    <w:next w:val="1"/>
    <w:qFormat/>
    <w:uiPriority w:val="39"/>
    <w:pPr>
      <w:widowControl/>
      <w:spacing w:line="276" w:lineRule="auto"/>
      <w:ind w:left="220"/>
      <w:jc w:val="left"/>
    </w:pPr>
    <w:rPr>
      <w:kern w:val="0"/>
      <w:sz w:val="22"/>
    </w:rPr>
  </w:style>
  <w:style w:type="paragraph" w:styleId="25">
    <w:name w:val="Normal (Web)"/>
    <w:basedOn w:val="1"/>
    <w:qFormat/>
    <w:uiPriority w:val="0"/>
    <w:pPr>
      <w:widowControl/>
      <w:spacing w:beforeAutospacing="1" w:afterAutospacing="1"/>
      <w:jc w:val="left"/>
    </w:pPr>
    <w:rPr>
      <w:rFonts w:ascii="宋体" w:hAnsi="宋体" w:cs="宋体"/>
      <w:kern w:val="0"/>
      <w:sz w:val="24"/>
      <w:szCs w:val="24"/>
    </w:rPr>
  </w:style>
  <w:style w:type="paragraph" w:styleId="26">
    <w:name w:val="Title"/>
    <w:basedOn w:val="1"/>
    <w:next w:val="1"/>
    <w:qFormat/>
    <w:uiPriority w:val="0"/>
    <w:pPr>
      <w:jc w:val="center"/>
      <w:outlineLvl w:val="0"/>
    </w:pPr>
    <w:rPr>
      <w:rFonts w:ascii="Cambria" w:hAnsi="Cambria"/>
      <w:b/>
      <w:bCs/>
      <w:sz w:val="32"/>
      <w:szCs w:val="32"/>
    </w:rPr>
  </w:style>
  <w:style w:type="paragraph" w:styleId="27">
    <w:name w:val="Body Text First Indent"/>
    <w:basedOn w:val="2"/>
    <w:next w:val="14"/>
    <w:qFormat/>
    <w:uiPriority w:val="0"/>
    <w:pPr>
      <w:ind w:firstLine="420" w:firstLineChars="100"/>
    </w:pPr>
  </w:style>
  <w:style w:type="table" w:styleId="29">
    <w:name w:val="Table Grid"/>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31">
    <w:name w:val="page number"/>
    <w:basedOn w:val="30"/>
    <w:qFormat/>
    <w:uiPriority w:val="0"/>
  </w:style>
  <w:style w:type="character" w:styleId="32">
    <w:name w:val="FollowedHyperlink"/>
    <w:basedOn w:val="30"/>
    <w:semiHidden/>
    <w:unhideWhenUsed/>
    <w:qFormat/>
    <w:uiPriority w:val="99"/>
    <w:rPr>
      <w:color w:val="800080"/>
      <w:u w:val="none"/>
    </w:rPr>
  </w:style>
  <w:style w:type="character" w:styleId="33">
    <w:name w:val="HTML Definition"/>
    <w:basedOn w:val="30"/>
    <w:semiHidden/>
    <w:unhideWhenUsed/>
    <w:qFormat/>
    <w:uiPriority w:val="99"/>
  </w:style>
  <w:style w:type="character" w:styleId="34">
    <w:name w:val="HTML Typewriter"/>
    <w:basedOn w:val="30"/>
    <w:semiHidden/>
    <w:unhideWhenUsed/>
    <w:qFormat/>
    <w:uiPriority w:val="99"/>
    <w:rPr>
      <w:rFonts w:hint="default" w:ascii="monospace" w:hAnsi="monospace" w:eastAsia="monospace" w:cs="monospace"/>
      <w:sz w:val="20"/>
    </w:rPr>
  </w:style>
  <w:style w:type="character" w:styleId="35">
    <w:name w:val="HTML Acronym"/>
    <w:basedOn w:val="30"/>
    <w:semiHidden/>
    <w:unhideWhenUsed/>
    <w:qFormat/>
    <w:uiPriority w:val="99"/>
  </w:style>
  <w:style w:type="character" w:styleId="36">
    <w:name w:val="HTML Variable"/>
    <w:basedOn w:val="30"/>
    <w:semiHidden/>
    <w:unhideWhenUsed/>
    <w:qFormat/>
    <w:uiPriority w:val="99"/>
  </w:style>
  <w:style w:type="character" w:styleId="37">
    <w:name w:val="Hyperlink"/>
    <w:basedOn w:val="30"/>
    <w:semiHidden/>
    <w:unhideWhenUsed/>
    <w:qFormat/>
    <w:uiPriority w:val="99"/>
    <w:rPr>
      <w:color w:val="0000FF"/>
      <w:u w:val="none"/>
    </w:rPr>
  </w:style>
  <w:style w:type="character" w:styleId="38">
    <w:name w:val="HTML Code"/>
    <w:basedOn w:val="30"/>
    <w:semiHidden/>
    <w:unhideWhenUsed/>
    <w:qFormat/>
    <w:uiPriority w:val="99"/>
    <w:rPr>
      <w:rFonts w:hint="default" w:ascii="monospace" w:hAnsi="monospace" w:eastAsia="monospace" w:cs="monospace"/>
      <w:sz w:val="20"/>
    </w:rPr>
  </w:style>
  <w:style w:type="character" w:styleId="39">
    <w:name w:val="HTML Cite"/>
    <w:basedOn w:val="30"/>
    <w:semiHidden/>
    <w:unhideWhenUsed/>
    <w:qFormat/>
    <w:uiPriority w:val="99"/>
  </w:style>
  <w:style w:type="character" w:styleId="40">
    <w:name w:val="HTML Keyboard"/>
    <w:basedOn w:val="30"/>
    <w:semiHidden/>
    <w:unhideWhenUsed/>
    <w:qFormat/>
    <w:uiPriority w:val="99"/>
    <w:rPr>
      <w:rFonts w:hint="default" w:ascii="monospace" w:hAnsi="monospace" w:eastAsia="monospace" w:cs="monospace"/>
      <w:sz w:val="20"/>
    </w:rPr>
  </w:style>
  <w:style w:type="character" w:styleId="41">
    <w:name w:val="HTML Sample"/>
    <w:basedOn w:val="30"/>
    <w:semiHidden/>
    <w:unhideWhenUsed/>
    <w:qFormat/>
    <w:uiPriority w:val="99"/>
    <w:rPr>
      <w:rFonts w:ascii="monospace" w:hAnsi="monospace" w:eastAsia="monospace" w:cs="monospace"/>
    </w:rPr>
  </w:style>
  <w:style w:type="paragraph" w:customStyle="1" w:styleId="42">
    <w:name w:val="Default"/>
    <w:next w:val="2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44">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45">
    <w:name w:val="样式 正文首行缩进 2 + Arial"/>
    <w:basedOn w:val="1"/>
    <w:next w:val="1"/>
    <w:qFormat/>
    <w:uiPriority w:val="0"/>
    <w:pPr>
      <w:spacing w:after="120" w:line="320" w:lineRule="atLeast"/>
    </w:pPr>
    <w:rPr>
      <w:rFonts w:ascii="Arial" w:hAnsi="Arial"/>
      <w:kern w:val="0"/>
    </w:rPr>
  </w:style>
  <w:style w:type="character" w:customStyle="1" w:styleId="46">
    <w:name w:val="标题 1 Char"/>
    <w:link w:val="4"/>
    <w:qFormat/>
    <w:uiPriority w:val="0"/>
    <w:rPr>
      <w:b/>
      <w:bCs/>
      <w:color w:val="000000"/>
      <w:sz w:val="32"/>
    </w:rPr>
  </w:style>
  <w:style w:type="character" w:customStyle="1" w:styleId="47">
    <w:name w:val="标题 2 Char"/>
    <w:link w:val="5"/>
    <w:qFormat/>
    <w:uiPriority w:val="0"/>
    <w:rPr>
      <w:rFonts w:ascii="宋体" w:hAnsi="宋体"/>
      <w:b/>
      <w:sz w:val="30"/>
      <w:szCs w:val="30"/>
    </w:rPr>
  </w:style>
  <w:style w:type="paragraph" w:customStyle="1" w:styleId="48">
    <w:name w:val="style4"/>
    <w:basedOn w:val="49"/>
    <w:next w:val="50"/>
    <w:qFormat/>
    <w:uiPriority w:val="0"/>
    <w:pPr>
      <w:widowControl/>
      <w:spacing w:beforeAutospacing="1" w:afterAutospacing="1"/>
      <w:jc w:val="left"/>
    </w:pPr>
    <w:rPr>
      <w:rFonts w:ascii="宋体" w:hAnsi="宋体" w:cs="宋体"/>
      <w:kern w:val="0"/>
      <w:sz w:val="18"/>
      <w:szCs w:val="18"/>
    </w:rPr>
  </w:style>
  <w:style w:type="paragraph" w:customStyle="1" w:styleId="49">
    <w:name w:val="正文_0"/>
    <w:next w:val="27"/>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0">
    <w:name w:val="2"/>
    <w:next w:val="1"/>
    <w:qFormat/>
    <w:uiPriority w:val="0"/>
    <w:pPr>
      <w:widowControl w:val="0"/>
      <w:jc w:val="both"/>
    </w:pPr>
    <w:rPr>
      <w:rFonts w:ascii="Times New Roman" w:hAnsi="Times New Roman" w:eastAsia="宋体" w:cs="Times New Roman"/>
      <w:sz w:val="21"/>
      <w:lang w:val="en-US" w:eastAsia="zh-CN" w:bidi="ar-SA"/>
    </w:rPr>
  </w:style>
  <w:style w:type="paragraph" w:customStyle="1" w:styleId="51">
    <w:name w:val="无间隔1"/>
    <w:basedOn w:val="1"/>
    <w:qFormat/>
    <w:uiPriority w:val="1"/>
    <w:pPr>
      <w:spacing w:line="400" w:lineRule="exact"/>
    </w:pPr>
  </w:style>
  <w:style w:type="paragraph" w:customStyle="1" w:styleId="52">
    <w:name w:val="*正文"/>
    <w:basedOn w:val="1"/>
    <w:next w:val="1"/>
    <w:qFormat/>
    <w:uiPriority w:val="0"/>
    <w:pPr>
      <w:spacing w:line="360" w:lineRule="auto"/>
    </w:pPr>
    <w:rPr>
      <w:rFonts w:hint="eastAsia" w:ascii="宋体" w:hAnsi="宋体" w:cs="Times New Roman"/>
      <w:kern w:val="0"/>
      <w:sz w:val="20"/>
      <w:szCs w:val="24"/>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列出段落1"/>
    <w:basedOn w:val="1"/>
    <w:qFormat/>
    <w:uiPriority w:val="0"/>
    <w:pPr>
      <w:ind w:firstLine="420"/>
    </w:pPr>
    <w:rPr>
      <w:szCs w:val="24"/>
    </w:rPr>
  </w:style>
  <w:style w:type="paragraph" w:customStyle="1" w:styleId="55">
    <w:name w:val="招标正文"/>
    <w:basedOn w:val="1"/>
    <w:qFormat/>
    <w:uiPriority w:val="0"/>
    <w:pPr>
      <w:spacing w:line="360" w:lineRule="auto"/>
      <w:ind w:firstLine="480"/>
    </w:pPr>
    <w:rPr>
      <w:rFonts w:ascii="宋体" w:hAnsi="宋体"/>
      <w:sz w:val="24"/>
      <w:szCs w:val="24"/>
    </w:rPr>
  </w:style>
  <w:style w:type="paragraph" w:customStyle="1" w:styleId="56">
    <w:name w:val="Table Paragraph"/>
    <w:basedOn w:val="1"/>
    <w:qFormat/>
    <w:uiPriority w:val="1"/>
    <w:pPr>
      <w:autoSpaceDE w:val="0"/>
      <w:autoSpaceDN w:val="0"/>
      <w:jc w:val="left"/>
    </w:pPr>
    <w:rPr>
      <w:rFonts w:hint="eastAsia" w:ascii="宋体" w:hAnsi="宋体" w:cs="Times New Roman"/>
      <w:kern w:val="0"/>
      <w:sz w:val="22"/>
    </w:rPr>
  </w:style>
  <w:style w:type="paragraph" w:customStyle="1" w:styleId="57">
    <w:name w:val="BodyText1I2"/>
    <w:basedOn w:val="58"/>
    <w:next w:val="59"/>
    <w:qFormat/>
    <w:uiPriority w:val="0"/>
    <w:pPr>
      <w:ind w:firstLine="420"/>
    </w:pPr>
    <w:rPr>
      <w:rFonts w:ascii="Calibri" w:hAnsi="Calibri" w:eastAsia="楷体_GB2312"/>
      <w:kern w:val="44"/>
      <w:sz w:val="44"/>
    </w:rPr>
  </w:style>
  <w:style w:type="paragraph" w:customStyle="1" w:styleId="58">
    <w:name w:val="BodyTextIndent"/>
    <w:basedOn w:val="1"/>
    <w:qFormat/>
    <w:uiPriority w:val="0"/>
    <w:pPr>
      <w:spacing w:after="120"/>
      <w:ind w:left="420" w:leftChars="200"/>
    </w:pPr>
    <w:rPr>
      <w:rFonts w:ascii="Times New Roman" w:hAnsi="Times New Roman"/>
      <w:kern w:val="0"/>
      <w:sz w:val="20"/>
    </w:rPr>
  </w:style>
  <w:style w:type="paragraph" w:customStyle="1" w:styleId="59">
    <w:name w:val="UserStyle_136"/>
    <w:basedOn w:val="1"/>
    <w:next w:val="1"/>
    <w:qFormat/>
    <w:uiPriority w:val="0"/>
    <w:pPr>
      <w:spacing w:after="120" w:line="320" w:lineRule="atLeast"/>
    </w:pPr>
    <w:rPr>
      <w:rFonts w:ascii="Arial" w:hAnsi="Arial"/>
      <w:kern w:val="0"/>
    </w:rPr>
  </w:style>
  <w:style w:type="paragraph" w:customStyle="1" w:styleId="60">
    <w:name w:val="Normal_51"/>
    <w:qFormat/>
    <w:uiPriority w:val="0"/>
    <w:pPr>
      <w:spacing w:before="120" w:after="240"/>
      <w:jc w:val="both"/>
    </w:pPr>
    <w:rPr>
      <w:rFonts w:ascii="Times New Roman" w:hAnsi="Times New Roman" w:eastAsia="Calibri" w:cs="Times New Roman"/>
      <w:sz w:val="22"/>
      <w:szCs w:val="22"/>
      <w:lang w:val="en-US" w:eastAsia="en-US" w:bidi="ar-SA"/>
    </w:rPr>
  </w:style>
  <w:style w:type="paragraph" w:customStyle="1" w:styleId="61">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63">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64">
    <w:name w:val="样式 标题 2 + Times New Roman 四号 非加粗 段前: 5 磅 段后: 0 磅 行距: 固定值 20..."/>
    <w:basedOn w:val="5"/>
    <w:qFormat/>
    <w:uiPriority w:val="0"/>
    <w:pPr>
      <w:spacing w:line="400" w:lineRule="exact"/>
    </w:pPr>
    <w:rPr>
      <w:rFonts w:ascii="Times New Roman" w:hAnsi="Times New Roman" w:cs="宋体"/>
      <w:b w:val="0"/>
      <w:sz w:val="28"/>
      <w:szCs w:val="20"/>
    </w:rPr>
  </w:style>
  <w:style w:type="paragraph" w:customStyle="1" w:styleId="65">
    <w:name w:val="样式 标题 3 + (中文) 黑体 小四 非加粗 段前: 7.8 磅 段后: 0 磅 行距: 固定值 20 磅"/>
    <w:basedOn w:val="6"/>
    <w:qFormat/>
    <w:uiPriority w:val="0"/>
    <w:pPr>
      <w:spacing w:line="400" w:lineRule="exact"/>
    </w:pPr>
    <w:rPr>
      <w:rFonts w:eastAsia="黑体" w:cs="宋体"/>
      <w:b w:val="0"/>
      <w:szCs w:val="20"/>
    </w:rPr>
  </w:style>
  <w:style w:type="character" w:customStyle="1" w:styleId="66">
    <w:name w:val="页眉 Char"/>
    <w:basedOn w:val="30"/>
    <w:link w:val="21"/>
    <w:qFormat/>
    <w:uiPriority w:val="99"/>
    <w:rPr>
      <w:kern w:val="2"/>
      <w:sz w:val="18"/>
      <w:szCs w:val="18"/>
    </w:rPr>
  </w:style>
  <w:style w:type="character" w:customStyle="1" w:styleId="67">
    <w:name w:val="页脚 Char"/>
    <w:basedOn w:val="30"/>
    <w:link w:val="19"/>
    <w:qFormat/>
    <w:uiPriority w:val="99"/>
    <w:rPr>
      <w:kern w:val="2"/>
      <w:sz w:val="18"/>
      <w:szCs w:val="18"/>
    </w:rPr>
  </w:style>
  <w:style w:type="character" w:customStyle="1" w:styleId="68">
    <w:name w:val="批注框文本 Char"/>
    <w:basedOn w:val="30"/>
    <w:link w:val="18"/>
    <w:qFormat/>
    <w:uiPriority w:val="99"/>
    <w:rPr>
      <w:rFonts w:ascii="Calibri" w:hAnsi="Calibri" w:eastAsia="宋体" w:cs="黑体"/>
      <w:kern w:val="2"/>
      <w:sz w:val="18"/>
      <w:szCs w:val="18"/>
    </w:rPr>
  </w:style>
  <w:style w:type="character" w:customStyle="1" w:styleId="69">
    <w:name w:val="纯文本 Char Char"/>
    <w:basedOn w:val="30"/>
    <w:qFormat/>
    <w:uiPriority w:val="0"/>
    <w:rPr>
      <w:rFonts w:ascii="宋体" w:hAnsi="Courier New"/>
      <w:kern w:val="2"/>
      <w:sz w:val="24"/>
    </w:rPr>
  </w:style>
  <w:style w:type="character" w:customStyle="1" w:styleId="70">
    <w:name w:val="纯文本 Char"/>
    <w:basedOn w:val="30"/>
    <w:link w:val="16"/>
    <w:qFormat/>
    <w:uiPriority w:val="99"/>
    <w:rPr>
      <w:rFonts w:ascii="宋体" w:hAnsi="Courier New" w:cs="Courier New"/>
      <w:kern w:val="2"/>
      <w:sz w:val="21"/>
      <w:szCs w:val="21"/>
    </w:rPr>
  </w:style>
  <w:style w:type="character" w:customStyle="1" w:styleId="71">
    <w:name w:val="正文文本 + 间距 0 pt"/>
    <w:basedOn w:val="30"/>
    <w:qFormat/>
    <w:uiPriority w:val="0"/>
    <w:rPr>
      <w:rFonts w:ascii="MingLiU" w:hAnsi="MingLiU" w:eastAsia="MingLiU" w:cs="MingLiU"/>
      <w:color w:val="000000"/>
      <w:spacing w:val="0"/>
      <w:w w:val="100"/>
      <w:position w:val="0"/>
      <w:shd w:val="clear" w:color="auto" w:fill="FFFFFF"/>
      <w:lang w:val="en-US" w:eastAsia="en-US" w:bidi="en-US"/>
    </w:rPr>
  </w:style>
  <w:style w:type="paragraph" w:styleId="72">
    <w:name w:val="List Paragraph"/>
    <w:basedOn w:val="1"/>
    <w:unhideWhenUsed/>
    <w:qFormat/>
    <w:uiPriority w:val="99"/>
    <w:pPr>
      <w:ind w:firstLine="420"/>
    </w:pPr>
  </w:style>
  <w:style w:type="paragraph" w:customStyle="1" w:styleId="73">
    <w:name w:val="正文 A"/>
    <w:qFormat/>
    <w:uiPriority w:val="99"/>
    <w:pPr>
      <w:widowControl w:val="0"/>
      <w:jc w:val="both"/>
    </w:pPr>
    <w:rPr>
      <w:rFonts w:ascii="Arial Unicode MS" w:hAnsi="Arial Unicode MS" w:eastAsia="宋体" w:cs="Arial Unicode MS"/>
      <w:color w:val="000000"/>
      <w:kern w:val="2"/>
      <w:sz w:val="21"/>
      <w:szCs w:val="21"/>
      <w:lang w:val="en-US" w:eastAsia="zh-CN" w:bidi="ar-SA"/>
    </w:rPr>
  </w:style>
  <w:style w:type="paragraph" w:customStyle="1" w:styleId="74">
    <w:name w:val="Table Text"/>
    <w:basedOn w:val="1"/>
    <w:semiHidden/>
    <w:qFormat/>
    <w:uiPriority w:val="0"/>
    <w:rPr>
      <w:rFonts w:ascii="宋体" w:hAnsi="宋体" w:eastAsia="宋体" w:cs="宋体"/>
      <w:sz w:val="20"/>
      <w:szCs w:val="20"/>
      <w:lang w:val="en-US" w:eastAsia="en-US" w:bidi="ar-SA"/>
    </w:rPr>
  </w:style>
  <w:style w:type="table" w:customStyle="1" w:styleId="75">
    <w:name w:val="Table Normal"/>
    <w:semiHidden/>
    <w:unhideWhenUsed/>
    <w:qFormat/>
    <w:uiPriority w:val="0"/>
    <w:tblPr>
      <w:tblCellMar>
        <w:top w:w="0" w:type="dxa"/>
        <w:left w:w="0" w:type="dxa"/>
        <w:bottom w:w="0" w:type="dxa"/>
        <w:right w:w="0" w:type="dxa"/>
      </w:tblCellMar>
    </w:tblPr>
  </w:style>
  <w:style w:type="character" w:customStyle="1" w:styleId="76">
    <w:name w:val="NormalCharacter"/>
    <w:link w:val="1"/>
    <w:autoRedefine/>
    <w:qFormat/>
    <w:uiPriority w:val="0"/>
    <w:rPr>
      <w:rFonts w:ascii="Calibri" w:hAnsi="Calibri" w:eastAsia="宋体" w:cs="黑体"/>
      <w:kern w:val="2"/>
      <w:sz w:val="21"/>
      <w:szCs w:val="22"/>
      <w:lang w:val="en-US" w:eastAsia="zh-CN" w:bidi="ar-SA"/>
    </w:rPr>
  </w:style>
  <w:style w:type="paragraph" w:customStyle="1" w:styleId="77">
    <w:name w:val="正文文本首行缩进 21"/>
    <w:basedOn w:val="13"/>
    <w:next w:val="1"/>
    <w:autoRedefine/>
    <w:qFormat/>
    <w:uiPriority w:val="0"/>
    <w:pPr>
      <w:spacing w:after="120" w:line="240" w:lineRule="auto"/>
      <w:ind w:left="420" w:leftChars="200"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3.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58</Pages>
  <Words>14088</Words>
  <Characters>15400</Characters>
  <Lines>254</Lines>
  <Paragraphs>71</Paragraphs>
  <TotalTime>18</TotalTime>
  <ScaleCrop>false</ScaleCrop>
  <LinksUpToDate>false</LinksUpToDate>
  <CharactersWithSpaces>15609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2025-05-08T04:17:00Z</dcterms:created>
  <dc:creator>wxk</dc:creator>
  <cp:lastModifiedBy>丶</cp:lastModifiedBy>
  <cp:lastPrinted>2026-08-18T02:47:00Z</cp:lastPrinted>
  <dcterms:modified xsi:type="dcterms:W3CDTF">2026-08-28T09:03:12Z</dcterms:modified>
  <dc:title>信阳市公安局刑科所声纹检验实验室建设项目</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1A495B1802384DF486307DB4BF9959A9_13</vt:lpwstr>
  </property>
  <property fmtid="{D5CDD505-2E9C-101B-9397-08002B2CF9AE}" pid="4" name="KSOTemplateDocerSaveRecord">
    <vt:lpwstr>eyJoZGlkIjoiZjlhNjliYjdhMjI1YTY4ODJmYWJmMTI4NTIyMTYwY2MiLCJ1c2VySWQiOiIyNDE3Mzc5MzgifQ==</vt:lpwstr>
  </property>
</Properties>
</file>