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2DF433">
      <w:pPr>
        <w:jc w:val="center"/>
        <w:rPr>
          <w:rFonts w:hint="eastAsia"/>
          <w:b/>
          <w:bCs/>
          <w:sz w:val="24"/>
          <w:szCs w:val="24"/>
        </w:rPr>
      </w:pPr>
      <w:r>
        <w:rPr>
          <w:rFonts w:hint="eastAsia"/>
          <w:b/>
          <w:bCs/>
          <w:sz w:val="24"/>
          <w:szCs w:val="24"/>
          <w:lang w:eastAsia="zh-CN"/>
        </w:rPr>
        <w:t>焦作市职业技术学校4号教学楼及西连廊、6号教学楼、机电实训楼、综合楼外墙瓷砖改真石漆及1号教学楼外墙面改真石漆修缮项目</w:t>
      </w:r>
      <w:r>
        <w:rPr>
          <w:rFonts w:hint="eastAsia"/>
          <w:b/>
          <w:bCs/>
          <w:sz w:val="24"/>
          <w:szCs w:val="24"/>
        </w:rPr>
        <w:t>的成交结果公告</w:t>
      </w:r>
    </w:p>
    <w:p w14:paraId="555D3E0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一、项目基本情况 </w:t>
      </w:r>
    </w:p>
    <w:p w14:paraId="3956B0E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w:t>
      </w:r>
      <w:r>
        <w:rPr>
          <w:rFonts w:hint="eastAsia" w:ascii="宋体" w:hAnsi="宋体" w:eastAsia="宋体" w:cs="宋体"/>
          <w:sz w:val="24"/>
          <w:szCs w:val="24"/>
        </w:rPr>
        <w:t>采购项目编号：</w:t>
      </w:r>
      <w:r>
        <w:rPr>
          <w:rFonts w:hint="eastAsia" w:ascii="宋体" w:hAnsi="宋体" w:eastAsia="宋体" w:cs="宋体"/>
          <w:sz w:val="24"/>
          <w:szCs w:val="24"/>
          <w:lang w:eastAsia="zh-CN"/>
        </w:rPr>
        <w:t>焦财磋商采购-2026-</w:t>
      </w:r>
      <w:r>
        <w:rPr>
          <w:rFonts w:hint="eastAsia" w:ascii="宋体" w:hAnsi="宋体" w:eastAsia="宋体" w:cs="宋体"/>
          <w:sz w:val="24"/>
          <w:szCs w:val="24"/>
          <w:lang w:val="en-US" w:eastAsia="zh-CN"/>
        </w:rPr>
        <w:t>49</w:t>
      </w:r>
    </w:p>
    <w:p w14:paraId="67904D8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2</w:t>
      </w:r>
      <w:r>
        <w:rPr>
          <w:rFonts w:hint="eastAsia" w:ascii="宋体" w:hAnsi="宋体" w:eastAsia="宋体" w:cs="宋体"/>
          <w:sz w:val="24"/>
          <w:szCs w:val="24"/>
          <w:lang w:val="en-US" w:eastAsia="zh-CN"/>
        </w:rPr>
        <w:t>.</w:t>
      </w:r>
      <w:r>
        <w:rPr>
          <w:rFonts w:hint="eastAsia" w:ascii="宋体" w:hAnsi="宋体" w:eastAsia="宋体" w:cs="宋体"/>
          <w:sz w:val="24"/>
          <w:szCs w:val="24"/>
        </w:rPr>
        <w:t>采购项目名称：</w:t>
      </w:r>
      <w:r>
        <w:rPr>
          <w:rFonts w:hint="eastAsia" w:ascii="宋体" w:hAnsi="宋体" w:eastAsia="宋体" w:cs="宋体"/>
          <w:sz w:val="24"/>
          <w:szCs w:val="24"/>
          <w:lang w:eastAsia="zh-CN"/>
        </w:rPr>
        <w:t>焦作市职业技术学校4号教学楼及西连廊、6号教学楼、机电实训楼、综合楼外墙瓷砖改真石漆及1号教学楼外墙面改真石漆修缮项目</w:t>
      </w:r>
    </w:p>
    <w:p w14:paraId="466C9FE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val="en-US" w:eastAsia="zh-CN"/>
        </w:rPr>
        <w:t>.</w:t>
      </w:r>
      <w:r>
        <w:rPr>
          <w:rFonts w:hint="eastAsia" w:ascii="宋体" w:hAnsi="宋体" w:eastAsia="宋体" w:cs="宋体"/>
          <w:sz w:val="24"/>
          <w:szCs w:val="24"/>
        </w:rPr>
        <w:t xml:space="preserve">采购方式：竞争性磋商 </w:t>
      </w:r>
    </w:p>
    <w:p w14:paraId="374F0B9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val="en-US" w:eastAsia="zh-CN"/>
        </w:rPr>
        <w:t>.</w:t>
      </w:r>
      <w:r>
        <w:rPr>
          <w:rFonts w:hint="eastAsia" w:ascii="宋体" w:hAnsi="宋体" w:eastAsia="宋体" w:cs="宋体"/>
          <w:sz w:val="24"/>
          <w:szCs w:val="24"/>
        </w:rPr>
        <w:t>采购公告发布日期：202</w:t>
      </w:r>
      <w:r>
        <w:rPr>
          <w:rFonts w:hint="eastAsia" w:ascii="宋体" w:hAnsi="宋体" w:eastAsia="宋体" w:cs="宋体"/>
          <w:sz w:val="24"/>
          <w:szCs w:val="24"/>
          <w:lang w:val="en-US" w:eastAsia="zh-CN"/>
        </w:rPr>
        <w:t>6</w:t>
      </w:r>
      <w:r>
        <w:rPr>
          <w:rFonts w:hint="eastAsia" w:ascii="宋体" w:hAnsi="宋体" w:eastAsia="宋体" w:cs="宋体"/>
          <w:sz w:val="24"/>
          <w:szCs w:val="24"/>
        </w:rPr>
        <w:t>年</w:t>
      </w:r>
      <w:r>
        <w:rPr>
          <w:rFonts w:hint="eastAsia" w:ascii="宋体" w:hAnsi="宋体" w:eastAsia="宋体" w:cs="宋体"/>
          <w:sz w:val="24"/>
          <w:szCs w:val="24"/>
          <w:lang w:val="en-US" w:eastAsia="zh-CN"/>
        </w:rPr>
        <w:t>8</w:t>
      </w:r>
      <w:r>
        <w:rPr>
          <w:rFonts w:hint="eastAsia" w:ascii="宋体" w:hAnsi="宋体" w:eastAsia="宋体" w:cs="宋体"/>
          <w:sz w:val="24"/>
          <w:szCs w:val="24"/>
        </w:rPr>
        <w:t>月</w:t>
      </w:r>
      <w:r>
        <w:rPr>
          <w:rFonts w:hint="eastAsia" w:ascii="宋体" w:hAnsi="宋体" w:eastAsia="宋体" w:cs="宋体"/>
          <w:sz w:val="24"/>
          <w:szCs w:val="24"/>
          <w:lang w:val="en-US" w:eastAsia="zh-CN"/>
        </w:rPr>
        <w:t>10</w:t>
      </w:r>
      <w:r>
        <w:rPr>
          <w:rFonts w:hint="eastAsia" w:ascii="宋体" w:hAnsi="宋体" w:eastAsia="宋体" w:cs="宋体"/>
          <w:sz w:val="24"/>
          <w:szCs w:val="24"/>
        </w:rPr>
        <w:t xml:space="preserve">日 </w:t>
      </w:r>
    </w:p>
    <w:p w14:paraId="20D7609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w:t>
      </w:r>
      <w:r>
        <w:rPr>
          <w:rFonts w:hint="eastAsia" w:ascii="宋体" w:hAnsi="宋体" w:eastAsia="宋体" w:cs="宋体"/>
          <w:sz w:val="24"/>
          <w:szCs w:val="24"/>
          <w:lang w:val="en-US" w:eastAsia="zh-CN"/>
        </w:rPr>
        <w:t>.</w:t>
      </w:r>
      <w:r>
        <w:rPr>
          <w:rFonts w:hint="eastAsia" w:ascii="宋体" w:hAnsi="宋体" w:eastAsia="宋体" w:cs="宋体"/>
          <w:sz w:val="24"/>
          <w:szCs w:val="24"/>
        </w:rPr>
        <w:t>评审日期：202</w:t>
      </w:r>
      <w:r>
        <w:rPr>
          <w:rFonts w:hint="eastAsia" w:ascii="宋体" w:hAnsi="宋体" w:eastAsia="宋体" w:cs="宋体"/>
          <w:sz w:val="24"/>
          <w:szCs w:val="24"/>
          <w:lang w:val="en-US" w:eastAsia="zh-CN"/>
        </w:rPr>
        <w:t>6</w:t>
      </w:r>
      <w:r>
        <w:rPr>
          <w:rFonts w:hint="eastAsia" w:ascii="宋体" w:hAnsi="宋体" w:eastAsia="宋体" w:cs="宋体"/>
          <w:sz w:val="24"/>
          <w:szCs w:val="24"/>
        </w:rPr>
        <w:t>年</w:t>
      </w:r>
      <w:r>
        <w:rPr>
          <w:rFonts w:hint="eastAsia" w:ascii="宋体" w:hAnsi="宋体" w:eastAsia="宋体" w:cs="宋体"/>
          <w:sz w:val="24"/>
          <w:szCs w:val="24"/>
          <w:lang w:val="en-US" w:eastAsia="zh-CN"/>
        </w:rPr>
        <w:t>8</w:t>
      </w:r>
      <w:r>
        <w:rPr>
          <w:rFonts w:hint="eastAsia" w:ascii="宋体" w:hAnsi="宋体" w:eastAsia="宋体" w:cs="宋体"/>
          <w:sz w:val="24"/>
          <w:szCs w:val="24"/>
        </w:rPr>
        <w:t>月</w:t>
      </w:r>
      <w:r>
        <w:rPr>
          <w:rFonts w:hint="eastAsia" w:ascii="宋体" w:hAnsi="宋体" w:eastAsia="宋体" w:cs="宋体"/>
          <w:sz w:val="24"/>
          <w:szCs w:val="24"/>
          <w:lang w:val="en-US" w:eastAsia="zh-CN"/>
        </w:rPr>
        <w:t>21</w:t>
      </w:r>
      <w:r>
        <w:rPr>
          <w:rFonts w:hint="eastAsia" w:ascii="宋体" w:hAnsi="宋体" w:eastAsia="宋体" w:cs="宋体"/>
          <w:sz w:val="24"/>
          <w:szCs w:val="24"/>
        </w:rPr>
        <w:t xml:space="preserve">日 </w:t>
      </w:r>
    </w:p>
    <w:p w14:paraId="6F7882C6">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二、成交情况 </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4"/>
        <w:gridCol w:w="705"/>
        <w:gridCol w:w="1020"/>
        <w:gridCol w:w="495"/>
        <w:gridCol w:w="1125"/>
        <w:gridCol w:w="296"/>
        <w:gridCol w:w="889"/>
        <w:gridCol w:w="630"/>
        <w:gridCol w:w="435"/>
        <w:gridCol w:w="885"/>
        <w:gridCol w:w="848"/>
      </w:tblGrid>
      <w:tr w14:paraId="2C516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94" w:type="dxa"/>
            <w:vAlign w:val="center"/>
          </w:tcPr>
          <w:p w14:paraId="7E4E0B0B">
            <w:pPr>
              <w:keepNext w:val="0"/>
              <w:keepLines w:val="0"/>
              <w:widowControl/>
              <w:suppressLineNumbers w:val="0"/>
              <w:spacing w:before="0" w:beforeAutospacing="0" w:after="0" w:afterAutospacing="0" w:line="432" w:lineRule="auto"/>
              <w:ind w:left="0" w:leftChars="0" w:right="0" w:rightChars="0"/>
              <w:jc w:val="center"/>
              <w:rPr>
                <w:rFonts w:hint="eastAsia" w:ascii="宋体" w:hAnsi="宋体" w:eastAsia="宋体" w:cs="宋体"/>
                <w:sz w:val="24"/>
                <w:szCs w:val="24"/>
                <w:vertAlign w:val="baseline"/>
              </w:rPr>
            </w:pPr>
            <w:r>
              <w:rPr>
                <w:rFonts w:hint="eastAsia" w:ascii="宋体" w:hAnsi="宋体" w:eastAsia="宋体" w:cs="宋体"/>
                <w:color w:val="auto"/>
                <w:kern w:val="0"/>
                <w:sz w:val="21"/>
                <w:szCs w:val="21"/>
                <w:lang w:val="en-US" w:eastAsia="zh-CN" w:bidi="ar"/>
              </w:rPr>
              <w:t>包号</w:t>
            </w:r>
          </w:p>
        </w:tc>
        <w:tc>
          <w:tcPr>
            <w:tcW w:w="1725" w:type="dxa"/>
            <w:gridSpan w:val="2"/>
            <w:vAlign w:val="center"/>
          </w:tcPr>
          <w:p w14:paraId="1C871C63">
            <w:pPr>
              <w:keepNext w:val="0"/>
              <w:keepLines w:val="0"/>
              <w:widowControl/>
              <w:suppressLineNumbers w:val="0"/>
              <w:spacing w:before="0" w:beforeAutospacing="0" w:after="0" w:afterAutospacing="0" w:line="432" w:lineRule="auto"/>
              <w:ind w:left="0" w:leftChars="0" w:right="0" w:rightChars="0"/>
              <w:jc w:val="center"/>
              <w:rPr>
                <w:rFonts w:hint="eastAsia" w:ascii="宋体" w:hAnsi="宋体" w:eastAsia="宋体" w:cs="宋体"/>
                <w:sz w:val="24"/>
                <w:szCs w:val="24"/>
                <w:vertAlign w:val="baseline"/>
              </w:rPr>
            </w:pPr>
            <w:r>
              <w:rPr>
                <w:rFonts w:hint="eastAsia" w:ascii="宋体" w:hAnsi="宋体" w:eastAsia="宋体" w:cs="宋体"/>
                <w:color w:val="auto"/>
                <w:kern w:val="0"/>
                <w:sz w:val="21"/>
                <w:szCs w:val="21"/>
                <w:lang w:val="en-US" w:eastAsia="zh-CN" w:bidi="ar"/>
              </w:rPr>
              <w:t>采购内容</w:t>
            </w:r>
          </w:p>
        </w:tc>
        <w:tc>
          <w:tcPr>
            <w:tcW w:w="1916" w:type="dxa"/>
            <w:gridSpan w:val="3"/>
            <w:vAlign w:val="center"/>
          </w:tcPr>
          <w:p w14:paraId="456A8517">
            <w:pPr>
              <w:keepNext w:val="0"/>
              <w:keepLines w:val="0"/>
              <w:widowControl/>
              <w:suppressLineNumbers w:val="0"/>
              <w:spacing w:before="0" w:beforeAutospacing="0" w:after="0" w:afterAutospacing="0" w:line="432" w:lineRule="auto"/>
              <w:ind w:left="0" w:leftChars="0" w:right="0" w:rightChars="0"/>
              <w:jc w:val="center"/>
              <w:rPr>
                <w:rFonts w:hint="eastAsia" w:ascii="宋体" w:hAnsi="宋体" w:eastAsia="宋体" w:cs="宋体"/>
                <w:sz w:val="24"/>
                <w:szCs w:val="24"/>
                <w:vertAlign w:val="baseline"/>
              </w:rPr>
            </w:pPr>
            <w:r>
              <w:rPr>
                <w:rFonts w:hint="eastAsia" w:ascii="宋体" w:hAnsi="宋体" w:eastAsia="宋体" w:cs="宋体"/>
                <w:color w:val="auto"/>
                <w:kern w:val="0"/>
                <w:sz w:val="21"/>
                <w:szCs w:val="21"/>
                <w:lang w:val="en-US" w:eastAsia="zh-CN" w:bidi="ar"/>
              </w:rPr>
              <w:t>供应商名称</w:t>
            </w:r>
          </w:p>
        </w:tc>
        <w:tc>
          <w:tcPr>
            <w:tcW w:w="1519" w:type="dxa"/>
            <w:gridSpan w:val="2"/>
            <w:vAlign w:val="center"/>
          </w:tcPr>
          <w:p w14:paraId="50FC9729">
            <w:pPr>
              <w:keepNext w:val="0"/>
              <w:keepLines w:val="0"/>
              <w:widowControl/>
              <w:suppressLineNumbers w:val="0"/>
              <w:spacing w:before="0" w:beforeAutospacing="0" w:after="0" w:afterAutospacing="0" w:line="432" w:lineRule="auto"/>
              <w:ind w:left="0" w:leftChars="0" w:right="0" w:rightChars="0"/>
              <w:jc w:val="center"/>
              <w:rPr>
                <w:rFonts w:hint="eastAsia" w:ascii="宋体" w:hAnsi="宋体" w:eastAsia="宋体" w:cs="宋体"/>
                <w:sz w:val="24"/>
                <w:szCs w:val="24"/>
                <w:vertAlign w:val="baseline"/>
              </w:rPr>
            </w:pPr>
            <w:r>
              <w:rPr>
                <w:rFonts w:hint="eastAsia" w:ascii="宋体" w:hAnsi="宋体" w:eastAsia="宋体" w:cs="宋体"/>
                <w:color w:val="auto"/>
                <w:kern w:val="0"/>
                <w:sz w:val="21"/>
                <w:szCs w:val="21"/>
                <w:lang w:val="en-US" w:eastAsia="zh-CN" w:bidi="ar"/>
              </w:rPr>
              <w:t>地 址</w:t>
            </w:r>
          </w:p>
        </w:tc>
        <w:tc>
          <w:tcPr>
            <w:tcW w:w="1320" w:type="dxa"/>
            <w:gridSpan w:val="2"/>
            <w:vAlign w:val="center"/>
          </w:tcPr>
          <w:p w14:paraId="4BE2C3C7">
            <w:pPr>
              <w:keepNext w:val="0"/>
              <w:keepLines w:val="0"/>
              <w:widowControl/>
              <w:suppressLineNumbers w:val="0"/>
              <w:spacing w:before="0" w:beforeAutospacing="0" w:after="0" w:afterAutospacing="0" w:line="432" w:lineRule="auto"/>
              <w:ind w:left="0" w:leftChars="0" w:right="0" w:rightChars="0"/>
              <w:jc w:val="center"/>
              <w:rPr>
                <w:rFonts w:hint="eastAsia" w:ascii="宋体" w:hAnsi="宋体" w:eastAsia="宋体" w:cs="宋体"/>
                <w:sz w:val="24"/>
                <w:szCs w:val="24"/>
                <w:vertAlign w:val="baseline"/>
              </w:rPr>
            </w:pPr>
            <w:r>
              <w:rPr>
                <w:rFonts w:hint="eastAsia" w:ascii="宋体" w:hAnsi="宋体" w:eastAsia="宋体" w:cs="宋体"/>
                <w:color w:val="auto"/>
                <w:kern w:val="0"/>
                <w:sz w:val="21"/>
                <w:szCs w:val="21"/>
                <w:lang w:val="en-US" w:eastAsia="zh-CN" w:bidi="ar"/>
              </w:rPr>
              <w:t>中标金额</w:t>
            </w:r>
          </w:p>
        </w:tc>
        <w:tc>
          <w:tcPr>
            <w:tcW w:w="848" w:type="dxa"/>
            <w:vAlign w:val="center"/>
          </w:tcPr>
          <w:p w14:paraId="6F2485CB">
            <w:pPr>
              <w:keepNext w:val="0"/>
              <w:keepLines w:val="0"/>
              <w:widowControl/>
              <w:suppressLineNumbers w:val="0"/>
              <w:spacing w:before="0" w:beforeAutospacing="0" w:after="0" w:afterAutospacing="0" w:line="432" w:lineRule="auto"/>
              <w:ind w:left="0" w:leftChars="0" w:right="0" w:rightChars="0"/>
              <w:jc w:val="center"/>
              <w:rPr>
                <w:rFonts w:hint="eastAsia" w:ascii="宋体" w:hAnsi="宋体" w:eastAsia="宋体" w:cs="宋体"/>
                <w:sz w:val="24"/>
                <w:szCs w:val="24"/>
                <w:vertAlign w:val="baseline"/>
              </w:rPr>
            </w:pPr>
            <w:r>
              <w:rPr>
                <w:rFonts w:hint="eastAsia" w:ascii="宋体" w:hAnsi="宋体" w:eastAsia="宋体" w:cs="宋体"/>
                <w:color w:val="auto"/>
                <w:kern w:val="0"/>
                <w:sz w:val="21"/>
                <w:szCs w:val="21"/>
                <w:lang w:val="en-US" w:eastAsia="zh-CN" w:bidi="ar"/>
              </w:rPr>
              <w:t>单位</w:t>
            </w:r>
          </w:p>
        </w:tc>
      </w:tr>
      <w:tr w14:paraId="7A709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vMerge w:val="restart"/>
            <w:vAlign w:val="center"/>
          </w:tcPr>
          <w:p w14:paraId="547F1C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kern w:val="2"/>
                <w:sz w:val="21"/>
                <w:szCs w:val="21"/>
                <w:vertAlign w:val="baseline"/>
                <w:lang w:val="en-US" w:eastAsia="zh-CN" w:bidi="ar-SA"/>
              </w:rPr>
              <w:t>焦公资采购G2026－082号-1</w:t>
            </w:r>
          </w:p>
        </w:tc>
        <w:tc>
          <w:tcPr>
            <w:tcW w:w="1725" w:type="dxa"/>
            <w:gridSpan w:val="2"/>
            <w:vAlign w:val="center"/>
          </w:tcPr>
          <w:p w14:paraId="0FE42E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kern w:val="2"/>
                <w:sz w:val="21"/>
                <w:szCs w:val="21"/>
                <w:vertAlign w:val="baseline"/>
                <w:lang w:val="en-US" w:eastAsia="zh-CN" w:bidi="ar-SA"/>
              </w:rPr>
              <w:t>详见附件</w:t>
            </w:r>
          </w:p>
        </w:tc>
        <w:tc>
          <w:tcPr>
            <w:tcW w:w="1916" w:type="dxa"/>
            <w:gridSpan w:val="3"/>
            <w:vAlign w:val="center"/>
          </w:tcPr>
          <w:p w14:paraId="0940C94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kern w:val="2"/>
                <w:sz w:val="21"/>
                <w:szCs w:val="21"/>
                <w:vertAlign w:val="baseline"/>
                <w:lang w:val="en-US" w:eastAsia="zh-CN" w:bidi="ar-SA"/>
              </w:rPr>
              <w:t>河南海泉建筑工程有限公司</w:t>
            </w:r>
          </w:p>
        </w:tc>
        <w:tc>
          <w:tcPr>
            <w:tcW w:w="1519" w:type="dxa"/>
            <w:gridSpan w:val="2"/>
            <w:vAlign w:val="center"/>
          </w:tcPr>
          <w:p w14:paraId="33A633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kern w:val="2"/>
                <w:sz w:val="21"/>
                <w:szCs w:val="21"/>
                <w:vertAlign w:val="baseline"/>
                <w:lang w:val="en-US" w:eastAsia="zh-CN" w:bidi="ar-SA"/>
              </w:rPr>
              <w:t>河南省焦作市市辖区中原路 1365号河南理工大学科技园10号楼506-86号</w:t>
            </w:r>
          </w:p>
        </w:tc>
        <w:tc>
          <w:tcPr>
            <w:tcW w:w="1320" w:type="dxa"/>
            <w:gridSpan w:val="2"/>
            <w:vAlign w:val="center"/>
          </w:tcPr>
          <w:p w14:paraId="5F1C7B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kern w:val="2"/>
                <w:sz w:val="21"/>
                <w:szCs w:val="21"/>
                <w:vertAlign w:val="baseline"/>
                <w:lang w:val="en-US" w:eastAsia="zh-CN" w:bidi="ar-SA"/>
              </w:rPr>
              <w:t>2995330.37</w:t>
            </w:r>
          </w:p>
        </w:tc>
        <w:tc>
          <w:tcPr>
            <w:tcW w:w="848" w:type="dxa"/>
            <w:vAlign w:val="center"/>
          </w:tcPr>
          <w:p w14:paraId="7E839A9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leftChars="0" w:right="0" w:rightChars="0"/>
              <w:jc w:val="center"/>
              <w:textAlignment w:val="auto"/>
              <w:rPr>
                <w:rFonts w:hint="eastAsia" w:ascii="宋体" w:hAnsi="宋体" w:eastAsia="宋体" w:cs="宋体"/>
                <w:b w:val="0"/>
                <w:bCs w:val="0"/>
                <w:color w:val="auto"/>
                <w:kern w:val="2"/>
                <w:sz w:val="21"/>
                <w:szCs w:val="21"/>
                <w:vertAlign w:val="baseline"/>
                <w:lang w:val="en-US" w:eastAsia="zh-CN" w:bidi="ar-SA"/>
              </w:rPr>
            </w:pPr>
            <w:r>
              <w:rPr>
                <w:rFonts w:hint="eastAsia" w:ascii="宋体" w:hAnsi="宋体" w:eastAsia="宋体" w:cs="宋体"/>
                <w:b w:val="0"/>
                <w:bCs w:val="0"/>
                <w:color w:val="auto"/>
                <w:kern w:val="2"/>
                <w:sz w:val="21"/>
                <w:szCs w:val="21"/>
                <w:vertAlign w:val="baseline"/>
                <w:lang w:val="en-US" w:eastAsia="zh-CN" w:bidi="ar-SA"/>
              </w:rPr>
              <w:t>元</w:t>
            </w:r>
          </w:p>
        </w:tc>
      </w:tr>
      <w:tr w14:paraId="79B9D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vMerge w:val="continue"/>
            <w:vAlign w:val="center"/>
          </w:tcPr>
          <w:p w14:paraId="0A205E8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vertAlign w:val="baseline"/>
              </w:rPr>
            </w:pPr>
          </w:p>
        </w:tc>
        <w:tc>
          <w:tcPr>
            <w:tcW w:w="705" w:type="dxa"/>
            <w:vAlign w:val="center"/>
          </w:tcPr>
          <w:p w14:paraId="2D1642F0">
            <w:pPr>
              <w:jc w:val="center"/>
              <w:rPr>
                <w:rFonts w:hint="eastAsia"/>
              </w:rPr>
            </w:pPr>
            <w:r>
              <w:rPr>
                <w:rFonts w:hint="eastAsia"/>
                <w:lang w:val="en-US" w:eastAsia="zh-CN"/>
              </w:rPr>
              <w:t>序号</w:t>
            </w:r>
          </w:p>
        </w:tc>
        <w:tc>
          <w:tcPr>
            <w:tcW w:w="1515" w:type="dxa"/>
            <w:gridSpan w:val="2"/>
            <w:vAlign w:val="center"/>
          </w:tcPr>
          <w:p w14:paraId="266CFB3C">
            <w:pPr>
              <w:jc w:val="center"/>
              <w:rPr>
                <w:rFonts w:hint="eastAsia"/>
              </w:rPr>
            </w:pPr>
            <w:r>
              <w:rPr>
                <w:rFonts w:hint="eastAsia"/>
                <w:lang w:val="en-US" w:eastAsia="zh-CN"/>
              </w:rPr>
              <w:t>名称</w:t>
            </w:r>
          </w:p>
        </w:tc>
        <w:tc>
          <w:tcPr>
            <w:tcW w:w="1125" w:type="dxa"/>
            <w:vAlign w:val="center"/>
          </w:tcPr>
          <w:p w14:paraId="37B3F2AF">
            <w:pPr>
              <w:jc w:val="center"/>
              <w:rPr>
                <w:rFonts w:hint="eastAsia"/>
              </w:rPr>
            </w:pPr>
            <w:r>
              <w:rPr>
                <w:rFonts w:hint="eastAsia"/>
                <w:lang w:val="en-US" w:eastAsia="zh-CN"/>
              </w:rPr>
              <w:t>施工范围</w:t>
            </w:r>
          </w:p>
        </w:tc>
        <w:tc>
          <w:tcPr>
            <w:tcW w:w="1185" w:type="dxa"/>
            <w:gridSpan w:val="2"/>
            <w:vAlign w:val="center"/>
          </w:tcPr>
          <w:p w14:paraId="08AA144B">
            <w:pPr>
              <w:jc w:val="center"/>
              <w:rPr>
                <w:rFonts w:hint="eastAsia"/>
              </w:rPr>
            </w:pPr>
            <w:r>
              <w:rPr>
                <w:rFonts w:hint="eastAsia"/>
                <w:lang w:val="en-US" w:eastAsia="zh-CN"/>
              </w:rPr>
              <w:t>施工工期</w:t>
            </w:r>
          </w:p>
        </w:tc>
        <w:tc>
          <w:tcPr>
            <w:tcW w:w="1065" w:type="dxa"/>
            <w:gridSpan w:val="2"/>
            <w:vAlign w:val="center"/>
          </w:tcPr>
          <w:p w14:paraId="12FF1079">
            <w:pPr>
              <w:jc w:val="center"/>
              <w:rPr>
                <w:rFonts w:hint="eastAsia"/>
              </w:rPr>
            </w:pPr>
            <w:r>
              <w:rPr>
                <w:rFonts w:hint="eastAsia"/>
                <w:lang w:val="en-US" w:eastAsia="zh-CN"/>
              </w:rPr>
              <w:t>项目经理</w:t>
            </w:r>
          </w:p>
        </w:tc>
        <w:tc>
          <w:tcPr>
            <w:tcW w:w="1733" w:type="dxa"/>
            <w:gridSpan w:val="2"/>
            <w:vAlign w:val="center"/>
          </w:tcPr>
          <w:p w14:paraId="1D4D1F8C">
            <w:pPr>
              <w:jc w:val="center"/>
              <w:rPr>
                <w:rFonts w:hint="eastAsia"/>
              </w:rPr>
            </w:pPr>
            <w:r>
              <w:rPr>
                <w:rFonts w:hint="eastAsia"/>
                <w:lang w:val="en-US" w:eastAsia="zh-CN"/>
              </w:rPr>
              <w:t>执业证书信息</w:t>
            </w:r>
          </w:p>
        </w:tc>
      </w:tr>
      <w:tr w14:paraId="3CE2B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4" w:type="dxa"/>
            <w:vMerge w:val="continue"/>
            <w:vAlign w:val="center"/>
          </w:tcPr>
          <w:p w14:paraId="75D1B86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4"/>
                <w:szCs w:val="24"/>
                <w:vertAlign w:val="baseline"/>
              </w:rPr>
            </w:pPr>
          </w:p>
        </w:tc>
        <w:tc>
          <w:tcPr>
            <w:tcW w:w="705" w:type="dxa"/>
            <w:vAlign w:val="center"/>
          </w:tcPr>
          <w:p w14:paraId="1DE60383">
            <w:pPr>
              <w:jc w:val="center"/>
              <w:rPr>
                <w:rFonts w:hint="eastAsia"/>
              </w:rPr>
            </w:pPr>
            <w:r>
              <w:rPr>
                <w:rFonts w:hint="eastAsia"/>
                <w:lang w:val="en-US" w:eastAsia="zh-CN"/>
              </w:rPr>
              <w:t>1</w:t>
            </w:r>
          </w:p>
        </w:tc>
        <w:tc>
          <w:tcPr>
            <w:tcW w:w="1515" w:type="dxa"/>
            <w:gridSpan w:val="2"/>
            <w:vAlign w:val="center"/>
          </w:tcPr>
          <w:p w14:paraId="6F29FC69">
            <w:pPr>
              <w:jc w:val="center"/>
              <w:rPr>
                <w:rFonts w:hint="eastAsia"/>
              </w:rPr>
            </w:pPr>
            <w:r>
              <w:rPr>
                <w:rFonts w:hint="eastAsia" w:ascii="宋体" w:hAnsi="宋体" w:eastAsia="宋体" w:cs="宋体"/>
                <w:b w:val="0"/>
                <w:bCs w:val="0"/>
                <w:color w:val="auto"/>
                <w:kern w:val="2"/>
                <w:sz w:val="21"/>
                <w:szCs w:val="21"/>
                <w:vertAlign w:val="baseline"/>
                <w:lang w:val="en-US" w:eastAsia="zh-CN" w:bidi="ar-SA"/>
              </w:rPr>
              <w:t>焦作市职业技术学校4号教学楼及西连廊、6号教学楼、机电实训楼、综合楼外墙瓷砖改真石漆及1号教学楼外墙面改真石漆修缮项目</w:t>
            </w:r>
          </w:p>
        </w:tc>
        <w:tc>
          <w:tcPr>
            <w:tcW w:w="1125" w:type="dxa"/>
            <w:vAlign w:val="center"/>
          </w:tcPr>
          <w:p w14:paraId="0ADF7DF8">
            <w:pPr>
              <w:jc w:val="center"/>
              <w:rPr>
                <w:rFonts w:hint="eastAsia"/>
              </w:rPr>
            </w:pPr>
            <w:r>
              <w:rPr>
                <w:rFonts w:hint="eastAsia"/>
                <w:lang w:val="en-US" w:eastAsia="zh-CN"/>
              </w:rPr>
              <w:t>详见附件</w:t>
            </w:r>
          </w:p>
        </w:tc>
        <w:tc>
          <w:tcPr>
            <w:tcW w:w="1185" w:type="dxa"/>
            <w:gridSpan w:val="2"/>
            <w:vAlign w:val="center"/>
          </w:tcPr>
          <w:p w14:paraId="5FCC2282">
            <w:pPr>
              <w:jc w:val="center"/>
              <w:rPr>
                <w:rFonts w:hint="default"/>
                <w:lang w:val="en-US"/>
              </w:rPr>
            </w:pPr>
            <w:r>
              <w:rPr>
                <w:rFonts w:hint="eastAsia"/>
                <w:lang w:val="en-US" w:eastAsia="zh-CN"/>
              </w:rPr>
              <w:t>50日历天</w:t>
            </w:r>
          </w:p>
        </w:tc>
        <w:tc>
          <w:tcPr>
            <w:tcW w:w="1065" w:type="dxa"/>
            <w:gridSpan w:val="2"/>
            <w:vAlign w:val="center"/>
          </w:tcPr>
          <w:p w14:paraId="6869C661">
            <w:pPr>
              <w:jc w:val="center"/>
              <w:rPr>
                <w:rFonts w:hint="default"/>
                <w:lang w:val="en-US" w:eastAsia="zh-CN"/>
              </w:rPr>
            </w:pPr>
            <w:r>
              <w:rPr>
                <w:rFonts w:hint="default"/>
                <w:lang w:val="en-US" w:eastAsia="zh-CN"/>
              </w:rPr>
              <w:t>李敬华</w:t>
            </w:r>
          </w:p>
        </w:tc>
        <w:tc>
          <w:tcPr>
            <w:tcW w:w="1733" w:type="dxa"/>
            <w:gridSpan w:val="2"/>
            <w:vAlign w:val="center"/>
          </w:tcPr>
          <w:p w14:paraId="6E1411A1">
            <w:pPr>
              <w:jc w:val="center"/>
              <w:rPr>
                <w:rFonts w:hint="eastAsia"/>
                <w:lang w:val="en-US" w:eastAsia="zh-CN"/>
              </w:rPr>
            </w:pPr>
            <w:r>
              <w:rPr>
                <w:rFonts w:hint="eastAsia"/>
                <w:lang w:val="en-US" w:eastAsia="zh-CN"/>
              </w:rPr>
              <w:t>豫241171710867</w:t>
            </w:r>
          </w:p>
        </w:tc>
      </w:tr>
    </w:tbl>
    <w:p w14:paraId="732C3D3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三、评审专家名单 </w:t>
      </w:r>
    </w:p>
    <w:p w14:paraId="4BC20B1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安洁、毋文英、祁振悦</w:t>
      </w:r>
      <w:r>
        <w:rPr>
          <w:rFonts w:hint="eastAsia" w:ascii="宋体" w:hAnsi="宋体" w:eastAsia="宋体" w:cs="宋体"/>
          <w:sz w:val="24"/>
          <w:szCs w:val="24"/>
        </w:rPr>
        <w:t>（采购人代表）</w:t>
      </w:r>
    </w:p>
    <w:p w14:paraId="2D1580B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四、代理服务收费标准及金额 </w:t>
      </w:r>
    </w:p>
    <w:p w14:paraId="58D0483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收费标准：成交金额100万（含）以下部分按照1.2%收取，100万以上部分按照1%收取。</w:t>
      </w:r>
      <w:r>
        <w:rPr>
          <w:rFonts w:hint="eastAsia" w:ascii="宋体" w:hAnsi="宋体" w:eastAsia="宋体" w:cs="宋体"/>
          <w:sz w:val="24"/>
          <w:szCs w:val="24"/>
        </w:rPr>
        <w:t>成交供应商在领取成交通知书时须以刷卡或转账的方式向采购代理机构缴纳采购代理服务费。</w:t>
      </w:r>
    </w:p>
    <w:p w14:paraId="2D3CEF8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收费金额：</w:t>
      </w:r>
      <w:r>
        <w:rPr>
          <w:rFonts w:hint="eastAsia" w:ascii="宋体" w:hAnsi="宋体" w:eastAsia="宋体" w:cs="宋体"/>
          <w:sz w:val="24"/>
          <w:szCs w:val="24"/>
          <w:lang w:val="en-US" w:eastAsia="zh-CN"/>
        </w:rPr>
        <w:t>31,953</w:t>
      </w:r>
      <w:r>
        <w:rPr>
          <w:rFonts w:hint="eastAsia" w:ascii="宋体" w:hAnsi="宋体" w:eastAsia="宋体" w:cs="宋体"/>
          <w:sz w:val="24"/>
          <w:szCs w:val="24"/>
        </w:rPr>
        <w:t xml:space="preserve">.00元 </w:t>
      </w:r>
    </w:p>
    <w:p w14:paraId="14F9077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五、成交公告发布的媒介及成交公告期限 </w:t>
      </w:r>
    </w:p>
    <w:p w14:paraId="26CABE3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本次成交公告在《河南省政府采购网》、《焦作市公共资源交易中心网》上发布，成交公告期限为1个工作日。  </w:t>
      </w:r>
    </w:p>
    <w:p w14:paraId="66A250B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六、其他补充事宜 </w:t>
      </w:r>
    </w:p>
    <w:p w14:paraId="3096224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1.各有关当事人对成交结果有异议的，可以在成交公告发布之日起七个工作日内，以书面形式向采购人提出质疑，并以供应商提交的质疑函接受确认日期作为受理时间，逾期未提交的不再受理。</w:t>
      </w:r>
    </w:p>
    <w:p w14:paraId="21CB5F1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2.最终的评审得分及排序：排序1河南海泉建筑工程有限公司,最终得分</w:t>
      </w:r>
      <w:r>
        <w:rPr>
          <w:rFonts w:hint="eastAsia" w:ascii="宋体" w:hAnsi="宋体" w:eastAsia="宋体" w:cs="宋体"/>
          <w:sz w:val="24"/>
          <w:szCs w:val="24"/>
          <w:lang w:val="en-US" w:eastAsia="zh-CN"/>
        </w:rPr>
        <w:t>78.51</w:t>
      </w:r>
      <w:r>
        <w:rPr>
          <w:rFonts w:hint="eastAsia" w:ascii="宋体" w:hAnsi="宋体" w:eastAsia="宋体" w:cs="宋体"/>
          <w:sz w:val="24"/>
          <w:szCs w:val="24"/>
        </w:rPr>
        <w:t>分，排序2河南中安建设工程有限公司,最终得分</w:t>
      </w:r>
      <w:r>
        <w:rPr>
          <w:rFonts w:hint="eastAsia" w:ascii="宋体" w:hAnsi="宋体" w:eastAsia="宋体" w:cs="宋体"/>
          <w:sz w:val="24"/>
          <w:szCs w:val="24"/>
          <w:lang w:val="en-US" w:eastAsia="zh-CN"/>
        </w:rPr>
        <w:t>76.12</w:t>
      </w:r>
      <w:r>
        <w:rPr>
          <w:rFonts w:hint="eastAsia" w:ascii="宋体" w:hAnsi="宋体" w:eastAsia="宋体" w:cs="宋体"/>
          <w:sz w:val="24"/>
          <w:szCs w:val="24"/>
        </w:rPr>
        <w:t>分，排序3河南鑫政德园林建筑工程有限</w:t>
      </w:r>
      <w:r>
        <w:rPr>
          <w:rFonts w:hint="eastAsia" w:ascii="宋体" w:hAnsi="宋体" w:eastAsia="宋体" w:cs="宋体"/>
          <w:sz w:val="24"/>
          <w:szCs w:val="24"/>
          <w:lang w:val="en-US" w:eastAsia="zh-CN"/>
        </w:rPr>
        <w:t>公司</w:t>
      </w:r>
      <w:r>
        <w:rPr>
          <w:rFonts w:hint="eastAsia" w:ascii="宋体" w:hAnsi="宋体" w:eastAsia="宋体" w:cs="宋体"/>
          <w:sz w:val="24"/>
          <w:szCs w:val="24"/>
        </w:rPr>
        <w:t>,最终得分</w:t>
      </w:r>
      <w:r>
        <w:rPr>
          <w:rFonts w:hint="eastAsia" w:ascii="宋体" w:hAnsi="宋体" w:eastAsia="宋体" w:cs="宋体"/>
          <w:sz w:val="24"/>
          <w:szCs w:val="24"/>
          <w:lang w:val="en-US" w:eastAsia="zh-CN"/>
        </w:rPr>
        <w:t>75.67</w:t>
      </w:r>
      <w:r>
        <w:rPr>
          <w:rFonts w:hint="eastAsia" w:ascii="宋体" w:hAnsi="宋体" w:eastAsia="宋体" w:cs="宋体"/>
          <w:sz w:val="24"/>
          <w:szCs w:val="24"/>
        </w:rPr>
        <w:t>分</w:t>
      </w:r>
      <w:r>
        <w:rPr>
          <w:rFonts w:hint="eastAsia" w:ascii="宋体" w:hAnsi="宋体" w:eastAsia="宋体" w:cs="宋体"/>
          <w:sz w:val="24"/>
          <w:szCs w:val="24"/>
          <w:lang w:eastAsia="zh-CN"/>
        </w:rPr>
        <w:t>，</w:t>
      </w:r>
      <w:r>
        <w:rPr>
          <w:rFonts w:hint="eastAsia" w:ascii="宋体" w:hAnsi="宋体" w:eastAsia="宋体" w:cs="宋体"/>
          <w:sz w:val="24"/>
          <w:szCs w:val="24"/>
        </w:rPr>
        <w:t>排序</w:t>
      </w:r>
      <w:r>
        <w:rPr>
          <w:rFonts w:hint="eastAsia" w:ascii="宋体" w:hAnsi="宋体" w:eastAsia="宋体" w:cs="宋体"/>
          <w:sz w:val="24"/>
          <w:szCs w:val="24"/>
          <w:lang w:val="en-US" w:eastAsia="zh-CN"/>
        </w:rPr>
        <w:t>4河南正扬建设工程有限公司,最终得分75.33分，</w:t>
      </w:r>
      <w:r>
        <w:rPr>
          <w:rFonts w:hint="eastAsia" w:ascii="宋体" w:hAnsi="宋体" w:eastAsia="宋体" w:cs="宋体"/>
          <w:sz w:val="24"/>
          <w:szCs w:val="24"/>
        </w:rPr>
        <w:t>排序</w:t>
      </w:r>
      <w:r>
        <w:rPr>
          <w:rFonts w:hint="eastAsia" w:ascii="宋体" w:hAnsi="宋体" w:eastAsia="宋体" w:cs="宋体"/>
          <w:sz w:val="24"/>
          <w:szCs w:val="24"/>
          <w:lang w:val="en-US" w:eastAsia="zh-CN"/>
        </w:rPr>
        <w:t>5河南双誉建设工程有限公司,最终得分75.25分，</w:t>
      </w:r>
      <w:r>
        <w:rPr>
          <w:rFonts w:hint="eastAsia" w:ascii="宋体" w:hAnsi="宋体" w:eastAsia="宋体" w:cs="宋体"/>
          <w:sz w:val="24"/>
          <w:szCs w:val="24"/>
        </w:rPr>
        <w:t>排序</w:t>
      </w:r>
      <w:r>
        <w:rPr>
          <w:rFonts w:hint="eastAsia" w:ascii="宋体" w:hAnsi="宋体" w:eastAsia="宋体" w:cs="宋体"/>
          <w:sz w:val="24"/>
          <w:szCs w:val="24"/>
          <w:lang w:val="en-US" w:eastAsia="zh-CN"/>
        </w:rPr>
        <w:t>6河南佳昱建设有限公司,最终得分75.13分，</w:t>
      </w:r>
      <w:r>
        <w:rPr>
          <w:rFonts w:hint="eastAsia" w:ascii="宋体" w:hAnsi="宋体" w:eastAsia="宋体" w:cs="宋体"/>
          <w:sz w:val="24"/>
          <w:szCs w:val="24"/>
        </w:rPr>
        <w:t>排序</w:t>
      </w:r>
      <w:r>
        <w:rPr>
          <w:rFonts w:hint="eastAsia" w:ascii="宋体" w:hAnsi="宋体" w:eastAsia="宋体" w:cs="宋体"/>
          <w:sz w:val="24"/>
          <w:szCs w:val="24"/>
          <w:lang w:val="en-US" w:eastAsia="zh-CN"/>
        </w:rPr>
        <w:t>7焦作佳屹建设工程有限公司,最终得分74.37分，</w:t>
      </w:r>
      <w:r>
        <w:rPr>
          <w:rFonts w:hint="eastAsia" w:ascii="宋体" w:hAnsi="宋体" w:eastAsia="宋体" w:cs="宋体"/>
          <w:sz w:val="24"/>
          <w:szCs w:val="24"/>
        </w:rPr>
        <w:t>排序</w:t>
      </w:r>
      <w:r>
        <w:rPr>
          <w:rFonts w:hint="eastAsia" w:ascii="宋体" w:hAnsi="宋体" w:eastAsia="宋体" w:cs="宋体"/>
          <w:sz w:val="24"/>
          <w:szCs w:val="24"/>
          <w:lang w:val="en-US" w:eastAsia="zh-CN"/>
        </w:rPr>
        <w:t>8河南嘉明建设工程有限公司,最终得分73.61分，</w:t>
      </w:r>
      <w:r>
        <w:rPr>
          <w:rFonts w:hint="eastAsia" w:ascii="宋体" w:hAnsi="宋体" w:eastAsia="宋体" w:cs="宋体"/>
          <w:sz w:val="24"/>
          <w:szCs w:val="24"/>
        </w:rPr>
        <w:t>排序</w:t>
      </w:r>
      <w:r>
        <w:rPr>
          <w:rFonts w:hint="eastAsia" w:ascii="宋体" w:hAnsi="宋体" w:eastAsia="宋体" w:cs="宋体"/>
          <w:sz w:val="24"/>
          <w:szCs w:val="24"/>
          <w:lang w:val="en-US" w:eastAsia="zh-CN"/>
        </w:rPr>
        <w:t>9河南山岭建设工程有限责任公司,最终得分73.51分，</w:t>
      </w:r>
      <w:r>
        <w:rPr>
          <w:rFonts w:hint="eastAsia" w:ascii="宋体" w:hAnsi="宋体" w:eastAsia="宋体" w:cs="宋体"/>
          <w:sz w:val="24"/>
          <w:szCs w:val="24"/>
        </w:rPr>
        <w:t>排序</w:t>
      </w:r>
      <w:r>
        <w:rPr>
          <w:rFonts w:hint="eastAsia" w:ascii="宋体" w:hAnsi="宋体" w:eastAsia="宋体" w:cs="宋体"/>
          <w:sz w:val="24"/>
          <w:szCs w:val="24"/>
          <w:lang w:val="en-US" w:eastAsia="zh-CN"/>
        </w:rPr>
        <w:t>10河南学祥建筑工程有限公司,最终得分71.86分，</w:t>
      </w:r>
      <w:r>
        <w:rPr>
          <w:rFonts w:hint="eastAsia" w:ascii="宋体" w:hAnsi="宋体" w:eastAsia="宋体" w:cs="宋体"/>
          <w:sz w:val="24"/>
          <w:szCs w:val="24"/>
        </w:rPr>
        <w:t>排序</w:t>
      </w:r>
      <w:r>
        <w:rPr>
          <w:rFonts w:hint="eastAsia" w:ascii="宋体" w:hAnsi="宋体" w:eastAsia="宋体" w:cs="宋体"/>
          <w:sz w:val="24"/>
          <w:szCs w:val="24"/>
          <w:lang w:val="en-US" w:eastAsia="zh-CN"/>
        </w:rPr>
        <w:t>11河南中轲建设有限公司,最终得分70.42分，</w:t>
      </w:r>
      <w:r>
        <w:rPr>
          <w:rFonts w:hint="eastAsia" w:ascii="宋体" w:hAnsi="宋体" w:eastAsia="宋体" w:cs="宋体"/>
          <w:sz w:val="24"/>
          <w:szCs w:val="24"/>
        </w:rPr>
        <w:t>排序</w:t>
      </w:r>
      <w:r>
        <w:rPr>
          <w:rFonts w:hint="eastAsia" w:ascii="宋体" w:hAnsi="宋体" w:eastAsia="宋体" w:cs="宋体"/>
          <w:sz w:val="24"/>
          <w:szCs w:val="24"/>
          <w:lang w:val="en-US" w:eastAsia="zh-CN"/>
        </w:rPr>
        <w:t>12河南帆迪建设工程有限公司,最终得分64.49分，</w:t>
      </w:r>
      <w:r>
        <w:rPr>
          <w:rFonts w:hint="eastAsia" w:ascii="宋体" w:hAnsi="宋体" w:eastAsia="宋体" w:cs="宋体"/>
          <w:sz w:val="24"/>
          <w:szCs w:val="24"/>
        </w:rPr>
        <w:t>排序</w:t>
      </w:r>
      <w:r>
        <w:rPr>
          <w:rFonts w:hint="eastAsia" w:ascii="宋体" w:hAnsi="宋体" w:eastAsia="宋体" w:cs="宋体"/>
          <w:sz w:val="24"/>
          <w:szCs w:val="24"/>
          <w:lang w:val="en-US" w:eastAsia="zh-CN"/>
        </w:rPr>
        <w:t>13华夏国砌建设有限公司,最终得分60.79分</w:t>
      </w:r>
      <w:r>
        <w:rPr>
          <w:rFonts w:hint="eastAsia" w:ascii="宋体" w:hAnsi="宋体" w:eastAsia="宋体" w:cs="宋体"/>
          <w:sz w:val="24"/>
          <w:szCs w:val="24"/>
        </w:rPr>
        <w:t>。</w:t>
      </w:r>
    </w:p>
    <w:p w14:paraId="6BAA745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七、凡对本次公告内容提出询问，请按以下方式联系 </w:t>
      </w:r>
    </w:p>
    <w:p w14:paraId="073A1FF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1.采购人信息</w:t>
      </w:r>
    </w:p>
    <w:p w14:paraId="44279F1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名称：</w:t>
      </w:r>
      <w:r>
        <w:rPr>
          <w:rFonts w:hint="eastAsia" w:ascii="宋体" w:hAnsi="宋体" w:eastAsia="宋体" w:cs="宋体"/>
          <w:sz w:val="24"/>
          <w:szCs w:val="24"/>
          <w:lang w:val="en-US" w:eastAsia="zh-CN"/>
        </w:rPr>
        <w:t>焦作市职业技术学校</w:t>
      </w:r>
    </w:p>
    <w:p w14:paraId="4B1A1CA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地</w:t>
      </w:r>
      <w:r>
        <w:rPr>
          <w:rFonts w:hint="eastAsia" w:ascii="宋体" w:hAnsi="宋体" w:eastAsia="宋体" w:cs="宋体"/>
          <w:sz w:val="24"/>
          <w:szCs w:val="24"/>
          <w:lang w:eastAsia="zh-CN"/>
        </w:rPr>
        <w:t>址：</w:t>
      </w:r>
      <w:r>
        <w:rPr>
          <w:rFonts w:hint="eastAsia" w:ascii="宋体" w:hAnsi="宋体" w:eastAsia="宋体" w:cs="宋体"/>
          <w:sz w:val="24"/>
          <w:szCs w:val="24"/>
          <w:lang w:val="en-US" w:eastAsia="zh-CN"/>
        </w:rPr>
        <w:t>焦作市山阳区丰收东路1698号</w:t>
      </w:r>
    </w:p>
    <w:p w14:paraId="412772B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联系方式：王女士</w:t>
      </w:r>
    </w:p>
    <w:p w14:paraId="3E8FE48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联系方式：</w:t>
      </w:r>
      <w:r>
        <w:rPr>
          <w:rFonts w:hint="eastAsia" w:ascii="宋体" w:hAnsi="宋体" w:eastAsia="宋体" w:cs="宋体"/>
          <w:sz w:val="24"/>
          <w:szCs w:val="24"/>
          <w:lang w:val="en-US" w:eastAsia="zh-CN"/>
        </w:rPr>
        <w:t>13803914676</w:t>
      </w:r>
    </w:p>
    <w:p w14:paraId="48276FD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2.采购代理机构信息</w:t>
      </w:r>
    </w:p>
    <w:p w14:paraId="388F78A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名称：焦作市公共资源项目服务有限责任公司</w:t>
      </w:r>
    </w:p>
    <w:p w14:paraId="5019E31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地址：焦作市人民路889号阳光大厦B座</w:t>
      </w:r>
    </w:p>
    <w:p w14:paraId="13C00D6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联系人：张女士</w:t>
      </w:r>
    </w:p>
    <w:p w14:paraId="32096ED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联系方式：15839198283</w:t>
      </w:r>
    </w:p>
    <w:p w14:paraId="1388922F">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3.项目联系方式</w:t>
      </w:r>
    </w:p>
    <w:p w14:paraId="6D8C439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项目联系人：</w:t>
      </w:r>
      <w:r>
        <w:rPr>
          <w:rFonts w:hint="eastAsia" w:ascii="宋体" w:hAnsi="宋体" w:eastAsia="宋体" w:cs="宋体"/>
          <w:sz w:val="24"/>
          <w:szCs w:val="24"/>
          <w:lang w:val="en-US" w:eastAsia="zh-CN"/>
        </w:rPr>
        <w:t>王女士</w:t>
      </w:r>
      <w:r>
        <w:rPr>
          <w:rFonts w:hint="eastAsia" w:ascii="宋体" w:hAnsi="宋体" w:eastAsia="宋体" w:cs="宋体"/>
          <w:sz w:val="24"/>
          <w:szCs w:val="24"/>
        </w:rPr>
        <w:t>  </w:t>
      </w:r>
      <w:r>
        <w:rPr>
          <w:rFonts w:hint="eastAsia" w:ascii="宋体" w:hAnsi="宋体" w:eastAsia="宋体" w:cs="宋体"/>
          <w:sz w:val="24"/>
          <w:szCs w:val="24"/>
          <w:lang w:val="en-US" w:eastAsia="zh-CN"/>
        </w:rPr>
        <w:t xml:space="preserve">  张女士</w:t>
      </w:r>
    </w:p>
    <w:p w14:paraId="42FCD77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电话：</w:t>
      </w:r>
      <w:r>
        <w:rPr>
          <w:rFonts w:hint="eastAsia" w:ascii="宋体" w:hAnsi="宋体" w:eastAsia="宋体" w:cs="宋体"/>
          <w:sz w:val="24"/>
          <w:szCs w:val="24"/>
          <w:lang w:val="en-US" w:eastAsia="zh-CN"/>
        </w:rPr>
        <w:t>13803914676     15839198283</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NlYWRjMjZmNjgyMDBjODRkYzFlMDUxZTA5OTE3MjEifQ=="/>
  </w:docVars>
  <w:rsids>
    <w:rsidRoot w:val="40FA188A"/>
    <w:rsid w:val="2868493C"/>
    <w:rsid w:val="3765423E"/>
    <w:rsid w:val="40FA188A"/>
    <w:rsid w:val="422E1D91"/>
    <w:rsid w:val="42D75378"/>
    <w:rsid w:val="44C5732F"/>
    <w:rsid w:val="47554320"/>
    <w:rsid w:val="54D723E8"/>
    <w:rsid w:val="74FA0339"/>
    <w:rsid w:val="773807A4"/>
    <w:rsid w:val="7BB136D7"/>
    <w:rsid w:val="7FB855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lock Text"/>
    <w:basedOn w:val="1"/>
    <w:qFormat/>
    <w:uiPriority w:val="0"/>
    <w:pPr>
      <w:spacing w:beforeLines="100" w:afterLines="100" w:line="480" w:lineRule="auto"/>
      <w:ind w:left="397" w:right="100" w:rightChars="100"/>
    </w:p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FollowedHyperlink"/>
    <w:basedOn w:val="5"/>
    <w:qFormat/>
    <w:uiPriority w:val="0"/>
    <w:rPr>
      <w:color w:val="800080"/>
      <w:u w:val="none"/>
    </w:rPr>
  </w:style>
  <w:style w:type="character" w:styleId="7">
    <w:name w:val="HTML Definition"/>
    <w:basedOn w:val="5"/>
    <w:qFormat/>
    <w:uiPriority w:val="0"/>
  </w:style>
  <w:style w:type="character" w:styleId="8">
    <w:name w:val="HTML Typewriter"/>
    <w:basedOn w:val="5"/>
    <w:qFormat/>
    <w:uiPriority w:val="0"/>
    <w:rPr>
      <w:rFonts w:hint="default" w:ascii="monospace" w:hAnsi="monospace" w:eastAsia="monospace" w:cs="monospace"/>
      <w:sz w:val="20"/>
    </w:rPr>
  </w:style>
  <w:style w:type="character" w:styleId="9">
    <w:name w:val="HTML Acronym"/>
    <w:basedOn w:val="5"/>
    <w:qFormat/>
    <w:uiPriority w:val="0"/>
  </w:style>
  <w:style w:type="character" w:styleId="10">
    <w:name w:val="HTML Variable"/>
    <w:basedOn w:val="5"/>
    <w:qFormat/>
    <w:uiPriority w:val="0"/>
  </w:style>
  <w:style w:type="character" w:styleId="11">
    <w:name w:val="Hyperlink"/>
    <w:basedOn w:val="5"/>
    <w:qFormat/>
    <w:uiPriority w:val="0"/>
    <w:rPr>
      <w:color w:val="0000FF"/>
      <w:u w:val="none"/>
    </w:rPr>
  </w:style>
  <w:style w:type="character" w:styleId="12">
    <w:name w:val="HTML Code"/>
    <w:basedOn w:val="5"/>
    <w:qFormat/>
    <w:uiPriority w:val="0"/>
    <w:rPr>
      <w:rFonts w:hint="default" w:ascii="monospace" w:hAnsi="monospace" w:eastAsia="monospace" w:cs="monospace"/>
      <w:sz w:val="20"/>
    </w:rPr>
  </w:style>
  <w:style w:type="character" w:styleId="13">
    <w:name w:val="HTML Cite"/>
    <w:basedOn w:val="5"/>
    <w:qFormat/>
    <w:uiPriority w:val="0"/>
  </w:style>
  <w:style w:type="character" w:styleId="14">
    <w:name w:val="HTML Keyboard"/>
    <w:basedOn w:val="5"/>
    <w:qFormat/>
    <w:uiPriority w:val="0"/>
    <w:rPr>
      <w:rFonts w:ascii="monospace" w:hAnsi="monospace" w:eastAsia="monospace" w:cs="monospace"/>
      <w:sz w:val="20"/>
    </w:rPr>
  </w:style>
  <w:style w:type="character" w:styleId="15">
    <w:name w:val="HTML Sample"/>
    <w:basedOn w:val="5"/>
    <w:qFormat/>
    <w:uiPriority w:val="0"/>
    <w:rPr>
      <w:rFonts w:hint="default" w:ascii="monospace" w:hAnsi="monospace" w:eastAsia="monospace" w:cs="monospace"/>
    </w:rPr>
  </w:style>
  <w:style w:type="paragraph" w:customStyle="1" w:styleId="16">
    <w:name w:val="正文1"/>
    <w:basedOn w:val="1"/>
    <w:autoRedefine/>
    <w:qFormat/>
    <w:uiPriority w:val="0"/>
    <w:pPr>
      <w:adjustRightInd w:val="0"/>
      <w:spacing w:line="318" w:lineRule="atLeast"/>
      <w:ind w:left="369" w:firstLine="369"/>
      <w:textAlignment w:val="baseline"/>
    </w:pPr>
    <w:rPr>
      <w:rFonts w:ascii="宋体"/>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1116</Words>
  <Characters>1295</Characters>
  <Lines>0</Lines>
  <Paragraphs>0</Paragraphs>
  <TotalTime>4</TotalTime>
  <ScaleCrop>false</ScaleCrop>
  <LinksUpToDate>false</LinksUpToDate>
  <CharactersWithSpaces>1319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2024-01-05T07:11:00Z</dcterms:created>
  <dc:creator>WPS_1673600282</dc:creator>
  <cp:lastModifiedBy>Administrator</cp:lastModifiedBy>
  <dcterms:modified xsi:type="dcterms:W3CDTF">2026-08-24T02:02:52Z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305D034EDE4C4C7EBE8ED35656AE6983_11</vt:lpwstr>
  </property>
  <property fmtid="{D5CDD505-2E9C-101B-9397-08002B2CF9AE}" pid="4" name="KSOTemplateDocerSaveRecord">
    <vt:lpwstr>eyJoZGlkIjoiNWNlYWRjMjZmNjgyMDBjODRkYzFlMDUxZTA5OTE3MjEiLCJ1c2VySWQiOiI5NzczNjQ4MTgifQ==</vt:lpwstr>
  </property>
</Properties>
</file>