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8B5B5F">
      <w:pPr>
        <w:keepNext w:val="0"/>
        <w:keepLines w:val="0"/>
        <w:pageBreakBefore w:val="0"/>
        <w:widowControl w:val="0"/>
        <w:kinsoku/>
        <w:wordWrap/>
        <w:overflowPunct/>
        <w:topLinePunct w:val="0"/>
        <w:autoSpaceDE/>
        <w:autoSpaceDN/>
        <w:bidi w:val="0"/>
        <w:adjustRightInd w:val="0"/>
        <w:snapToGrid/>
        <w:spacing w:line="440" w:lineRule="exact"/>
        <w:jc w:val="center"/>
        <w:textAlignment w:val="baseline"/>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rPr>
        <w:t>焦作市五官医院口腔专科学科建设跃升项目</w:t>
      </w:r>
      <w:r>
        <w:rPr>
          <w:rFonts w:hint="eastAsia" w:ascii="宋体" w:hAnsi="宋体" w:cs="宋体"/>
          <w:color w:val="auto"/>
          <w:sz w:val="24"/>
          <w:szCs w:val="24"/>
          <w:highlight w:val="none"/>
          <w:lang w:eastAsia="zh-CN"/>
        </w:rPr>
        <w:t>的公开招标公告</w:t>
      </w:r>
    </w:p>
    <w:p w14:paraId="7170BAD6">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项目概况：</w:t>
      </w:r>
      <w:r>
        <w:rPr>
          <w:rFonts w:hint="eastAsia" w:ascii="宋体" w:hAnsi="宋体" w:eastAsia="宋体" w:cs="宋体"/>
          <w:color w:val="auto"/>
          <w:sz w:val="24"/>
          <w:szCs w:val="24"/>
          <w:highlight w:val="none"/>
        </w:rPr>
        <w:t xml:space="preserve">     </w:t>
      </w:r>
    </w:p>
    <w:p w14:paraId="227D1078">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焦作市五官医院口腔专科学科建设跃升项目</w:t>
      </w:r>
      <w:r>
        <w:rPr>
          <w:rFonts w:hint="eastAsia" w:ascii="宋体" w:hAnsi="宋体" w:eastAsia="宋体" w:cs="宋体"/>
          <w:color w:val="auto"/>
          <w:sz w:val="24"/>
          <w:szCs w:val="24"/>
          <w:highlight w:val="none"/>
        </w:rPr>
        <w:t>的潜在投标人应在焦作市公共资源交易中心网站获取招标文件，并于202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日0</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0分（北京时间）前递交投标文件。</w:t>
      </w:r>
    </w:p>
    <w:p w14:paraId="6884ECAC">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一、项目基本情况</w:t>
      </w:r>
    </w:p>
    <w:p w14:paraId="4BFDAAC4">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1.项目编号：</w:t>
      </w:r>
      <w:r>
        <w:rPr>
          <w:rFonts w:hint="eastAsia" w:ascii="宋体" w:hAnsi="宋体" w:eastAsia="宋体" w:cs="宋体"/>
          <w:color w:val="auto"/>
          <w:sz w:val="24"/>
          <w:szCs w:val="24"/>
          <w:highlight w:val="none"/>
          <w:lang w:eastAsia="zh-CN"/>
        </w:rPr>
        <w:t>焦财招标采购-2026-58</w:t>
      </w:r>
    </w:p>
    <w:p w14:paraId="47C6A47B">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2.项目名称：焦作市五官医院口腔专科学科建设跃升项目</w:t>
      </w:r>
    </w:p>
    <w:p w14:paraId="1EDFD096">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3.采购方式：公开招标</w:t>
      </w:r>
    </w:p>
    <w:p w14:paraId="3160417C">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4.预算金额：</w:t>
      </w:r>
      <w:r>
        <w:rPr>
          <w:rFonts w:hint="eastAsia" w:ascii="宋体" w:hAnsi="宋体" w:eastAsia="宋体" w:cs="宋体"/>
          <w:color w:val="auto"/>
          <w:sz w:val="24"/>
          <w:szCs w:val="24"/>
          <w:highlight w:val="none"/>
          <w:lang w:val="en-US" w:eastAsia="zh-CN"/>
        </w:rPr>
        <w:t>750,000.00</w:t>
      </w:r>
      <w:r>
        <w:rPr>
          <w:rFonts w:hint="eastAsia" w:ascii="宋体" w:hAnsi="宋体" w:eastAsia="宋体" w:cs="宋体"/>
          <w:color w:val="auto"/>
          <w:sz w:val="24"/>
          <w:szCs w:val="24"/>
          <w:highlight w:val="none"/>
        </w:rPr>
        <w:t>元</w:t>
      </w:r>
    </w:p>
    <w:p w14:paraId="4268048A">
      <w:pPr>
        <w:keepNext w:val="0"/>
        <w:keepLines w:val="0"/>
        <w:pageBreakBefore w:val="0"/>
        <w:widowControl w:val="0"/>
        <w:kinsoku/>
        <w:wordWrap/>
        <w:overflowPunct/>
        <w:topLinePunct w:val="0"/>
        <w:autoSpaceDE/>
        <w:autoSpaceDN/>
        <w:bidi w:val="0"/>
        <w:adjustRightInd w:val="0"/>
        <w:snapToGrid/>
        <w:spacing w:line="440" w:lineRule="exact"/>
        <w:ind w:firstLine="720" w:firstLineChars="3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r>
        <w:rPr>
          <w:rFonts w:hint="eastAsia" w:ascii="宋体" w:hAnsi="宋体" w:eastAsia="宋体" w:cs="宋体"/>
          <w:color w:val="auto"/>
          <w:sz w:val="24"/>
          <w:szCs w:val="24"/>
          <w:highlight w:val="none"/>
          <w:lang w:val="en-US" w:eastAsia="zh-CN"/>
        </w:rPr>
        <w:t>750,000.00元</w:t>
      </w:r>
    </w:p>
    <w:tbl>
      <w:tblPr>
        <w:tblStyle w:val="2"/>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1480"/>
        <w:gridCol w:w="3454"/>
        <w:gridCol w:w="1577"/>
        <w:gridCol w:w="1803"/>
      </w:tblGrid>
      <w:tr w14:paraId="66330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7" w:type="dxa"/>
            <w:noWrap w:val="0"/>
            <w:vAlign w:val="center"/>
          </w:tcPr>
          <w:p w14:paraId="57F2FD77">
            <w:pPr>
              <w:widowControl/>
              <w:spacing w:line="240" w:lineRule="atLeast"/>
              <w:jc w:val="center"/>
              <w:rPr>
                <w:rFonts w:hint="eastAsia" w:ascii="宋体" w:hAnsi="宋体"/>
                <w:b/>
                <w:bCs/>
                <w:color w:val="auto"/>
                <w:highlight w:val="none"/>
              </w:rPr>
            </w:pPr>
            <w:r>
              <w:rPr>
                <w:rFonts w:hint="eastAsia" w:ascii="宋体" w:hAnsi="宋体"/>
                <w:b/>
                <w:bCs/>
                <w:color w:val="auto"/>
                <w:kern w:val="0"/>
                <w:highlight w:val="none"/>
                <w:lang w:bidi="ar"/>
              </w:rPr>
              <w:t>序号</w:t>
            </w:r>
          </w:p>
        </w:tc>
        <w:tc>
          <w:tcPr>
            <w:tcW w:w="1480" w:type="dxa"/>
            <w:noWrap w:val="0"/>
            <w:vAlign w:val="center"/>
          </w:tcPr>
          <w:p w14:paraId="705796E9">
            <w:pPr>
              <w:widowControl/>
              <w:spacing w:line="240" w:lineRule="atLeast"/>
              <w:jc w:val="center"/>
              <w:rPr>
                <w:rFonts w:hint="eastAsia" w:ascii="宋体" w:hAnsi="宋体"/>
                <w:b/>
                <w:bCs/>
                <w:color w:val="auto"/>
                <w:highlight w:val="none"/>
              </w:rPr>
            </w:pPr>
            <w:r>
              <w:rPr>
                <w:rFonts w:hint="eastAsia" w:ascii="宋体" w:hAnsi="宋体"/>
                <w:b/>
                <w:bCs/>
                <w:color w:val="auto"/>
                <w:kern w:val="0"/>
                <w:highlight w:val="none"/>
                <w:lang w:bidi="ar"/>
              </w:rPr>
              <w:t>包号</w:t>
            </w:r>
          </w:p>
        </w:tc>
        <w:tc>
          <w:tcPr>
            <w:tcW w:w="3454" w:type="dxa"/>
            <w:noWrap w:val="0"/>
            <w:vAlign w:val="center"/>
          </w:tcPr>
          <w:p w14:paraId="00F8D625">
            <w:pPr>
              <w:widowControl/>
              <w:spacing w:line="240" w:lineRule="atLeast"/>
              <w:jc w:val="center"/>
              <w:rPr>
                <w:rFonts w:hint="eastAsia" w:ascii="宋体" w:hAnsi="宋体"/>
                <w:b/>
                <w:bCs/>
                <w:color w:val="auto"/>
                <w:highlight w:val="none"/>
              </w:rPr>
            </w:pPr>
            <w:r>
              <w:rPr>
                <w:rFonts w:hint="eastAsia" w:ascii="宋体" w:hAnsi="宋体"/>
                <w:b/>
                <w:bCs/>
                <w:color w:val="auto"/>
                <w:kern w:val="0"/>
                <w:highlight w:val="none"/>
                <w:lang w:bidi="ar"/>
              </w:rPr>
              <w:t>包名称</w:t>
            </w:r>
          </w:p>
        </w:tc>
        <w:tc>
          <w:tcPr>
            <w:tcW w:w="1577" w:type="dxa"/>
            <w:noWrap w:val="0"/>
            <w:vAlign w:val="center"/>
          </w:tcPr>
          <w:p w14:paraId="3B1C634F">
            <w:pPr>
              <w:widowControl/>
              <w:spacing w:line="240" w:lineRule="atLeast"/>
              <w:jc w:val="center"/>
              <w:rPr>
                <w:rFonts w:hint="eastAsia" w:ascii="宋体" w:hAnsi="宋体"/>
                <w:b/>
                <w:bCs/>
                <w:color w:val="auto"/>
                <w:highlight w:val="none"/>
              </w:rPr>
            </w:pPr>
            <w:r>
              <w:rPr>
                <w:rFonts w:hint="eastAsia" w:ascii="宋体" w:hAnsi="宋体"/>
                <w:b/>
                <w:bCs/>
                <w:color w:val="auto"/>
                <w:kern w:val="0"/>
                <w:highlight w:val="none"/>
                <w:lang w:bidi="ar"/>
              </w:rPr>
              <w:t>包预算（元）</w:t>
            </w:r>
          </w:p>
        </w:tc>
        <w:tc>
          <w:tcPr>
            <w:tcW w:w="1803" w:type="dxa"/>
            <w:noWrap w:val="0"/>
            <w:vAlign w:val="center"/>
          </w:tcPr>
          <w:p w14:paraId="05DEE80D">
            <w:pPr>
              <w:widowControl/>
              <w:spacing w:line="240" w:lineRule="atLeast"/>
              <w:jc w:val="center"/>
              <w:rPr>
                <w:rFonts w:hint="eastAsia" w:ascii="宋体" w:hAnsi="宋体"/>
                <w:b/>
                <w:bCs/>
                <w:color w:val="auto"/>
                <w:highlight w:val="none"/>
              </w:rPr>
            </w:pPr>
            <w:r>
              <w:rPr>
                <w:rFonts w:hint="eastAsia" w:ascii="宋体" w:hAnsi="宋体"/>
                <w:b/>
                <w:bCs/>
                <w:color w:val="auto"/>
                <w:kern w:val="0"/>
                <w:highlight w:val="none"/>
                <w:lang w:bidi="ar"/>
              </w:rPr>
              <w:t>包最高限价（元）</w:t>
            </w:r>
          </w:p>
        </w:tc>
      </w:tr>
      <w:tr w14:paraId="26C90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exact"/>
          <w:jc w:val="center"/>
        </w:trPr>
        <w:tc>
          <w:tcPr>
            <w:tcW w:w="757" w:type="dxa"/>
            <w:noWrap w:val="0"/>
            <w:vAlign w:val="center"/>
          </w:tcPr>
          <w:p w14:paraId="01683911">
            <w:pPr>
              <w:spacing w:line="240" w:lineRule="atLeast"/>
              <w:jc w:val="center"/>
              <w:rPr>
                <w:rFonts w:hint="eastAsia" w:ascii="宋体" w:hAnsi="宋体"/>
                <w:color w:val="auto"/>
                <w:highlight w:val="none"/>
              </w:rPr>
            </w:pPr>
            <w:r>
              <w:rPr>
                <w:rFonts w:hint="eastAsia" w:ascii="宋体" w:hAnsi="宋体"/>
                <w:color w:val="auto"/>
                <w:highlight w:val="none"/>
              </w:rPr>
              <w:t>1</w:t>
            </w:r>
          </w:p>
        </w:tc>
        <w:tc>
          <w:tcPr>
            <w:tcW w:w="1480" w:type="dxa"/>
            <w:noWrap w:val="0"/>
            <w:vAlign w:val="center"/>
          </w:tcPr>
          <w:p w14:paraId="7040F2F5">
            <w:pPr>
              <w:spacing w:line="240" w:lineRule="atLeast"/>
              <w:jc w:val="center"/>
              <w:rPr>
                <w:rFonts w:hint="eastAsia"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焦公资医疗X2026-</w:t>
            </w:r>
            <w:r>
              <w:rPr>
                <w:rFonts w:hint="eastAsia" w:ascii="宋体" w:hAnsi="宋体" w:eastAsia="宋体" w:cs="宋体"/>
                <w:color w:val="auto"/>
                <w:highlight w:val="none"/>
                <w:lang w:val="en-US" w:eastAsia="zh-CN"/>
              </w:rPr>
              <w:t xml:space="preserve"> 037 -1</w:t>
            </w:r>
          </w:p>
        </w:tc>
        <w:tc>
          <w:tcPr>
            <w:tcW w:w="3454" w:type="dxa"/>
            <w:noWrap w:val="0"/>
            <w:vAlign w:val="center"/>
          </w:tcPr>
          <w:p w14:paraId="53602C28">
            <w:pPr>
              <w:spacing w:line="240" w:lineRule="atLeas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焦作市五官医院口腔专科学科建设跃升项目</w:t>
            </w:r>
          </w:p>
        </w:tc>
        <w:tc>
          <w:tcPr>
            <w:tcW w:w="1577" w:type="dxa"/>
            <w:noWrap w:val="0"/>
            <w:vAlign w:val="center"/>
          </w:tcPr>
          <w:p w14:paraId="394DF1CF">
            <w:pPr>
              <w:spacing w:line="240" w:lineRule="atLeas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750,000.00</w:t>
            </w:r>
          </w:p>
        </w:tc>
        <w:tc>
          <w:tcPr>
            <w:tcW w:w="1803" w:type="dxa"/>
            <w:noWrap w:val="0"/>
            <w:vAlign w:val="center"/>
          </w:tcPr>
          <w:p w14:paraId="2778E3C8">
            <w:pPr>
              <w:spacing w:line="240" w:lineRule="atLeas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750,000.00</w:t>
            </w:r>
          </w:p>
        </w:tc>
      </w:tr>
    </w:tbl>
    <w:p w14:paraId="501E9161">
      <w:pPr>
        <w:keepNext w:val="0"/>
        <w:keepLines w:val="0"/>
        <w:pageBreakBefore w:val="0"/>
        <w:widowControl w:val="0"/>
        <w:numPr>
          <w:ilvl w:val="0"/>
          <w:numId w:val="0"/>
        </w:numPr>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采购需求（包括但不限于标的的名称、数量、简要技术需求或服务要求等）：</w:t>
      </w:r>
      <w:r>
        <w:rPr>
          <w:rFonts w:hint="eastAsia" w:ascii="宋体" w:hAnsi="宋体" w:eastAsia="宋体" w:cs="宋体"/>
          <w:color w:val="auto"/>
          <w:sz w:val="24"/>
          <w:szCs w:val="24"/>
          <w:highlight w:val="none"/>
          <w:lang w:val="en-US" w:eastAsia="zh-CN"/>
        </w:rPr>
        <w:t>采购牙科综合治疗机14台，根管长度测量仪16台，根管预备机16台，光固化机3台，超声洁牙机4台等。（详见招标文件第三部分）</w:t>
      </w:r>
    </w:p>
    <w:p w14:paraId="150F93A7">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合同履行期限：</w:t>
      </w:r>
      <w:r>
        <w:rPr>
          <w:rFonts w:hint="eastAsia" w:ascii="宋体" w:hAnsi="宋体" w:eastAsia="宋体" w:cs="宋体"/>
          <w:color w:val="auto"/>
          <w:sz w:val="24"/>
          <w:szCs w:val="24"/>
          <w:highlight w:val="none"/>
          <w:lang w:val="en-US" w:eastAsia="zh-CN"/>
        </w:rPr>
        <w:t>接到招标人交货通知后2日历日内供货、安装、调试、培训到位。</w:t>
      </w:r>
    </w:p>
    <w:p w14:paraId="29D9CEDB">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7.本项目是否接受联合体投标：否。</w:t>
      </w:r>
    </w:p>
    <w:p w14:paraId="559B262A">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8.是否接受进口产品：否。</w:t>
      </w:r>
    </w:p>
    <w:p w14:paraId="7E383D8C">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9.是否专门面向中小企业：否。</w:t>
      </w:r>
    </w:p>
    <w:p w14:paraId="7CD0386F">
      <w:pPr>
        <w:keepNext w:val="0"/>
        <w:keepLines w:val="0"/>
        <w:pageBreakBefore w:val="0"/>
        <w:widowControl w:val="0"/>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二、申请人的资格要求</w:t>
      </w:r>
    </w:p>
    <w:p w14:paraId="3B861F7F">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1.满足《中华人民共和国政府采购法》第二十二条规定；</w:t>
      </w:r>
    </w:p>
    <w:p w14:paraId="682AF1F6">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2.落实政府采购政策满足的资格要求：</w:t>
      </w:r>
      <w:r>
        <w:rPr>
          <w:rFonts w:hint="eastAsia" w:ascii="宋体" w:hAnsi="宋体" w:eastAsia="宋体" w:cs="宋体"/>
          <w:color w:val="auto"/>
          <w:sz w:val="24"/>
          <w:szCs w:val="24"/>
          <w:highlight w:val="none"/>
          <w:lang w:val="en-US" w:eastAsia="zh-CN"/>
        </w:rPr>
        <w:t>/</w:t>
      </w:r>
    </w:p>
    <w:p w14:paraId="51221C6F">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3.本项目的特定资格要求：</w:t>
      </w:r>
    </w:p>
    <w:p w14:paraId="45A2E33A">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3.1投标人行贿犯罪档案记录（开标当日中国裁判文书网的信息）；</w:t>
      </w:r>
    </w:p>
    <w:p w14:paraId="378DB6D9">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按照《财政部关于在政府采购活动中查询及使用信用记录有关问题的通知》（财库〔2016〕125号）的要求，根据开标当日“信用中国”网站（www.creditchina.gov.cn）、中国政府采购网（www.ccgp.gov.cn）的信息，对列入失信被执行人、重大税收违法失信主体、政府采购严重违法失信行为记录名单的供应商，拒绝参与政府采购活动，同时对信用信息查询记录和证据进行打印存档；</w:t>
      </w:r>
    </w:p>
    <w:p w14:paraId="62885EA1">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3.3未被人力资源社会保障主管部门列入拖欠农民工工资失信联合惩戒名单或无因拖欠农民工工资被县级及以上有关行政主管部门限制投标资格且在限制期限内（提供承诺函）</w:t>
      </w:r>
      <w:r>
        <w:rPr>
          <w:rFonts w:hint="eastAsia" w:ascii="宋体" w:hAnsi="宋体" w:eastAsia="宋体" w:cs="宋体"/>
          <w:color w:val="auto"/>
          <w:sz w:val="24"/>
          <w:szCs w:val="24"/>
          <w:highlight w:val="none"/>
          <w:lang w:eastAsia="zh-CN"/>
        </w:rPr>
        <w:t>；</w:t>
      </w:r>
    </w:p>
    <w:p w14:paraId="71EEC43E">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3.4</w:t>
      </w:r>
      <w:r>
        <w:rPr>
          <w:rFonts w:hint="eastAsia" w:ascii="宋体" w:hAnsi="宋体" w:eastAsia="宋体" w:cs="宋体"/>
          <w:color w:val="auto"/>
          <w:sz w:val="24"/>
          <w:szCs w:val="24"/>
          <w:highlight w:val="none"/>
        </w:rPr>
        <w:t>具有医疗器械经营许可证或医疗器械经营备案凭证或生产许可证</w:t>
      </w:r>
      <w:r>
        <w:rPr>
          <w:rFonts w:hint="eastAsia" w:ascii="宋体" w:hAnsi="宋体" w:eastAsia="宋体" w:cs="宋体"/>
          <w:color w:val="auto"/>
          <w:sz w:val="24"/>
          <w:szCs w:val="24"/>
          <w:highlight w:val="none"/>
          <w:lang w:val="en-US" w:eastAsia="zh-CN"/>
        </w:rPr>
        <w:t>。</w:t>
      </w:r>
    </w:p>
    <w:p w14:paraId="6239FF86">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备注：以上第3.1条和第3.2条由采购代理机构提供查询结果。</w:t>
      </w:r>
    </w:p>
    <w:p w14:paraId="61A2A867">
      <w:pPr>
        <w:keepNext w:val="0"/>
        <w:keepLines w:val="0"/>
        <w:pageBreakBefore w:val="0"/>
        <w:widowControl w:val="0"/>
        <w:kinsoku/>
        <w:wordWrap/>
        <w:overflowPunct/>
        <w:topLinePunct w:val="0"/>
        <w:autoSpaceDE/>
        <w:autoSpaceDN/>
        <w:bidi w:val="0"/>
        <w:adjustRightInd w:val="0"/>
        <w:snapToGrid/>
        <w:spacing w:line="440" w:lineRule="atLeast"/>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三、获取招标文件</w:t>
      </w:r>
      <w:bookmarkStart w:id="0" w:name="_GoBack"/>
      <w:bookmarkEnd w:id="0"/>
    </w:p>
    <w:p w14:paraId="4A2569FC">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日00时00分至202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rPr>
        <w:t>日23时59分（北京时间）；</w:t>
      </w:r>
    </w:p>
    <w:p w14:paraId="782314C0">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2.地点：焦作市公共资源交易中心网站；</w:t>
      </w:r>
    </w:p>
    <w:p w14:paraId="441A2F11">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3.方式：本项目采用电子开评标（不见面开标），凡有意参加投标者，请登陆焦作市公共资源交易中心网站“交易平台”栏目下载招标文件；</w:t>
      </w:r>
    </w:p>
    <w:p w14:paraId="436C4F0F">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4.售价：0元。</w:t>
      </w:r>
    </w:p>
    <w:p w14:paraId="5A623694">
      <w:pPr>
        <w:keepNext w:val="0"/>
        <w:keepLines w:val="0"/>
        <w:pageBreakBefore w:val="0"/>
        <w:widowControl w:val="0"/>
        <w:kinsoku/>
        <w:wordWrap/>
        <w:overflowPunct/>
        <w:topLinePunct w:val="0"/>
        <w:autoSpaceDE/>
        <w:autoSpaceDN/>
        <w:bidi w:val="0"/>
        <w:adjustRightInd w:val="0"/>
        <w:snapToGrid/>
        <w:spacing w:line="440" w:lineRule="atLeast"/>
        <w:ind w:firstLine="482" w:firstLineChars="200"/>
        <w:jc w:val="both"/>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四、投标截止时间及地点 </w:t>
      </w:r>
    </w:p>
    <w:p w14:paraId="4CA0C860">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日0</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0分（北京时间） </w:t>
      </w:r>
    </w:p>
    <w:p w14:paraId="07265616">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2.地点：加密电子投标文件须在投标截止时间前通过“焦作市公共资源交易中心（http</w:t>
      </w:r>
      <w:r>
        <w:rPr>
          <w:rFonts w:hint="eastAsia" w:ascii="宋体" w:hAnsi="宋体" w:eastAsia="宋体" w:cs="宋体"/>
          <w:color w:val="auto"/>
          <w:sz w:val="24"/>
          <w:szCs w:val="24"/>
          <w:highlight w:val="none"/>
          <w:lang w:val="en-US" w:eastAsia="zh-CN"/>
        </w:rPr>
        <w:t>s</w:t>
      </w:r>
      <w:r>
        <w:rPr>
          <w:rFonts w:hint="eastAsia" w:ascii="宋体" w:hAnsi="宋体" w:eastAsia="宋体" w:cs="宋体"/>
          <w:color w:val="auto"/>
          <w:sz w:val="24"/>
          <w:szCs w:val="24"/>
          <w:highlight w:val="none"/>
        </w:rPr>
        <w:t>://ggzy.jiaozuo.gov.cn/）”网站-交易平台加密上传。</w:t>
      </w:r>
    </w:p>
    <w:p w14:paraId="3A51CC10">
      <w:pPr>
        <w:keepNext w:val="0"/>
        <w:keepLines w:val="0"/>
        <w:pageBreakBefore w:val="0"/>
        <w:widowControl w:val="0"/>
        <w:kinsoku/>
        <w:wordWrap/>
        <w:overflowPunct/>
        <w:topLinePunct w:val="0"/>
        <w:autoSpaceDE/>
        <w:autoSpaceDN/>
        <w:bidi w:val="0"/>
        <w:adjustRightInd w:val="0"/>
        <w:snapToGrid/>
        <w:spacing w:line="440" w:lineRule="atLeast"/>
        <w:ind w:firstLine="482"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五、开标时间及地点</w:t>
      </w:r>
      <w:r>
        <w:rPr>
          <w:rFonts w:hint="eastAsia" w:ascii="宋体" w:hAnsi="宋体" w:eastAsia="宋体" w:cs="宋体"/>
          <w:color w:val="auto"/>
          <w:sz w:val="24"/>
          <w:szCs w:val="24"/>
          <w:highlight w:val="none"/>
        </w:rPr>
        <w:t xml:space="preserve"> </w:t>
      </w:r>
    </w:p>
    <w:p w14:paraId="71814723">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08</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0分（北京时间） </w:t>
      </w:r>
    </w:p>
    <w:p w14:paraId="5757ACF9">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2.地点：焦作市公共资源交易中心</w:t>
      </w:r>
      <w:r>
        <w:rPr>
          <w:rFonts w:hint="eastAsia" w:ascii="宋体" w:hAnsi="宋体" w:eastAsia="宋体" w:cs="宋体"/>
          <w:color w:val="auto"/>
          <w:sz w:val="24"/>
          <w:szCs w:val="24"/>
          <w:highlight w:val="none"/>
          <w:lang w:val="en-US" w:eastAsia="zh-CN"/>
        </w:rPr>
        <w:t>第一</w:t>
      </w:r>
      <w:r>
        <w:rPr>
          <w:rFonts w:hint="eastAsia" w:ascii="宋体" w:hAnsi="宋体" w:eastAsia="宋体" w:cs="宋体"/>
          <w:color w:val="auto"/>
          <w:sz w:val="24"/>
          <w:szCs w:val="24"/>
          <w:highlight w:val="none"/>
        </w:rPr>
        <w:t>开标室</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号机 </w:t>
      </w:r>
    </w:p>
    <w:p w14:paraId="09207C48">
      <w:pPr>
        <w:keepNext w:val="0"/>
        <w:keepLines w:val="0"/>
        <w:pageBreakBefore w:val="0"/>
        <w:widowControl w:val="0"/>
        <w:kinsoku/>
        <w:wordWrap/>
        <w:overflowPunct/>
        <w:topLinePunct w:val="0"/>
        <w:autoSpaceDE/>
        <w:autoSpaceDN/>
        <w:bidi w:val="0"/>
        <w:adjustRightInd w:val="0"/>
        <w:snapToGrid/>
        <w:spacing w:line="440" w:lineRule="atLeast"/>
        <w:ind w:firstLine="482"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六、发布公告的媒介及招标公告期限</w:t>
      </w:r>
      <w:r>
        <w:rPr>
          <w:rFonts w:hint="eastAsia" w:ascii="宋体" w:hAnsi="宋体" w:eastAsia="宋体" w:cs="宋体"/>
          <w:color w:val="auto"/>
          <w:sz w:val="24"/>
          <w:szCs w:val="24"/>
          <w:highlight w:val="none"/>
        </w:rPr>
        <w:t xml:space="preserve"> </w:t>
      </w:r>
    </w:p>
    <w:p w14:paraId="1974AC77">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本次招标公告在《河南省政府采购网》、《焦作市公共资源交易中心网》上发布。招标公告期限为五个工作日。  </w:t>
      </w:r>
    </w:p>
    <w:p w14:paraId="7C1AF595">
      <w:pPr>
        <w:keepNext w:val="0"/>
        <w:keepLines w:val="0"/>
        <w:pageBreakBefore w:val="0"/>
        <w:widowControl w:val="0"/>
        <w:kinsoku/>
        <w:wordWrap/>
        <w:overflowPunct/>
        <w:topLinePunct w:val="0"/>
        <w:autoSpaceDE/>
        <w:autoSpaceDN/>
        <w:bidi w:val="0"/>
        <w:adjustRightInd w:val="0"/>
        <w:snapToGrid/>
        <w:spacing w:line="440" w:lineRule="atLeast"/>
        <w:ind w:firstLine="482" w:firstLineChars="200"/>
        <w:jc w:val="both"/>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七、其他补充事宜</w:t>
      </w:r>
    </w:p>
    <w:p w14:paraId="1246E6ED">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1.需要落实的政府采购政策：促进中小企业和监狱企业发展扶持政策、促进残疾人就业政府采购政策、实施本国产品标准及相关政策。</w:t>
      </w:r>
    </w:p>
    <w:p w14:paraId="4987B66A">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.《投标单位操作手册及视频》和新点投标文件制作软件请到焦作市公共资源交易中心网站“公共服务”——“下载专区”栏目下载。</w:t>
      </w:r>
    </w:p>
    <w:p w14:paraId="2748A45A">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.请各投标人提前办理 CA 数字证书，并学习电子投标文件制作。加密的电子投标文件须使用CA数字证书上传。为防止网络拥堵等不可控因素影响加密的电子投标文件上传，请各投标人提前上传，因未能及时上传导致投标失败的责任由投标人自行承担。为保护用户账户的安全和即将开展的电子化开评标，投标人必须使用移动CA或实体CA证书等数字认证方式登录招投标交易平台，移动CA通过交易主体登录页扫码下载app线上申请即可，实体CA办理可通过网站办事指南查询办理流程。</w:t>
      </w:r>
    </w:p>
    <w:p w14:paraId="6F6A09B7">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.按要求进行网上获取并下载招标文件,凡未在规定时间内获取招标文件者视为无效标。</w:t>
      </w:r>
    </w:p>
    <w:p w14:paraId="67D4828A">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.平台统一技术服务电话为：0512-58188538，服务QQ:4008503300,服务时间:周一至周日8:00-17:30（北京时间）。</w:t>
      </w:r>
    </w:p>
    <w:p w14:paraId="6FD1CC1B">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获取招标文件后，请下载并安装最新版本投标文件制作工具，制作电子投标文件，在投标截止时间前，上传加密的投标文件。供应商未在投标截止时间前完成上传的，视为逾期送达，焦作市电子招投标交易平台将拒绝接收。</w:t>
      </w:r>
    </w:p>
    <w:p w14:paraId="18FCC6C3">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本项目采用远程不见面交易的模式，开标当日，供应商无需到现场参加开标会议，应在投标截止时间前，登录“不见面开标大厅系统”，在线准时参加开标活动并进行投标文件解密等。因供应商原因未能解密或解密失败的将被拒绝。详见焦作市公共资源交易中心网站-公共服务-下载专区《投标单位操作手册及视频》。除电子投标文件外，投标时不再接受任何纸质文件、资料等。</w:t>
      </w:r>
    </w:p>
    <w:p w14:paraId="28AFDF0A">
      <w:pPr>
        <w:keepNext w:val="0"/>
        <w:keepLines w:val="0"/>
        <w:pageBreakBefore w:val="0"/>
        <w:widowControl w:val="0"/>
        <w:kinsoku/>
        <w:wordWrap/>
        <w:overflowPunct/>
        <w:topLinePunct w:val="0"/>
        <w:autoSpaceDE/>
        <w:autoSpaceDN/>
        <w:bidi w:val="0"/>
        <w:adjustRightInd w:val="0"/>
        <w:snapToGrid/>
        <w:spacing w:line="440" w:lineRule="atLeast"/>
        <w:ind w:firstLine="482" w:firstLineChars="200"/>
        <w:jc w:val="both"/>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八、凡对本次招标提出询问，请按以下方式联系。</w:t>
      </w:r>
    </w:p>
    <w:p w14:paraId="739F716D">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1.采购人信息</w:t>
      </w:r>
    </w:p>
    <w:p w14:paraId="56745644">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名称：焦作市五官医院</w:t>
      </w:r>
    </w:p>
    <w:p w14:paraId="7353B031">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地址：焦作市新华中街156号</w:t>
      </w:r>
    </w:p>
    <w:p w14:paraId="50800772">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联系人：刘女士</w:t>
      </w:r>
    </w:p>
    <w:p w14:paraId="4EB01E9E">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联系方式：13782759891</w:t>
      </w:r>
    </w:p>
    <w:p w14:paraId="628781CD">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2.采购代理机构信息</w:t>
      </w:r>
    </w:p>
    <w:p w14:paraId="47824E7F">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名称：焦作市公共资源项目服务有限责任公司 </w:t>
      </w:r>
    </w:p>
    <w:p w14:paraId="64E45EC9">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地址：焦作市解放区人民路889号 </w:t>
      </w:r>
    </w:p>
    <w:p w14:paraId="0DD193D4">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张先生</w:t>
      </w:r>
    </w:p>
    <w:p w14:paraId="0BCD15E0">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4"/>
          <w:highlight w:val="none"/>
          <w:lang w:val="en-US" w:eastAsia="zh-CN"/>
        </w:rPr>
        <w:t>17603918777</w:t>
      </w:r>
    </w:p>
    <w:p w14:paraId="460EDEC3">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3.项目联系方式 </w:t>
      </w:r>
    </w:p>
    <w:p w14:paraId="02ECE5AF">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项目联系人：</w:t>
      </w:r>
      <w:r>
        <w:rPr>
          <w:rFonts w:hint="eastAsia" w:ascii="宋体" w:hAnsi="宋体" w:eastAsia="宋体" w:cs="宋体"/>
          <w:color w:val="auto"/>
          <w:sz w:val="24"/>
          <w:szCs w:val="24"/>
          <w:highlight w:val="none"/>
          <w:lang w:val="en-US" w:eastAsia="zh-CN"/>
        </w:rPr>
        <w:t>刘女士</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张先生</w:t>
      </w:r>
    </w:p>
    <w:p w14:paraId="46A082E3">
      <w:pPr>
        <w:keepNext w:val="0"/>
        <w:keepLines w:val="0"/>
        <w:pageBreakBefore w:val="0"/>
        <w:widowControl w:val="0"/>
        <w:kinsoku/>
        <w:wordWrap/>
        <w:overflowPunct/>
        <w:topLinePunct w:val="0"/>
        <w:autoSpaceDE/>
        <w:autoSpaceDN/>
        <w:bidi w:val="0"/>
        <w:adjustRightInd w:val="0"/>
        <w:snapToGrid/>
        <w:spacing w:line="440" w:lineRule="atLeas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4"/>
          <w:highlight w:val="none"/>
          <w:lang w:val="en-US" w:eastAsia="zh-CN"/>
        </w:rPr>
        <w:t xml:space="preserve">13782759891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17603918777</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0E5102"/>
    <w:rsid w:val="1A0E51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Calibri" w:hAnsi="Calibri" w:eastAsia="宋体" w:cs="宋体"/>
      <w:kern w:val="2"/>
      <w:sz w:val="21"/>
      <w:szCs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2026-10-08T01:01:00Z</dcterms:created>
  <dc:creator>Tonny</dc:creator>
  <cp:lastModifiedBy>Tonny</cp:lastModifiedBy>
  <dcterms:modified xsi:type="dcterms:W3CDTF">2026-10-08T01:03:30Z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133B2B97EA774F43AAEB604C5440BDEC_11</vt:lpwstr>
  </property>
  <property fmtid="{D5CDD505-2E9C-101B-9397-08002B2CF9AE}" pid="4" name="KSOTemplateDocerSaveRecord">
    <vt:lpwstr>eyJoZGlkIjoiOTVhMzgwY2M4ZGNkNThjMzk5NTdkZWViY2FkOGZjMDMiLCJ1c2VySWQiOiIzMjkxMDEyODUifQ==</vt:lpwstr>
  </property>
</Properties>
</file>