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zh-CN"/>
        </w:rPr>
        <w:t>附件</w:t>
      </w:r>
      <w:r>
        <w:rPr>
          <w:rFonts w:hint="eastAsia"/>
          <w:sz w:val="28"/>
          <w:szCs w:val="28"/>
          <w:lang w:val="en-US" w:eastAsia="zh-CN"/>
        </w:rPr>
        <w:t>1</w:t>
      </w:r>
    </w:p>
    <w:p>
      <w:pPr>
        <w:bidi w:val="0"/>
        <w:jc w:val="center"/>
        <w:rPr>
          <w:rFonts w:hint="eastAsia"/>
          <w:sz w:val="28"/>
          <w:szCs w:val="28"/>
          <w:lang w:val="zh-CN"/>
        </w:rPr>
      </w:pPr>
      <w:r>
        <w:rPr>
          <w:rFonts w:hint="eastAsia"/>
          <w:b/>
          <w:bCs/>
          <w:sz w:val="28"/>
          <w:szCs w:val="28"/>
          <w:lang w:val="zh-CN"/>
        </w:rPr>
        <w:t xml:space="preserve">第三部分  </w:t>
      </w:r>
      <w:bookmarkStart w:id="0" w:name="RANGE!A1:C295"/>
      <w:r>
        <w:rPr>
          <w:rFonts w:hint="eastAsia"/>
          <w:b/>
          <w:bCs/>
          <w:sz w:val="28"/>
          <w:szCs w:val="28"/>
          <w:lang w:val="zh-CN"/>
        </w:rPr>
        <w:t>采购需求</w:t>
      </w:r>
    </w:p>
    <w:bookmarkEnd w:id="0"/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ind w:right="48" w:rightChars="23" w:firstLine="562" w:firstLineChars="200"/>
        <w:jc w:val="left"/>
        <w:textAlignment w:val="auto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一、工程概况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ind w:right="48" w:rightChars="23" w:firstLine="560" w:firstLineChars="200"/>
        <w:jc w:val="left"/>
        <w:textAlignment w:val="auto"/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开封市杞县污染防治设备监测服务项目包含:VOCs来源解析监测，PM2.5来源解析监测，无人机红外热成像监察，六参走航监测服务，微型空气质量监测站(购置15台微型空气质量监测站点设备)，激光雷达监测服务，技术团队服务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2" w:firstLineChars="200"/>
        <w:textAlignment w:val="auto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二、设备技术参数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sz w:val="28"/>
          <w:szCs w:val="28"/>
          <w:lang w:val="en-US" w:eastAsia="zh-CN"/>
        </w:rPr>
        <w:t>微型空气质量监测站点设备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监测PM10/PM2.5/CO/NO2/SO2/O3 空气质量六参数。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PM10，光散射法，量程范围0～2000 μg/m3，检出限</w:t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≤15μg/m3，分辨率≤1μg/m3。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PM2.5，光散射法</w:t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 xml:space="preserve">，量程范围0～1000 μg/m3，检出限≤10μg/m3，分辨率≤1μg/m3。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SO2</w:t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 xml:space="preserve">，电化学，量程范围0～1000ppb，检出限≤5ppb，分辨率≤1ppb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CO</w:t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 xml:space="preserve">，电化学，量程范围0～200ppm，检出限≤50ppb，分辨率≤10ppb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 xml:space="preserve">NO2，电化学，量程范围0～1000ppb，检出限≤5 ppb，分辨率≤1ppb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O3</w:t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，电化学，量程范围0～1000ppb，检出限≤5ppb，分辨率≤1ppb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颗粒物测量采用激光光散射传感器，测量精度高，响应快，最小粒径测量可达0.3 μm。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气体测量采用小量程高精度进口传感器，测量稳定，抗干扰能力强。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单套设备最多可以同时监测12种有毒有害气体，检测因子需要提供实物图片证明材料。具有标准方法校准及自修正校准组合式校准功能。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低功耗，太阳能市电供电互补，太阳能组件可实现长期供电。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提供投标产品环保认证（CCEP）证书复印件。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提供投标产品具有CMA资质的省部级及以上计量检测机构的检测报告复印件。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投标产品工作温度：工作环境温度：－40℃～+60℃;工作环境湿度：0～93%RH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</w:pPr>
      <w:bookmarkStart w:id="1" w:name="_GoBack"/>
      <w:bookmarkEnd w:id="1"/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采样周期：1min～1h可设。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通讯方式：4G无线通讯，采用性能稳定可靠的DTU产品，兼容RS485接口，可扩展双DTU通信方式。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通讯方式可选配置：RS485/RS232、RJ45以太网。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对外数据传输协议兼容HJ212-2017/2005、第三方平台数据协议，兼容性强。</w:t>
      </w:r>
    </w:p>
    <w:p>
      <w:pPr>
        <w:rPr>
          <w:rFonts w:hint="default"/>
          <w:lang w:val="en-US" w:eastAsia="zh-CN"/>
        </w:rPr>
      </w:pPr>
    </w:p>
    <w:p>
      <w:pPr>
        <w:jc w:val="center"/>
        <w:rPr>
          <w:rFonts w:hint="default" w:eastAsia="宋体"/>
          <w:lang w:val="en-US" w:eastAsia="zh-CN"/>
        </w:rPr>
      </w:pPr>
      <w:r>
        <w:rPr>
          <w:rFonts w:hint="eastAsia"/>
          <w:lang w:val="zh-CN"/>
        </w:rPr>
        <w:br w:type="page"/>
      </w: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三  采购清单</w:t>
      </w:r>
    </w:p>
    <w:p>
      <w:pPr>
        <w:rPr>
          <w:rFonts w:hint="eastAsia"/>
          <w:lang w:val="zh-CN"/>
        </w:rPr>
      </w:pPr>
    </w:p>
    <w:tbl>
      <w:tblPr>
        <w:tblStyle w:val="3"/>
        <w:tblW w:w="495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992"/>
        <w:gridCol w:w="3778"/>
        <w:gridCol w:w="2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18" w:type="pct"/>
            <w:noWrap/>
            <w:vAlign w:val="center"/>
          </w:tcPr>
          <w:p>
            <w:pPr>
              <w:pStyle w:val="5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587" w:type="pct"/>
            <w:noWrap/>
            <w:vAlign w:val="center"/>
          </w:tcPr>
          <w:p>
            <w:pPr>
              <w:pStyle w:val="5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项目</w:t>
            </w:r>
          </w:p>
        </w:tc>
        <w:tc>
          <w:tcPr>
            <w:tcW w:w="2238" w:type="pct"/>
            <w:noWrap/>
            <w:vAlign w:val="center"/>
          </w:tcPr>
          <w:p>
            <w:pPr>
              <w:pStyle w:val="5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内容</w:t>
            </w:r>
          </w:p>
        </w:tc>
        <w:tc>
          <w:tcPr>
            <w:tcW w:w="1755" w:type="pct"/>
            <w:noWrap/>
            <w:vAlign w:val="center"/>
          </w:tcPr>
          <w:p>
            <w:pPr>
              <w:pStyle w:val="5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418" w:type="pct"/>
            <w:noWrap/>
            <w:vAlign w:val="center"/>
          </w:tcPr>
          <w:p>
            <w:pPr>
              <w:pStyle w:val="5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587" w:type="pct"/>
            <w:vMerge w:val="restart"/>
            <w:noWrap/>
            <w:vAlign w:val="center"/>
          </w:tcPr>
          <w:p>
            <w:pPr>
              <w:pStyle w:val="5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VOCs来源解析监测</w:t>
            </w:r>
          </w:p>
        </w:tc>
        <w:tc>
          <w:tcPr>
            <w:tcW w:w="2238" w:type="pct"/>
            <w:vMerge w:val="restart"/>
            <w:noWrap w:val="0"/>
            <w:vAlign w:val="center"/>
          </w:tcPr>
          <w:p>
            <w:pPr>
              <w:pStyle w:val="5"/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通过选取杞县高值点位开展不少于70天的VOCs组分监测，识别不同组分的臭氧生成潜势，运用模型分析对臭氧生成贡献，为臭氧污染治理提供来源分析</w:t>
            </w:r>
          </w:p>
        </w:tc>
        <w:tc>
          <w:tcPr>
            <w:tcW w:w="1755" w:type="pct"/>
            <w:noWrap/>
            <w:vAlign w:val="center"/>
          </w:tcPr>
          <w:p>
            <w:pPr>
              <w:pStyle w:val="5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VOCs监测报告不少于7份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418" w:type="pct"/>
            <w:noWrap/>
            <w:vAlign w:val="center"/>
          </w:tcPr>
          <w:p>
            <w:pPr>
              <w:pStyle w:val="5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587" w:type="pct"/>
            <w:vMerge w:val="continue"/>
            <w:noWrap/>
            <w:vAlign w:val="center"/>
          </w:tcPr>
          <w:p>
            <w:pPr>
              <w:pStyle w:val="5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38" w:type="pct"/>
            <w:vMerge w:val="continue"/>
            <w:noWrap w:val="0"/>
            <w:vAlign w:val="center"/>
          </w:tcPr>
          <w:p>
            <w:pPr>
              <w:pStyle w:val="5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55" w:type="pct"/>
            <w:noWrap/>
            <w:vAlign w:val="center"/>
          </w:tcPr>
          <w:p>
            <w:pPr>
              <w:pStyle w:val="5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VOCs来源解析总结性报告1份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418" w:type="pct"/>
            <w:noWrap/>
            <w:vAlign w:val="center"/>
          </w:tcPr>
          <w:p>
            <w:pPr>
              <w:pStyle w:val="5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587" w:type="pct"/>
            <w:vMerge w:val="restart"/>
            <w:noWrap/>
            <w:vAlign w:val="center"/>
          </w:tcPr>
          <w:p>
            <w:pPr>
              <w:pStyle w:val="5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PM2.5来源解析监测</w:t>
            </w:r>
          </w:p>
        </w:tc>
        <w:tc>
          <w:tcPr>
            <w:tcW w:w="2238" w:type="pct"/>
            <w:vMerge w:val="restart"/>
            <w:noWrap w:val="0"/>
            <w:vAlign w:val="center"/>
          </w:tcPr>
          <w:p>
            <w:pPr>
              <w:pStyle w:val="5"/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利用PM2.5源解析设备，对杞县开展不少于60天的监测工作，出具来源解析监测报告，为污染治理提供数据支撑。</w:t>
            </w:r>
          </w:p>
        </w:tc>
        <w:tc>
          <w:tcPr>
            <w:tcW w:w="1755" w:type="pct"/>
            <w:noWrap/>
            <w:vAlign w:val="center"/>
          </w:tcPr>
          <w:p>
            <w:pPr>
              <w:pStyle w:val="5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PM2.5来源解析报告不少于4份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18" w:type="pct"/>
            <w:noWrap/>
            <w:vAlign w:val="center"/>
          </w:tcPr>
          <w:p>
            <w:pPr>
              <w:pStyle w:val="5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587" w:type="pct"/>
            <w:vMerge w:val="continue"/>
            <w:noWrap/>
            <w:vAlign w:val="center"/>
          </w:tcPr>
          <w:p>
            <w:pPr>
              <w:pStyle w:val="5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38" w:type="pct"/>
            <w:vMerge w:val="continue"/>
            <w:noWrap w:val="0"/>
            <w:vAlign w:val="center"/>
          </w:tcPr>
          <w:p>
            <w:pPr>
              <w:pStyle w:val="5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55" w:type="pct"/>
            <w:noWrap/>
            <w:vAlign w:val="center"/>
          </w:tcPr>
          <w:p>
            <w:pPr>
              <w:pStyle w:val="5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PM2.5来源解析总结性报告1份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418" w:type="pct"/>
            <w:noWrap/>
            <w:vAlign w:val="center"/>
          </w:tcPr>
          <w:p>
            <w:pPr>
              <w:pStyle w:val="5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587" w:type="pct"/>
            <w:vMerge w:val="restart"/>
            <w:noWrap/>
            <w:vAlign w:val="center"/>
          </w:tcPr>
          <w:p>
            <w:pPr>
              <w:pStyle w:val="5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无人机红外热成像监察</w:t>
            </w:r>
          </w:p>
        </w:tc>
        <w:tc>
          <w:tcPr>
            <w:tcW w:w="2238" w:type="pct"/>
            <w:vMerge w:val="restart"/>
            <w:noWrap w:val="0"/>
            <w:vAlign w:val="center"/>
          </w:tcPr>
          <w:p>
            <w:pPr>
              <w:pStyle w:val="5"/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在来源监测解析期间，运用红外线无人机对杞县开展不少于30天的航拍监察，及时发现存在问题并不定期形成航拍报告。</w:t>
            </w:r>
          </w:p>
        </w:tc>
        <w:tc>
          <w:tcPr>
            <w:tcW w:w="1755" w:type="pct"/>
            <w:noWrap/>
            <w:vAlign w:val="center"/>
          </w:tcPr>
          <w:p>
            <w:pPr>
              <w:pStyle w:val="5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航拍监察日报不少于30份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18" w:type="pct"/>
            <w:noWrap/>
            <w:vAlign w:val="center"/>
          </w:tcPr>
          <w:p>
            <w:pPr>
              <w:pStyle w:val="5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587" w:type="pct"/>
            <w:vMerge w:val="continue"/>
            <w:noWrap/>
            <w:vAlign w:val="center"/>
          </w:tcPr>
          <w:p>
            <w:pPr>
              <w:pStyle w:val="5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38" w:type="pct"/>
            <w:vMerge w:val="continue"/>
            <w:noWrap w:val="0"/>
            <w:vAlign w:val="center"/>
          </w:tcPr>
          <w:p>
            <w:pPr>
              <w:pStyle w:val="5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55" w:type="pct"/>
            <w:noWrap/>
            <w:vAlign w:val="center"/>
          </w:tcPr>
          <w:p>
            <w:pPr>
              <w:pStyle w:val="5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航拍监察总结性报告1份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418" w:type="pct"/>
            <w:noWrap/>
            <w:vAlign w:val="center"/>
          </w:tcPr>
          <w:p>
            <w:pPr>
              <w:pStyle w:val="5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587" w:type="pct"/>
            <w:vMerge w:val="restart"/>
            <w:noWrap/>
            <w:vAlign w:val="center"/>
          </w:tcPr>
          <w:p>
            <w:pPr>
              <w:pStyle w:val="5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六参走航监测服务</w:t>
            </w:r>
          </w:p>
        </w:tc>
        <w:tc>
          <w:tcPr>
            <w:tcW w:w="2238" w:type="pct"/>
            <w:vMerge w:val="restart"/>
            <w:noWrap w:val="0"/>
            <w:vAlign w:val="center"/>
          </w:tcPr>
          <w:p>
            <w:pPr>
              <w:pStyle w:val="5"/>
              <w:jc w:val="left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通过运用六参走航车，对杞县开展不少于50天的走航监测，实现对空气污染物的‌快速、精准、动态、全域‌监控，为环境治理提供科学决策依据。</w:t>
            </w:r>
          </w:p>
        </w:tc>
        <w:tc>
          <w:tcPr>
            <w:tcW w:w="1755" w:type="pct"/>
            <w:noWrap/>
            <w:vAlign w:val="center"/>
          </w:tcPr>
          <w:p>
            <w:pPr>
              <w:pStyle w:val="5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监测报告不少于50份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18" w:type="pct"/>
            <w:noWrap/>
            <w:vAlign w:val="center"/>
          </w:tcPr>
          <w:p>
            <w:pPr>
              <w:pStyle w:val="5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587" w:type="pct"/>
            <w:vMerge w:val="continue"/>
            <w:noWrap/>
            <w:vAlign w:val="center"/>
          </w:tcPr>
          <w:p>
            <w:pPr>
              <w:pStyle w:val="5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38" w:type="pct"/>
            <w:vMerge w:val="continue"/>
            <w:noWrap w:val="0"/>
            <w:vAlign w:val="center"/>
          </w:tcPr>
          <w:p>
            <w:pPr>
              <w:pStyle w:val="5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55" w:type="pct"/>
            <w:noWrap/>
            <w:vAlign w:val="center"/>
          </w:tcPr>
          <w:p>
            <w:pPr>
              <w:pStyle w:val="5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走航监测总结性报告1份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418" w:type="pct"/>
            <w:noWrap/>
            <w:vAlign w:val="center"/>
          </w:tcPr>
          <w:p>
            <w:pPr>
              <w:pStyle w:val="5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587" w:type="pct"/>
            <w:vMerge w:val="restart"/>
            <w:noWrap/>
            <w:vAlign w:val="center"/>
          </w:tcPr>
          <w:p>
            <w:pPr>
              <w:pStyle w:val="5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微型空气质量监测站</w:t>
            </w:r>
          </w:p>
        </w:tc>
        <w:tc>
          <w:tcPr>
            <w:tcW w:w="2238" w:type="pct"/>
            <w:vMerge w:val="restart"/>
            <w:noWrap w:val="0"/>
            <w:vAlign w:val="center"/>
          </w:tcPr>
          <w:p>
            <w:pPr>
              <w:pStyle w:val="5"/>
              <w:jc w:val="left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通过购置15台微型空气质量监测站点设备，按照网格化布设方式在省控、传输通道、污染源等区域，实现对污染的精准溯源。</w:t>
            </w:r>
          </w:p>
        </w:tc>
        <w:tc>
          <w:tcPr>
            <w:tcW w:w="1755" w:type="pct"/>
            <w:noWrap/>
            <w:vAlign w:val="center"/>
          </w:tcPr>
          <w:p>
            <w:pPr>
              <w:pStyle w:val="5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监测运行总结报告1份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418" w:type="pct"/>
            <w:noWrap/>
            <w:vAlign w:val="center"/>
          </w:tcPr>
          <w:p>
            <w:pPr>
              <w:pStyle w:val="5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587" w:type="pct"/>
            <w:vMerge w:val="continue"/>
            <w:noWrap/>
            <w:vAlign w:val="center"/>
          </w:tcPr>
          <w:p>
            <w:pPr>
              <w:pStyle w:val="5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38" w:type="pct"/>
            <w:vMerge w:val="continue"/>
            <w:noWrap w:val="0"/>
            <w:vAlign w:val="center"/>
          </w:tcPr>
          <w:p>
            <w:pPr>
              <w:pStyle w:val="5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55" w:type="pct"/>
            <w:noWrap/>
            <w:vAlign w:val="center"/>
          </w:tcPr>
          <w:p>
            <w:pPr>
              <w:pStyle w:val="5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设备运维包含耗材费、人工费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418" w:type="pct"/>
            <w:noWrap/>
            <w:vAlign w:val="center"/>
          </w:tcPr>
          <w:p>
            <w:pPr>
              <w:pStyle w:val="5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11</w:t>
            </w:r>
          </w:p>
        </w:tc>
        <w:tc>
          <w:tcPr>
            <w:tcW w:w="587" w:type="pct"/>
            <w:vMerge w:val="restart"/>
            <w:noWrap/>
            <w:vAlign w:val="center"/>
          </w:tcPr>
          <w:p>
            <w:pPr>
              <w:pStyle w:val="5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激光雷达监测服务</w:t>
            </w:r>
          </w:p>
        </w:tc>
        <w:tc>
          <w:tcPr>
            <w:tcW w:w="2238" w:type="pct"/>
            <w:vMerge w:val="restart"/>
            <w:noWrap w:val="0"/>
            <w:vAlign w:val="center"/>
          </w:tcPr>
          <w:p>
            <w:pPr>
              <w:pStyle w:val="5"/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运用激光雷达设备对杞县开展不少于30天的定点或/走航监测，分析区域污染源点位和污染传输情况</w:t>
            </w:r>
          </w:p>
        </w:tc>
        <w:tc>
          <w:tcPr>
            <w:tcW w:w="1755" w:type="pct"/>
            <w:noWrap/>
            <w:vAlign w:val="center"/>
          </w:tcPr>
          <w:p>
            <w:pPr>
              <w:pStyle w:val="5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监测报告不少于30份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418" w:type="pct"/>
            <w:noWrap/>
            <w:vAlign w:val="center"/>
          </w:tcPr>
          <w:p>
            <w:pPr>
              <w:pStyle w:val="5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12</w:t>
            </w:r>
          </w:p>
        </w:tc>
        <w:tc>
          <w:tcPr>
            <w:tcW w:w="587" w:type="pct"/>
            <w:vMerge w:val="continue"/>
            <w:noWrap/>
            <w:vAlign w:val="center"/>
          </w:tcPr>
          <w:p>
            <w:pPr>
              <w:pStyle w:val="5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38" w:type="pct"/>
            <w:vMerge w:val="continue"/>
            <w:noWrap w:val="0"/>
            <w:vAlign w:val="center"/>
          </w:tcPr>
          <w:p>
            <w:pPr>
              <w:pStyle w:val="5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55" w:type="pct"/>
            <w:noWrap/>
            <w:vAlign w:val="center"/>
          </w:tcPr>
          <w:p>
            <w:pPr>
              <w:pStyle w:val="5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总结性监测报告1份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418" w:type="pct"/>
            <w:noWrap/>
            <w:vAlign w:val="center"/>
          </w:tcPr>
          <w:p>
            <w:pPr>
              <w:pStyle w:val="5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13</w:t>
            </w:r>
          </w:p>
        </w:tc>
        <w:tc>
          <w:tcPr>
            <w:tcW w:w="587" w:type="pct"/>
            <w:noWrap/>
            <w:vAlign w:val="center"/>
          </w:tcPr>
          <w:p>
            <w:pPr>
              <w:pStyle w:val="5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技术团队</w:t>
            </w:r>
          </w:p>
        </w:tc>
        <w:tc>
          <w:tcPr>
            <w:tcW w:w="2238" w:type="pct"/>
            <w:noWrap w:val="0"/>
            <w:vAlign w:val="center"/>
          </w:tcPr>
          <w:p>
            <w:pPr>
              <w:pStyle w:val="5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为本项目组建技术团队，开展驻场服务及各项监测设备运行维护、技术报告编写等工作。</w:t>
            </w:r>
          </w:p>
        </w:tc>
        <w:tc>
          <w:tcPr>
            <w:tcW w:w="1755" w:type="pct"/>
            <w:noWrap/>
            <w:vAlign w:val="center"/>
          </w:tcPr>
          <w:p>
            <w:pPr>
              <w:pStyle w:val="5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服务期限内完成各项工作安排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3A57AD"/>
    <w:rsid w:val="188E4A16"/>
    <w:rsid w:val="2DC7118A"/>
    <w:rsid w:val="2E76495E"/>
    <w:rsid w:val="373B6744"/>
    <w:rsid w:val="513A57AD"/>
    <w:rsid w:val="5E3C3929"/>
    <w:rsid w:val="66CA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M-5表内容"/>
    <w:qFormat/>
    <w:uiPriority w:val="0"/>
    <w:pPr>
      <w:spacing w:after="0" w:line="240" w:lineRule="auto"/>
      <w:jc w:val="center"/>
    </w:pPr>
    <w:rPr>
      <w:rFonts w:ascii="Times New Roman" w:hAnsi="Times New Roman" w:eastAsia="仿宋_GB2312" w:cs="Times New Roman"/>
      <w:kern w:val="2"/>
      <w:sz w:val="24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2026-04-27T01:02:00Z</dcterms:created>
  <dc:creator>。。差不多先生。</dc:creator>
  <cp:lastModifiedBy>admin</cp:lastModifiedBy>
  <dcterms:modified xsi:type="dcterms:W3CDTF">2026-04-27T02:42:32Z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AFBF1A73E2E54B35A2404D6846905C81_11</vt:lpwstr>
  </property>
  <property fmtid="{D5CDD505-2E9C-101B-9397-08002B2CF9AE}" pid="4" name="KSOTemplateDocerSaveRecord">
    <vt:lpwstr>eyJoZGlkIjoiNmVmYjZiZjg1ZmMyMTMxZDlhNmY3MTI5YTIyYTMxMTEiLCJ1c2VySWQiOiIzNDg2NjcwNDEifQ==</vt:lpwstr>
  </property>
</Properties>
</file>