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844E0">
      <w:pPr>
        <w:pStyle w:val="5"/>
        <w:jc w:val="center"/>
        <w:rPr>
          <w:rFonts w:hint="eastAsia" w:ascii="宋体" w:hAnsi="宋体" w:eastAsia="宋体" w:cs="宋体"/>
          <w:color w:val="auto"/>
          <w:sz w:val="44"/>
          <w:szCs w:val="44"/>
          <w:highlight w:val="none"/>
          <w:lang w:eastAsia="zh-CN"/>
        </w:rPr>
      </w:pPr>
      <w:bookmarkStart w:id="418" w:name="_GoBack"/>
      <w:bookmarkEnd w:id="418"/>
      <w:r>
        <w:rPr>
          <w:rFonts w:hint="eastAsia" w:ascii="宋体" w:hAnsi="宋体" w:eastAsia="宋体" w:cs="宋体"/>
          <w:color w:val="auto"/>
          <w:sz w:val="44"/>
          <w:szCs w:val="44"/>
          <w:highlight w:val="none"/>
          <w:lang w:eastAsia="zh-CN"/>
        </w:rPr>
        <w:t>开封市生态环境局开封市污水集中处理设施及固体废物设施周边土壤污染状况监测项目</w:t>
      </w:r>
    </w:p>
    <w:p w14:paraId="5BD72582">
      <w:pPr>
        <w:pStyle w:val="5"/>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招标文件</w:t>
      </w:r>
    </w:p>
    <w:p w14:paraId="67C6C7C9">
      <w:pPr>
        <w:pStyle w:val="5"/>
        <w:jc w:val="center"/>
        <w:rPr>
          <w:rFonts w:hint="eastAsia" w:ascii="宋体" w:hAnsi="宋体" w:cs="黑体"/>
          <w:color w:val="auto"/>
          <w:kern w:val="0"/>
          <w:sz w:val="44"/>
          <w:szCs w:val="44"/>
          <w:highlight w:val="none"/>
        </w:rPr>
      </w:pPr>
      <w:r>
        <w:rPr>
          <w:rFonts w:hint="eastAsia" w:eastAsia="宋体"/>
          <w:color w:val="auto"/>
          <w:sz w:val="72"/>
          <w:szCs w:val="72"/>
          <w:highlight w:val="none"/>
          <w:lang w:eastAsia="zh-CN"/>
        </w:rPr>
        <w:drawing>
          <wp:anchor distT="0" distB="0" distL="114300" distR="114300" simplePos="0" relativeHeight="251659264" behindDoc="1" locked="0" layoutInCell="1" allowOverlap="1">
            <wp:simplePos x="0" y="0"/>
            <wp:positionH relativeFrom="column">
              <wp:posOffset>1059180</wp:posOffset>
            </wp:positionH>
            <wp:positionV relativeFrom="paragraph">
              <wp:posOffset>623570</wp:posOffset>
            </wp:positionV>
            <wp:extent cx="2869565" cy="2709545"/>
            <wp:effectExtent l="0" t="0" r="6985" b="14605"/>
            <wp:wrapThrough wrapText="bothSides">
              <wp:wrapPolygon>
                <wp:start x="0" y="0"/>
                <wp:lineTo x="0" y="21413"/>
                <wp:lineTo x="21509" y="21413"/>
                <wp:lineTo x="21509" y="0"/>
                <wp:lineTo x="0" y="0"/>
              </wp:wrapPolygon>
            </wp:wrapThrough>
            <wp:docPr id="2" name="图片 2" descr="89716e54991b27d763ba5f9fa9767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9716e54991b27d763ba5f9fa9767d1"/>
                    <pic:cNvPicPr>
                      <a:picLocks noChangeAspect="1"/>
                    </pic:cNvPicPr>
                  </pic:nvPicPr>
                  <pic:blipFill>
                    <a:blip r:embed="rId11"/>
                    <a:stretch>
                      <a:fillRect/>
                    </a:stretch>
                  </pic:blipFill>
                  <pic:spPr>
                    <a:xfrm>
                      <a:off x="0" y="0"/>
                      <a:ext cx="2869565" cy="2709545"/>
                    </a:xfrm>
                    <a:prstGeom prst="rect">
                      <a:avLst/>
                    </a:prstGeom>
                    <a:noFill/>
                    <a:ln>
                      <a:noFill/>
                    </a:ln>
                  </pic:spPr>
                </pic:pic>
              </a:graphicData>
            </a:graphic>
          </wp:anchor>
        </w:drawing>
      </w:r>
      <w:r>
        <w:rPr>
          <w:rFonts w:hint="eastAsia" w:ascii="宋体" w:hAnsi="宋体"/>
          <w:color w:val="auto"/>
          <w:sz w:val="28"/>
          <w:szCs w:val="28"/>
          <w:highlight w:val="none"/>
        </w:rPr>
        <w:t>项目编号：</w:t>
      </w:r>
      <w:r>
        <w:rPr>
          <w:rFonts w:hint="eastAsia" w:ascii="宋体" w:hAnsi="宋体"/>
          <w:color w:val="auto"/>
          <w:sz w:val="28"/>
          <w:szCs w:val="28"/>
          <w:highlight w:val="none"/>
          <w:lang w:eastAsia="zh-CN"/>
        </w:rPr>
        <w:t>汴财招标采购-2026-42</w:t>
      </w:r>
      <w:r>
        <w:rPr>
          <w:rFonts w:hint="eastAsia" w:ascii="宋体" w:hAnsi="宋体"/>
          <w:color w:val="auto"/>
          <w:sz w:val="28"/>
          <w:szCs w:val="28"/>
          <w:highlight w:val="none"/>
        </w:rPr>
        <w:t xml:space="preserve"> </w:t>
      </w:r>
    </w:p>
    <w:p w14:paraId="4FEB68DF">
      <w:pPr>
        <w:autoSpaceDE w:val="0"/>
        <w:autoSpaceDN w:val="0"/>
        <w:adjustRightInd w:val="0"/>
        <w:jc w:val="center"/>
        <w:rPr>
          <w:rFonts w:hint="eastAsia" w:ascii="宋体" w:hAnsi="宋体" w:cs="黑体"/>
          <w:color w:val="auto"/>
          <w:kern w:val="0"/>
          <w:sz w:val="44"/>
          <w:szCs w:val="44"/>
          <w:highlight w:val="none"/>
        </w:rPr>
      </w:pPr>
    </w:p>
    <w:p w14:paraId="152320B6">
      <w:pPr>
        <w:autoSpaceDE w:val="0"/>
        <w:autoSpaceDN w:val="0"/>
        <w:adjustRightInd w:val="0"/>
        <w:jc w:val="center"/>
        <w:rPr>
          <w:rFonts w:hint="eastAsia" w:ascii="宋体" w:hAnsi="宋体" w:cs="黑体"/>
          <w:color w:val="auto"/>
          <w:kern w:val="0"/>
          <w:sz w:val="44"/>
          <w:szCs w:val="44"/>
          <w:highlight w:val="none"/>
        </w:rPr>
      </w:pPr>
    </w:p>
    <w:p w14:paraId="7FAA9698">
      <w:pPr>
        <w:autoSpaceDE w:val="0"/>
        <w:autoSpaceDN w:val="0"/>
        <w:adjustRightInd w:val="0"/>
        <w:jc w:val="center"/>
        <w:rPr>
          <w:rFonts w:hint="eastAsia" w:hAnsi="宋体" w:cs="黑体"/>
          <w:b/>
          <w:color w:val="auto"/>
          <w:sz w:val="32"/>
          <w:szCs w:val="32"/>
          <w:highlight w:val="none"/>
        </w:rPr>
      </w:pPr>
    </w:p>
    <w:p w14:paraId="64B77B26">
      <w:pPr>
        <w:shd w:val="clear" w:color="auto" w:fill="FFFFFF"/>
        <w:spacing w:line="540" w:lineRule="exact"/>
        <w:jc w:val="center"/>
        <w:rPr>
          <w:rFonts w:hint="eastAsia" w:hAnsi="宋体" w:cs="黑体"/>
          <w:b/>
          <w:color w:val="auto"/>
          <w:sz w:val="32"/>
          <w:szCs w:val="32"/>
          <w:highlight w:val="none"/>
        </w:rPr>
      </w:pPr>
    </w:p>
    <w:p w14:paraId="75870AF0">
      <w:pPr>
        <w:shd w:val="clear" w:color="auto" w:fill="FFFFFF"/>
        <w:spacing w:line="540" w:lineRule="exact"/>
        <w:jc w:val="center"/>
        <w:rPr>
          <w:rFonts w:hint="eastAsia" w:hAnsi="宋体" w:cs="黑体"/>
          <w:b/>
          <w:color w:val="auto"/>
          <w:sz w:val="32"/>
          <w:szCs w:val="32"/>
          <w:highlight w:val="none"/>
        </w:rPr>
      </w:pPr>
    </w:p>
    <w:p w14:paraId="725C6BEA">
      <w:pPr>
        <w:shd w:val="clear" w:color="auto" w:fill="FFFFFF"/>
        <w:spacing w:line="540" w:lineRule="exact"/>
        <w:jc w:val="center"/>
        <w:rPr>
          <w:rFonts w:hint="eastAsia" w:hAnsi="宋体" w:cs="黑体"/>
          <w:b/>
          <w:color w:val="auto"/>
          <w:sz w:val="32"/>
          <w:szCs w:val="32"/>
          <w:highlight w:val="none"/>
        </w:rPr>
      </w:pPr>
    </w:p>
    <w:p w14:paraId="4339BC27">
      <w:pPr>
        <w:shd w:val="clear" w:color="auto" w:fill="FFFFFF"/>
        <w:spacing w:line="540" w:lineRule="exact"/>
        <w:jc w:val="center"/>
        <w:rPr>
          <w:rFonts w:hint="eastAsia" w:hAnsi="宋体" w:cs="黑体"/>
          <w:b/>
          <w:color w:val="auto"/>
          <w:sz w:val="32"/>
          <w:szCs w:val="32"/>
          <w:highlight w:val="none"/>
        </w:rPr>
      </w:pPr>
    </w:p>
    <w:p w14:paraId="189D9248">
      <w:pPr>
        <w:shd w:val="clear" w:color="auto" w:fill="FFFFFF"/>
        <w:spacing w:line="540" w:lineRule="exact"/>
        <w:jc w:val="center"/>
        <w:rPr>
          <w:rFonts w:hint="eastAsia" w:hAnsi="宋体" w:cs="黑体"/>
          <w:b/>
          <w:color w:val="auto"/>
          <w:sz w:val="32"/>
          <w:szCs w:val="32"/>
          <w:highlight w:val="none"/>
        </w:rPr>
      </w:pPr>
    </w:p>
    <w:p w14:paraId="46A22F15">
      <w:pPr>
        <w:shd w:val="clear" w:color="auto" w:fill="FFFFFF"/>
        <w:spacing w:line="540" w:lineRule="exact"/>
        <w:jc w:val="center"/>
        <w:rPr>
          <w:rFonts w:hint="eastAsia" w:hAnsi="宋体" w:cs="黑体"/>
          <w:b/>
          <w:color w:val="auto"/>
          <w:sz w:val="32"/>
          <w:szCs w:val="32"/>
          <w:highlight w:val="none"/>
        </w:rPr>
      </w:pPr>
    </w:p>
    <w:p w14:paraId="2A930644">
      <w:pPr>
        <w:shd w:val="clear" w:color="auto" w:fill="FFFFFF"/>
        <w:spacing w:line="540" w:lineRule="exact"/>
        <w:jc w:val="center"/>
        <w:rPr>
          <w:rFonts w:hint="eastAsia" w:hAnsi="宋体" w:cs="黑体"/>
          <w:b/>
          <w:color w:val="auto"/>
          <w:sz w:val="32"/>
          <w:szCs w:val="32"/>
          <w:highlight w:val="none"/>
        </w:rPr>
      </w:pPr>
    </w:p>
    <w:p w14:paraId="4E603310">
      <w:pPr>
        <w:shd w:val="clear" w:color="auto" w:fill="FFFFFF"/>
        <w:spacing w:line="540" w:lineRule="exact"/>
        <w:jc w:val="center"/>
        <w:rPr>
          <w:rFonts w:hint="eastAsia" w:hAnsi="宋体" w:cs="黑体"/>
          <w:b/>
          <w:color w:val="auto"/>
          <w:sz w:val="32"/>
          <w:szCs w:val="32"/>
          <w:highlight w:val="none"/>
        </w:rPr>
      </w:pPr>
      <w:r>
        <w:rPr>
          <w:rFonts w:hint="eastAsia" w:hAnsi="宋体" w:cs="黑体"/>
          <w:b/>
          <w:color w:val="auto"/>
          <w:sz w:val="32"/>
          <w:szCs w:val="32"/>
          <w:highlight w:val="none"/>
        </w:rPr>
        <w:t>招标人：开封市生态环境局</w:t>
      </w:r>
    </w:p>
    <w:p w14:paraId="5B93D1BD">
      <w:pPr>
        <w:shd w:val="clear" w:color="auto" w:fill="FFFFFF"/>
        <w:spacing w:line="540" w:lineRule="exact"/>
        <w:jc w:val="center"/>
        <w:rPr>
          <w:rFonts w:hint="eastAsia" w:hAnsi="宋体" w:cs="黑体"/>
          <w:b/>
          <w:color w:val="auto"/>
          <w:sz w:val="32"/>
          <w:szCs w:val="32"/>
          <w:highlight w:val="none"/>
        </w:rPr>
      </w:pPr>
      <w:r>
        <w:rPr>
          <w:rFonts w:hint="eastAsia" w:hAnsi="宋体" w:cs="黑体"/>
          <w:b/>
          <w:color w:val="auto"/>
          <w:sz w:val="32"/>
          <w:szCs w:val="32"/>
          <w:highlight w:val="none"/>
        </w:rPr>
        <w:t>代理机</w:t>
      </w:r>
      <w:r>
        <w:rPr>
          <w:rFonts w:hint="eastAsia" w:ascii="Calibri" w:hAnsi="宋体" w:cs="黑体"/>
          <w:b/>
          <w:color w:val="auto"/>
          <w:sz w:val="32"/>
          <w:szCs w:val="32"/>
          <w:highlight w:val="none"/>
        </w:rPr>
        <w:t>构：河南良智行工程管理咨询有限公司</w:t>
      </w:r>
    </w:p>
    <w:p w14:paraId="50E23333">
      <w:pPr>
        <w:spacing w:line="540" w:lineRule="exact"/>
        <w:jc w:val="center"/>
        <w:rPr>
          <w:color w:val="auto"/>
          <w:highlight w:val="none"/>
        </w:rPr>
      </w:pPr>
      <w:r>
        <w:rPr>
          <w:rFonts w:hint="eastAsia" w:ascii="宋体" w:hAnsi="宋体" w:cs="黑体"/>
          <w:b/>
          <w:color w:val="auto"/>
          <w:kern w:val="0"/>
          <w:sz w:val="32"/>
          <w:szCs w:val="32"/>
          <w:highlight w:val="none"/>
        </w:rPr>
        <w:t>二零二</w:t>
      </w:r>
      <w:r>
        <w:rPr>
          <w:rFonts w:hint="eastAsia" w:ascii="宋体" w:hAnsi="宋体" w:cs="黑体"/>
          <w:b/>
          <w:color w:val="auto"/>
          <w:kern w:val="0"/>
          <w:sz w:val="32"/>
          <w:szCs w:val="32"/>
          <w:highlight w:val="none"/>
          <w:lang w:val="en-US" w:eastAsia="zh-CN"/>
        </w:rPr>
        <w:t>六</w:t>
      </w:r>
      <w:r>
        <w:rPr>
          <w:rFonts w:hint="eastAsia" w:ascii="宋体" w:hAnsi="宋体" w:cs="黑体"/>
          <w:b/>
          <w:color w:val="auto"/>
          <w:kern w:val="0"/>
          <w:sz w:val="32"/>
          <w:szCs w:val="32"/>
          <w:highlight w:val="none"/>
        </w:rPr>
        <w:t>年</w:t>
      </w:r>
      <w:r>
        <w:rPr>
          <w:rFonts w:hint="eastAsia" w:ascii="宋体" w:hAnsi="宋体" w:cs="黑体"/>
          <w:b/>
          <w:color w:val="auto"/>
          <w:kern w:val="0"/>
          <w:sz w:val="32"/>
          <w:szCs w:val="32"/>
          <w:highlight w:val="none"/>
          <w:lang w:val="en-US" w:eastAsia="zh-CN"/>
        </w:rPr>
        <w:t>六</w:t>
      </w:r>
      <w:r>
        <w:rPr>
          <w:rFonts w:hint="eastAsia" w:ascii="宋体" w:hAnsi="宋体" w:cs="黑体"/>
          <w:b/>
          <w:color w:val="auto"/>
          <w:kern w:val="0"/>
          <w:sz w:val="32"/>
          <w:szCs w:val="32"/>
          <w:highlight w:val="none"/>
        </w:rPr>
        <w:t>月</w:t>
      </w:r>
    </w:p>
    <w:p w14:paraId="10D308D1">
      <w:pPr>
        <w:jc w:val="center"/>
        <w:rPr>
          <w:rFonts w:hint="eastAsia" w:ascii="宋体" w:hAnsi="宋体"/>
          <w:color w:val="auto"/>
          <w:highlight w:val="none"/>
        </w:rPr>
      </w:pPr>
    </w:p>
    <w:p w14:paraId="4C553B29">
      <w:pPr>
        <w:jc w:val="center"/>
      </w:pPr>
      <w:r>
        <w:rPr>
          <w:rFonts w:ascii="宋体" w:hAnsi="宋体"/>
          <w:color w:val="auto"/>
          <w:highlight w:val="none"/>
        </w:rPr>
        <w:br w:type="page"/>
      </w:r>
      <w:r>
        <w:drawing>
          <wp:inline distT="0" distB="0" distL="114300" distR="114300">
            <wp:extent cx="5245100" cy="7416800"/>
            <wp:effectExtent l="0" t="0" r="1270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245100" cy="7416800"/>
                    </a:xfrm>
                    <a:prstGeom prst="rect">
                      <a:avLst/>
                    </a:prstGeom>
                    <a:noFill/>
                    <a:ln>
                      <a:noFill/>
                    </a:ln>
                  </pic:spPr>
                </pic:pic>
              </a:graphicData>
            </a:graphic>
          </wp:inline>
        </w:drawing>
      </w:r>
    </w:p>
    <w:p w14:paraId="143ABEE5">
      <w:r>
        <w:br w:type="page"/>
      </w:r>
    </w:p>
    <w:p w14:paraId="0B05F2E0">
      <w:pPr>
        <w:jc w:val="center"/>
        <w:rPr>
          <w:color w:val="auto"/>
          <w:sz w:val="32"/>
          <w:szCs w:val="40"/>
          <w:highlight w:val="none"/>
        </w:rPr>
      </w:pPr>
      <w:r>
        <w:rPr>
          <w:rFonts w:ascii="宋体" w:hAnsi="宋体"/>
          <w:color w:val="auto"/>
          <w:sz w:val="32"/>
          <w:szCs w:val="40"/>
          <w:highlight w:val="none"/>
        </w:rPr>
        <w:t>目</w:t>
      </w:r>
      <w:r>
        <w:rPr>
          <w:rFonts w:hint="eastAsia" w:ascii="宋体" w:hAnsi="宋体"/>
          <w:color w:val="auto"/>
          <w:sz w:val="32"/>
          <w:szCs w:val="40"/>
          <w:highlight w:val="none"/>
        </w:rPr>
        <w:t xml:space="preserve"> </w:t>
      </w:r>
      <w:r>
        <w:rPr>
          <w:rFonts w:ascii="宋体" w:hAnsi="宋体"/>
          <w:color w:val="auto"/>
          <w:sz w:val="32"/>
          <w:szCs w:val="40"/>
          <w:highlight w:val="none"/>
        </w:rPr>
        <w:t>录</w:t>
      </w:r>
      <w:r>
        <w:rPr>
          <w:rFonts w:hint="eastAsia" w:ascii="宋体" w:hAnsi="宋体"/>
          <w:color w:val="auto"/>
          <w:sz w:val="32"/>
          <w:szCs w:val="40"/>
          <w:highlight w:val="none"/>
        </w:rPr>
        <w:t xml:space="preserve">  </w:t>
      </w:r>
    </w:p>
    <w:p w14:paraId="7E4330A5">
      <w:pPr>
        <w:pStyle w:val="21"/>
        <w:tabs>
          <w:tab w:val="right" w:leader="dot" w:pos="8307"/>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"_Toc237" </w:instrText>
      </w:r>
      <w:r>
        <w:rPr>
          <w:color w:val="auto"/>
          <w:highlight w:val="none"/>
        </w:rPr>
        <w:fldChar w:fldCharType="separate"/>
      </w:r>
      <w:r>
        <w:rPr>
          <w:rFonts w:hint="eastAsia" w:ascii="宋体" w:hAnsi="宋体" w:cs="宋体"/>
          <w:bCs/>
          <w:color w:val="auto"/>
          <w:sz w:val="28"/>
          <w:szCs w:val="28"/>
          <w:highlight w:val="none"/>
        </w:rPr>
        <w:t>公开招标公告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2AE2FC3">
      <w:pPr>
        <w:pStyle w:val="21"/>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"_Toc16934" </w:instrText>
      </w:r>
      <w:r>
        <w:rPr>
          <w:color w:val="auto"/>
          <w:highlight w:val="none"/>
        </w:rPr>
        <w:fldChar w:fldCharType="separate"/>
      </w:r>
      <w:r>
        <w:rPr>
          <w:rFonts w:hint="eastAsia" w:ascii="宋体" w:hAnsi="宋体" w:cs="宋体"/>
          <w:color w:val="auto"/>
          <w:sz w:val="28"/>
          <w:szCs w:val="28"/>
          <w:highlight w:val="none"/>
        </w:rPr>
        <w:t>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_Toc16934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F6B3591">
      <w:pPr>
        <w:pStyle w:val="21"/>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"_Toc26611" </w:instrText>
      </w:r>
      <w:r>
        <w:rPr>
          <w:color w:val="auto"/>
          <w:highlight w:val="none"/>
        </w:rPr>
        <w:fldChar w:fldCharType="separate"/>
      </w:r>
      <w:r>
        <w:rPr>
          <w:rFonts w:hint="eastAsia" w:ascii="宋体" w:hAnsi="宋体" w:cs="宋体"/>
          <w:color w:val="auto"/>
          <w:sz w:val="28"/>
          <w:szCs w:val="28"/>
          <w:highlight w:val="none"/>
        </w:rPr>
        <w:t>第三章 采购需求及要求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_Toc26611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EF2BA8A">
      <w:pPr>
        <w:pStyle w:val="21"/>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"_Toc11792" </w:instrText>
      </w:r>
      <w:r>
        <w:rPr>
          <w:color w:val="auto"/>
          <w:highlight w:val="none"/>
        </w:rPr>
        <w:fldChar w:fldCharType="separate"/>
      </w:r>
      <w:r>
        <w:rPr>
          <w:rFonts w:hint="eastAsia" w:ascii="宋体" w:hAnsi="宋体" w:cs="宋体"/>
          <w:color w:val="auto"/>
          <w:sz w:val="28"/>
          <w:szCs w:val="28"/>
          <w:highlight w:val="none"/>
        </w:rPr>
        <w:t>第四章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_Toc11792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0EB292E">
      <w:pPr>
        <w:pStyle w:val="21"/>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"_Toc4850" </w:instrText>
      </w:r>
      <w:r>
        <w:rPr>
          <w:color w:val="auto"/>
          <w:highlight w:val="none"/>
        </w:rPr>
        <w:fldChar w:fldCharType="separate"/>
      </w:r>
      <w:r>
        <w:rPr>
          <w:rFonts w:hint="eastAsia" w:ascii="宋体" w:hAnsi="宋体" w:cs="宋体"/>
          <w:color w:val="auto"/>
          <w:sz w:val="28"/>
          <w:szCs w:val="28"/>
          <w:highlight w:val="none"/>
        </w:rPr>
        <w:t>第五章 合  同</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_Toc4850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897BD07">
      <w:pPr>
        <w:pStyle w:val="21"/>
        <w:tabs>
          <w:tab w:val="right" w:leader="dot" w:pos="8307"/>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"_Toc4355" </w:instrText>
      </w:r>
      <w:r>
        <w:rPr>
          <w:color w:val="auto"/>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_Toc4355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03B7E00">
      <w:pPr>
        <w:tabs>
          <w:tab w:val="right" w:leader="dot" w:pos="8307"/>
        </w:tabs>
        <w:spacing w:line="360" w:lineRule="auto"/>
        <w:rPr>
          <w:color w:val="auto"/>
          <w:highlight w:val="none"/>
        </w:rPr>
      </w:pPr>
      <w:r>
        <w:rPr>
          <w:rFonts w:hint="eastAsia" w:ascii="宋体" w:hAnsi="宋体" w:cs="宋体"/>
          <w:color w:val="auto"/>
          <w:sz w:val="28"/>
          <w:szCs w:val="28"/>
          <w:highlight w:val="none"/>
        </w:rPr>
        <w:fldChar w:fldCharType="end"/>
      </w:r>
    </w:p>
    <w:p w14:paraId="455D9247">
      <w:pPr>
        <w:pStyle w:val="14"/>
        <w:spacing w:line="960" w:lineRule="auto"/>
        <w:rPr>
          <w:rStyle w:val="77"/>
          <w:rFonts w:hint="eastAsia" w:ascii="宋体" w:hAnsi="宋体"/>
          <w:color w:val="auto"/>
          <w:sz w:val="44"/>
          <w:szCs w:val="44"/>
          <w:highlight w:val="none"/>
        </w:rPr>
      </w:pPr>
      <w:r>
        <w:rPr>
          <w:rStyle w:val="77"/>
          <w:rFonts w:hint="eastAsia" w:ascii="宋体" w:hAnsi="宋体"/>
          <w:color w:val="auto"/>
          <w:sz w:val="44"/>
          <w:szCs w:val="44"/>
          <w:highlight w:val="none"/>
        </w:rPr>
        <w:t xml:space="preserve"> </w:t>
      </w:r>
    </w:p>
    <w:p w14:paraId="31C18430">
      <w:pPr>
        <w:pStyle w:val="14"/>
        <w:spacing w:line="960" w:lineRule="auto"/>
        <w:rPr>
          <w:color w:val="auto"/>
          <w:highlight w:val="none"/>
        </w:rPr>
      </w:pPr>
      <w:r>
        <w:rPr>
          <w:rFonts w:hint="eastAsia" w:ascii="宋体" w:hAnsi="宋体"/>
          <w:color w:val="auto"/>
          <w:highlight w:val="none"/>
        </w:rPr>
        <w:t xml:space="preserve"> </w:t>
      </w:r>
    </w:p>
    <w:p w14:paraId="67F8E978">
      <w:pPr>
        <w:rPr>
          <w:rFonts w:hint="eastAsia" w:ascii="宋体" w:hAnsi="宋体"/>
          <w:color w:val="auto"/>
          <w:highlight w:val="none"/>
        </w:rPr>
      </w:pPr>
      <w:r>
        <w:rPr>
          <w:rFonts w:hint="eastAsia" w:ascii="宋体" w:hAnsi="宋体"/>
          <w:color w:val="auto"/>
          <w:highlight w:val="none"/>
        </w:rPr>
        <w:t xml:space="preserve"> </w:t>
      </w:r>
    </w:p>
    <w:p w14:paraId="53219E19">
      <w:pPr>
        <w:widowControl/>
        <w:shd w:val="clear" w:color="auto" w:fill="FFFFFF"/>
        <w:spacing w:line="360" w:lineRule="auto"/>
        <w:rPr>
          <w:rFonts w:hint="eastAsia" w:ascii="宋体" w:hAnsi="宋体"/>
          <w:color w:val="auto"/>
          <w:kern w:val="0"/>
          <w:sz w:val="32"/>
          <w:highlight w:val="none"/>
        </w:rPr>
        <w:sectPr>
          <w:footerReference r:id="rId3" w:type="default"/>
          <w:pgSz w:w="11907" w:h="16839"/>
          <w:pgMar w:top="1440" w:right="1800" w:bottom="1440" w:left="1800" w:header="0" w:footer="991" w:gutter="0"/>
          <w:cols w:space="720" w:num="1"/>
        </w:sectPr>
      </w:pPr>
      <w:bookmarkStart w:id="0" w:name="_Hlt188420684"/>
      <w:bookmarkEnd w:id="0"/>
      <w:bookmarkStart w:id="1" w:name="_Toc389812637"/>
      <w:bookmarkEnd w:id="1"/>
    </w:p>
    <w:p w14:paraId="375C5FF6">
      <w:pPr>
        <w:jc w:val="center"/>
        <w:rPr>
          <w:b/>
          <w:bCs/>
          <w:color w:val="auto"/>
          <w:sz w:val="32"/>
          <w:szCs w:val="40"/>
          <w:highlight w:val="none"/>
        </w:rPr>
      </w:pPr>
      <w:r>
        <w:rPr>
          <w:rFonts w:hint="eastAsia"/>
          <w:b/>
          <w:bCs/>
          <w:color w:val="auto"/>
          <w:sz w:val="32"/>
          <w:szCs w:val="40"/>
          <w:highlight w:val="none"/>
        </w:rPr>
        <w:t>第一章</w:t>
      </w:r>
    </w:p>
    <w:p w14:paraId="6DDA393B">
      <w:pPr>
        <w:jc w:val="center"/>
        <w:outlineLvl w:val="0"/>
        <w:rPr>
          <w:rFonts w:hint="eastAsia" w:eastAsia="宋体"/>
          <w:b/>
          <w:bCs/>
          <w:color w:val="auto"/>
          <w:sz w:val="28"/>
          <w:szCs w:val="36"/>
          <w:highlight w:val="none"/>
          <w:lang w:eastAsia="zh-CN"/>
        </w:rPr>
      </w:pPr>
      <w:bookmarkStart w:id="2" w:name="_Toc237"/>
      <w:r>
        <w:rPr>
          <w:rFonts w:hint="eastAsia"/>
          <w:b/>
          <w:bCs/>
          <w:color w:val="auto"/>
          <w:sz w:val="28"/>
          <w:szCs w:val="36"/>
          <w:highlight w:val="none"/>
          <w:lang w:eastAsia="zh-CN"/>
        </w:rPr>
        <w:t>开封市生态环境局开封市污水集中处理设施及固体废物设施周边土壤污染状况监测项目</w:t>
      </w:r>
    </w:p>
    <w:p w14:paraId="67D2769B">
      <w:pPr>
        <w:jc w:val="center"/>
        <w:outlineLvl w:val="0"/>
        <w:rPr>
          <w:rFonts w:hint="eastAsia"/>
          <w:b/>
          <w:bCs/>
          <w:color w:val="auto"/>
          <w:sz w:val="32"/>
          <w:szCs w:val="40"/>
          <w:highlight w:val="none"/>
        </w:rPr>
      </w:pPr>
      <w:r>
        <w:rPr>
          <w:rFonts w:hint="eastAsia"/>
          <w:b/>
          <w:bCs/>
          <w:color w:val="auto"/>
          <w:sz w:val="32"/>
          <w:szCs w:val="40"/>
          <w:highlight w:val="none"/>
        </w:rPr>
        <w:t>公开招标公告</w:t>
      </w:r>
      <w:bookmarkEnd w:id="2"/>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FD0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7337D10C">
            <w:pPr>
              <w:pStyle w:val="26"/>
              <w:ind w:left="0" w:leftChars="0" w:firstLine="0" w:firstLineChars="0"/>
              <w:rPr>
                <w:rFonts w:hint="default" w:ascii="宋体" w:hAnsi="宋体" w:eastAsia="宋体" w:cs="Times New Roman"/>
                <w:b/>
                <w:bCs/>
                <w:color w:val="auto"/>
                <w:kern w:val="2"/>
                <w:sz w:val="22"/>
                <w:szCs w:val="22"/>
                <w:highlight w:val="none"/>
                <w:lang w:val="en-US" w:eastAsia="zh-CN" w:bidi="ar-SA"/>
              </w:rPr>
            </w:pPr>
            <w:r>
              <w:rPr>
                <w:rFonts w:hint="eastAsia" w:ascii="宋体" w:hAnsi="宋体" w:eastAsia="宋体" w:cs="Times New Roman"/>
                <w:b/>
                <w:bCs/>
                <w:color w:val="auto"/>
                <w:kern w:val="2"/>
                <w:sz w:val="22"/>
                <w:szCs w:val="22"/>
                <w:highlight w:val="none"/>
                <w:lang w:val="en-US" w:eastAsia="zh-CN" w:bidi="ar-SA"/>
              </w:rPr>
              <w:t>项目概况</w:t>
            </w:r>
          </w:p>
          <w:p w14:paraId="149574CD">
            <w:pPr>
              <w:pStyle w:val="26"/>
              <w:rPr>
                <w:vertAlign w:val="baseline"/>
              </w:rPr>
            </w:pPr>
            <w:r>
              <w:rPr>
                <w:rFonts w:hint="eastAsia" w:ascii="宋体" w:hAnsi="宋体" w:eastAsia="宋体" w:cs="Times New Roman"/>
                <w:b/>
                <w:bCs/>
                <w:color w:val="auto"/>
                <w:kern w:val="2"/>
                <w:sz w:val="22"/>
                <w:szCs w:val="22"/>
                <w:highlight w:val="none"/>
                <w:lang w:val="en-US" w:eastAsia="zh-CN" w:bidi="ar-SA"/>
              </w:rPr>
              <w:t>开封市生态环境局开封市污水集中处理设施及固体废物设施周边土壤污染状况监测项目</w:t>
            </w:r>
            <w:r>
              <w:rPr>
                <w:rFonts w:hint="eastAsia" w:ascii="宋体" w:hAnsi="宋体" w:eastAsia="宋体" w:cs="Times New Roman"/>
                <w:color w:val="auto"/>
                <w:kern w:val="2"/>
                <w:sz w:val="22"/>
                <w:szCs w:val="22"/>
                <w:highlight w:val="none"/>
                <w:lang w:val="en-US" w:eastAsia="zh-CN" w:bidi="ar-SA"/>
              </w:rPr>
              <w:t>招标项目的潜在投标人应在</w:t>
            </w:r>
            <w:r>
              <w:rPr>
                <w:rFonts w:hint="eastAsia" w:ascii="宋体" w:hAnsi="宋体" w:eastAsia="宋体" w:cs="Times New Roman"/>
                <w:b/>
                <w:bCs/>
                <w:color w:val="auto"/>
                <w:kern w:val="2"/>
                <w:sz w:val="22"/>
                <w:szCs w:val="22"/>
                <w:highlight w:val="none"/>
                <w:lang w:val="en-US" w:eastAsia="zh-CN" w:bidi="ar-SA"/>
              </w:rPr>
              <w:t>开封市公共资源交易中心网（http://www.kfsggzyjyw.cn）会员系统</w:t>
            </w:r>
            <w:r>
              <w:rPr>
                <w:rFonts w:hint="eastAsia" w:ascii="宋体" w:hAnsi="宋体" w:eastAsia="宋体" w:cs="Times New Roman"/>
                <w:color w:val="auto"/>
                <w:kern w:val="2"/>
                <w:sz w:val="22"/>
                <w:szCs w:val="22"/>
                <w:highlight w:val="none"/>
                <w:lang w:val="en-US" w:eastAsia="zh-CN" w:bidi="ar-SA"/>
              </w:rPr>
              <w:t>获取招标文件，并于</w:t>
            </w:r>
            <w:r>
              <w:rPr>
                <w:rFonts w:hint="eastAsia" w:ascii="宋体" w:hAnsi="宋体" w:eastAsia="宋体" w:cs="Times New Roman"/>
                <w:b/>
                <w:bCs/>
                <w:color w:val="auto"/>
                <w:kern w:val="2"/>
                <w:sz w:val="22"/>
                <w:szCs w:val="22"/>
                <w:highlight w:val="none"/>
                <w:u w:val="single"/>
                <w:lang w:val="en-US" w:eastAsia="zh-CN" w:bidi="ar-SA"/>
              </w:rPr>
              <w:t>2026年07月21日上午9点30分</w:t>
            </w:r>
            <w:r>
              <w:rPr>
                <w:rFonts w:hint="eastAsia" w:ascii="宋体" w:hAnsi="宋体" w:eastAsia="宋体" w:cs="Times New Roman"/>
                <w:color w:val="auto"/>
                <w:kern w:val="2"/>
                <w:sz w:val="22"/>
                <w:szCs w:val="22"/>
                <w:highlight w:val="none"/>
                <w:lang w:val="en-US" w:eastAsia="zh-CN" w:bidi="ar-SA"/>
              </w:rPr>
              <w:t>（北京时间）前递交投标文件。</w:t>
            </w:r>
          </w:p>
        </w:tc>
      </w:tr>
    </w:tbl>
    <w:p w14:paraId="6A4F5BC7">
      <w:pPr>
        <w:pStyle w:val="26"/>
        <w:spacing w:after="0"/>
        <w:ind w:left="0" w:leftChars="0" w:firstLine="0" w:firstLineChars="0"/>
      </w:pPr>
    </w:p>
    <w:p w14:paraId="43BB93DF">
      <w:pPr>
        <w:spacing w:line="360" w:lineRule="auto"/>
        <w:outlineLvl w:val="0"/>
        <w:rPr>
          <w:rFonts w:hint="eastAsia" w:ascii="宋体" w:hAnsi="宋体"/>
          <w:b/>
          <w:bCs/>
          <w:color w:val="auto"/>
          <w:sz w:val="22"/>
          <w:szCs w:val="22"/>
          <w:highlight w:val="none"/>
        </w:rPr>
      </w:pPr>
      <w:bookmarkStart w:id="3" w:name="_Toc30059"/>
      <w:bookmarkStart w:id="4" w:name="_Toc15161"/>
      <w:bookmarkStart w:id="5" w:name="_Toc29204"/>
      <w:bookmarkStart w:id="6" w:name="_Toc20140"/>
      <w:r>
        <w:rPr>
          <w:rFonts w:hint="eastAsia" w:ascii="宋体" w:hAnsi="宋体"/>
          <w:b/>
          <w:bCs/>
          <w:color w:val="auto"/>
          <w:sz w:val="22"/>
          <w:szCs w:val="22"/>
          <w:highlight w:val="none"/>
        </w:rPr>
        <w:t>一、项目基本情况</w:t>
      </w:r>
      <w:bookmarkEnd w:id="3"/>
      <w:bookmarkEnd w:id="4"/>
      <w:bookmarkEnd w:id="5"/>
      <w:bookmarkEnd w:id="6"/>
    </w:p>
    <w:p w14:paraId="0E24A110">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1</w:t>
      </w:r>
      <w:r>
        <w:rPr>
          <w:rFonts w:hint="eastAsia" w:ascii="宋体" w:hAnsi="宋体"/>
          <w:color w:val="auto"/>
          <w:sz w:val="22"/>
          <w:szCs w:val="22"/>
          <w:highlight w:val="none"/>
          <w:lang w:val="zh-CN"/>
        </w:rPr>
        <w:t>、</w:t>
      </w:r>
      <w:r>
        <w:rPr>
          <w:rFonts w:hint="eastAsia" w:ascii="宋体" w:hAnsi="宋体"/>
          <w:color w:val="auto"/>
          <w:sz w:val="22"/>
          <w:szCs w:val="22"/>
          <w:highlight w:val="none"/>
        </w:rPr>
        <w:t>项目编号：</w:t>
      </w:r>
      <w:r>
        <w:rPr>
          <w:rFonts w:hint="eastAsia" w:ascii="宋体" w:hAnsi="宋体"/>
          <w:color w:val="auto"/>
          <w:sz w:val="22"/>
          <w:szCs w:val="22"/>
          <w:highlight w:val="none"/>
          <w:lang w:eastAsia="zh-CN"/>
        </w:rPr>
        <w:t>汴财招标采购-2026-42</w:t>
      </w:r>
      <w:r>
        <w:rPr>
          <w:rFonts w:hint="eastAsia" w:ascii="宋体" w:hAnsi="宋体"/>
          <w:color w:val="auto"/>
          <w:sz w:val="22"/>
          <w:szCs w:val="22"/>
          <w:highlight w:val="none"/>
        </w:rPr>
        <w:t xml:space="preserve"> </w:t>
      </w:r>
    </w:p>
    <w:p w14:paraId="2E43AE7E">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2</w:t>
      </w:r>
      <w:r>
        <w:rPr>
          <w:rFonts w:hint="eastAsia" w:ascii="宋体" w:hAnsi="宋体"/>
          <w:color w:val="auto"/>
          <w:sz w:val="22"/>
          <w:szCs w:val="22"/>
          <w:highlight w:val="none"/>
          <w:lang w:val="zh-CN"/>
        </w:rPr>
        <w:t>、</w:t>
      </w:r>
      <w:r>
        <w:rPr>
          <w:rFonts w:hint="eastAsia" w:ascii="宋体" w:hAnsi="宋体"/>
          <w:color w:val="auto"/>
          <w:sz w:val="22"/>
          <w:szCs w:val="22"/>
          <w:highlight w:val="none"/>
        </w:rPr>
        <w:t>项目名称：</w:t>
      </w:r>
      <w:r>
        <w:rPr>
          <w:rFonts w:hint="eastAsia" w:ascii="宋体" w:hAnsi="宋体"/>
          <w:color w:val="auto"/>
          <w:sz w:val="22"/>
          <w:szCs w:val="22"/>
          <w:highlight w:val="none"/>
          <w:lang w:eastAsia="zh-CN"/>
        </w:rPr>
        <w:t>开封市生态环境局开封市污水集中处理设施及固体废物设施周边土壤污染状况监测项目</w:t>
      </w:r>
      <w:r>
        <w:rPr>
          <w:rFonts w:hint="eastAsia" w:ascii="宋体" w:hAnsi="宋体"/>
          <w:color w:val="auto"/>
          <w:sz w:val="22"/>
          <w:szCs w:val="22"/>
          <w:highlight w:val="none"/>
        </w:rPr>
        <w:t xml:space="preserve"> </w:t>
      </w:r>
    </w:p>
    <w:p w14:paraId="7589DCC8">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3</w:t>
      </w:r>
      <w:r>
        <w:rPr>
          <w:rFonts w:hint="eastAsia" w:ascii="宋体" w:hAnsi="宋体"/>
          <w:color w:val="auto"/>
          <w:sz w:val="22"/>
          <w:szCs w:val="22"/>
          <w:highlight w:val="none"/>
          <w:lang w:val="zh-CN"/>
        </w:rPr>
        <w:t>、</w:t>
      </w:r>
      <w:r>
        <w:rPr>
          <w:rFonts w:hint="eastAsia" w:ascii="宋体" w:hAnsi="宋体"/>
          <w:color w:val="auto"/>
          <w:sz w:val="22"/>
          <w:szCs w:val="22"/>
          <w:highlight w:val="none"/>
        </w:rPr>
        <w:t>采购方式：公开招标</w:t>
      </w:r>
    </w:p>
    <w:p w14:paraId="44E7C9A9">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4</w:t>
      </w:r>
      <w:r>
        <w:rPr>
          <w:rFonts w:hint="eastAsia" w:ascii="宋体" w:hAnsi="宋体"/>
          <w:color w:val="auto"/>
          <w:sz w:val="22"/>
          <w:szCs w:val="22"/>
          <w:highlight w:val="none"/>
          <w:lang w:val="zh-CN"/>
        </w:rPr>
        <w:t>、</w:t>
      </w:r>
      <w:r>
        <w:rPr>
          <w:rFonts w:hint="eastAsia" w:ascii="宋体" w:hAnsi="宋体"/>
          <w:color w:val="auto"/>
          <w:sz w:val="22"/>
          <w:szCs w:val="22"/>
          <w:highlight w:val="none"/>
        </w:rPr>
        <w:t>预算金额：</w:t>
      </w:r>
      <w:r>
        <w:rPr>
          <w:rFonts w:hint="eastAsia" w:ascii="宋体" w:hAnsi="宋体"/>
          <w:color w:val="auto"/>
          <w:sz w:val="22"/>
          <w:szCs w:val="22"/>
          <w:highlight w:val="none"/>
          <w:lang w:eastAsia="zh-CN"/>
        </w:rPr>
        <w:t>500000.00</w:t>
      </w:r>
      <w:r>
        <w:rPr>
          <w:rFonts w:hint="eastAsia" w:ascii="宋体" w:hAnsi="宋体"/>
          <w:color w:val="auto"/>
          <w:sz w:val="22"/>
          <w:szCs w:val="22"/>
          <w:highlight w:val="none"/>
        </w:rPr>
        <w:t xml:space="preserve">元 </w:t>
      </w:r>
    </w:p>
    <w:p w14:paraId="0B302C8B">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  最高限价：</w:t>
      </w:r>
      <w:r>
        <w:rPr>
          <w:rFonts w:hint="eastAsia" w:ascii="宋体" w:hAnsi="宋体"/>
          <w:color w:val="auto"/>
          <w:sz w:val="22"/>
          <w:szCs w:val="22"/>
          <w:highlight w:val="none"/>
          <w:lang w:eastAsia="zh-CN"/>
        </w:rPr>
        <w:t>500000.00</w:t>
      </w:r>
      <w:r>
        <w:rPr>
          <w:rFonts w:hint="eastAsia" w:ascii="宋体" w:hAnsi="宋体"/>
          <w:color w:val="auto"/>
          <w:sz w:val="22"/>
          <w:szCs w:val="22"/>
          <w:highlight w:val="none"/>
        </w:rPr>
        <w:t>元</w:t>
      </w:r>
    </w:p>
    <w:tbl>
      <w:tblPr>
        <w:tblStyle w:val="27"/>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974"/>
        <w:gridCol w:w="4275"/>
        <w:gridCol w:w="1440"/>
        <w:gridCol w:w="1605"/>
      </w:tblGrid>
      <w:tr w14:paraId="2451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670" w:type="dxa"/>
            <w:tcBorders>
              <w:top w:val="single" w:color="auto" w:sz="4" w:space="0"/>
              <w:left w:val="single" w:color="auto" w:sz="4" w:space="0"/>
              <w:bottom w:val="single" w:color="auto" w:sz="4" w:space="0"/>
              <w:right w:val="single" w:color="auto" w:sz="4" w:space="0"/>
            </w:tcBorders>
            <w:vAlign w:val="center"/>
          </w:tcPr>
          <w:p w14:paraId="5229834C">
            <w:pPr>
              <w:pStyle w:val="8"/>
              <w:snapToGrid w:val="0"/>
              <w:spacing w:line="336" w:lineRule="auto"/>
              <w:ind w:firstLine="0" w:firstLineChars="0"/>
              <w:rPr>
                <w:rFonts w:hint="eastAsia" w:hAnsi="宋体"/>
                <w:bCs/>
                <w:color w:val="auto"/>
                <w:sz w:val="20"/>
                <w:highlight w:val="none"/>
              </w:rPr>
            </w:pPr>
            <w:r>
              <w:rPr>
                <w:rFonts w:hint="eastAsia" w:hAnsi="宋体"/>
                <w:bCs/>
                <w:color w:val="auto"/>
                <w:sz w:val="20"/>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1D9EDA4C">
            <w:pPr>
              <w:pStyle w:val="8"/>
              <w:snapToGrid w:val="0"/>
              <w:spacing w:line="336" w:lineRule="auto"/>
              <w:ind w:left="0" w:leftChars="0" w:firstLine="0" w:firstLineChars="0"/>
              <w:jc w:val="center"/>
              <w:rPr>
                <w:rFonts w:hint="eastAsia" w:hAnsi="宋体"/>
                <w:bCs/>
                <w:color w:val="auto"/>
                <w:sz w:val="20"/>
                <w:highlight w:val="none"/>
              </w:rPr>
            </w:pPr>
            <w:r>
              <w:rPr>
                <w:rFonts w:hint="eastAsia" w:hAnsi="宋体"/>
                <w:bCs/>
                <w:color w:val="auto"/>
                <w:sz w:val="20"/>
                <w:highlight w:val="none"/>
              </w:rPr>
              <w:t>包号</w:t>
            </w:r>
          </w:p>
        </w:tc>
        <w:tc>
          <w:tcPr>
            <w:tcW w:w="4275" w:type="dxa"/>
            <w:tcBorders>
              <w:top w:val="single" w:color="auto" w:sz="4" w:space="0"/>
              <w:left w:val="single" w:color="auto" w:sz="4" w:space="0"/>
              <w:bottom w:val="single" w:color="auto" w:sz="4" w:space="0"/>
              <w:right w:val="single" w:color="auto" w:sz="4" w:space="0"/>
            </w:tcBorders>
            <w:vAlign w:val="center"/>
          </w:tcPr>
          <w:p w14:paraId="7229475C">
            <w:pPr>
              <w:pStyle w:val="8"/>
              <w:snapToGrid w:val="0"/>
              <w:spacing w:line="336" w:lineRule="auto"/>
              <w:ind w:left="0" w:leftChars="0" w:firstLine="0" w:firstLineChars="0"/>
              <w:jc w:val="center"/>
              <w:rPr>
                <w:rFonts w:hint="eastAsia" w:hAnsi="宋体"/>
                <w:bCs/>
                <w:color w:val="auto"/>
                <w:sz w:val="20"/>
                <w:highlight w:val="none"/>
              </w:rPr>
            </w:pPr>
            <w:r>
              <w:rPr>
                <w:rFonts w:hint="eastAsia" w:hAnsi="宋体"/>
                <w:bCs/>
                <w:color w:val="auto"/>
                <w:sz w:val="20"/>
                <w:highlight w:val="none"/>
                <w:lang w:val="en-US" w:eastAsia="zh-CN"/>
              </w:rPr>
              <w:t>包</w:t>
            </w:r>
            <w:r>
              <w:rPr>
                <w:rFonts w:hint="eastAsia" w:hAnsi="宋体"/>
                <w:bCs/>
                <w:color w:val="auto"/>
                <w:sz w:val="20"/>
                <w:highlight w:val="none"/>
              </w:rPr>
              <w:t>名称</w:t>
            </w:r>
          </w:p>
        </w:tc>
        <w:tc>
          <w:tcPr>
            <w:tcW w:w="1440" w:type="dxa"/>
            <w:tcBorders>
              <w:top w:val="single" w:color="auto" w:sz="4" w:space="0"/>
              <w:left w:val="single" w:color="auto" w:sz="4" w:space="0"/>
              <w:bottom w:val="single" w:color="auto" w:sz="4" w:space="0"/>
              <w:right w:val="single" w:color="auto" w:sz="4" w:space="0"/>
            </w:tcBorders>
            <w:vAlign w:val="center"/>
          </w:tcPr>
          <w:p w14:paraId="34A385A4">
            <w:pPr>
              <w:pStyle w:val="8"/>
              <w:snapToGrid w:val="0"/>
              <w:spacing w:line="336" w:lineRule="auto"/>
              <w:ind w:firstLine="200" w:firstLineChars="100"/>
              <w:jc w:val="center"/>
              <w:rPr>
                <w:rFonts w:hint="eastAsia" w:hAnsi="宋体"/>
                <w:bCs/>
                <w:color w:val="auto"/>
                <w:sz w:val="20"/>
                <w:highlight w:val="none"/>
              </w:rPr>
            </w:pPr>
            <w:r>
              <w:rPr>
                <w:rFonts w:hint="eastAsia" w:hAnsi="宋体"/>
                <w:bCs/>
                <w:color w:val="auto"/>
                <w:sz w:val="20"/>
                <w:highlight w:val="none"/>
                <w:lang w:val="en-US" w:eastAsia="zh-CN"/>
              </w:rPr>
              <w:t>包</w:t>
            </w:r>
            <w:r>
              <w:rPr>
                <w:rFonts w:hint="eastAsia" w:hAnsi="宋体"/>
                <w:bCs/>
                <w:color w:val="auto"/>
                <w:sz w:val="20"/>
                <w:highlight w:val="none"/>
              </w:rPr>
              <w:t>预算（元）</w:t>
            </w:r>
          </w:p>
        </w:tc>
        <w:tc>
          <w:tcPr>
            <w:tcW w:w="1605" w:type="dxa"/>
            <w:tcBorders>
              <w:top w:val="single" w:color="auto" w:sz="4" w:space="0"/>
              <w:left w:val="single" w:color="auto" w:sz="4" w:space="0"/>
              <w:bottom w:val="single" w:color="auto" w:sz="4" w:space="0"/>
              <w:right w:val="single" w:color="auto" w:sz="4" w:space="0"/>
            </w:tcBorders>
            <w:vAlign w:val="center"/>
          </w:tcPr>
          <w:p w14:paraId="004AA9BE">
            <w:pPr>
              <w:pStyle w:val="8"/>
              <w:snapToGrid w:val="0"/>
              <w:spacing w:line="336" w:lineRule="auto"/>
              <w:ind w:firstLine="0" w:firstLineChars="0"/>
              <w:jc w:val="center"/>
              <w:rPr>
                <w:rFonts w:hint="eastAsia" w:hAnsi="宋体"/>
                <w:bCs/>
                <w:color w:val="auto"/>
                <w:sz w:val="20"/>
                <w:highlight w:val="none"/>
              </w:rPr>
            </w:pPr>
            <w:r>
              <w:rPr>
                <w:rFonts w:hint="eastAsia" w:hAnsi="宋体"/>
                <w:bCs/>
                <w:color w:val="auto"/>
                <w:sz w:val="20"/>
                <w:highlight w:val="none"/>
              </w:rPr>
              <w:t>最高限价（元）</w:t>
            </w:r>
          </w:p>
        </w:tc>
      </w:tr>
      <w:tr w14:paraId="19B5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0" w:type="dxa"/>
            <w:tcBorders>
              <w:top w:val="single" w:color="auto" w:sz="4" w:space="0"/>
              <w:left w:val="single" w:color="auto" w:sz="4" w:space="0"/>
              <w:bottom w:val="single" w:color="auto" w:sz="4" w:space="0"/>
              <w:right w:val="single" w:color="auto" w:sz="4" w:space="0"/>
            </w:tcBorders>
            <w:vAlign w:val="center"/>
          </w:tcPr>
          <w:p w14:paraId="57968661">
            <w:pPr>
              <w:pStyle w:val="8"/>
              <w:snapToGrid w:val="0"/>
              <w:spacing w:line="336" w:lineRule="auto"/>
              <w:ind w:firstLine="200" w:firstLineChars="100"/>
              <w:rPr>
                <w:rFonts w:hint="eastAsia" w:hAnsi="宋体"/>
                <w:bCs/>
                <w:color w:val="auto"/>
                <w:sz w:val="20"/>
                <w:highlight w:val="none"/>
              </w:rPr>
            </w:pPr>
            <w:r>
              <w:rPr>
                <w:rFonts w:hint="eastAsia" w:hAnsi="宋体"/>
                <w:bCs/>
                <w:color w:val="auto"/>
                <w:sz w:val="20"/>
                <w:highlight w:val="none"/>
              </w:rPr>
              <w:t>1</w:t>
            </w:r>
          </w:p>
        </w:tc>
        <w:tc>
          <w:tcPr>
            <w:tcW w:w="1974" w:type="dxa"/>
            <w:tcBorders>
              <w:top w:val="single" w:color="auto" w:sz="4" w:space="0"/>
              <w:left w:val="single" w:color="auto" w:sz="4" w:space="0"/>
              <w:bottom w:val="single" w:color="auto" w:sz="4" w:space="0"/>
              <w:right w:val="single" w:color="auto" w:sz="4" w:space="0"/>
            </w:tcBorders>
            <w:vAlign w:val="center"/>
          </w:tcPr>
          <w:p w14:paraId="44AE1AE5">
            <w:pPr>
              <w:spacing w:line="336" w:lineRule="auto"/>
              <w:jc w:val="center"/>
              <w:rPr>
                <w:rFonts w:hint="default" w:ascii="宋体" w:hAnsi="宋体" w:eastAsia="宋体"/>
                <w:color w:val="auto"/>
                <w:sz w:val="20"/>
                <w:szCs w:val="20"/>
                <w:highlight w:val="none"/>
                <w:lang w:val="en-US" w:eastAsia="zh-CN"/>
              </w:rPr>
            </w:pPr>
            <w:r>
              <w:rPr>
                <w:rFonts w:hint="eastAsia" w:ascii="宋体" w:hAnsi="宋体"/>
                <w:color w:val="auto"/>
                <w:sz w:val="22"/>
                <w:szCs w:val="22"/>
                <w:highlight w:val="none"/>
                <w:lang w:eastAsia="zh-CN"/>
              </w:rPr>
              <w:t>汴财招标采购-2026-42</w:t>
            </w:r>
            <w:r>
              <w:rPr>
                <w:rFonts w:hint="eastAsia" w:ascii="宋体" w:hAnsi="宋体"/>
                <w:color w:val="auto"/>
                <w:sz w:val="22"/>
                <w:szCs w:val="22"/>
                <w:highlight w:val="none"/>
                <w:lang w:val="en-US" w:eastAsia="zh-CN"/>
              </w:rPr>
              <w:t>-1</w:t>
            </w:r>
          </w:p>
        </w:tc>
        <w:tc>
          <w:tcPr>
            <w:tcW w:w="4275" w:type="dxa"/>
            <w:tcBorders>
              <w:top w:val="single" w:color="auto" w:sz="4" w:space="0"/>
              <w:left w:val="single" w:color="auto" w:sz="4" w:space="0"/>
              <w:bottom w:val="single" w:color="auto" w:sz="4" w:space="0"/>
              <w:right w:val="single" w:color="auto" w:sz="4" w:space="0"/>
            </w:tcBorders>
            <w:vAlign w:val="center"/>
          </w:tcPr>
          <w:p w14:paraId="664A8CFE">
            <w:pPr>
              <w:spacing w:line="336" w:lineRule="auto"/>
              <w:jc w:val="center"/>
              <w:rPr>
                <w:rFonts w:hint="eastAsia" w:ascii="宋体" w:hAnsi="宋体" w:eastAsia="宋体"/>
                <w:color w:val="auto"/>
                <w:sz w:val="20"/>
                <w:szCs w:val="20"/>
                <w:highlight w:val="none"/>
                <w:lang w:eastAsia="zh-CN"/>
              </w:rPr>
            </w:pPr>
            <w:r>
              <w:rPr>
                <w:rFonts w:hint="eastAsia"/>
                <w:color w:val="auto"/>
                <w:sz w:val="20"/>
                <w:szCs w:val="20"/>
                <w:highlight w:val="none"/>
                <w:lang w:eastAsia="zh-CN"/>
              </w:rPr>
              <w:t>开封市生态环境局开封市污水集中处理设施及固体废物设施周边土壤污染状况监测项目</w:t>
            </w:r>
          </w:p>
        </w:tc>
        <w:tc>
          <w:tcPr>
            <w:tcW w:w="1440" w:type="dxa"/>
            <w:tcBorders>
              <w:top w:val="single" w:color="auto" w:sz="4" w:space="0"/>
              <w:left w:val="single" w:color="auto" w:sz="4" w:space="0"/>
              <w:bottom w:val="single" w:color="auto" w:sz="4" w:space="0"/>
              <w:right w:val="single" w:color="auto" w:sz="4" w:space="0"/>
            </w:tcBorders>
            <w:vAlign w:val="center"/>
          </w:tcPr>
          <w:p w14:paraId="550FE941">
            <w:pPr>
              <w:spacing w:line="336" w:lineRule="auto"/>
              <w:jc w:val="center"/>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eastAsia="zh-CN"/>
              </w:rPr>
              <w:t>500000.00</w:t>
            </w:r>
          </w:p>
        </w:tc>
        <w:tc>
          <w:tcPr>
            <w:tcW w:w="1605" w:type="dxa"/>
            <w:tcBorders>
              <w:top w:val="single" w:color="auto" w:sz="4" w:space="0"/>
              <w:left w:val="single" w:color="auto" w:sz="4" w:space="0"/>
              <w:bottom w:val="single" w:color="auto" w:sz="4" w:space="0"/>
              <w:right w:val="single" w:color="auto" w:sz="4" w:space="0"/>
            </w:tcBorders>
            <w:vAlign w:val="center"/>
          </w:tcPr>
          <w:p w14:paraId="5E743B8D">
            <w:pPr>
              <w:spacing w:line="336" w:lineRule="auto"/>
              <w:jc w:val="center"/>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eastAsia="zh-CN"/>
              </w:rPr>
              <w:t>500000.00</w:t>
            </w:r>
          </w:p>
        </w:tc>
      </w:tr>
    </w:tbl>
    <w:p w14:paraId="5A823CF9">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5</w:t>
      </w:r>
      <w:r>
        <w:rPr>
          <w:rFonts w:hint="eastAsia" w:ascii="宋体" w:hAnsi="宋体"/>
          <w:color w:val="auto"/>
          <w:sz w:val="22"/>
          <w:szCs w:val="22"/>
          <w:highlight w:val="none"/>
          <w:lang w:val="zh-CN"/>
        </w:rPr>
        <w:t>、</w:t>
      </w:r>
      <w:r>
        <w:rPr>
          <w:rFonts w:hint="eastAsia" w:ascii="宋体" w:hAnsi="宋体"/>
          <w:color w:val="auto"/>
          <w:sz w:val="22"/>
          <w:szCs w:val="22"/>
          <w:highlight w:val="none"/>
        </w:rPr>
        <w:t>采购需求及标段划分：（包括但不限于标的的名称、数量、简要技术需求或服务要求等）</w:t>
      </w:r>
    </w:p>
    <w:p w14:paraId="516A1085">
      <w:pPr>
        <w:spacing w:line="360" w:lineRule="auto"/>
        <w:rPr>
          <w:color w:val="auto"/>
          <w:sz w:val="22"/>
          <w:szCs w:val="22"/>
          <w:highlight w:val="none"/>
        </w:rPr>
      </w:pPr>
      <w:r>
        <w:rPr>
          <w:rFonts w:hint="eastAsia" w:ascii="宋体" w:hAnsi="宋体"/>
          <w:color w:val="auto"/>
          <w:sz w:val="22"/>
          <w:szCs w:val="22"/>
          <w:highlight w:val="none"/>
        </w:rPr>
        <w:t>5.1</w:t>
      </w:r>
      <w:r>
        <w:rPr>
          <w:rFonts w:hint="eastAsia"/>
          <w:color w:val="auto"/>
          <w:sz w:val="22"/>
          <w:szCs w:val="22"/>
          <w:highlight w:val="none"/>
        </w:rPr>
        <w:t xml:space="preserve">资金来源：财政资金    </w:t>
      </w:r>
    </w:p>
    <w:p w14:paraId="6D08A604">
      <w:pPr>
        <w:spacing w:line="360"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5.2</w:t>
      </w:r>
      <w:r>
        <w:rPr>
          <w:rFonts w:hint="eastAsia"/>
          <w:color w:val="auto"/>
          <w:sz w:val="22"/>
          <w:szCs w:val="22"/>
          <w:highlight w:val="none"/>
        </w:rPr>
        <w:t>服务地点：</w:t>
      </w:r>
      <w:r>
        <w:rPr>
          <w:rFonts w:hint="eastAsia"/>
          <w:color w:val="auto"/>
          <w:sz w:val="22"/>
          <w:szCs w:val="22"/>
          <w:highlight w:val="none"/>
          <w:lang w:eastAsia="zh-CN"/>
        </w:rPr>
        <w:t>采购人指定地点</w:t>
      </w:r>
    </w:p>
    <w:p w14:paraId="7FD5D046">
      <w:pPr>
        <w:spacing w:line="360"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5</w:t>
      </w:r>
      <w:r>
        <w:rPr>
          <w:rFonts w:ascii="宋体" w:hAnsi="宋体"/>
          <w:color w:val="auto"/>
          <w:sz w:val="22"/>
          <w:szCs w:val="22"/>
          <w:highlight w:val="none"/>
        </w:rPr>
        <w:t>.3服务期限：</w:t>
      </w:r>
      <w:r>
        <w:rPr>
          <w:rFonts w:hint="eastAsia" w:ascii="宋体" w:hAnsi="宋体"/>
          <w:color w:val="auto"/>
          <w:sz w:val="22"/>
          <w:szCs w:val="22"/>
          <w:highlight w:val="none"/>
          <w:lang w:eastAsia="zh-CN"/>
        </w:rPr>
        <w:t>一年</w:t>
      </w:r>
    </w:p>
    <w:p w14:paraId="48A41221">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t>5.4质量要求</w:t>
      </w:r>
      <w:r>
        <w:rPr>
          <w:rFonts w:hint="eastAsia" w:ascii="宋体" w:hAnsi="宋体" w:cs="宋体"/>
          <w:color w:val="auto"/>
          <w:sz w:val="22"/>
          <w:szCs w:val="22"/>
          <w:highlight w:val="none"/>
        </w:rPr>
        <w:t>：</w:t>
      </w:r>
      <w:r>
        <w:rPr>
          <w:rFonts w:hint="eastAsia"/>
          <w:color w:val="auto"/>
          <w:sz w:val="22"/>
          <w:szCs w:val="22"/>
          <w:highlight w:val="none"/>
          <w:lang w:eastAsia="zh-CN"/>
        </w:rPr>
        <w:t>符合国家及相关行业合格标准及采购人要求</w:t>
      </w:r>
      <w:r>
        <w:rPr>
          <w:rFonts w:hint="eastAsia"/>
          <w:color w:val="auto"/>
          <w:sz w:val="22"/>
          <w:szCs w:val="22"/>
          <w:highlight w:val="none"/>
        </w:rPr>
        <w:t>。</w:t>
      </w:r>
    </w:p>
    <w:p w14:paraId="595849D6">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5.5标段划分：</w:t>
      </w:r>
      <w:r>
        <w:rPr>
          <w:rFonts w:hint="eastAsia"/>
          <w:color w:val="auto"/>
          <w:sz w:val="22"/>
          <w:szCs w:val="22"/>
          <w:highlight w:val="none"/>
        </w:rPr>
        <w:t>1</w:t>
      </w:r>
      <w:r>
        <w:rPr>
          <w:rFonts w:hint="eastAsia" w:ascii="宋体" w:hAnsi="宋体"/>
          <w:color w:val="auto"/>
          <w:sz w:val="22"/>
          <w:szCs w:val="22"/>
          <w:highlight w:val="none"/>
        </w:rPr>
        <w:t>个标段</w:t>
      </w:r>
    </w:p>
    <w:p w14:paraId="2B158C62">
      <w:pPr>
        <w:spacing w:line="360" w:lineRule="auto"/>
        <w:rPr>
          <w:rFonts w:hint="eastAsia" w:eastAsia="宋体"/>
          <w:color w:val="auto"/>
          <w:sz w:val="22"/>
          <w:szCs w:val="22"/>
          <w:highlight w:val="none"/>
          <w:lang w:eastAsia="zh-CN"/>
        </w:rPr>
      </w:pPr>
      <w:r>
        <w:rPr>
          <w:rFonts w:hint="eastAsia" w:ascii="宋体" w:hAnsi="宋体"/>
          <w:color w:val="auto"/>
          <w:sz w:val="22"/>
          <w:szCs w:val="22"/>
          <w:highlight w:val="none"/>
        </w:rPr>
        <w:t>5.6采购内容：</w:t>
      </w:r>
      <w:r>
        <w:rPr>
          <w:rFonts w:hint="eastAsia"/>
          <w:color w:val="auto"/>
          <w:sz w:val="22"/>
          <w:szCs w:val="22"/>
          <w:highlight w:val="none"/>
          <w:lang w:eastAsia="zh-CN"/>
        </w:rPr>
        <w:t>对开封市污水处理厂及固体废物处置场周边土壤进行监测，结合其行业特点、敏感目标分布等实际情况，开展基础信息调查、点位布设、样品采集测试等，形成调查评估报告，为开封市污水处理厂及固体废物处置场源头防控提供技术支撑</w:t>
      </w:r>
    </w:p>
    <w:p w14:paraId="74B745D1">
      <w:pPr>
        <w:spacing w:line="360" w:lineRule="auto"/>
        <w:rPr>
          <w:rFonts w:hint="eastAsia" w:ascii="宋体" w:hAnsi="宋体"/>
          <w:color w:val="auto"/>
          <w:sz w:val="22"/>
          <w:szCs w:val="22"/>
          <w:highlight w:val="none"/>
        </w:rPr>
      </w:pPr>
      <w:r>
        <w:rPr>
          <w:rFonts w:hint="eastAsia"/>
          <w:color w:val="auto"/>
          <w:sz w:val="22"/>
          <w:szCs w:val="22"/>
          <w:highlight w:val="none"/>
        </w:rPr>
        <w:t xml:space="preserve"> </w:t>
      </w:r>
      <w:r>
        <w:rPr>
          <w:rFonts w:hint="eastAsia" w:ascii="宋体" w:hAnsi="宋体"/>
          <w:color w:val="auto"/>
          <w:sz w:val="22"/>
          <w:szCs w:val="22"/>
          <w:highlight w:val="none"/>
        </w:rPr>
        <w:t>6</w:t>
      </w:r>
      <w:r>
        <w:rPr>
          <w:rFonts w:hint="eastAsia" w:ascii="宋体" w:hAnsi="宋体"/>
          <w:color w:val="auto"/>
          <w:sz w:val="22"/>
          <w:szCs w:val="22"/>
          <w:highlight w:val="none"/>
          <w:lang w:val="zh-CN"/>
        </w:rPr>
        <w:t>、</w:t>
      </w:r>
      <w:r>
        <w:rPr>
          <w:rFonts w:hint="eastAsia" w:ascii="宋体" w:hAnsi="宋体"/>
          <w:color w:val="auto"/>
          <w:sz w:val="22"/>
          <w:szCs w:val="22"/>
          <w:highlight w:val="none"/>
        </w:rPr>
        <w:t>合同履行期限：同服务期限</w:t>
      </w:r>
    </w:p>
    <w:p w14:paraId="35FE684D">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7</w:t>
      </w:r>
      <w:r>
        <w:rPr>
          <w:rFonts w:hint="eastAsia" w:ascii="宋体" w:hAnsi="宋体"/>
          <w:color w:val="auto"/>
          <w:sz w:val="22"/>
          <w:szCs w:val="22"/>
          <w:highlight w:val="none"/>
          <w:lang w:val="zh-CN"/>
        </w:rPr>
        <w:t>、</w:t>
      </w:r>
      <w:r>
        <w:rPr>
          <w:rFonts w:hint="eastAsia" w:ascii="宋体" w:hAnsi="宋体"/>
          <w:color w:val="auto"/>
          <w:sz w:val="22"/>
          <w:szCs w:val="22"/>
          <w:highlight w:val="none"/>
        </w:rPr>
        <w:t>本项目是否接受联合体投标：否</w:t>
      </w:r>
    </w:p>
    <w:p w14:paraId="7BF411BC">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8</w:t>
      </w:r>
      <w:r>
        <w:rPr>
          <w:rFonts w:hint="eastAsia" w:ascii="宋体" w:hAnsi="宋体"/>
          <w:color w:val="auto"/>
          <w:sz w:val="22"/>
          <w:szCs w:val="22"/>
          <w:highlight w:val="none"/>
          <w:lang w:val="zh-CN"/>
        </w:rPr>
        <w:t>、</w:t>
      </w:r>
      <w:r>
        <w:rPr>
          <w:rFonts w:hint="eastAsia" w:ascii="宋体" w:hAnsi="宋体"/>
          <w:color w:val="auto"/>
          <w:sz w:val="22"/>
          <w:szCs w:val="22"/>
          <w:highlight w:val="none"/>
        </w:rPr>
        <w:t>是否接受进口产品：否</w:t>
      </w:r>
    </w:p>
    <w:p w14:paraId="5D59493D">
      <w:pPr>
        <w:autoSpaceDE w:val="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9</w:t>
      </w:r>
      <w:r>
        <w:rPr>
          <w:rFonts w:hint="eastAsia" w:ascii="宋体" w:hAnsi="宋体"/>
          <w:color w:val="auto"/>
          <w:sz w:val="22"/>
          <w:szCs w:val="22"/>
          <w:highlight w:val="none"/>
          <w:lang w:val="zh-CN"/>
        </w:rPr>
        <w:t>、是否专门面向中小企业：</w:t>
      </w:r>
      <w:r>
        <w:rPr>
          <w:rFonts w:hint="eastAsia" w:ascii="宋体" w:hAnsi="宋体"/>
          <w:color w:val="auto"/>
          <w:sz w:val="22"/>
          <w:szCs w:val="22"/>
          <w:highlight w:val="none"/>
        </w:rPr>
        <w:t>否</w:t>
      </w:r>
    </w:p>
    <w:p w14:paraId="455B9163">
      <w:pPr>
        <w:autoSpaceDE w:val="0"/>
        <w:spacing w:line="360" w:lineRule="auto"/>
        <w:outlineLvl w:val="0"/>
        <w:rPr>
          <w:rFonts w:hint="eastAsia" w:ascii="宋体" w:hAnsi="宋体"/>
          <w:b/>
          <w:bCs/>
          <w:color w:val="auto"/>
          <w:sz w:val="22"/>
          <w:szCs w:val="22"/>
          <w:highlight w:val="none"/>
        </w:rPr>
      </w:pPr>
      <w:bookmarkStart w:id="7" w:name="_Toc22343"/>
      <w:bookmarkStart w:id="8" w:name="_Toc4998"/>
      <w:bookmarkStart w:id="9" w:name="_Toc9679"/>
      <w:bookmarkStart w:id="10" w:name="_Toc24955"/>
      <w:r>
        <w:rPr>
          <w:rFonts w:hint="eastAsia" w:ascii="宋体" w:hAnsi="宋体"/>
          <w:b/>
          <w:bCs/>
          <w:color w:val="auto"/>
          <w:sz w:val="22"/>
          <w:szCs w:val="22"/>
          <w:highlight w:val="none"/>
        </w:rPr>
        <w:t>二、投标人资格要求：</w:t>
      </w:r>
      <w:bookmarkEnd w:id="7"/>
      <w:bookmarkEnd w:id="8"/>
      <w:bookmarkEnd w:id="9"/>
      <w:bookmarkEnd w:id="10"/>
    </w:p>
    <w:p w14:paraId="64E54FD7">
      <w:pPr>
        <w:autoSpaceDE w:val="0"/>
        <w:spacing w:line="360" w:lineRule="auto"/>
        <w:outlineLvl w:val="0"/>
        <w:rPr>
          <w:rFonts w:hint="eastAsia" w:ascii="宋体" w:hAnsi="宋体"/>
          <w:color w:val="auto"/>
          <w:sz w:val="22"/>
          <w:szCs w:val="22"/>
          <w:highlight w:val="none"/>
        </w:rPr>
      </w:pPr>
      <w:bookmarkStart w:id="11" w:name="_Toc20840"/>
      <w:bookmarkStart w:id="12" w:name="_Toc14843"/>
      <w:bookmarkStart w:id="13" w:name="_Toc18055"/>
      <w:bookmarkStart w:id="14" w:name="_Toc7484"/>
      <w:r>
        <w:rPr>
          <w:rFonts w:hint="eastAsia" w:ascii="宋体" w:hAnsi="宋体"/>
          <w:color w:val="auto"/>
          <w:sz w:val="22"/>
          <w:szCs w:val="22"/>
          <w:highlight w:val="none"/>
        </w:rPr>
        <w:t>1、满足《中华人民共和国政府采购法》第二十二条规定</w:t>
      </w:r>
      <w:bookmarkEnd w:id="11"/>
      <w:bookmarkEnd w:id="12"/>
      <w:bookmarkEnd w:id="13"/>
      <w:r>
        <w:rPr>
          <w:rFonts w:hint="eastAsia" w:ascii="宋体" w:hAnsi="宋体"/>
          <w:color w:val="auto"/>
          <w:sz w:val="22"/>
          <w:szCs w:val="22"/>
          <w:highlight w:val="none"/>
        </w:rPr>
        <w:t>；</w:t>
      </w:r>
    </w:p>
    <w:p w14:paraId="4C34D2E1">
      <w:pPr>
        <w:autoSpaceDE w:val="0"/>
        <w:spacing w:line="360" w:lineRule="auto"/>
        <w:outlineLvl w:val="0"/>
        <w:rPr>
          <w:rFonts w:hint="eastAsia" w:ascii="宋体" w:hAnsi="宋体"/>
          <w:color w:val="auto"/>
          <w:sz w:val="22"/>
          <w:szCs w:val="22"/>
          <w:highlight w:val="none"/>
        </w:rPr>
      </w:pPr>
      <w:bookmarkStart w:id="15" w:name="_Toc30911"/>
      <w:bookmarkStart w:id="16" w:name="_Toc12135"/>
      <w:bookmarkStart w:id="17" w:name="_Toc2203"/>
      <w:r>
        <w:rPr>
          <w:rFonts w:hint="eastAsia" w:ascii="宋体" w:hAnsi="宋体"/>
          <w:color w:val="auto"/>
          <w:sz w:val="22"/>
          <w:szCs w:val="22"/>
          <w:highlight w:val="none"/>
        </w:rPr>
        <w:t>2、落实政府采购政策满足的资格要求：</w:t>
      </w:r>
      <w:bookmarkEnd w:id="15"/>
      <w:bookmarkEnd w:id="16"/>
      <w:bookmarkEnd w:id="17"/>
    </w:p>
    <w:p w14:paraId="218AF189">
      <w:pPr>
        <w:autoSpaceDE w:val="0"/>
        <w:spacing w:line="360" w:lineRule="auto"/>
        <w:outlineLvl w:val="0"/>
        <w:rPr>
          <w:rFonts w:hint="eastAsia" w:ascii="宋体" w:hAnsi="宋体"/>
          <w:color w:val="auto"/>
          <w:sz w:val="22"/>
          <w:szCs w:val="22"/>
          <w:highlight w:val="none"/>
        </w:rPr>
      </w:pPr>
      <w:bookmarkStart w:id="18" w:name="_Toc12684"/>
      <w:bookmarkStart w:id="19" w:name="_Toc5752"/>
      <w:bookmarkStart w:id="20" w:name="_Toc2504"/>
      <w:r>
        <w:rPr>
          <w:rFonts w:hint="eastAsia" w:ascii="宋体" w:hAnsi="宋体"/>
          <w:color w:val="auto"/>
          <w:sz w:val="22"/>
          <w:szCs w:val="22"/>
          <w:highlight w:val="none"/>
        </w:rPr>
        <w:t>本项目落实中小微企业扶持、促进残疾人就业等政府采购政策。</w:t>
      </w:r>
      <w:bookmarkEnd w:id="18"/>
      <w:bookmarkEnd w:id="19"/>
      <w:bookmarkEnd w:id="20"/>
    </w:p>
    <w:p w14:paraId="6A60C88B">
      <w:pPr>
        <w:numPr>
          <w:ilvl w:val="0"/>
          <w:numId w:val="1"/>
        </w:numPr>
        <w:autoSpaceDE w:val="0"/>
        <w:spacing w:line="360" w:lineRule="auto"/>
        <w:outlineLvl w:val="0"/>
        <w:rPr>
          <w:rFonts w:hint="eastAsia" w:ascii="宋体" w:hAnsi="宋体"/>
          <w:color w:val="auto"/>
          <w:sz w:val="22"/>
          <w:szCs w:val="22"/>
          <w:highlight w:val="none"/>
        </w:rPr>
      </w:pPr>
      <w:bookmarkStart w:id="21" w:name="_Toc31980"/>
      <w:bookmarkStart w:id="22" w:name="_Toc7875"/>
      <w:bookmarkStart w:id="23" w:name="_Toc32233"/>
      <w:r>
        <w:rPr>
          <w:rFonts w:hint="eastAsia" w:ascii="宋体" w:hAnsi="宋体"/>
          <w:color w:val="auto"/>
          <w:sz w:val="22"/>
          <w:szCs w:val="22"/>
          <w:highlight w:val="none"/>
        </w:rPr>
        <w:t>本项目的特定资格要求：</w:t>
      </w:r>
      <w:bookmarkEnd w:id="21"/>
      <w:bookmarkEnd w:id="22"/>
      <w:bookmarkEnd w:id="23"/>
    </w:p>
    <w:p w14:paraId="1DFA6A0B">
      <w:pPr>
        <w:pStyle w:val="11"/>
        <w:rPr>
          <w:color w:val="auto"/>
          <w:highlight w:val="none"/>
        </w:rPr>
      </w:pPr>
      <w:r>
        <w:rPr>
          <w:rFonts w:hint="eastAsia" w:ascii="宋体" w:hAnsi="宋体"/>
          <w:color w:val="auto"/>
          <w:sz w:val="22"/>
          <w:szCs w:val="22"/>
          <w:highlight w:val="none"/>
        </w:rPr>
        <w:t>3.1</w:t>
      </w:r>
      <w:r>
        <w:rPr>
          <w:rFonts w:hint="eastAsia" w:ascii="宋体" w:hAnsi="宋体"/>
          <w:color w:val="auto"/>
          <w:sz w:val="22"/>
          <w:szCs w:val="22"/>
          <w:highlight w:val="none"/>
          <w:lang w:eastAsia="zh-CN"/>
        </w:rPr>
        <w:t>、</w:t>
      </w:r>
      <w:r>
        <w:rPr>
          <w:rFonts w:hint="eastAsia" w:ascii="宋体" w:hAnsi="宋体"/>
          <w:color w:val="auto"/>
          <w:sz w:val="22"/>
          <w:szCs w:val="22"/>
          <w:highlight w:val="none"/>
        </w:rPr>
        <w:t>符合《中华人民共和国政府采购法》第二十二条规定</w:t>
      </w:r>
    </w:p>
    <w:p w14:paraId="7386CACB">
      <w:pPr>
        <w:autoSpaceDE w:val="0"/>
        <w:spacing w:line="360" w:lineRule="auto"/>
        <w:outlineLvl w:val="0"/>
        <w:rPr>
          <w:rFonts w:hint="eastAsia" w:ascii="宋体" w:hAnsi="宋体" w:eastAsia="宋体" w:cs="Times New Roman"/>
          <w:color w:val="auto"/>
          <w:sz w:val="22"/>
          <w:szCs w:val="22"/>
          <w:highlight w:val="none"/>
        </w:rPr>
      </w:pPr>
      <w:bookmarkStart w:id="24" w:name="_Toc32624"/>
      <w:bookmarkStart w:id="25" w:name="_Toc2372"/>
      <w:bookmarkStart w:id="26" w:name="_Toc32342"/>
      <w:r>
        <w:rPr>
          <w:rFonts w:hint="eastAsia" w:ascii="宋体" w:hAnsi="宋体" w:eastAsia="宋体" w:cs="Times New Roman"/>
          <w:color w:val="auto"/>
          <w:sz w:val="22"/>
          <w:szCs w:val="22"/>
          <w:highlight w:val="none"/>
        </w:rPr>
        <w:t>（一）具有独立承担民事责任的能力（具有有效的营业执照）；</w:t>
      </w:r>
    </w:p>
    <w:p w14:paraId="7EE03A71">
      <w:pPr>
        <w:autoSpaceDE w:val="0"/>
        <w:spacing w:line="360" w:lineRule="auto"/>
        <w:outlineLvl w:val="0"/>
        <w:rPr>
          <w:rFonts w:hint="eastAsia" w:ascii="宋体" w:hAnsi="宋体"/>
          <w:color w:val="auto"/>
          <w:sz w:val="22"/>
          <w:szCs w:val="22"/>
          <w:highlight w:val="none"/>
        </w:rPr>
      </w:pPr>
      <w:r>
        <w:rPr>
          <w:rFonts w:hint="eastAsia" w:ascii="宋体" w:hAnsi="宋体" w:eastAsia="宋体" w:cs="Times New Roman"/>
          <w:color w:val="auto"/>
          <w:sz w:val="22"/>
          <w:szCs w:val="22"/>
          <w:highlight w:val="none"/>
        </w:rPr>
        <w:t>（二）</w:t>
      </w:r>
      <w:r>
        <w:rPr>
          <w:rFonts w:hint="eastAsia" w:ascii="宋体" w:hAnsi="宋体"/>
          <w:color w:val="auto"/>
          <w:sz w:val="22"/>
          <w:szCs w:val="22"/>
          <w:highlight w:val="none"/>
        </w:rPr>
        <w:t>具有良好的商业信誉和健全的财务会计制度（提供2024年度或2025年度经审计的财务报告，若公司成立时间不足的，按实际成立年限提供审计报告；新成立企业不足一年的提供本单位财务制度）；</w:t>
      </w:r>
    </w:p>
    <w:p w14:paraId="38A5EBFB">
      <w:p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（三）具有履行合同所必需的设备和专业技术能力（提供承诺书，格式自拟）；</w:t>
      </w:r>
    </w:p>
    <w:p w14:paraId="2090B847">
      <w:p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（四）有依法缴纳税收和社会保障资金的良好记录（提供2026年以来任意一个月的缴纳税收和社会保障资金凭据，属于免税对象者，自行出具免税声明或提供其他证明材料。）；</w:t>
      </w:r>
    </w:p>
    <w:p w14:paraId="02C13D36">
      <w:p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（五）参加政府采购活动前三年内，在经营活动中没有重大违法记录（供应商开标前三年内在经营活动中无重大违法记录的书面声明）；</w:t>
      </w:r>
    </w:p>
    <w:p w14:paraId="76A9B556">
      <w:pPr>
        <w:autoSpaceDE w:val="0"/>
        <w:spacing w:line="360" w:lineRule="auto"/>
        <w:outlineLvl w:val="0"/>
        <w:rPr>
          <w:rFonts w:hint="eastAsia" w:ascii="宋体" w:hAnsi="宋体"/>
          <w:color w:val="auto"/>
          <w:sz w:val="22"/>
          <w:szCs w:val="22"/>
          <w:highlight w:val="none"/>
        </w:rPr>
      </w:pPr>
      <w:r>
        <w:rPr>
          <w:rFonts w:hint="eastAsia" w:ascii="宋体" w:hAnsi="宋体"/>
          <w:color w:val="auto"/>
          <w:sz w:val="22"/>
          <w:szCs w:val="22"/>
          <w:highlight w:val="none"/>
        </w:rPr>
        <w:t>3.2</w:t>
      </w:r>
      <w:bookmarkEnd w:id="24"/>
      <w:bookmarkEnd w:id="25"/>
      <w:bookmarkEnd w:id="26"/>
      <w:bookmarkStart w:id="27" w:name="_Toc17574"/>
      <w:bookmarkStart w:id="28" w:name="_Toc31496"/>
      <w:bookmarkStart w:id="29" w:name="_Toc10992"/>
      <w:r>
        <w:rPr>
          <w:rFonts w:hint="eastAsia" w:ascii="宋体" w:hAnsi="宋体"/>
          <w:color w:val="auto"/>
          <w:sz w:val="22"/>
          <w:szCs w:val="22"/>
          <w:highlight w:val="none"/>
          <w:lang w:eastAsia="zh-CN"/>
        </w:rPr>
        <w:t>、</w:t>
      </w:r>
      <w:r>
        <w:rPr>
          <w:rFonts w:hint="eastAsia" w:ascii="宋体" w:hAnsi="宋体"/>
          <w:color w:val="auto"/>
          <w:sz w:val="22"/>
          <w:szCs w:val="22"/>
          <w:highlight w:val="none"/>
        </w:rPr>
        <w:t>信誉要求：根据《关于在政府采购活动中查询及使用信用记录有关问题的通知》(财库[2016]125号)的规定，对列入失信被执行人、重大税收违法失信主体、政府采购严重违法失信行为记录名单的投标人，拒绝参与本项目政府采购活动；【查询渠道：“信用中国”网站（www.creditchina.gov.cn）、中国政府采购网（www.ccgp.gov.cn）】；（信用信息查询及截止时间：本项目开标结束后至评标结束前，由采购人或采购代理机构查询投标人信用记录，信用记录相关网页、内容的截图资料，由采购代理机构以作证据存档备查。）</w:t>
      </w:r>
      <w:bookmarkEnd w:id="27"/>
      <w:bookmarkEnd w:id="28"/>
      <w:bookmarkEnd w:id="29"/>
    </w:p>
    <w:p w14:paraId="679E9DB3">
      <w:pPr>
        <w:autoSpaceDE w:val="0"/>
        <w:spacing w:line="360" w:lineRule="auto"/>
        <w:outlineLvl w:val="0"/>
        <w:rPr>
          <w:rFonts w:hint="eastAsia" w:ascii="宋体" w:hAnsi="宋体"/>
          <w:color w:val="auto"/>
          <w:sz w:val="22"/>
          <w:szCs w:val="22"/>
          <w:highlight w:val="none"/>
        </w:rPr>
      </w:pPr>
      <w:bookmarkStart w:id="30" w:name="_Toc22780"/>
      <w:bookmarkStart w:id="31" w:name="_Toc18616"/>
      <w:bookmarkStart w:id="32" w:name="_Toc23418"/>
      <w:r>
        <w:rPr>
          <w:rFonts w:hint="eastAsia" w:ascii="宋体" w:hAnsi="宋体"/>
          <w:color w:val="auto"/>
          <w:sz w:val="22"/>
          <w:szCs w:val="22"/>
          <w:highlight w:val="none"/>
          <w:lang w:val="en-US" w:eastAsia="zh-CN"/>
        </w:rPr>
        <w:t>3.3</w:t>
      </w:r>
      <w:r>
        <w:rPr>
          <w:rFonts w:hint="eastAsia" w:ascii="宋体" w:hAnsi="宋体"/>
          <w:color w:val="auto"/>
          <w:sz w:val="22"/>
          <w:szCs w:val="22"/>
          <w:highlight w:val="none"/>
        </w:rPr>
        <w:t>、本项目不接受联合体投标。</w:t>
      </w:r>
      <w:bookmarkEnd w:id="30"/>
      <w:bookmarkEnd w:id="31"/>
      <w:bookmarkEnd w:id="32"/>
    </w:p>
    <w:p w14:paraId="4B14C6CD">
      <w:pPr>
        <w:autoSpaceDE w:val="0"/>
        <w:spacing w:line="360" w:lineRule="auto"/>
        <w:outlineLvl w:val="0"/>
        <w:rPr>
          <w:rFonts w:hint="eastAsia" w:ascii="宋体" w:hAnsi="宋体"/>
          <w:b/>
          <w:bCs/>
          <w:color w:val="auto"/>
          <w:sz w:val="22"/>
          <w:szCs w:val="22"/>
          <w:highlight w:val="none"/>
        </w:rPr>
      </w:pPr>
      <w:bookmarkStart w:id="33" w:name="_Toc11569"/>
      <w:bookmarkStart w:id="34" w:name="_Toc28064"/>
      <w:bookmarkStart w:id="35" w:name="_Toc13534"/>
      <w:r>
        <w:rPr>
          <w:rFonts w:hint="eastAsia" w:ascii="宋体" w:hAnsi="宋体"/>
          <w:b/>
          <w:bCs/>
          <w:color w:val="auto"/>
          <w:sz w:val="22"/>
          <w:szCs w:val="22"/>
          <w:highlight w:val="none"/>
        </w:rPr>
        <w:t>三、获取招标文件</w:t>
      </w:r>
      <w:bookmarkEnd w:id="33"/>
      <w:bookmarkEnd w:id="34"/>
      <w:bookmarkEnd w:id="35"/>
      <w:r>
        <w:rPr>
          <w:rFonts w:hint="eastAsia" w:ascii="宋体" w:hAnsi="宋体"/>
          <w:b/>
          <w:bCs/>
          <w:color w:val="auto"/>
          <w:sz w:val="22"/>
          <w:szCs w:val="22"/>
          <w:highlight w:val="none"/>
        </w:rPr>
        <w:t xml:space="preserve"> </w:t>
      </w:r>
    </w:p>
    <w:p w14:paraId="771B7A17">
      <w:pPr>
        <w:autoSpaceDE w:val="0"/>
        <w:spacing w:line="360" w:lineRule="auto"/>
        <w:ind w:firstLine="440" w:firstLineChars="200"/>
        <w:outlineLvl w:val="0"/>
        <w:rPr>
          <w:rFonts w:hint="eastAsia" w:ascii="宋体" w:hAnsi="宋体"/>
          <w:color w:val="auto"/>
          <w:sz w:val="22"/>
          <w:szCs w:val="22"/>
          <w:highlight w:val="none"/>
        </w:rPr>
      </w:pPr>
      <w:bookmarkStart w:id="36" w:name="_Toc10875"/>
      <w:bookmarkStart w:id="37" w:name="_Toc10839"/>
      <w:bookmarkStart w:id="38" w:name="_Toc24208"/>
      <w:r>
        <w:rPr>
          <w:rFonts w:hint="eastAsia" w:ascii="宋体" w:hAnsi="宋体"/>
          <w:color w:val="auto"/>
          <w:sz w:val="22"/>
          <w:szCs w:val="22"/>
          <w:highlight w:val="none"/>
        </w:rPr>
        <w:t>1.时间：</w:t>
      </w:r>
      <w:r>
        <w:rPr>
          <w:rFonts w:hint="eastAsia" w:ascii="宋体" w:hAnsi="宋体"/>
          <w:b/>
          <w:bCs/>
          <w:color w:val="auto"/>
          <w:sz w:val="22"/>
          <w:szCs w:val="22"/>
          <w:highlight w:val="none"/>
        </w:rPr>
        <w:t>202</w:t>
      </w:r>
      <w:r>
        <w:rPr>
          <w:rFonts w:hint="eastAsia" w:ascii="宋体" w:hAnsi="宋体"/>
          <w:b/>
          <w:bCs/>
          <w:color w:val="auto"/>
          <w:sz w:val="22"/>
          <w:szCs w:val="22"/>
          <w:highlight w:val="none"/>
          <w:lang w:val="en-US" w:eastAsia="zh-CN"/>
        </w:rPr>
        <w:t>6</w:t>
      </w:r>
      <w:r>
        <w:rPr>
          <w:rFonts w:hint="eastAsia" w:ascii="宋体" w:hAnsi="宋体"/>
          <w:b/>
          <w:bCs/>
          <w:color w:val="auto"/>
          <w:sz w:val="22"/>
          <w:szCs w:val="22"/>
          <w:highlight w:val="none"/>
        </w:rPr>
        <w:t>年</w:t>
      </w:r>
      <w:r>
        <w:rPr>
          <w:rFonts w:hint="eastAsia" w:ascii="宋体" w:hAnsi="宋体"/>
          <w:b/>
          <w:bCs/>
          <w:color w:val="auto"/>
          <w:sz w:val="22"/>
          <w:szCs w:val="22"/>
          <w:highlight w:val="none"/>
          <w:lang w:val="en-US" w:eastAsia="zh-CN"/>
        </w:rPr>
        <w:t>06</w:t>
      </w:r>
      <w:r>
        <w:rPr>
          <w:rFonts w:hint="eastAsia" w:ascii="宋体" w:hAnsi="宋体"/>
          <w:b/>
          <w:bCs/>
          <w:color w:val="auto"/>
          <w:sz w:val="22"/>
          <w:szCs w:val="22"/>
          <w:highlight w:val="none"/>
        </w:rPr>
        <w:t>月</w:t>
      </w:r>
      <w:r>
        <w:rPr>
          <w:rFonts w:hint="eastAsia" w:ascii="宋体" w:hAnsi="宋体"/>
          <w:b/>
          <w:bCs/>
          <w:color w:val="auto"/>
          <w:sz w:val="22"/>
          <w:szCs w:val="22"/>
          <w:highlight w:val="none"/>
          <w:lang w:val="en-US" w:eastAsia="zh-CN"/>
        </w:rPr>
        <w:t>30</w:t>
      </w:r>
      <w:r>
        <w:rPr>
          <w:rFonts w:hint="eastAsia" w:ascii="宋体" w:hAnsi="宋体"/>
          <w:b/>
          <w:bCs/>
          <w:color w:val="auto"/>
          <w:sz w:val="22"/>
          <w:szCs w:val="22"/>
          <w:highlight w:val="none"/>
        </w:rPr>
        <w:t>日至202</w:t>
      </w:r>
      <w:r>
        <w:rPr>
          <w:rFonts w:hint="eastAsia" w:ascii="宋体" w:hAnsi="宋体"/>
          <w:b/>
          <w:bCs/>
          <w:color w:val="auto"/>
          <w:sz w:val="22"/>
          <w:szCs w:val="22"/>
          <w:highlight w:val="none"/>
          <w:lang w:val="en-US" w:eastAsia="zh-CN"/>
        </w:rPr>
        <w:t>6</w:t>
      </w:r>
      <w:r>
        <w:rPr>
          <w:rFonts w:hint="eastAsia" w:ascii="宋体" w:hAnsi="宋体"/>
          <w:b/>
          <w:bCs/>
          <w:color w:val="auto"/>
          <w:sz w:val="22"/>
          <w:szCs w:val="22"/>
          <w:highlight w:val="none"/>
        </w:rPr>
        <w:t>年</w:t>
      </w:r>
      <w:r>
        <w:rPr>
          <w:rFonts w:hint="eastAsia" w:ascii="宋体" w:hAnsi="宋体"/>
          <w:b/>
          <w:bCs/>
          <w:color w:val="auto"/>
          <w:sz w:val="22"/>
          <w:szCs w:val="22"/>
          <w:highlight w:val="none"/>
          <w:lang w:val="en-US" w:eastAsia="zh-CN"/>
        </w:rPr>
        <w:t>07</w:t>
      </w:r>
      <w:r>
        <w:rPr>
          <w:rFonts w:hint="eastAsia" w:ascii="宋体" w:hAnsi="宋体"/>
          <w:b/>
          <w:bCs/>
          <w:color w:val="auto"/>
          <w:sz w:val="22"/>
          <w:szCs w:val="22"/>
          <w:highlight w:val="none"/>
        </w:rPr>
        <w:t>月</w:t>
      </w:r>
      <w:r>
        <w:rPr>
          <w:rFonts w:hint="eastAsia" w:ascii="宋体" w:hAnsi="宋体"/>
          <w:b/>
          <w:bCs/>
          <w:color w:val="auto"/>
          <w:sz w:val="22"/>
          <w:szCs w:val="22"/>
          <w:highlight w:val="none"/>
          <w:lang w:val="en-US" w:eastAsia="zh-CN"/>
        </w:rPr>
        <w:t>20</w:t>
      </w:r>
      <w:r>
        <w:rPr>
          <w:rFonts w:hint="eastAsia" w:ascii="宋体" w:hAnsi="宋体"/>
          <w:b/>
          <w:bCs/>
          <w:color w:val="auto"/>
          <w:sz w:val="22"/>
          <w:szCs w:val="22"/>
          <w:highlight w:val="none"/>
        </w:rPr>
        <w:t>日</w:t>
      </w:r>
      <w:r>
        <w:rPr>
          <w:rFonts w:hint="eastAsia" w:ascii="宋体" w:hAnsi="宋体"/>
          <w:color w:val="auto"/>
          <w:sz w:val="22"/>
          <w:szCs w:val="22"/>
          <w:highlight w:val="none"/>
        </w:rPr>
        <w:t>，每天上午0</w:t>
      </w:r>
      <w:r>
        <w:rPr>
          <w:rFonts w:hint="eastAsia" w:ascii="宋体" w:hAnsi="宋体"/>
          <w:color w:val="auto"/>
          <w:sz w:val="22"/>
          <w:szCs w:val="22"/>
          <w:highlight w:val="none"/>
          <w:lang w:val="en-US" w:eastAsia="zh-CN"/>
        </w:rPr>
        <w:t>0</w:t>
      </w:r>
      <w:r>
        <w:rPr>
          <w:rFonts w:hint="eastAsia" w:ascii="宋体" w:hAnsi="宋体"/>
          <w:color w:val="auto"/>
          <w:sz w:val="22"/>
          <w:szCs w:val="22"/>
          <w:highlight w:val="none"/>
        </w:rPr>
        <w:t>:0</w:t>
      </w:r>
      <w:r>
        <w:rPr>
          <w:rFonts w:hint="eastAsia" w:ascii="宋体" w:hAnsi="宋体"/>
          <w:color w:val="auto"/>
          <w:sz w:val="22"/>
          <w:szCs w:val="22"/>
          <w:highlight w:val="none"/>
          <w:lang w:val="en-US" w:eastAsia="zh-CN"/>
        </w:rPr>
        <w:t>1</w:t>
      </w:r>
      <w:r>
        <w:rPr>
          <w:rFonts w:hint="eastAsia" w:ascii="宋体" w:hAnsi="宋体"/>
          <w:color w:val="auto"/>
          <w:sz w:val="22"/>
          <w:szCs w:val="22"/>
          <w:highlight w:val="none"/>
        </w:rPr>
        <w:t>至12:00，下午12:0</w:t>
      </w:r>
      <w:r>
        <w:rPr>
          <w:rFonts w:hint="eastAsia" w:ascii="宋体" w:hAnsi="宋体"/>
          <w:color w:val="auto"/>
          <w:sz w:val="22"/>
          <w:szCs w:val="22"/>
          <w:highlight w:val="none"/>
          <w:lang w:val="en-US" w:eastAsia="zh-CN"/>
        </w:rPr>
        <w:t>1</w:t>
      </w:r>
      <w:r>
        <w:rPr>
          <w:rFonts w:hint="eastAsia" w:ascii="宋体" w:hAnsi="宋体"/>
          <w:color w:val="auto"/>
          <w:sz w:val="22"/>
          <w:szCs w:val="22"/>
          <w:highlight w:val="none"/>
        </w:rPr>
        <w:t>至23:59（北京时间，法定节假日除外。）</w:t>
      </w:r>
      <w:bookmarkEnd w:id="36"/>
      <w:bookmarkEnd w:id="37"/>
      <w:bookmarkEnd w:id="38"/>
      <w:r>
        <w:rPr>
          <w:rFonts w:hint="eastAsia" w:ascii="宋体" w:hAnsi="宋体"/>
          <w:color w:val="auto"/>
          <w:sz w:val="22"/>
          <w:szCs w:val="22"/>
          <w:highlight w:val="none"/>
        </w:rPr>
        <w:t xml:space="preserve"> </w:t>
      </w:r>
    </w:p>
    <w:p w14:paraId="7427B977">
      <w:pPr>
        <w:autoSpaceDE w:val="0"/>
        <w:spacing w:line="360" w:lineRule="auto"/>
        <w:ind w:firstLine="440" w:firstLineChars="200"/>
        <w:outlineLvl w:val="0"/>
        <w:rPr>
          <w:rFonts w:hint="eastAsia" w:ascii="宋体" w:hAnsi="宋体"/>
          <w:color w:val="auto"/>
          <w:sz w:val="22"/>
          <w:szCs w:val="22"/>
          <w:highlight w:val="none"/>
        </w:rPr>
      </w:pPr>
      <w:bookmarkStart w:id="39" w:name="_Toc14760"/>
      <w:bookmarkStart w:id="40" w:name="_Toc7563"/>
      <w:bookmarkStart w:id="41" w:name="_Toc29193"/>
      <w:r>
        <w:rPr>
          <w:rFonts w:hint="eastAsia" w:ascii="宋体" w:hAnsi="宋体"/>
          <w:color w:val="auto"/>
          <w:sz w:val="22"/>
          <w:szCs w:val="22"/>
          <w:highlight w:val="none"/>
        </w:rPr>
        <w:t>2.地点：开封市公共资源交易信息网（http://www.kfsggzyjyw.cn）会员系统</w:t>
      </w:r>
      <w:bookmarkEnd w:id="39"/>
      <w:bookmarkEnd w:id="40"/>
      <w:bookmarkEnd w:id="41"/>
    </w:p>
    <w:p w14:paraId="330306D6">
      <w:pPr>
        <w:autoSpaceDE w:val="0"/>
        <w:spacing w:line="360" w:lineRule="auto"/>
        <w:ind w:firstLine="440" w:firstLineChars="200"/>
        <w:outlineLvl w:val="0"/>
        <w:rPr>
          <w:rFonts w:hint="eastAsia" w:ascii="宋体" w:hAnsi="宋体"/>
          <w:color w:val="auto"/>
          <w:sz w:val="22"/>
          <w:szCs w:val="22"/>
          <w:highlight w:val="none"/>
        </w:rPr>
      </w:pPr>
      <w:bookmarkStart w:id="42" w:name="_Toc21350"/>
      <w:bookmarkStart w:id="43" w:name="_Toc9243"/>
      <w:bookmarkStart w:id="44" w:name="_Toc5532"/>
      <w:r>
        <w:rPr>
          <w:rFonts w:hint="eastAsia" w:ascii="宋体" w:hAnsi="宋体"/>
          <w:color w:val="auto"/>
          <w:sz w:val="22"/>
          <w:szCs w:val="22"/>
          <w:highlight w:val="none"/>
        </w:rPr>
        <w:t>3.方式：投标人应注册成为开封市公共资源交易中心网站会员并取得CA密钥，在开封市公共资源交易中心网站http://www.kfsggzyjyw.cn/kfggzy/登录政采、工程业务系统，凭CA密钥登录会员系统下载招标文件。投标人系统操作手册在开封市公共资源交易中心网站http://www.kfsggzyjyw.cn查看，请投标人时刻关注开封市公共资源交易中心网站和公司CA密钥推送消息。查询招标文件方式：潜在投标人、投标人可打开开封市公共资源交易中心网站http://www.kfsggzyjyw.cn首页“流程公开”里查询招标文件。</w:t>
      </w:r>
      <w:bookmarkEnd w:id="42"/>
      <w:bookmarkEnd w:id="43"/>
      <w:bookmarkEnd w:id="44"/>
      <w:r>
        <w:rPr>
          <w:rFonts w:hint="eastAsia" w:ascii="宋体" w:hAnsi="宋体"/>
          <w:color w:val="auto"/>
          <w:sz w:val="22"/>
          <w:szCs w:val="22"/>
          <w:highlight w:val="none"/>
        </w:rPr>
        <w:t xml:space="preserve"> </w:t>
      </w:r>
    </w:p>
    <w:p w14:paraId="162A1C48">
      <w:pPr>
        <w:autoSpaceDE w:val="0"/>
        <w:spacing w:line="360" w:lineRule="auto"/>
        <w:ind w:firstLine="440" w:firstLineChars="200"/>
        <w:outlineLvl w:val="0"/>
        <w:rPr>
          <w:rFonts w:hint="eastAsia" w:ascii="宋体" w:hAnsi="宋体"/>
          <w:color w:val="auto"/>
          <w:sz w:val="22"/>
          <w:szCs w:val="22"/>
          <w:highlight w:val="none"/>
        </w:rPr>
      </w:pPr>
      <w:bookmarkStart w:id="45" w:name="_Toc21889"/>
      <w:bookmarkStart w:id="46" w:name="_Toc8419"/>
      <w:bookmarkStart w:id="47" w:name="_Toc8666"/>
      <w:r>
        <w:rPr>
          <w:rFonts w:hint="eastAsia" w:ascii="宋体" w:hAnsi="宋体"/>
          <w:color w:val="auto"/>
          <w:sz w:val="22"/>
          <w:szCs w:val="22"/>
          <w:highlight w:val="none"/>
        </w:rPr>
        <w:t>4.售价：0元</w:t>
      </w:r>
      <w:bookmarkEnd w:id="45"/>
      <w:bookmarkEnd w:id="46"/>
      <w:bookmarkEnd w:id="47"/>
      <w:r>
        <w:rPr>
          <w:rFonts w:hint="eastAsia" w:ascii="宋体" w:hAnsi="宋体"/>
          <w:color w:val="auto"/>
          <w:sz w:val="22"/>
          <w:szCs w:val="22"/>
          <w:highlight w:val="none"/>
        </w:rPr>
        <w:t xml:space="preserve"> </w:t>
      </w:r>
    </w:p>
    <w:p w14:paraId="688BB625">
      <w:pPr>
        <w:autoSpaceDE w:val="0"/>
        <w:spacing w:line="360" w:lineRule="auto"/>
        <w:outlineLvl w:val="0"/>
        <w:rPr>
          <w:rFonts w:hint="eastAsia" w:ascii="宋体" w:hAnsi="宋体"/>
          <w:b/>
          <w:bCs/>
          <w:color w:val="auto"/>
          <w:sz w:val="22"/>
          <w:szCs w:val="22"/>
          <w:highlight w:val="none"/>
        </w:rPr>
      </w:pPr>
      <w:bookmarkStart w:id="48" w:name="_Toc21744"/>
      <w:bookmarkStart w:id="49" w:name="_Toc321"/>
      <w:bookmarkStart w:id="50" w:name="_Toc10027"/>
      <w:r>
        <w:rPr>
          <w:rFonts w:hint="eastAsia" w:ascii="宋体" w:hAnsi="宋体"/>
          <w:b/>
          <w:bCs/>
          <w:color w:val="auto"/>
          <w:sz w:val="22"/>
          <w:szCs w:val="22"/>
          <w:highlight w:val="none"/>
        </w:rPr>
        <w:t>四、投标截止时间及地点</w:t>
      </w:r>
      <w:bookmarkEnd w:id="48"/>
      <w:bookmarkEnd w:id="49"/>
      <w:bookmarkEnd w:id="50"/>
      <w:r>
        <w:rPr>
          <w:rFonts w:hint="eastAsia" w:ascii="宋体" w:hAnsi="宋体"/>
          <w:b/>
          <w:bCs/>
          <w:color w:val="auto"/>
          <w:sz w:val="22"/>
          <w:szCs w:val="22"/>
          <w:highlight w:val="none"/>
        </w:rPr>
        <w:t xml:space="preserve"> </w:t>
      </w:r>
    </w:p>
    <w:p w14:paraId="52D787ED">
      <w:pPr>
        <w:autoSpaceDE w:val="0"/>
        <w:spacing w:line="360" w:lineRule="auto"/>
        <w:ind w:firstLine="440" w:firstLineChars="200"/>
        <w:outlineLvl w:val="0"/>
        <w:rPr>
          <w:rFonts w:hint="eastAsia" w:ascii="宋体" w:hAnsi="宋体"/>
          <w:color w:val="auto"/>
          <w:sz w:val="22"/>
          <w:szCs w:val="22"/>
          <w:highlight w:val="none"/>
        </w:rPr>
      </w:pPr>
      <w:bookmarkStart w:id="51" w:name="_Toc18328"/>
      <w:bookmarkStart w:id="52" w:name="_Toc26157"/>
      <w:bookmarkStart w:id="53" w:name="_Toc11335"/>
      <w:r>
        <w:rPr>
          <w:rFonts w:hint="eastAsia" w:ascii="宋体" w:hAnsi="宋体"/>
          <w:color w:val="auto"/>
          <w:sz w:val="22"/>
          <w:szCs w:val="22"/>
          <w:highlight w:val="none"/>
        </w:rPr>
        <w:t>1.时间：</w:t>
      </w:r>
      <w:bookmarkEnd w:id="51"/>
      <w:bookmarkEnd w:id="52"/>
      <w:bookmarkEnd w:id="53"/>
      <w:r>
        <w:rPr>
          <w:rFonts w:hint="eastAsia" w:ascii="宋体" w:hAnsi="宋体"/>
          <w:b/>
          <w:bCs/>
          <w:color w:val="auto"/>
          <w:sz w:val="22"/>
          <w:szCs w:val="22"/>
          <w:highlight w:val="none"/>
          <w:lang w:eastAsia="zh-CN"/>
        </w:rPr>
        <w:t>2026年07月21日上午9点30分</w:t>
      </w:r>
      <w:r>
        <w:rPr>
          <w:rFonts w:hint="eastAsia" w:ascii="宋体" w:hAnsi="宋体"/>
          <w:b/>
          <w:bCs/>
          <w:color w:val="auto"/>
          <w:sz w:val="22"/>
          <w:szCs w:val="22"/>
          <w:highlight w:val="none"/>
        </w:rPr>
        <w:t>（北京时间）</w:t>
      </w:r>
      <w:r>
        <w:rPr>
          <w:rFonts w:hint="eastAsia" w:ascii="宋体" w:hAnsi="宋体"/>
          <w:color w:val="auto"/>
          <w:sz w:val="22"/>
          <w:szCs w:val="22"/>
          <w:highlight w:val="none"/>
        </w:rPr>
        <w:t xml:space="preserve"> </w:t>
      </w:r>
    </w:p>
    <w:p w14:paraId="31866AD0">
      <w:pPr>
        <w:autoSpaceDE w:val="0"/>
        <w:spacing w:line="360" w:lineRule="auto"/>
        <w:ind w:firstLine="440" w:firstLineChars="200"/>
        <w:outlineLvl w:val="0"/>
        <w:rPr>
          <w:rFonts w:hint="eastAsia" w:ascii="宋体" w:hAnsi="宋体"/>
          <w:color w:val="auto"/>
          <w:sz w:val="22"/>
          <w:szCs w:val="22"/>
          <w:highlight w:val="none"/>
        </w:rPr>
      </w:pPr>
      <w:bookmarkStart w:id="54" w:name="_Toc24954"/>
      <w:bookmarkStart w:id="55" w:name="_Toc25654"/>
      <w:bookmarkStart w:id="56" w:name="_Toc15234"/>
      <w:r>
        <w:rPr>
          <w:rFonts w:hint="eastAsia" w:ascii="宋体" w:hAnsi="宋体"/>
          <w:color w:val="auto"/>
          <w:sz w:val="22"/>
          <w:szCs w:val="22"/>
          <w:highlight w:val="none"/>
        </w:rPr>
        <w:t>2.地点：电子投标文件须在投标截止时间前在开封市公共资源交易中心网站（http://www.kfsggzyjyw.cn/kfggzy/）会员系统中加密上传。（投标文件逾期未上传或未上传成功的，采购人不予受理）</w:t>
      </w:r>
      <w:bookmarkEnd w:id="54"/>
      <w:bookmarkEnd w:id="55"/>
      <w:bookmarkEnd w:id="56"/>
      <w:r>
        <w:rPr>
          <w:rFonts w:hint="eastAsia" w:ascii="宋体" w:hAnsi="宋体"/>
          <w:color w:val="auto"/>
          <w:sz w:val="22"/>
          <w:szCs w:val="22"/>
          <w:highlight w:val="none"/>
        </w:rPr>
        <w:t xml:space="preserve"> </w:t>
      </w:r>
    </w:p>
    <w:p w14:paraId="0CBC6DA1">
      <w:pPr>
        <w:autoSpaceDE w:val="0"/>
        <w:spacing w:line="360" w:lineRule="auto"/>
        <w:outlineLvl w:val="0"/>
        <w:rPr>
          <w:rFonts w:hint="eastAsia" w:ascii="宋体" w:hAnsi="宋体"/>
          <w:b/>
          <w:bCs/>
          <w:color w:val="auto"/>
          <w:sz w:val="22"/>
          <w:szCs w:val="22"/>
          <w:highlight w:val="none"/>
        </w:rPr>
      </w:pPr>
      <w:bookmarkStart w:id="57" w:name="_Toc4944"/>
      <w:bookmarkStart w:id="58" w:name="_Toc24548"/>
      <w:bookmarkStart w:id="59" w:name="_Toc31991"/>
      <w:r>
        <w:rPr>
          <w:rFonts w:hint="eastAsia" w:ascii="宋体" w:hAnsi="宋体"/>
          <w:b/>
          <w:bCs/>
          <w:color w:val="auto"/>
          <w:sz w:val="22"/>
          <w:szCs w:val="22"/>
          <w:highlight w:val="none"/>
        </w:rPr>
        <w:t>五、开标时间及地点</w:t>
      </w:r>
      <w:bookmarkEnd w:id="57"/>
      <w:bookmarkEnd w:id="58"/>
      <w:bookmarkEnd w:id="59"/>
      <w:r>
        <w:rPr>
          <w:rFonts w:hint="eastAsia" w:ascii="宋体" w:hAnsi="宋体"/>
          <w:b/>
          <w:bCs/>
          <w:color w:val="auto"/>
          <w:sz w:val="22"/>
          <w:szCs w:val="22"/>
          <w:highlight w:val="none"/>
        </w:rPr>
        <w:t xml:space="preserve"> </w:t>
      </w:r>
    </w:p>
    <w:p w14:paraId="33C67894">
      <w:pPr>
        <w:autoSpaceDE w:val="0"/>
        <w:spacing w:line="360" w:lineRule="auto"/>
        <w:ind w:firstLine="440" w:firstLineChars="200"/>
        <w:outlineLvl w:val="0"/>
        <w:rPr>
          <w:rFonts w:hint="eastAsia" w:ascii="宋体" w:hAnsi="宋体"/>
          <w:color w:val="auto"/>
          <w:sz w:val="22"/>
          <w:szCs w:val="22"/>
          <w:highlight w:val="none"/>
        </w:rPr>
      </w:pPr>
      <w:bookmarkStart w:id="60" w:name="_Toc29444"/>
      <w:bookmarkStart w:id="61" w:name="_Toc13202"/>
      <w:bookmarkStart w:id="62" w:name="_Toc15169"/>
      <w:r>
        <w:rPr>
          <w:rFonts w:hint="eastAsia" w:ascii="宋体" w:hAnsi="宋体"/>
          <w:color w:val="auto"/>
          <w:sz w:val="22"/>
          <w:szCs w:val="22"/>
          <w:highlight w:val="none"/>
        </w:rPr>
        <w:t>1.时间：</w:t>
      </w:r>
      <w:bookmarkEnd w:id="60"/>
      <w:bookmarkEnd w:id="61"/>
      <w:bookmarkEnd w:id="62"/>
      <w:r>
        <w:rPr>
          <w:rFonts w:hint="eastAsia" w:ascii="宋体" w:hAnsi="宋体"/>
          <w:b/>
          <w:bCs/>
          <w:color w:val="auto"/>
          <w:sz w:val="22"/>
          <w:szCs w:val="22"/>
          <w:highlight w:val="none"/>
          <w:lang w:eastAsia="zh-CN"/>
        </w:rPr>
        <w:t>2026年07月21日上午9点30分</w:t>
      </w:r>
      <w:r>
        <w:rPr>
          <w:rFonts w:hint="eastAsia" w:ascii="宋体" w:hAnsi="宋体"/>
          <w:b/>
          <w:bCs/>
          <w:color w:val="auto"/>
          <w:sz w:val="22"/>
          <w:szCs w:val="22"/>
          <w:highlight w:val="none"/>
        </w:rPr>
        <w:t>（北京时间）</w:t>
      </w:r>
      <w:r>
        <w:rPr>
          <w:rFonts w:hint="eastAsia" w:ascii="宋体" w:hAnsi="宋体"/>
          <w:color w:val="auto"/>
          <w:sz w:val="22"/>
          <w:szCs w:val="22"/>
          <w:highlight w:val="none"/>
        </w:rPr>
        <w:t xml:space="preserve"> </w:t>
      </w:r>
    </w:p>
    <w:p w14:paraId="600C9D5B">
      <w:pPr>
        <w:autoSpaceDE w:val="0"/>
        <w:spacing w:line="360" w:lineRule="auto"/>
        <w:ind w:firstLine="440" w:firstLineChars="200"/>
        <w:outlineLvl w:val="0"/>
        <w:rPr>
          <w:rFonts w:hint="eastAsia" w:ascii="宋体" w:hAnsi="宋体"/>
          <w:color w:val="auto"/>
          <w:sz w:val="22"/>
          <w:szCs w:val="22"/>
          <w:highlight w:val="none"/>
        </w:rPr>
      </w:pPr>
      <w:bookmarkStart w:id="63" w:name="_Toc9539"/>
      <w:bookmarkStart w:id="64" w:name="_Toc29306"/>
      <w:bookmarkStart w:id="65" w:name="_Toc13793"/>
      <w:r>
        <w:rPr>
          <w:rFonts w:hint="eastAsia" w:ascii="宋体" w:hAnsi="宋体"/>
          <w:color w:val="auto"/>
          <w:sz w:val="22"/>
          <w:szCs w:val="22"/>
          <w:highlight w:val="none"/>
        </w:rPr>
        <w:t>2.地点：开封市市民之家5楼西区开标室（地址：开封市郑开大道与三大街交叉口西北角开封市市民之家）</w:t>
      </w:r>
      <w:bookmarkEnd w:id="63"/>
      <w:bookmarkEnd w:id="64"/>
      <w:bookmarkEnd w:id="65"/>
    </w:p>
    <w:p w14:paraId="5EFD92DC">
      <w:pPr>
        <w:autoSpaceDE w:val="0"/>
        <w:spacing w:line="360" w:lineRule="auto"/>
        <w:outlineLvl w:val="0"/>
        <w:rPr>
          <w:rFonts w:hint="eastAsia" w:ascii="宋体" w:hAnsi="宋体"/>
          <w:b/>
          <w:bCs/>
          <w:color w:val="auto"/>
          <w:sz w:val="22"/>
          <w:szCs w:val="22"/>
          <w:highlight w:val="none"/>
        </w:rPr>
      </w:pPr>
      <w:bookmarkStart w:id="66" w:name="_Toc30744"/>
      <w:bookmarkStart w:id="67" w:name="_Toc21144"/>
      <w:bookmarkStart w:id="68" w:name="_Toc18302"/>
      <w:r>
        <w:rPr>
          <w:rFonts w:hint="eastAsia" w:ascii="宋体" w:hAnsi="宋体"/>
          <w:b/>
          <w:bCs/>
          <w:color w:val="auto"/>
          <w:sz w:val="22"/>
          <w:szCs w:val="22"/>
          <w:highlight w:val="none"/>
        </w:rPr>
        <w:t>六、发布公告的媒介及招标公告期限</w:t>
      </w:r>
      <w:bookmarkEnd w:id="66"/>
      <w:bookmarkEnd w:id="67"/>
      <w:bookmarkEnd w:id="68"/>
      <w:r>
        <w:rPr>
          <w:rFonts w:hint="eastAsia" w:ascii="宋体" w:hAnsi="宋体"/>
          <w:b/>
          <w:bCs/>
          <w:color w:val="auto"/>
          <w:sz w:val="22"/>
          <w:szCs w:val="22"/>
          <w:highlight w:val="none"/>
        </w:rPr>
        <w:t xml:space="preserve"> </w:t>
      </w:r>
    </w:p>
    <w:p w14:paraId="40F7E3DA">
      <w:pPr>
        <w:autoSpaceDE w:val="0"/>
        <w:spacing w:line="360" w:lineRule="auto"/>
        <w:ind w:firstLine="440" w:firstLineChars="200"/>
        <w:outlineLvl w:val="0"/>
        <w:rPr>
          <w:rFonts w:hint="eastAsia" w:ascii="宋体" w:hAnsi="宋体"/>
          <w:color w:val="auto"/>
          <w:sz w:val="22"/>
          <w:szCs w:val="22"/>
          <w:highlight w:val="none"/>
        </w:rPr>
      </w:pPr>
      <w:bookmarkStart w:id="69" w:name="_Toc4948"/>
      <w:bookmarkStart w:id="70" w:name="_Toc15273"/>
      <w:bookmarkStart w:id="71" w:name="_Toc16099"/>
      <w:r>
        <w:rPr>
          <w:rFonts w:hint="eastAsia" w:ascii="宋体" w:hAnsi="宋体"/>
          <w:color w:val="auto"/>
          <w:sz w:val="22"/>
          <w:szCs w:val="22"/>
          <w:highlight w:val="none"/>
        </w:rPr>
        <w:t>本次招标公告在《河南省政府采购网》、《中国招标投标公共服务平台》、《开封市公共资源交易信息网》上发布，招标公告期限为五个工作日。</w:t>
      </w:r>
      <w:bookmarkEnd w:id="69"/>
      <w:bookmarkEnd w:id="70"/>
      <w:bookmarkEnd w:id="71"/>
    </w:p>
    <w:p w14:paraId="00ED0B8C">
      <w:pPr>
        <w:autoSpaceDE w:val="0"/>
        <w:spacing w:line="360" w:lineRule="auto"/>
        <w:outlineLvl w:val="0"/>
        <w:rPr>
          <w:rFonts w:hint="eastAsia" w:ascii="宋体" w:hAnsi="宋体"/>
          <w:b/>
          <w:bCs/>
          <w:color w:val="auto"/>
          <w:sz w:val="22"/>
          <w:szCs w:val="22"/>
          <w:highlight w:val="none"/>
        </w:rPr>
      </w:pPr>
      <w:bookmarkStart w:id="72" w:name="_Toc1128"/>
      <w:bookmarkStart w:id="73" w:name="_Toc16367"/>
      <w:bookmarkStart w:id="74" w:name="_Toc5921"/>
      <w:r>
        <w:rPr>
          <w:rFonts w:hint="eastAsia" w:ascii="宋体" w:hAnsi="宋体"/>
          <w:b/>
          <w:bCs/>
          <w:color w:val="auto"/>
          <w:sz w:val="22"/>
          <w:szCs w:val="22"/>
          <w:highlight w:val="none"/>
        </w:rPr>
        <w:t>七、其他补充事宜</w:t>
      </w:r>
      <w:bookmarkEnd w:id="72"/>
      <w:bookmarkEnd w:id="73"/>
      <w:bookmarkEnd w:id="74"/>
      <w:r>
        <w:rPr>
          <w:rFonts w:hint="eastAsia" w:ascii="宋体" w:hAnsi="宋体"/>
          <w:b/>
          <w:bCs/>
          <w:color w:val="auto"/>
          <w:sz w:val="22"/>
          <w:szCs w:val="22"/>
          <w:highlight w:val="none"/>
        </w:rPr>
        <w:t xml:space="preserve"> </w:t>
      </w:r>
    </w:p>
    <w:p w14:paraId="20E0BC2C">
      <w:pPr>
        <w:autoSpaceDE w:val="0"/>
        <w:spacing w:line="360" w:lineRule="auto"/>
        <w:ind w:firstLine="440" w:firstLineChars="200"/>
        <w:outlineLvl w:val="0"/>
        <w:rPr>
          <w:rFonts w:hint="eastAsia" w:ascii="宋体" w:hAnsi="宋体"/>
          <w:color w:val="auto"/>
          <w:sz w:val="22"/>
          <w:szCs w:val="22"/>
          <w:highlight w:val="none"/>
        </w:rPr>
      </w:pPr>
      <w:bookmarkStart w:id="75" w:name="_Toc32200"/>
      <w:bookmarkStart w:id="76" w:name="_Toc18873"/>
      <w:bookmarkStart w:id="77" w:name="_Toc21173"/>
      <w:r>
        <w:rPr>
          <w:rFonts w:hint="eastAsia" w:ascii="宋体" w:hAnsi="宋体"/>
          <w:color w:val="auto"/>
          <w:sz w:val="22"/>
          <w:szCs w:val="22"/>
          <w:highlight w:val="none"/>
        </w:rPr>
        <w:t>1、招标文件获取方式，投标人凭 CA 密钥登录会员系统，按要求下载电子招标文件，投标人未按规定下载电子招标文件的，其投标将被拒绝。</w:t>
      </w:r>
      <w:bookmarkEnd w:id="75"/>
      <w:bookmarkEnd w:id="76"/>
      <w:bookmarkEnd w:id="77"/>
      <w:r>
        <w:rPr>
          <w:rFonts w:hint="eastAsia" w:ascii="宋体" w:hAnsi="宋体"/>
          <w:color w:val="auto"/>
          <w:sz w:val="22"/>
          <w:szCs w:val="22"/>
          <w:highlight w:val="none"/>
        </w:rPr>
        <w:t xml:space="preserve"> </w:t>
      </w:r>
    </w:p>
    <w:p w14:paraId="689FB44E">
      <w:pPr>
        <w:autoSpaceDE w:val="0"/>
        <w:spacing w:line="360" w:lineRule="auto"/>
        <w:ind w:firstLine="440" w:firstLineChars="200"/>
        <w:outlineLvl w:val="0"/>
        <w:rPr>
          <w:rFonts w:hint="eastAsia" w:ascii="宋体" w:hAnsi="宋体"/>
          <w:color w:val="auto"/>
          <w:sz w:val="22"/>
          <w:szCs w:val="22"/>
          <w:highlight w:val="none"/>
        </w:rPr>
      </w:pPr>
      <w:bookmarkStart w:id="78" w:name="_Toc31844"/>
      <w:bookmarkStart w:id="79" w:name="_Toc13773"/>
      <w:bookmarkStart w:id="80" w:name="_Toc14467"/>
      <w:r>
        <w:rPr>
          <w:rFonts w:hint="eastAsia" w:ascii="宋体" w:hAnsi="宋体"/>
          <w:color w:val="auto"/>
          <w:sz w:val="22"/>
          <w:szCs w:val="22"/>
          <w:highlight w:val="none"/>
        </w:rPr>
        <w:t>2、获取招标文件后，投标人请到开封市公共资源交易中心网站登录政采、工程业务系统，凭 CA 密钥登录会员系统，在“组件下载”中下载最新版本的投标文件制作工具安装包，并使用安装后的最新版本投标文件制作工具制作电子投标文件。</w:t>
      </w:r>
      <w:bookmarkEnd w:id="78"/>
      <w:bookmarkEnd w:id="79"/>
      <w:bookmarkEnd w:id="80"/>
      <w:r>
        <w:rPr>
          <w:rFonts w:hint="eastAsia" w:ascii="宋体" w:hAnsi="宋体"/>
          <w:color w:val="auto"/>
          <w:sz w:val="22"/>
          <w:szCs w:val="22"/>
          <w:highlight w:val="none"/>
        </w:rPr>
        <w:t xml:space="preserve"> </w:t>
      </w:r>
    </w:p>
    <w:p w14:paraId="51D51540">
      <w:pPr>
        <w:autoSpaceDE w:val="0"/>
        <w:spacing w:line="360" w:lineRule="auto"/>
        <w:ind w:firstLine="440" w:firstLineChars="200"/>
        <w:outlineLvl w:val="0"/>
        <w:rPr>
          <w:rFonts w:hint="eastAsia" w:ascii="宋体" w:hAnsi="宋体"/>
          <w:color w:val="auto"/>
          <w:sz w:val="22"/>
          <w:szCs w:val="22"/>
          <w:highlight w:val="none"/>
        </w:rPr>
      </w:pPr>
      <w:bookmarkStart w:id="81" w:name="_Toc19129"/>
      <w:bookmarkStart w:id="82" w:name="_Toc28339"/>
      <w:bookmarkStart w:id="83" w:name="_Toc20413"/>
      <w:r>
        <w:rPr>
          <w:rFonts w:hint="eastAsia" w:ascii="宋体" w:hAnsi="宋体"/>
          <w:color w:val="auto"/>
          <w:sz w:val="22"/>
          <w:szCs w:val="22"/>
          <w:highlight w:val="none"/>
        </w:rPr>
        <w:t>3、请投标人时刻关注开封市公共资源交易中心网站和公司 CA 密钥推送消息。</w:t>
      </w:r>
      <w:bookmarkEnd w:id="81"/>
      <w:bookmarkEnd w:id="82"/>
      <w:bookmarkEnd w:id="83"/>
      <w:r>
        <w:rPr>
          <w:rFonts w:hint="eastAsia" w:ascii="宋体" w:hAnsi="宋体"/>
          <w:color w:val="auto"/>
          <w:sz w:val="22"/>
          <w:szCs w:val="22"/>
          <w:highlight w:val="none"/>
        </w:rPr>
        <w:t xml:space="preserve"> </w:t>
      </w:r>
    </w:p>
    <w:p w14:paraId="769D129C">
      <w:pPr>
        <w:autoSpaceDE w:val="0"/>
        <w:spacing w:line="360" w:lineRule="auto"/>
        <w:ind w:firstLine="440" w:firstLineChars="200"/>
        <w:outlineLvl w:val="0"/>
        <w:rPr>
          <w:rFonts w:hint="eastAsia" w:ascii="宋体" w:hAnsi="宋体"/>
          <w:color w:val="auto"/>
          <w:sz w:val="22"/>
          <w:szCs w:val="22"/>
          <w:highlight w:val="none"/>
        </w:rPr>
      </w:pPr>
      <w:bookmarkStart w:id="84" w:name="_Toc24587"/>
      <w:bookmarkStart w:id="85" w:name="_Toc18476"/>
      <w:bookmarkStart w:id="86" w:name="_Toc29596"/>
      <w:r>
        <w:rPr>
          <w:rFonts w:hint="eastAsia" w:ascii="宋体" w:hAnsi="宋体"/>
          <w:color w:val="auto"/>
          <w:sz w:val="22"/>
          <w:szCs w:val="22"/>
          <w:highlight w:val="none"/>
        </w:rPr>
        <w:t>4、电子投标文件须在投标截止时间前在开封市公共资源交易中心网站会员系统中加密上传；</w:t>
      </w:r>
      <w:bookmarkEnd w:id="84"/>
      <w:bookmarkEnd w:id="85"/>
      <w:bookmarkEnd w:id="86"/>
      <w:r>
        <w:rPr>
          <w:rFonts w:hint="eastAsia" w:ascii="宋体" w:hAnsi="宋体"/>
          <w:color w:val="auto"/>
          <w:sz w:val="22"/>
          <w:szCs w:val="22"/>
          <w:highlight w:val="none"/>
        </w:rPr>
        <w:t xml:space="preserve"> </w:t>
      </w:r>
    </w:p>
    <w:p w14:paraId="02DFED20">
      <w:pPr>
        <w:autoSpaceDE w:val="0"/>
        <w:spacing w:line="360" w:lineRule="auto"/>
        <w:ind w:firstLine="440" w:firstLineChars="200"/>
        <w:outlineLvl w:val="0"/>
        <w:rPr>
          <w:rFonts w:hint="eastAsia" w:ascii="宋体" w:hAnsi="宋体"/>
          <w:color w:val="auto"/>
          <w:sz w:val="22"/>
          <w:szCs w:val="22"/>
          <w:highlight w:val="none"/>
        </w:rPr>
      </w:pPr>
      <w:bookmarkStart w:id="87" w:name="_Toc31252"/>
      <w:bookmarkStart w:id="88" w:name="_Toc14278"/>
      <w:bookmarkStart w:id="89" w:name="_Toc20079"/>
      <w:r>
        <w:rPr>
          <w:rFonts w:hint="eastAsia" w:ascii="宋体" w:hAnsi="宋体"/>
          <w:color w:val="auto"/>
          <w:sz w:val="22"/>
          <w:szCs w:val="22"/>
          <w:highlight w:val="none"/>
        </w:rPr>
        <w:t>5、加密电子投标文件逾期上传的，采购人不予受理。</w:t>
      </w:r>
      <w:bookmarkEnd w:id="87"/>
      <w:bookmarkEnd w:id="88"/>
      <w:bookmarkEnd w:id="89"/>
      <w:r>
        <w:rPr>
          <w:rFonts w:hint="eastAsia" w:ascii="宋体" w:hAnsi="宋体"/>
          <w:color w:val="auto"/>
          <w:sz w:val="22"/>
          <w:szCs w:val="22"/>
          <w:highlight w:val="none"/>
        </w:rPr>
        <w:t xml:space="preserve"> </w:t>
      </w:r>
    </w:p>
    <w:p w14:paraId="6398A13D">
      <w:pPr>
        <w:autoSpaceDE w:val="0"/>
        <w:spacing w:line="360" w:lineRule="auto"/>
        <w:ind w:firstLine="440" w:firstLineChars="200"/>
        <w:outlineLvl w:val="0"/>
        <w:rPr>
          <w:rFonts w:hint="eastAsia" w:ascii="宋体" w:hAnsi="宋体"/>
          <w:color w:val="auto"/>
          <w:sz w:val="22"/>
          <w:szCs w:val="22"/>
          <w:highlight w:val="none"/>
        </w:rPr>
      </w:pPr>
      <w:bookmarkStart w:id="90" w:name="_Toc28076"/>
      <w:bookmarkStart w:id="91" w:name="_Toc21012"/>
      <w:bookmarkStart w:id="92" w:name="_Toc18962"/>
      <w:r>
        <w:rPr>
          <w:rFonts w:hint="eastAsia" w:ascii="宋体" w:hAnsi="宋体"/>
          <w:color w:val="auto"/>
          <w:sz w:val="22"/>
          <w:szCs w:val="22"/>
          <w:highlight w:val="none"/>
        </w:rPr>
        <w:t>6、本项目采用“远程不见面”开标方式,投标人无需到达现场提交原件资料、无需到开封市公共资源交易中心现场参加开标会议；投标人应当在开标时间前,登录远程开标大厅,在线准时参加开标活动并进行投标文件解密、答疑澄清等。（系统解密时长默认为40分钟，超过解密时长者视为自动放弃本次投标。）</w:t>
      </w:r>
      <w:bookmarkEnd w:id="90"/>
      <w:bookmarkEnd w:id="91"/>
      <w:bookmarkEnd w:id="92"/>
      <w:r>
        <w:rPr>
          <w:rFonts w:hint="eastAsia" w:ascii="宋体" w:hAnsi="宋体"/>
          <w:color w:val="auto"/>
          <w:sz w:val="22"/>
          <w:szCs w:val="22"/>
          <w:highlight w:val="none"/>
        </w:rPr>
        <w:t xml:space="preserve"> </w:t>
      </w:r>
    </w:p>
    <w:p w14:paraId="716E9F57">
      <w:p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7、监督部门：开封市财政局</w:t>
      </w:r>
    </w:p>
    <w:p w14:paraId="3BE3B8F4">
      <w:p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联 系 人：政府采购监督管理办公室</w:t>
      </w:r>
    </w:p>
    <w:p w14:paraId="2A3B354B">
      <w:pPr>
        <w:autoSpaceDE w:val="0"/>
        <w:spacing w:line="360" w:lineRule="auto"/>
        <w:ind w:firstLine="440" w:firstLineChars="200"/>
        <w:outlineLvl w:val="0"/>
        <w:rPr>
          <w:rFonts w:hint="eastAsia" w:ascii="宋体" w:hAnsi="宋体"/>
          <w:color w:val="auto"/>
          <w:sz w:val="22"/>
          <w:szCs w:val="22"/>
          <w:highlight w:val="none"/>
        </w:rPr>
      </w:pPr>
      <w:r>
        <w:rPr>
          <w:rFonts w:hint="eastAsia" w:ascii="宋体" w:hAnsi="宋体"/>
          <w:color w:val="auto"/>
          <w:sz w:val="22"/>
          <w:szCs w:val="22"/>
          <w:highlight w:val="none"/>
        </w:rPr>
        <w:t xml:space="preserve">联系方式：0371-23876034   </w:t>
      </w:r>
    </w:p>
    <w:p w14:paraId="3C78511E">
      <w:pPr>
        <w:autoSpaceDE w:val="0"/>
        <w:spacing w:line="360" w:lineRule="auto"/>
        <w:outlineLvl w:val="0"/>
        <w:rPr>
          <w:rFonts w:hint="eastAsia" w:ascii="宋体" w:hAnsi="宋体"/>
          <w:b/>
          <w:bCs/>
          <w:color w:val="auto"/>
          <w:sz w:val="22"/>
          <w:szCs w:val="22"/>
          <w:highlight w:val="none"/>
        </w:rPr>
      </w:pPr>
      <w:bookmarkStart w:id="93" w:name="_Toc18472"/>
      <w:bookmarkStart w:id="94" w:name="_Toc18138"/>
      <w:bookmarkStart w:id="95" w:name="_Toc21635"/>
      <w:r>
        <w:rPr>
          <w:rFonts w:hint="eastAsia" w:ascii="宋体" w:hAnsi="宋体"/>
          <w:b/>
          <w:bCs/>
          <w:color w:val="auto"/>
          <w:sz w:val="22"/>
          <w:szCs w:val="22"/>
          <w:highlight w:val="none"/>
        </w:rPr>
        <w:t>八、凡对本次招标提出询问，请按照以下方式联系</w:t>
      </w:r>
      <w:bookmarkEnd w:id="14"/>
      <w:bookmarkEnd w:id="93"/>
      <w:bookmarkEnd w:id="94"/>
      <w:bookmarkEnd w:id="95"/>
    </w:p>
    <w:p w14:paraId="05936B37">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 采购人信息 </w:t>
      </w:r>
    </w:p>
    <w:p w14:paraId="7DE443CF">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bookmarkStart w:id="96" w:name="_Toc21482"/>
      <w:bookmarkStart w:id="97" w:name="_Toc8596"/>
      <w:bookmarkStart w:id="98" w:name="_Toc16444"/>
      <w:r>
        <w:rPr>
          <w:rFonts w:hint="eastAsia" w:ascii="宋体" w:hAnsi="宋体" w:eastAsia="宋体" w:cs="宋体"/>
          <w:color w:val="auto"/>
          <w:kern w:val="0"/>
          <w:sz w:val="21"/>
          <w:szCs w:val="21"/>
          <w:highlight w:val="none"/>
        </w:rPr>
        <w:t>名称：</w:t>
      </w:r>
      <w:bookmarkEnd w:id="96"/>
      <w:bookmarkEnd w:id="97"/>
      <w:bookmarkEnd w:id="98"/>
      <w:r>
        <w:rPr>
          <w:rFonts w:hint="eastAsia" w:ascii="宋体" w:hAnsi="宋体" w:eastAsia="宋体" w:cs="宋体"/>
          <w:color w:val="auto"/>
          <w:kern w:val="0"/>
          <w:sz w:val="21"/>
          <w:szCs w:val="21"/>
          <w:highlight w:val="none"/>
        </w:rPr>
        <w:t>开封市生态环境局</w:t>
      </w:r>
    </w:p>
    <w:p w14:paraId="2D7CD919">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bookmarkStart w:id="99" w:name="_Toc5185"/>
      <w:bookmarkStart w:id="100" w:name="_Toc16184"/>
      <w:bookmarkStart w:id="101" w:name="_Toc24026"/>
      <w:r>
        <w:rPr>
          <w:rFonts w:hint="eastAsia" w:ascii="宋体" w:hAnsi="宋体" w:eastAsia="宋体" w:cs="宋体"/>
          <w:color w:val="auto"/>
          <w:kern w:val="0"/>
          <w:sz w:val="21"/>
          <w:szCs w:val="21"/>
          <w:highlight w:val="none"/>
        </w:rPr>
        <w:t>地址：</w:t>
      </w:r>
      <w:bookmarkEnd w:id="99"/>
      <w:bookmarkEnd w:id="100"/>
      <w:bookmarkEnd w:id="101"/>
      <w:r>
        <w:rPr>
          <w:rFonts w:hint="eastAsia" w:ascii="宋体" w:hAnsi="宋体" w:eastAsia="宋体" w:cs="宋体"/>
          <w:color w:val="auto"/>
          <w:kern w:val="0"/>
          <w:sz w:val="21"/>
          <w:szCs w:val="21"/>
          <w:highlight w:val="none"/>
        </w:rPr>
        <w:t xml:space="preserve">开封市龙亭区八大街和安康路交叉口向北200米 </w:t>
      </w:r>
    </w:p>
    <w:p w14:paraId="645597BC">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bookmarkStart w:id="102" w:name="_Toc18823"/>
      <w:bookmarkStart w:id="103" w:name="_Toc26929"/>
      <w:bookmarkStart w:id="104" w:name="_Toc14990"/>
      <w:r>
        <w:rPr>
          <w:rFonts w:hint="eastAsia" w:ascii="宋体" w:hAnsi="宋体" w:eastAsia="宋体" w:cs="宋体"/>
          <w:color w:val="auto"/>
          <w:kern w:val="0"/>
          <w:sz w:val="21"/>
          <w:szCs w:val="21"/>
          <w:highlight w:val="none"/>
        </w:rPr>
        <w:t>联系人：徐先生</w:t>
      </w:r>
      <w:bookmarkEnd w:id="102"/>
      <w:bookmarkEnd w:id="103"/>
      <w:bookmarkEnd w:id="104"/>
      <w:r>
        <w:rPr>
          <w:rFonts w:hint="eastAsia" w:ascii="宋体" w:hAnsi="宋体" w:eastAsia="宋体" w:cs="宋体"/>
          <w:color w:val="auto"/>
          <w:kern w:val="0"/>
          <w:sz w:val="21"/>
          <w:szCs w:val="21"/>
          <w:highlight w:val="none"/>
        </w:rPr>
        <w:t xml:space="preserve"> </w:t>
      </w:r>
    </w:p>
    <w:p w14:paraId="32C9ED68">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bookmarkStart w:id="105" w:name="_Toc10711"/>
      <w:bookmarkStart w:id="106" w:name="_Toc3040"/>
      <w:bookmarkStart w:id="107" w:name="_Toc1858"/>
      <w:r>
        <w:rPr>
          <w:rFonts w:hint="eastAsia" w:ascii="宋体" w:hAnsi="宋体" w:eastAsia="宋体" w:cs="宋体"/>
          <w:color w:val="auto"/>
          <w:kern w:val="0"/>
          <w:sz w:val="21"/>
          <w:szCs w:val="21"/>
          <w:highlight w:val="none"/>
        </w:rPr>
        <w:t>联系方式：</w:t>
      </w:r>
      <w:bookmarkEnd w:id="105"/>
      <w:bookmarkEnd w:id="106"/>
      <w:bookmarkEnd w:id="107"/>
      <w:r>
        <w:rPr>
          <w:rFonts w:hint="eastAsia" w:ascii="宋体" w:hAnsi="宋体" w:eastAsia="宋体" w:cs="宋体"/>
          <w:color w:val="auto"/>
          <w:kern w:val="0"/>
          <w:sz w:val="21"/>
          <w:szCs w:val="21"/>
          <w:highlight w:val="none"/>
          <w:lang w:val="en-US" w:eastAsia="zh-CN"/>
        </w:rPr>
        <w:t>0371-23150569</w:t>
      </w:r>
      <w:r>
        <w:rPr>
          <w:rFonts w:hint="eastAsia" w:ascii="宋体" w:hAnsi="宋体" w:eastAsia="宋体" w:cs="宋体"/>
          <w:color w:val="auto"/>
          <w:kern w:val="0"/>
          <w:sz w:val="21"/>
          <w:szCs w:val="21"/>
          <w:highlight w:val="none"/>
        </w:rPr>
        <w:t xml:space="preserve">  </w:t>
      </w:r>
    </w:p>
    <w:p w14:paraId="55C05FA8">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2.采购代理机构信息</w:t>
      </w:r>
    </w:p>
    <w:p w14:paraId="5CE112AC">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名称：河南良智行工程管理咨询有限公司</w:t>
      </w:r>
    </w:p>
    <w:p w14:paraId="34F46715">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址：河南省郑州市惠济区江山路西、008乡道南弘泰小区1号楼1单元3层302号</w:t>
      </w:r>
    </w:p>
    <w:p w14:paraId="1BCB04E1">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联系人：李桀</w:t>
      </w:r>
    </w:p>
    <w:p w14:paraId="6FD75AF3">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  话：17637817161</w:t>
      </w:r>
    </w:p>
    <w:p w14:paraId="6EEFFB51">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3.项目联系方式 </w:t>
      </w:r>
    </w:p>
    <w:p w14:paraId="535DFB00">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项目联系人：李桀  </w:t>
      </w:r>
    </w:p>
    <w:p w14:paraId="08790A47">
      <w:pPr>
        <w:keepNext w:val="0"/>
        <w:keepLines w:val="0"/>
        <w:pageBreakBefore w:val="0"/>
        <w:widowControl/>
        <w:kinsoku/>
        <w:wordWrap/>
        <w:overflowPunct/>
        <w:topLinePunct w:val="0"/>
        <w:autoSpaceDE/>
        <w:autoSpaceDN/>
        <w:bidi w:val="0"/>
        <w:adjustRightInd w:val="0"/>
        <w:snapToGrid w:val="0"/>
        <w:spacing w:line="432" w:lineRule="auto"/>
        <w:ind w:left="0" w:leftChars="0" w:firstLine="42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1"/>
          <w:szCs w:val="21"/>
          <w:highlight w:val="none"/>
        </w:rPr>
        <w:t>联系方式：17637817161</w:t>
      </w:r>
    </w:p>
    <w:p w14:paraId="19B88F76">
      <w:pPr>
        <w:spacing w:line="360" w:lineRule="auto"/>
        <w:rPr>
          <w:color w:val="auto"/>
          <w:highlight w:val="none"/>
        </w:rPr>
      </w:pPr>
      <w:r>
        <w:rPr>
          <w:rFonts w:hint="eastAsia"/>
          <w:color w:val="auto"/>
          <w:szCs w:val="21"/>
          <w:highlight w:val="none"/>
        </w:rPr>
        <w:br w:type="page"/>
      </w:r>
    </w:p>
    <w:p w14:paraId="58645139">
      <w:pPr>
        <w:numPr>
          <w:ilvl w:val="0"/>
          <w:numId w:val="2"/>
        </w:numPr>
        <w:adjustRightInd w:val="0"/>
        <w:snapToGrid w:val="0"/>
        <w:outlineLvl w:val="0"/>
        <w:rPr>
          <w:rFonts w:hint="eastAsia" w:ascii="宋体" w:hAnsi="宋体" w:cs="宋体"/>
          <w:b/>
          <w:color w:val="auto"/>
          <w:spacing w:val="-26"/>
          <w:kern w:val="0"/>
          <w:sz w:val="32"/>
          <w:szCs w:val="32"/>
          <w:highlight w:val="none"/>
        </w:rPr>
      </w:pPr>
      <w:bookmarkStart w:id="108" w:name="_Toc10938"/>
      <w:r>
        <w:rPr>
          <w:rFonts w:hint="eastAsia" w:ascii="宋体" w:hAnsi="宋体" w:cs="宋体"/>
          <w:b/>
          <w:color w:val="auto"/>
          <w:spacing w:val="-26"/>
          <w:kern w:val="0"/>
          <w:sz w:val="32"/>
          <w:szCs w:val="32"/>
          <w:highlight w:val="none"/>
        </w:rPr>
        <w:t xml:space="preserve">    </w:t>
      </w:r>
      <w:bookmarkStart w:id="109" w:name="_Toc16934"/>
      <w:bookmarkStart w:id="110" w:name="_Toc30134"/>
      <w:r>
        <w:rPr>
          <w:rFonts w:hint="eastAsia" w:ascii="宋体" w:hAnsi="宋体" w:cs="宋体"/>
          <w:b/>
          <w:color w:val="auto"/>
          <w:spacing w:val="-26"/>
          <w:kern w:val="0"/>
          <w:sz w:val="32"/>
          <w:szCs w:val="32"/>
          <w:highlight w:val="none"/>
        </w:rPr>
        <w:t>投标人须知</w:t>
      </w:r>
      <w:bookmarkEnd w:id="108"/>
      <w:bookmarkEnd w:id="109"/>
      <w:bookmarkEnd w:id="110"/>
    </w:p>
    <w:p w14:paraId="1B8CC9C2">
      <w:pPr>
        <w:pStyle w:val="6"/>
        <w:spacing w:line="600" w:lineRule="exact"/>
        <w:jc w:val="center"/>
        <w:rPr>
          <w:rFonts w:hint="eastAsia" w:ascii="宋体" w:hAnsi="宋体"/>
          <w:color w:val="auto"/>
          <w:sz w:val="28"/>
          <w:highlight w:val="none"/>
        </w:rPr>
      </w:pPr>
      <w:bookmarkStart w:id="111" w:name="_Toc23470"/>
      <w:bookmarkStart w:id="112" w:name="_Toc257729921"/>
      <w:bookmarkStart w:id="113" w:name="_Toc346029014"/>
      <w:bookmarkStart w:id="114" w:name="_Toc22608"/>
      <w:r>
        <w:rPr>
          <w:rFonts w:hint="eastAsia" w:ascii="宋体" w:hAnsi="宋体"/>
          <w:color w:val="auto"/>
          <w:sz w:val="28"/>
          <w:highlight w:val="none"/>
        </w:rPr>
        <w:t>投标人须知前附表</w:t>
      </w:r>
      <w:bookmarkEnd w:id="111"/>
      <w:bookmarkEnd w:id="112"/>
      <w:bookmarkEnd w:id="113"/>
      <w:bookmarkEnd w:id="114"/>
    </w:p>
    <w:tbl>
      <w:tblPr>
        <w:tblStyle w:val="27"/>
        <w:tblW w:w="10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099"/>
        <w:gridCol w:w="10"/>
        <w:gridCol w:w="7444"/>
      </w:tblGrid>
      <w:tr w14:paraId="2CC3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324C6FC">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2099" w:type="dxa"/>
            <w:tcBorders>
              <w:top w:val="single" w:color="auto" w:sz="4" w:space="0"/>
              <w:left w:val="single" w:color="auto" w:sz="4" w:space="0"/>
              <w:bottom w:val="single" w:color="auto" w:sz="4" w:space="0"/>
              <w:right w:val="single" w:color="auto" w:sz="4" w:space="0"/>
            </w:tcBorders>
            <w:vAlign w:val="center"/>
          </w:tcPr>
          <w:p w14:paraId="34F26B2B">
            <w:pPr>
              <w:spacing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 款 名 称</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53061E40">
            <w:pPr>
              <w:spacing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编 列 内 容</w:t>
            </w:r>
          </w:p>
        </w:tc>
      </w:tr>
      <w:tr w14:paraId="69BD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5BAC0DA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099" w:type="dxa"/>
            <w:tcBorders>
              <w:top w:val="single" w:color="auto" w:sz="4" w:space="0"/>
              <w:left w:val="single" w:color="auto" w:sz="4" w:space="0"/>
              <w:bottom w:val="single" w:color="auto" w:sz="4" w:space="0"/>
              <w:right w:val="single" w:color="auto" w:sz="4" w:space="0"/>
            </w:tcBorders>
            <w:vAlign w:val="center"/>
          </w:tcPr>
          <w:p w14:paraId="72942B49">
            <w:pPr>
              <w:spacing w:line="360" w:lineRule="exact"/>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招标人</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394D802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名称：开封市生态环境局</w:t>
            </w:r>
          </w:p>
          <w:p w14:paraId="6D3998DA">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地址：开封市龙亭区八大街和安康路交叉口向北200米 </w:t>
            </w:r>
          </w:p>
          <w:p w14:paraId="55A9D0BD">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联系人：徐先生 </w:t>
            </w:r>
          </w:p>
          <w:p w14:paraId="6EB9D21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联系方式：</w:t>
            </w:r>
            <w:r>
              <w:rPr>
                <w:rFonts w:hint="eastAsia" w:ascii="宋体" w:hAnsi="宋体" w:eastAsia="宋体" w:cs="Times New Roman"/>
                <w:color w:val="auto"/>
                <w:sz w:val="22"/>
                <w:szCs w:val="22"/>
                <w:highlight w:val="none"/>
                <w:lang w:val="en-US" w:eastAsia="zh-CN"/>
              </w:rPr>
              <w:t>0371-23150569</w:t>
            </w:r>
            <w:r>
              <w:rPr>
                <w:rFonts w:hint="eastAsia" w:ascii="宋体" w:hAnsi="宋体" w:eastAsia="宋体" w:cs="Times New Roman"/>
                <w:color w:val="auto"/>
                <w:sz w:val="22"/>
                <w:szCs w:val="22"/>
                <w:highlight w:val="none"/>
                <w:lang w:eastAsia="zh-CN"/>
              </w:rPr>
              <w:t xml:space="preserve"> </w:t>
            </w:r>
          </w:p>
        </w:tc>
      </w:tr>
      <w:tr w14:paraId="2F12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88B2E0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099" w:type="dxa"/>
            <w:tcBorders>
              <w:top w:val="single" w:color="auto" w:sz="4" w:space="0"/>
              <w:left w:val="single" w:color="auto" w:sz="4" w:space="0"/>
              <w:bottom w:val="single" w:color="auto" w:sz="4" w:space="0"/>
              <w:right w:val="single" w:color="auto" w:sz="4" w:space="0"/>
            </w:tcBorders>
            <w:vAlign w:val="center"/>
          </w:tcPr>
          <w:p w14:paraId="2E71E43D">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代理机构</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DB2D271">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招标代理机构：河南良智行工程管理咨询有限公司</w:t>
            </w:r>
          </w:p>
          <w:p w14:paraId="13E7E326">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地  址：河南省郑州市惠济区江山路西、008 乡道南弘泰小区1号楼1单元3层302号</w:t>
            </w:r>
          </w:p>
          <w:p w14:paraId="055C3370">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联系人：李桀</w:t>
            </w:r>
          </w:p>
          <w:p w14:paraId="5FA0AE8F">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电  话：17637817161</w:t>
            </w:r>
          </w:p>
        </w:tc>
      </w:tr>
      <w:tr w14:paraId="3701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6DA0C1F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099" w:type="dxa"/>
            <w:tcBorders>
              <w:top w:val="single" w:color="auto" w:sz="4" w:space="0"/>
              <w:left w:val="single" w:color="auto" w:sz="4" w:space="0"/>
              <w:bottom w:val="single" w:color="auto" w:sz="4" w:space="0"/>
              <w:right w:val="single" w:color="auto" w:sz="4" w:space="0"/>
            </w:tcBorders>
            <w:vAlign w:val="center"/>
          </w:tcPr>
          <w:p w14:paraId="4B3D1FB4">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kern w:val="0"/>
                <w:szCs w:val="21"/>
                <w:highlight w:val="none"/>
              </w:rPr>
              <w:t>项目名称</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02F61EA0">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开封市生态环境局开封市污水集中处理设施及固体废物设施周边土壤污染状况监测项目</w:t>
            </w:r>
          </w:p>
        </w:tc>
      </w:tr>
      <w:tr w14:paraId="55CA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5348E3F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099" w:type="dxa"/>
            <w:tcBorders>
              <w:top w:val="single" w:color="auto" w:sz="4" w:space="0"/>
              <w:left w:val="single" w:color="auto" w:sz="4" w:space="0"/>
              <w:bottom w:val="single" w:color="auto" w:sz="4" w:space="0"/>
              <w:right w:val="single" w:color="auto" w:sz="4" w:space="0"/>
            </w:tcBorders>
            <w:vAlign w:val="center"/>
          </w:tcPr>
          <w:p w14:paraId="2E5DF077">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kern w:val="0"/>
                <w:szCs w:val="21"/>
                <w:highlight w:val="none"/>
              </w:rPr>
              <w:t>项目地点</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64DEE37D">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cs="Times New Roman"/>
                <w:color w:val="auto"/>
                <w:sz w:val="22"/>
                <w:szCs w:val="22"/>
                <w:highlight w:val="none"/>
                <w:lang w:eastAsia="zh-CN"/>
              </w:rPr>
              <w:t>采购人指定地点</w:t>
            </w:r>
          </w:p>
        </w:tc>
      </w:tr>
      <w:tr w14:paraId="4B4F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62A638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099" w:type="dxa"/>
            <w:tcBorders>
              <w:top w:val="single" w:color="auto" w:sz="4" w:space="0"/>
              <w:left w:val="single" w:color="auto" w:sz="4" w:space="0"/>
              <w:bottom w:val="single" w:color="auto" w:sz="4" w:space="0"/>
              <w:right w:val="single" w:color="auto" w:sz="4" w:space="0"/>
            </w:tcBorders>
            <w:vAlign w:val="center"/>
          </w:tcPr>
          <w:p w14:paraId="633A22EA">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资金来源</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85A4D2A">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财政资金 </w:t>
            </w:r>
          </w:p>
        </w:tc>
      </w:tr>
      <w:tr w14:paraId="6C52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4F7BA1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099" w:type="dxa"/>
            <w:tcBorders>
              <w:top w:val="single" w:color="auto" w:sz="4" w:space="0"/>
              <w:left w:val="single" w:color="auto" w:sz="4" w:space="0"/>
              <w:bottom w:val="single" w:color="auto" w:sz="4" w:space="0"/>
              <w:right w:val="single" w:color="auto" w:sz="4" w:space="0"/>
            </w:tcBorders>
            <w:vAlign w:val="center"/>
          </w:tcPr>
          <w:p w14:paraId="1EABE259">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出资比例</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31734D1">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100%</w:t>
            </w:r>
          </w:p>
        </w:tc>
      </w:tr>
      <w:tr w14:paraId="1073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235062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099" w:type="dxa"/>
            <w:tcBorders>
              <w:top w:val="single" w:color="auto" w:sz="4" w:space="0"/>
              <w:left w:val="single" w:color="auto" w:sz="4" w:space="0"/>
              <w:bottom w:val="single" w:color="auto" w:sz="4" w:space="0"/>
              <w:right w:val="single" w:color="auto" w:sz="4" w:space="0"/>
            </w:tcBorders>
            <w:vAlign w:val="center"/>
          </w:tcPr>
          <w:p w14:paraId="5DE2C4AB">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资金落实情况</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5F9FCC74">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已落实</w:t>
            </w:r>
          </w:p>
        </w:tc>
      </w:tr>
      <w:tr w14:paraId="75B9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81F1A8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2099" w:type="dxa"/>
            <w:tcBorders>
              <w:top w:val="single" w:color="auto" w:sz="4" w:space="0"/>
              <w:left w:val="single" w:color="auto" w:sz="4" w:space="0"/>
              <w:bottom w:val="single" w:color="auto" w:sz="4" w:space="0"/>
              <w:right w:val="single" w:color="auto" w:sz="4" w:space="0"/>
            </w:tcBorders>
            <w:vAlign w:val="center"/>
          </w:tcPr>
          <w:p w14:paraId="1C4953EF">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招标范围</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425B5B7">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对开封市污水处理厂及固体废物处置场周边土壤进行监测，结合其行业特点、敏感目标分布等实际情况，开展基础信息调查、点位布设、样品采集测试等，形成调查评估报告，为开封市污水处理厂及固体废物处置场源头防控提供技术支撑</w:t>
            </w:r>
          </w:p>
        </w:tc>
      </w:tr>
      <w:tr w14:paraId="68E4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568E64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099" w:type="dxa"/>
            <w:tcBorders>
              <w:top w:val="single" w:color="auto" w:sz="4" w:space="0"/>
              <w:left w:val="single" w:color="auto" w:sz="4" w:space="0"/>
              <w:bottom w:val="single" w:color="auto" w:sz="4" w:space="0"/>
              <w:right w:val="single" w:color="auto" w:sz="4" w:space="0"/>
            </w:tcBorders>
            <w:vAlign w:val="center"/>
          </w:tcPr>
          <w:p w14:paraId="2FA4484A">
            <w:pPr>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服务期限</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C7613DA">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cs="Times New Roman"/>
                <w:color w:val="auto"/>
                <w:sz w:val="22"/>
                <w:szCs w:val="22"/>
                <w:highlight w:val="none"/>
                <w:lang w:eastAsia="zh-CN"/>
              </w:rPr>
              <w:t>一年</w:t>
            </w:r>
          </w:p>
        </w:tc>
      </w:tr>
      <w:tr w14:paraId="459F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DF4A83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099" w:type="dxa"/>
            <w:tcBorders>
              <w:top w:val="single" w:color="auto" w:sz="4" w:space="0"/>
              <w:left w:val="single" w:color="auto" w:sz="4" w:space="0"/>
              <w:bottom w:val="single" w:color="auto" w:sz="4" w:space="0"/>
              <w:right w:val="single" w:color="auto" w:sz="4" w:space="0"/>
            </w:tcBorders>
            <w:vAlign w:val="center"/>
          </w:tcPr>
          <w:p w14:paraId="4DE6E208">
            <w:pPr>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质量要求</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2D7A3DC0">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符合国家及相关行业合格标准及采购人要求</w:t>
            </w:r>
          </w:p>
        </w:tc>
      </w:tr>
      <w:tr w14:paraId="535A5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B49F84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2099" w:type="dxa"/>
            <w:tcBorders>
              <w:top w:val="single" w:color="auto" w:sz="4" w:space="0"/>
              <w:left w:val="single" w:color="auto" w:sz="4" w:space="0"/>
              <w:bottom w:val="single" w:color="auto" w:sz="4" w:space="0"/>
              <w:right w:val="single" w:color="auto" w:sz="4" w:space="0"/>
            </w:tcBorders>
            <w:vAlign w:val="center"/>
          </w:tcPr>
          <w:p w14:paraId="7FC66394">
            <w:pPr>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付款方式</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78E70FE9">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以合同签订为准</w:t>
            </w:r>
          </w:p>
        </w:tc>
      </w:tr>
      <w:tr w14:paraId="47B8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B5F30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099" w:type="dxa"/>
            <w:tcBorders>
              <w:top w:val="single" w:color="auto" w:sz="4" w:space="0"/>
              <w:left w:val="single" w:color="auto" w:sz="4" w:space="0"/>
              <w:bottom w:val="single" w:color="auto" w:sz="4" w:space="0"/>
              <w:right w:val="single" w:color="auto" w:sz="4" w:space="0"/>
            </w:tcBorders>
            <w:vAlign w:val="center"/>
          </w:tcPr>
          <w:p w14:paraId="1DC65F1F">
            <w:pPr>
              <w:spacing w:line="360" w:lineRule="exact"/>
              <w:jc w:val="center"/>
              <w:rPr>
                <w:rFonts w:hint="eastAsia" w:ascii="宋体" w:hAnsi="宋体" w:cs="宋体"/>
                <w:color w:val="auto"/>
                <w:szCs w:val="21"/>
                <w:highlight w:val="none"/>
              </w:rPr>
            </w:pPr>
            <w:r>
              <w:rPr>
                <w:rFonts w:hint="eastAsia" w:ascii="宋体" w:hAnsi="宋体" w:cs="仿宋_GB2312"/>
                <w:color w:val="auto"/>
                <w:kern w:val="0"/>
                <w:szCs w:val="21"/>
                <w:highlight w:val="none"/>
              </w:rPr>
              <w:t>投标人</w:t>
            </w:r>
            <w:r>
              <w:rPr>
                <w:rFonts w:hint="eastAsia" w:ascii="宋体" w:hAnsi="宋体" w:cs="宋体"/>
                <w:color w:val="auto"/>
                <w:szCs w:val="21"/>
                <w:highlight w:val="none"/>
              </w:rPr>
              <w:t>资质条件和能力</w:t>
            </w:r>
          </w:p>
        </w:tc>
        <w:tc>
          <w:tcPr>
            <w:tcW w:w="7454" w:type="dxa"/>
            <w:gridSpan w:val="2"/>
            <w:tcBorders>
              <w:top w:val="single" w:color="auto" w:sz="4" w:space="0"/>
              <w:left w:val="single" w:color="auto" w:sz="4" w:space="0"/>
              <w:bottom w:val="single" w:color="auto" w:sz="4" w:space="0"/>
              <w:right w:val="single" w:color="auto" w:sz="4" w:space="0"/>
            </w:tcBorders>
          </w:tcPr>
          <w:p w14:paraId="1A10DB35">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1、满足《中华人民共和国政府采购法》第二十二条规定；</w:t>
            </w:r>
          </w:p>
          <w:p w14:paraId="40106E62">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2、落实政府采购政策满足的资格要求：</w:t>
            </w:r>
          </w:p>
          <w:p w14:paraId="7D029731">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本项目落实中小微企业扶持、促进残疾人就业等政府采购政策。</w:t>
            </w:r>
          </w:p>
          <w:p w14:paraId="630DD488">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本项目的特定资格要求：</w:t>
            </w:r>
          </w:p>
          <w:p w14:paraId="02285D45">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3.1、符合《中华人民共和国政府采购法》第二十二条规定</w:t>
            </w:r>
          </w:p>
          <w:p w14:paraId="2D580520">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（一）具有独立承担民事责任的能力（具有有效的营业执照）；</w:t>
            </w:r>
          </w:p>
          <w:p w14:paraId="7AA1EEA6">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（二）具有良好的商业信誉和健全的财务会计制度（提供2024年度或2025年度经审计的财务报告，若公司成立时间不足的，按实际成立年限提供审计报告；新成立企业不足一年的提供本单位财务制度）；</w:t>
            </w:r>
          </w:p>
          <w:p w14:paraId="1F74C828">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（三）具有履行合同所必需的设备和专业技术能力（提供承诺书，格式自拟）；</w:t>
            </w:r>
          </w:p>
          <w:p w14:paraId="356C2909">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（四）有依法缴纳税收和社会保障资金的良好记录（提供2026年以来任意一个月的缴纳税收和社会保障资金凭据，属于免税对象者，自行出具免税声明或提供其他证明材料。）；</w:t>
            </w:r>
          </w:p>
          <w:p w14:paraId="0974F5DB">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（五）参加政府采购活动前三年内，在经营活动中没有重大违法记录（供应商开标前三年内在经营活动中无重大违法记录的书面声明）；</w:t>
            </w:r>
          </w:p>
          <w:p w14:paraId="1998320D">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3.2、信誉要求：根据《关于在政府采购活动中查询及使用信用记录有关问题的通知》(财库[2016]125号)的规定，对列入失信被执行人、重大税收违法失信主体、政府采购严重违法失信行为记录名单的投标人，拒绝参与本项目政府采购活动；【查询渠道：“信用中国”网站（www.creditchina.gov.cn）、中国政府采购网（www.ccgp.gov.cn）】；（信用信息查询及截止时间：本项目开标结束后至评标结束前，由采购人或采购代理机构查询投标人信用记录，信用记录相关网页、内容的截图资料，由采购代理机构以作证据存档备查。）</w:t>
            </w:r>
          </w:p>
          <w:p w14:paraId="7ABD5152">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val="en-US" w:eastAsia="zh-CN"/>
              </w:rPr>
              <w:t>3.3</w:t>
            </w:r>
            <w:r>
              <w:rPr>
                <w:rFonts w:hint="eastAsia" w:ascii="宋体" w:hAnsi="宋体" w:eastAsia="宋体" w:cs="Times New Roman"/>
                <w:color w:val="auto"/>
                <w:sz w:val="22"/>
                <w:szCs w:val="22"/>
                <w:highlight w:val="none"/>
                <w:lang w:eastAsia="zh-CN"/>
              </w:rPr>
              <w:t>、本项目不接受联合体投标。</w:t>
            </w:r>
          </w:p>
        </w:tc>
      </w:tr>
      <w:tr w14:paraId="0E60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955A85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2099" w:type="dxa"/>
            <w:tcBorders>
              <w:top w:val="single" w:color="auto" w:sz="4" w:space="0"/>
              <w:left w:val="single" w:color="auto" w:sz="4" w:space="0"/>
              <w:bottom w:val="single" w:color="auto" w:sz="4" w:space="0"/>
              <w:right w:val="single" w:color="auto" w:sz="4" w:space="0"/>
            </w:tcBorders>
            <w:vAlign w:val="center"/>
          </w:tcPr>
          <w:p w14:paraId="36273D63">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是否接受联合体投标</w:t>
            </w:r>
          </w:p>
        </w:tc>
        <w:tc>
          <w:tcPr>
            <w:tcW w:w="7454" w:type="dxa"/>
            <w:gridSpan w:val="2"/>
            <w:tcBorders>
              <w:top w:val="single" w:color="auto" w:sz="4" w:space="0"/>
              <w:left w:val="single" w:color="auto" w:sz="4" w:space="0"/>
              <w:bottom w:val="single" w:color="auto" w:sz="4" w:space="0"/>
              <w:right w:val="single" w:color="auto" w:sz="4" w:space="0"/>
            </w:tcBorders>
          </w:tcPr>
          <w:p w14:paraId="1A6AD28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fldChar w:fldCharType="begin"/>
            </w:r>
            <w:r>
              <w:rPr>
                <w:rFonts w:hint="eastAsia" w:ascii="宋体" w:hAnsi="宋体" w:eastAsia="宋体" w:cs="Times New Roman"/>
                <w:color w:val="auto"/>
                <w:sz w:val="22"/>
                <w:szCs w:val="22"/>
                <w:highlight w:val="none"/>
                <w:lang w:eastAsia="zh-CN"/>
              </w:rPr>
              <w:instrText xml:space="preserve"> eq \o\ac(□,√)</w:instrText>
            </w:r>
            <w:r>
              <w:rPr>
                <w:rFonts w:hint="eastAsia" w:ascii="宋体" w:hAnsi="宋体" w:eastAsia="宋体" w:cs="Times New Roman"/>
                <w:color w:val="auto"/>
                <w:sz w:val="22"/>
                <w:szCs w:val="22"/>
                <w:highlight w:val="none"/>
                <w:lang w:eastAsia="zh-CN"/>
              </w:rPr>
              <w:fldChar w:fldCharType="end"/>
            </w:r>
            <w:r>
              <w:rPr>
                <w:rFonts w:hint="eastAsia" w:ascii="宋体" w:hAnsi="宋体" w:eastAsia="宋体" w:cs="Times New Roman"/>
                <w:color w:val="auto"/>
                <w:sz w:val="22"/>
                <w:szCs w:val="22"/>
                <w:highlight w:val="none"/>
                <w:lang w:eastAsia="zh-CN"/>
              </w:rPr>
              <w:t>不接受</w:t>
            </w:r>
          </w:p>
          <w:p w14:paraId="0F1AB360">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接受,应满足下列要求:</w:t>
            </w:r>
          </w:p>
        </w:tc>
      </w:tr>
      <w:tr w14:paraId="4176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18641698">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2099" w:type="dxa"/>
            <w:tcBorders>
              <w:top w:val="single" w:color="auto" w:sz="4" w:space="0"/>
              <w:left w:val="single" w:color="auto" w:sz="4" w:space="0"/>
              <w:bottom w:val="single" w:color="auto" w:sz="4" w:space="0"/>
              <w:right w:val="single" w:color="auto" w:sz="4" w:space="0"/>
            </w:tcBorders>
            <w:vAlign w:val="center"/>
          </w:tcPr>
          <w:p w14:paraId="52C385E2">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构成招标文件的其他材料</w:t>
            </w:r>
          </w:p>
        </w:tc>
        <w:tc>
          <w:tcPr>
            <w:tcW w:w="7454" w:type="dxa"/>
            <w:gridSpan w:val="2"/>
            <w:tcBorders>
              <w:top w:val="single" w:color="auto" w:sz="4" w:space="0"/>
              <w:left w:val="single" w:color="auto" w:sz="4" w:space="0"/>
              <w:bottom w:val="single" w:color="auto" w:sz="4" w:space="0"/>
              <w:right w:val="single" w:color="auto" w:sz="4" w:space="0"/>
            </w:tcBorders>
          </w:tcPr>
          <w:p w14:paraId="31F3FF9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招标文件补充文件、澄清、修改、答疑。</w:t>
            </w:r>
          </w:p>
          <w:p w14:paraId="78A0876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当招标文件、补充（答疑）通知文件内容相互矛盾时，以最后发出的文件为准</w:t>
            </w:r>
          </w:p>
        </w:tc>
      </w:tr>
      <w:tr w14:paraId="6BFE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54D86F7">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2099" w:type="dxa"/>
            <w:tcBorders>
              <w:top w:val="single" w:color="auto" w:sz="4" w:space="0"/>
              <w:left w:val="single" w:color="auto" w:sz="4" w:space="0"/>
              <w:bottom w:val="single" w:color="auto" w:sz="4" w:space="0"/>
              <w:right w:val="single" w:color="auto" w:sz="4" w:space="0"/>
            </w:tcBorders>
            <w:vAlign w:val="center"/>
          </w:tcPr>
          <w:p w14:paraId="0A3F6955">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3DB88CD0">
            <w:pPr>
              <w:spacing w:line="360" w:lineRule="exact"/>
              <w:rPr>
                <w:rFonts w:hint="eastAsia" w:ascii="宋体" w:hAnsi="宋体" w:cs="宋体"/>
                <w:color w:val="auto"/>
                <w:szCs w:val="21"/>
                <w:highlight w:val="none"/>
              </w:rPr>
            </w:pPr>
            <w:r>
              <w:rPr>
                <w:rFonts w:hint="eastAsia" w:ascii="宋体" w:hAnsi="宋体"/>
                <w:b/>
                <w:bCs/>
                <w:color w:val="auto"/>
                <w:sz w:val="22"/>
                <w:szCs w:val="22"/>
                <w:highlight w:val="none"/>
                <w:lang w:eastAsia="zh-CN"/>
              </w:rPr>
              <w:t>2026年07月21日上午9点30分</w:t>
            </w:r>
            <w:r>
              <w:rPr>
                <w:rFonts w:hint="eastAsia" w:ascii="宋体" w:hAnsi="宋体"/>
                <w:b/>
                <w:bCs/>
                <w:color w:val="auto"/>
                <w:sz w:val="22"/>
                <w:szCs w:val="22"/>
                <w:highlight w:val="none"/>
              </w:rPr>
              <w:t>（北京时间）</w:t>
            </w:r>
          </w:p>
        </w:tc>
      </w:tr>
      <w:tr w14:paraId="5E83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2C8FD8CA">
            <w:pPr>
              <w:spacing w:line="420" w:lineRule="atLeast"/>
              <w:jc w:val="center"/>
              <w:rPr>
                <w:rFonts w:hint="eastAsia" w:ascii="宋体" w:hAnsi="宋体" w:cs="宋体"/>
                <w:b/>
                <w:color w:val="auto"/>
                <w:spacing w:val="20"/>
                <w:szCs w:val="21"/>
                <w:highlight w:val="none"/>
              </w:rPr>
            </w:pPr>
            <w:r>
              <w:rPr>
                <w:rFonts w:hint="eastAsia" w:ascii="宋体" w:hAnsi="宋体" w:cs="宋体"/>
                <w:color w:val="auto"/>
                <w:szCs w:val="21"/>
                <w:highlight w:val="none"/>
              </w:rPr>
              <w:t>16</w:t>
            </w:r>
          </w:p>
        </w:tc>
        <w:tc>
          <w:tcPr>
            <w:tcW w:w="2099" w:type="dxa"/>
            <w:tcBorders>
              <w:top w:val="single" w:color="auto" w:sz="4" w:space="0"/>
              <w:left w:val="single" w:color="auto" w:sz="4" w:space="0"/>
              <w:bottom w:val="single" w:color="auto" w:sz="4" w:space="0"/>
              <w:right w:val="single" w:color="auto" w:sz="4" w:space="0"/>
            </w:tcBorders>
            <w:vAlign w:val="center"/>
          </w:tcPr>
          <w:p w14:paraId="257C8757">
            <w:pPr>
              <w:spacing w:line="360" w:lineRule="exact"/>
              <w:jc w:val="center"/>
              <w:rPr>
                <w:rFonts w:hint="eastAsia" w:ascii="宋体" w:hAnsi="宋体" w:cs="宋体"/>
                <w:b/>
                <w:color w:val="auto"/>
                <w:szCs w:val="21"/>
                <w:highlight w:val="none"/>
              </w:rPr>
            </w:pPr>
            <w:r>
              <w:rPr>
                <w:rFonts w:hint="eastAsia" w:ascii="宋体" w:hAnsi="宋体" w:cs="宋体"/>
                <w:color w:val="auto"/>
                <w:szCs w:val="21"/>
                <w:highlight w:val="none"/>
              </w:rPr>
              <w:t>投标有效期</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3560D2CC">
            <w:pPr>
              <w:spacing w:line="360" w:lineRule="exact"/>
              <w:jc w:val="left"/>
              <w:rPr>
                <w:rFonts w:hint="eastAsia" w:ascii="宋体" w:hAnsi="宋体"/>
                <w:color w:val="auto"/>
                <w:szCs w:val="21"/>
                <w:highlight w:val="none"/>
              </w:rPr>
            </w:pPr>
            <w:r>
              <w:rPr>
                <w:rFonts w:hint="eastAsia" w:ascii="宋体" w:hAnsi="宋体" w:cs="宋体"/>
                <w:color w:val="auto"/>
                <w:szCs w:val="21"/>
                <w:highlight w:val="none"/>
              </w:rPr>
              <w:t>投标截止时间起60日历天</w:t>
            </w:r>
          </w:p>
        </w:tc>
      </w:tr>
      <w:tr w14:paraId="1F4C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7C894CB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17</w:t>
            </w:r>
          </w:p>
        </w:tc>
        <w:tc>
          <w:tcPr>
            <w:tcW w:w="2099" w:type="dxa"/>
            <w:tcBorders>
              <w:top w:val="single" w:color="auto" w:sz="4" w:space="0"/>
              <w:left w:val="single" w:color="auto" w:sz="4" w:space="0"/>
              <w:bottom w:val="single" w:color="auto" w:sz="4" w:space="0"/>
              <w:right w:val="single" w:color="auto" w:sz="4" w:space="0"/>
            </w:tcBorders>
            <w:vAlign w:val="center"/>
          </w:tcPr>
          <w:p w14:paraId="3A515902">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是否允许递交备选投标方案</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5DD068AF">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不允许</w:t>
            </w:r>
          </w:p>
        </w:tc>
      </w:tr>
      <w:tr w14:paraId="18A3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629E624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18</w:t>
            </w:r>
          </w:p>
        </w:tc>
        <w:tc>
          <w:tcPr>
            <w:tcW w:w="2099" w:type="dxa"/>
            <w:tcBorders>
              <w:top w:val="single" w:color="auto" w:sz="4" w:space="0"/>
              <w:left w:val="single" w:color="auto" w:sz="4" w:space="0"/>
              <w:bottom w:val="single" w:color="auto" w:sz="4" w:space="0"/>
              <w:right w:val="single" w:color="auto" w:sz="4" w:space="0"/>
            </w:tcBorders>
            <w:vAlign w:val="center"/>
          </w:tcPr>
          <w:p w14:paraId="712CFA55">
            <w:pPr>
              <w:spacing w:line="360" w:lineRule="exact"/>
              <w:jc w:val="center"/>
              <w:rPr>
                <w:rFonts w:hint="eastAsia" w:ascii="宋体" w:hAnsi="宋体"/>
                <w:color w:val="auto"/>
                <w:szCs w:val="21"/>
                <w:highlight w:val="none"/>
              </w:rPr>
            </w:pPr>
            <w:r>
              <w:rPr>
                <w:rFonts w:hint="eastAsia" w:ascii="宋体" w:hAnsi="宋体"/>
                <w:color w:val="auto"/>
                <w:szCs w:val="21"/>
                <w:highlight w:val="none"/>
              </w:rPr>
              <w:t>偏离</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658C8616">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不允许下列重大偏离：</w:t>
            </w:r>
          </w:p>
          <w:p w14:paraId="5B00F9E5">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经评标委员会审查后，投标文件有下列情形之一的，视为未能实质性响应招标文件，应认定为无效标（即废标）：</w:t>
            </w:r>
          </w:p>
          <w:p w14:paraId="4F7FA25A">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1、投标文件没有按要求进行投标人法定代表人或授权代表人签字、盖章和加盖投标人公章的；</w:t>
            </w:r>
          </w:p>
          <w:p w14:paraId="6E844091">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2、投标文件载明的项目完成期限负偏离于招标文件规定的期限的；</w:t>
            </w:r>
          </w:p>
          <w:p w14:paraId="62ADEDC4">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3. 明显不符合技术规格、技术标准要求的，偏离使招标人不能接受的；</w:t>
            </w:r>
          </w:p>
          <w:p w14:paraId="4587520B">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4、投标文件载明的质量等级达不到招标文件规定的质量等级的；</w:t>
            </w:r>
          </w:p>
          <w:p w14:paraId="736341AA">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5、投标人拒绝按评标委员会要求对投标文件进行澄清、说明、补正或澄清、说明、补正不能合理说明情况的；</w:t>
            </w:r>
          </w:p>
          <w:p w14:paraId="41DB168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6、投标文件附加有招标人不能接受的条件的；</w:t>
            </w:r>
          </w:p>
          <w:p w14:paraId="0CFB6DE5">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7、投标人递交两份或多份内容不同的投标文件，或在一份投标文件中报有两个或多个报价，但未声明哪一个有效的；</w:t>
            </w:r>
          </w:p>
          <w:p w14:paraId="24B3968D">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8、其他违反招投标法以及相关法律、法规和规定的。</w:t>
            </w:r>
          </w:p>
        </w:tc>
      </w:tr>
      <w:tr w14:paraId="76B5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FB64B8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2099" w:type="dxa"/>
            <w:tcBorders>
              <w:top w:val="single" w:color="auto" w:sz="4" w:space="0"/>
              <w:left w:val="single" w:color="auto" w:sz="4" w:space="0"/>
              <w:bottom w:val="single" w:color="auto" w:sz="4" w:space="0"/>
              <w:right w:val="single" w:color="auto" w:sz="4" w:space="0"/>
            </w:tcBorders>
            <w:vAlign w:val="center"/>
          </w:tcPr>
          <w:p w14:paraId="1F7C24AE">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签字或盖章要求</w:t>
            </w:r>
          </w:p>
        </w:tc>
        <w:tc>
          <w:tcPr>
            <w:tcW w:w="7454" w:type="dxa"/>
            <w:gridSpan w:val="2"/>
            <w:tcBorders>
              <w:top w:val="single" w:color="auto" w:sz="4" w:space="0"/>
              <w:left w:val="single" w:color="auto" w:sz="4" w:space="0"/>
              <w:bottom w:val="single" w:color="auto" w:sz="4" w:space="0"/>
              <w:right w:val="single" w:color="auto" w:sz="4" w:space="0"/>
            </w:tcBorders>
          </w:tcPr>
          <w:p w14:paraId="7897E83F">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投标文件应按招标文件中投标文件格式要求签字、盖章。投标文件应附法定代表人签署的授权委托书。</w:t>
            </w:r>
          </w:p>
        </w:tc>
      </w:tr>
      <w:tr w14:paraId="7C0A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29C0F59">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20</w:t>
            </w:r>
          </w:p>
        </w:tc>
        <w:tc>
          <w:tcPr>
            <w:tcW w:w="2099" w:type="dxa"/>
            <w:tcBorders>
              <w:top w:val="single" w:color="auto" w:sz="4" w:space="0"/>
              <w:left w:val="single" w:color="auto" w:sz="4" w:space="0"/>
              <w:bottom w:val="single" w:color="auto" w:sz="4" w:space="0"/>
              <w:right w:val="single" w:color="auto" w:sz="4" w:space="0"/>
            </w:tcBorders>
            <w:vAlign w:val="center"/>
          </w:tcPr>
          <w:p w14:paraId="280595B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是否退还投标文件</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794C37EF">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否</w:t>
            </w:r>
          </w:p>
        </w:tc>
      </w:tr>
      <w:tr w14:paraId="1745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15F6709">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2099" w:type="dxa"/>
            <w:tcBorders>
              <w:top w:val="single" w:color="auto" w:sz="4" w:space="0"/>
              <w:left w:val="single" w:color="auto" w:sz="4" w:space="0"/>
              <w:bottom w:val="single" w:color="auto" w:sz="4" w:space="0"/>
              <w:right w:val="single" w:color="auto" w:sz="4" w:space="0"/>
            </w:tcBorders>
            <w:vAlign w:val="center"/>
          </w:tcPr>
          <w:p w14:paraId="0400AB26">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开标时间和地点</w:t>
            </w:r>
          </w:p>
        </w:tc>
        <w:tc>
          <w:tcPr>
            <w:tcW w:w="7454" w:type="dxa"/>
            <w:gridSpan w:val="2"/>
            <w:tcBorders>
              <w:top w:val="single" w:color="auto" w:sz="4" w:space="0"/>
              <w:left w:val="single" w:color="auto" w:sz="4" w:space="0"/>
              <w:bottom w:val="single" w:color="auto" w:sz="4" w:space="0"/>
              <w:right w:val="single" w:color="auto" w:sz="4" w:space="0"/>
            </w:tcBorders>
          </w:tcPr>
          <w:p w14:paraId="28B29358">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开标时间：同投标截止时间</w:t>
            </w:r>
          </w:p>
          <w:p w14:paraId="65CB55D5">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开标地点: 郑开大道三大街开封市市民之家五楼开封市公共资源交易中心不见面开标室</w:t>
            </w:r>
          </w:p>
          <w:p w14:paraId="44A8B56E">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本项目采用“远程不见面”开标方式，投标人无需到达现场提交原件资料、无需到开封市公共资源交易中心现场参加开标会议，投标人应当在开标时间前,登录（开封市公共资源交易中心网站）远程开标大厅,在线准时参加开标活动并进行投标文件解密、答疑澄清等。</w:t>
            </w:r>
          </w:p>
        </w:tc>
      </w:tr>
      <w:tr w14:paraId="6A7C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E945EA6">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2099" w:type="dxa"/>
            <w:tcBorders>
              <w:top w:val="single" w:color="auto" w:sz="4" w:space="0"/>
              <w:left w:val="single" w:color="auto" w:sz="4" w:space="0"/>
              <w:bottom w:val="single" w:color="auto" w:sz="4" w:space="0"/>
              <w:right w:val="single" w:color="auto" w:sz="4" w:space="0"/>
            </w:tcBorders>
            <w:vAlign w:val="center"/>
          </w:tcPr>
          <w:p w14:paraId="2CFFD3DB">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7454" w:type="dxa"/>
            <w:gridSpan w:val="2"/>
            <w:tcBorders>
              <w:top w:val="single" w:color="auto" w:sz="4" w:space="0"/>
              <w:left w:val="single" w:color="auto" w:sz="4" w:space="0"/>
              <w:bottom w:val="single" w:color="auto" w:sz="4" w:space="0"/>
              <w:right w:val="single" w:color="auto" w:sz="4" w:space="0"/>
            </w:tcBorders>
          </w:tcPr>
          <w:p w14:paraId="6D6F5252">
            <w:pPr>
              <w:autoSpaceDE w:val="0"/>
              <w:spacing w:line="360" w:lineRule="auto"/>
              <w:jc w:val="left"/>
              <w:outlineLvl w:val="0"/>
              <w:rPr>
                <w:rFonts w:hint="eastAsia" w:ascii="宋体" w:hAnsi="宋体" w:eastAsia="宋体" w:cs="Times New Roman"/>
                <w:color w:val="auto"/>
                <w:sz w:val="22"/>
                <w:szCs w:val="22"/>
                <w:highlight w:val="none"/>
                <w:lang w:eastAsia="zh-CN"/>
              </w:rPr>
            </w:pPr>
            <w:bookmarkStart w:id="115" w:name="_Toc25643"/>
            <w:r>
              <w:rPr>
                <w:rFonts w:hint="eastAsia" w:ascii="宋体" w:hAnsi="宋体" w:eastAsia="宋体" w:cs="Times New Roman"/>
                <w:color w:val="auto"/>
                <w:sz w:val="22"/>
                <w:szCs w:val="22"/>
                <w:highlight w:val="none"/>
                <w:lang w:eastAsia="zh-CN"/>
              </w:rPr>
              <w:t>实行网上开标。</w:t>
            </w:r>
            <w:bookmarkEnd w:id="115"/>
          </w:p>
          <w:p w14:paraId="62B604DB">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1、登陆开封市公共资源交易平台解密投标文件。</w:t>
            </w:r>
          </w:p>
          <w:p w14:paraId="7BE52324">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投标人代表不到开标现场，应在投标文件上传截止时间前使用CA密钥对其电子投标文件完成远程解密。否则，投标人自行承担其投标文件不能开标的责任。（系统解密时长默认为40分钟，错过解密时长者视为自动放弃本次投标。）</w:t>
            </w:r>
          </w:p>
          <w:p w14:paraId="2082174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2、因投标人原因造成投标文</w:t>
            </w:r>
            <w:r>
              <w:rPr>
                <w:rFonts w:hint="eastAsia" w:ascii="宋体" w:hAnsi="宋体" w:eastAsia="宋体" w:cs="Times New Roman"/>
                <w:color w:val="auto"/>
                <w:sz w:val="22"/>
                <w:szCs w:val="22"/>
                <w:highlight w:val="none"/>
                <w:lang w:val="en-US" w:eastAsia="zh-CN"/>
              </w:rPr>
              <w:t>件</w:t>
            </w:r>
            <w:r>
              <w:rPr>
                <w:rFonts w:hint="eastAsia" w:ascii="宋体" w:hAnsi="宋体" w:eastAsia="宋体" w:cs="Times New Roman"/>
                <w:color w:val="auto"/>
                <w:sz w:val="22"/>
                <w:szCs w:val="22"/>
                <w:highlight w:val="none"/>
                <w:lang w:eastAsia="zh-CN"/>
              </w:rPr>
              <w:t>未解密的，视为撤销其投标文件。部分投标人的投标文件未解密的，其他投标人的投标文件的开标会议可以继续进行。一个标段解密的投标文件不足三家时该标段不再继续进行。</w:t>
            </w:r>
          </w:p>
          <w:p w14:paraId="39C3307E">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3、开标会议结束，各投标人可在开标会议过程中至开标会议结束后5分钟之内对开标会议开标过程涉及内容提出质疑，否则视为对开标过程涉及内容会议无异议。</w:t>
            </w:r>
          </w:p>
          <w:p w14:paraId="102832BC">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提示：1.各投标人从参与项目开始至结束，应时刻关注电子交易系统中的项目进度和状态，留意变更公告等内容，特别是项目开标后，评审小组向投标人提出的澄清要求、报价要求等，投标人应自系统发出30分钟（另有约定的从其约定）内回复。错过重要信息或超过30分钟回复者，投标人自行承担责任。</w:t>
            </w:r>
          </w:p>
          <w:p w14:paraId="712F0B6B">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2.相关不见面操作流程详见“开封市公共资源交易中心-重要通知”。</w:t>
            </w:r>
          </w:p>
          <w:p w14:paraId="34D5FFC2">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3.其他未尽事宜，按国家相关法律法规执行。</w:t>
            </w:r>
          </w:p>
          <w:p w14:paraId="10C180EF">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b/>
                <w:bCs/>
                <w:color w:val="auto"/>
                <w:sz w:val="22"/>
                <w:szCs w:val="22"/>
                <w:highlight w:val="none"/>
                <w:lang w:eastAsia="zh-CN"/>
              </w:rPr>
              <w:t>操作流程按开封市公共资源交易平台不见面开标系统操作手册。</w:t>
            </w:r>
          </w:p>
        </w:tc>
      </w:tr>
      <w:tr w14:paraId="3328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23C7577">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23</w:t>
            </w:r>
          </w:p>
        </w:tc>
        <w:tc>
          <w:tcPr>
            <w:tcW w:w="2099" w:type="dxa"/>
            <w:tcBorders>
              <w:top w:val="single" w:color="auto" w:sz="4" w:space="0"/>
              <w:left w:val="single" w:color="auto" w:sz="4" w:space="0"/>
              <w:bottom w:val="single" w:color="auto" w:sz="4" w:space="0"/>
              <w:right w:val="single" w:color="auto" w:sz="4" w:space="0"/>
            </w:tcBorders>
            <w:vAlign w:val="center"/>
          </w:tcPr>
          <w:p w14:paraId="5473294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评标委员会的组建</w:t>
            </w:r>
          </w:p>
        </w:tc>
        <w:tc>
          <w:tcPr>
            <w:tcW w:w="7454" w:type="dxa"/>
            <w:gridSpan w:val="2"/>
            <w:tcBorders>
              <w:top w:val="single" w:color="auto" w:sz="4" w:space="0"/>
              <w:left w:val="single" w:color="auto" w:sz="4" w:space="0"/>
              <w:bottom w:val="single" w:color="auto" w:sz="4" w:space="0"/>
              <w:right w:val="single" w:color="auto" w:sz="4" w:space="0"/>
            </w:tcBorders>
          </w:tcPr>
          <w:p w14:paraId="61025FFA">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招标人将组建评标委员会。评标委员会构成:</w:t>
            </w:r>
            <w:r>
              <w:rPr>
                <w:rFonts w:hint="eastAsia" w:ascii="宋体" w:hAnsi="宋体" w:eastAsia="宋体" w:cs="Times New Roman"/>
                <w:b/>
                <w:bCs/>
                <w:color w:val="auto"/>
                <w:sz w:val="22"/>
                <w:szCs w:val="22"/>
                <w:highlight w:val="none"/>
                <w:lang w:eastAsia="zh-CN"/>
              </w:rPr>
              <w:t xml:space="preserve"> 5 人</w:t>
            </w:r>
            <w:r>
              <w:rPr>
                <w:rFonts w:hint="eastAsia" w:ascii="宋体" w:hAnsi="宋体" w:eastAsia="宋体" w:cs="Times New Roman"/>
                <w:color w:val="auto"/>
                <w:sz w:val="22"/>
                <w:szCs w:val="22"/>
                <w:highlight w:val="none"/>
                <w:lang w:eastAsia="zh-CN"/>
              </w:rPr>
              <w:t>，其中招标人代表</w:t>
            </w:r>
            <w:r>
              <w:rPr>
                <w:rFonts w:hint="eastAsia" w:ascii="宋体" w:hAnsi="宋体" w:eastAsia="宋体" w:cs="Times New Roman"/>
                <w:b/>
                <w:bCs/>
                <w:color w:val="auto"/>
                <w:sz w:val="22"/>
                <w:szCs w:val="22"/>
                <w:highlight w:val="none"/>
                <w:lang w:eastAsia="zh-CN"/>
              </w:rPr>
              <w:t xml:space="preserve"> 1人</w:t>
            </w:r>
            <w:r>
              <w:rPr>
                <w:rFonts w:hint="eastAsia" w:ascii="宋体" w:hAnsi="宋体" w:eastAsia="宋体" w:cs="Times New Roman"/>
                <w:color w:val="auto"/>
                <w:sz w:val="22"/>
                <w:szCs w:val="22"/>
                <w:highlight w:val="none"/>
                <w:lang w:eastAsia="zh-CN"/>
              </w:rPr>
              <w:t>,</w:t>
            </w:r>
            <w:r>
              <w:rPr>
                <w:rFonts w:hint="eastAsia" w:ascii="宋体" w:hAnsi="宋体" w:cs="宋体"/>
                <w:color w:val="auto"/>
                <w:highlight w:val="none"/>
              </w:rPr>
              <w:t>相关经济、技术方面的专家</w:t>
            </w:r>
            <w:r>
              <w:rPr>
                <w:rFonts w:hint="eastAsia" w:ascii="宋体" w:hAnsi="宋体" w:eastAsia="宋体" w:cs="Times New Roman"/>
                <w:b/>
                <w:bCs/>
                <w:color w:val="auto"/>
                <w:sz w:val="22"/>
                <w:szCs w:val="22"/>
                <w:highlight w:val="none"/>
                <w:lang w:eastAsia="zh-CN"/>
              </w:rPr>
              <w:t>4人</w:t>
            </w:r>
            <w:r>
              <w:rPr>
                <w:rFonts w:hint="eastAsia" w:ascii="宋体" w:hAnsi="宋体" w:eastAsia="宋体" w:cs="Times New Roman"/>
                <w:color w:val="auto"/>
                <w:sz w:val="22"/>
                <w:szCs w:val="22"/>
                <w:highlight w:val="none"/>
                <w:lang w:eastAsia="zh-CN"/>
              </w:rPr>
              <w:t>；评标专家确定方式：在省级相关专家库抽取系统抽取。</w:t>
            </w:r>
          </w:p>
        </w:tc>
      </w:tr>
      <w:tr w14:paraId="0FA6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44B0B980">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24</w:t>
            </w:r>
          </w:p>
        </w:tc>
        <w:tc>
          <w:tcPr>
            <w:tcW w:w="2099" w:type="dxa"/>
            <w:tcBorders>
              <w:top w:val="single" w:color="auto" w:sz="4" w:space="0"/>
              <w:left w:val="single" w:color="auto" w:sz="4" w:space="0"/>
              <w:bottom w:val="single" w:color="auto" w:sz="4" w:space="0"/>
              <w:right w:val="single" w:color="auto" w:sz="4" w:space="0"/>
            </w:tcBorders>
            <w:vAlign w:val="center"/>
          </w:tcPr>
          <w:p w14:paraId="4AC93CD0">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是否授权评标委员会确定中标人</w:t>
            </w:r>
          </w:p>
        </w:tc>
        <w:tc>
          <w:tcPr>
            <w:tcW w:w="7454" w:type="dxa"/>
            <w:gridSpan w:val="2"/>
            <w:tcBorders>
              <w:top w:val="single" w:color="auto" w:sz="4" w:space="0"/>
              <w:left w:val="single" w:color="auto" w:sz="4" w:space="0"/>
              <w:bottom w:val="single" w:color="auto" w:sz="4" w:space="0"/>
              <w:right w:val="single" w:color="auto" w:sz="4" w:space="0"/>
            </w:tcBorders>
          </w:tcPr>
          <w:p w14:paraId="252EE52F">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□是</w:t>
            </w:r>
          </w:p>
          <w:p w14:paraId="131B0BF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b/>
                <w:bCs/>
                <w:color w:val="auto"/>
                <w:sz w:val="22"/>
                <w:szCs w:val="22"/>
                <w:highlight w:val="none"/>
                <w:lang w:eastAsia="zh-CN"/>
              </w:rPr>
              <w:fldChar w:fldCharType="begin"/>
            </w:r>
            <w:r>
              <w:rPr>
                <w:rFonts w:hint="eastAsia" w:ascii="宋体" w:hAnsi="宋体" w:eastAsia="宋体" w:cs="Times New Roman"/>
                <w:b/>
                <w:bCs/>
                <w:color w:val="auto"/>
                <w:sz w:val="22"/>
                <w:szCs w:val="22"/>
                <w:highlight w:val="none"/>
                <w:lang w:eastAsia="zh-CN"/>
              </w:rPr>
              <w:instrText xml:space="preserve"> eq \o\ac(□,√)</w:instrText>
            </w:r>
            <w:r>
              <w:rPr>
                <w:rFonts w:hint="eastAsia" w:ascii="宋体" w:hAnsi="宋体" w:eastAsia="宋体" w:cs="Times New Roman"/>
                <w:b/>
                <w:bCs/>
                <w:color w:val="auto"/>
                <w:sz w:val="22"/>
                <w:szCs w:val="22"/>
                <w:highlight w:val="none"/>
                <w:lang w:eastAsia="zh-CN"/>
              </w:rPr>
              <w:fldChar w:fldCharType="end"/>
            </w:r>
            <w:r>
              <w:rPr>
                <w:rFonts w:hint="eastAsia" w:ascii="宋体" w:hAnsi="宋体" w:eastAsia="宋体" w:cs="Times New Roman"/>
                <w:color w:val="auto"/>
                <w:sz w:val="22"/>
                <w:szCs w:val="22"/>
                <w:highlight w:val="none"/>
                <w:lang w:eastAsia="zh-CN"/>
              </w:rPr>
              <w:t>否，推荐的中标候选人数：3 名</w:t>
            </w:r>
          </w:p>
        </w:tc>
      </w:tr>
      <w:tr w14:paraId="1F48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76478024">
            <w:pPr>
              <w:spacing w:line="380" w:lineRule="exact"/>
              <w:jc w:val="center"/>
              <w:rPr>
                <w:rFonts w:hint="eastAsia" w:ascii="宋体" w:hAnsi="宋体" w:cs="宋体"/>
                <w:color w:val="auto"/>
                <w:szCs w:val="21"/>
                <w:highlight w:val="none"/>
              </w:rPr>
            </w:pPr>
            <w:r>
              <w:rPr>
                <w:rFonts w:hint="eastAsia" w:ascii="宋体" w:hAnsi="宋体" w:cs="宋体"/>
                <w:color w:val="auto"/>
                <w:szCs w:val="21"/>
                <w:highlight w:val="none"/>
              </w:rPr>
              <w:t>25</w:t>
            </w:r>
          </w:p>
        </w:tc>
        <w:tc>
          <w:tcPr>
            <w:tcW w:w="2099" w:type="dxa"/>
            <w:tcBorders>
              <w:top w:val="single" w:color="auto" w:sz="4" w:space="0"/>
              <w:left w:val="single" w:color="auto" w:sz="4" w:space="0"/>
              <w:bottom w:val="single" w:color="auto" w:sz="4" w:space="0"/>
              <w:right w:val="single" w:color="auto" w:sz="4" w:space="0"/>
            </w:tcBorders>
            <w:vAlign w:val="center"/>
          </w:tcPr>
          <w:p w14:paraId="300BCE34">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招标控制价</w:t>
            </w:r>
          </w:p>
        </w:tc>
        <w:tc>
          <w:tcPr>
            <w:tcW w:w="7454" w:type="dxa"/>
            <w:gridSpan w:val="2"/>
            <w:tcBorders>
              <w:top w:val="single" w:color="auto" w:sz="4" w:space="0"/>
              <w:left w:val="single" w:color="auto" w:sz="4" w:space="0"/>
              <w:bottom w:val="single" w:color="auto" w:sz="4" w:space="0"/>
              <w:right w:val="single" w:color="auto" w:sz="4" w:space="0"/>
            </w:tcBorders>
            <w:vAlign w:val="center"/>
          </w:tcPr>
          <w:p w14:paraId="4FF274BC">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招标控制价：</w:t>
            </w:r>
          </w:p>
          <w:p w14:paraId="237533F4">
            <w:pPr>
              <w:autoSpaceDE w:val="0"/>
              <w:spacing w:line="360" w:lineRule="auto"/>
              <w:jc w:val="left"/>
              <w:outlineLvl w:val="0"/>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2"/>
                <w:szCs w:val="22"/>
                <w:highlight w:val="none"/>
                <w:lang w:eastAsia="zh-CN"/>
              </w:rPr>
              <w:t>大写：</w:t>
            </w:r>
            <w:r>
              <w:rPr>
                <w:rFonts w:hint="eastAsia" w:ascii="宋体" w:hAnsi="宋体" w:eastAsia="宋体" w:cs="Times New Roman"/>
                <w:b/>
                <w:bCs/>
                <w:color w:val="auto"/>
                <w:sz w:val="22"/>
                <w:szCs w:val="22"/>
                <w:highlight w:val="none"/>
                <w:lang w:val="en-US" w:eastAsia="zh-CN"/>
              </w:rPr>
              <w:t>伍拾万</w:t>
            </w:r>
            <w:r>
              <w:rPr>
                <w:rFonts w:hint="eastAsia" w:ascii="宋体" w:hAnsi="宋体" w:eastAsia="宋体" w:cs="Times New Roman"/>
                <w:b/>
                <w:bCs/>
                <w:color w:val="auto"/>
                <w:sz w:val="22"/>
                <w:szCs w:val="22"/>
                <w:highlight w:val="none"/>
                <w:lang w:eastAsia="zh-CN"/>
              </w:rPr>
              <w:t>元整</w:t>
            </w:r>
          </w:p>
          <w:p w14:paraId="6256E171">
            <w:pPr>
              <w:autoSpaceDE w:val="0"/>
              <w:spacing w:line="360" w:lineRule="auto"/>
              <w:jc w:val="left"/>
              <w:outlineLvl w:val="0"/>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2"/>
                <w:szCs w:val="22"/>
                <w:highlight w:val="none"/>
                <w:lang w:eastAsia="zh-CN"/>
              </w:rPr>
              <w:t>小写：500000.00元</w:t>
            </w:r>
          </w:p>
          <w:p w14:paraId="3A13A908">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投标人报价高于招标控制价的按无效投标处理。</w:t>
            </w:r>
          </w:p>
        </w:tc>
      </w:tr>
      <w:tr w14:paraId="184D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91DFF9C">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26</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4EE3E826">
            <w:pPr>
              <w:spacing w:line="360" w:lineRule="exact"/>
              <w:jc w:val="center"/>
              <w:rPr>
                <w:rFonts w:hint="eastAsia" w:ascii="宋体" w:hAnsi="宋体"/>
                <w:color w:val="auto"/>
                <w:szCs w:val="21"/>
                <w:highlight w:val="none"/>
              </w:rPr>
            </w:pPr>
            <w:r>
              <w:rPr>
                <w:rFonts w:hint="eastAsia" w:ascii="宋体" w:hAnsi="宋体"/>
                <w:color w:val="auto"/>
                <w:szCs w:val="21"/>
                <w:highlight w:val="none"/>
              </w:rPr>
              <w:t>其他注意事项</w:t>
            </w:r>
          </w:p>
        </w:tc>
      </w:tr>
      <w:tr w14:paraId="1D93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012EC35">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27</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70FC63F3">
            <w:pPr>
              <w:spacing w:line="360" w:lineRule="exact"/>
              <w:rPr>
                <w:rFonts w:hint="eastAsia" w:ascii="宋体" w:hAnsi="宋体" w:cs="宋体"/>
                <w:color w:val="auto"/>
                <w:szCs w:val="21"/>
                <w:highlight w:val="none"/>
              </w:rPr>
            </w:pPr>
            <w:r>
              <w:rPr>
                <w:rFonts w:hint="eastAsia" w:ascii="宋体" w:hAnsi="宋体"/>
                <w:color w:val="auto"/>
                <w:szCs w:val="21"/>
                <w:highlight w:val="none"/>
              </w:rPr>
              <w:t>投标人需独立制作、修改和上传投标文件，因“硬件特征码一致”所造成的不良后果由投标人自行承担。</w:t>
            </w:r>
          </w:p>
        </w:tc>
      </w:tr>
      <w:tr w14:paraId="0CDF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7BF65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44ADB84E">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根据开封市公共资源交易管理委员会办公室文件（汴公管办【2020】13号）的规定：</w:t>
            </w:r>
          </w:p>
          <w:p w14:paraId="57846339">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递交质疑或投诉的方式：质疑（异议）、</w:t>
            </w:r>
            <w:r>
              <w:rPr>
                <w:rFonts w:hint="eastAsia" w:ascii="宋体" w:hAnsi="宋体" w:eastAsia="宋体" w:cs="Times New Roman"/>
                <w:color w:val="auto"/>
                <w:sz w:val="22"/>
                <w:szCs w:val="22"/>
                <w:highlight w:val="none"/>
                <w:lang w:val="en-US" w:eastAsia="zh-CN"/>
              </w:rPr>
              <w:t>投诉</w:t>
            </w:r>
            <w:r>
              <w:rPr>
                <w:rFonts w:hint="eastAsia" w:ascii="宋体" w:hAnsi="宋体" w:eastAsia="宋体" w:cs="Times New Roman"/>
                <w:color w:val="auto"/>
                <w:sz w:val="22"/>
                <w:szCs w:val="22"/>
                <w:highlight w:val="none"/>
                <w:lang w:eastAsia="zh-CN"/>
              </w:rPr>
              <w:t>统一实行线上</w:t>
            </w:r>
            <w:r>
              <w:rPr>
                <w:rFonts w:hint="eastAsia" w:ascii="宋体" w:hAnsi="宋体" w:eastAsia="宋体" w:cs="Times New Roman"/>
                <w:color w:val="auto"/>
                <w:sz w:val="22"/>
                <w:szCs w:val="22"/>
                <w:highlight w:val="none"/>
                <w:lang w:val="en-US" w:eastAsia="zh-CN"/>
              </w:rPr>
              <w:t>提</w:t>
            </w:r>
            <w:r>
              <w:rPr>
                <w:rFonts w:hint="eastAsia" w:ascii="宋体" w:hAnsi="宋体" w:eastAsia="宋体" w:cs="Times New Roman"/>
                <w:color w:val="auto"/>
                <w:sz w:val="22"/>
                <w:szCs w:val="22"/>
                <w:highlight w:val="none"/>
                <w:lang w:eastAsia="zh-CN"/>
              </w:rPr>
              <w:t>交，线上质疑（异议）、投</w:t>
            </w:r>
            <w:r>
              <w:rPr>
                <w:rFonts w:hint="eastAsia" w:ascii="宋体" w:hAnsi="宋体" w:eastAsia="宋体" w:cs="Times New Roman"/>
                <w:color w:val="auto"/>
                <w:sz w:val="22"/>
                <w:szCs w:val="22"/>
                <w:highlight w:val="none"/>
                <w:lang w:val="en-US" w:eastAsia="zh-CN"/>
              </w:rPr>
              <w:t>诉</w:t>
            </w:r>
            <w:r>
              <w:rPr>
                <w:rFonts w:hint="eastAsia" w:ascii="宋体" w:hAnsi="宋体" w:eastAsia="宋体" w:cs="Times New Roman"/>
                <w:color w:val="auto"/>
                <w:sz w:val="22"/>
                <w:szCs w:val="22"/>
                <w:highlight w:val="none"/>
                <w:lang w:eastAsia="zh-CN"/>
              </w:rPr>
              <w:t>通过登录开封市公共资源交易系统(网址:http://www.kfsggzyjyw.cn/kfggzy/) 要求填写质疑（异议）、投诉信息并上传相关材料。</w:t>
            </w:r>
          </w:p>
        </w:tc>
      </w:tr>
      <w:tr w14:paraId="47D4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71ADA5A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29</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2DB9B152">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招标代理费：代理服务费参照《河南省招标代理服务收费指导意见》（豫招协【2023】002号）规定，</w:t>
            </w:r>
            <w:r>
              <w:rPr>
                <w:rFonts w:hint="eastAsia" w:ascii="宋体" w:hAnsi="宋体" w:eastAsia="宋体" w:cs="Times New Roman"/>
                <w:b/>
                <w:bCs/>
                <w:color w:val="auto"/>
                <w:sz w:val="22"/>
                <w:szCs w:val="22"/>
                <w:highlight w:val="none"/>
                <w:lang w:val="en-US" w:eastAsia="zh-CN"/>
              </w:rPr>
              <w:t>按10000元</w:t>
            </w:r>
            <w:r>
              <w:rPr>
                <w:rFonts w:hint="eastAsia" w:ascii="宋体" w:hAnsi="宋体" w:eastAsia="宋体" w:cs="Times New Roman"/>
                <w:color w:val="auto"/>
                <w:sz w:val="22"/>
                <w:szCs w:val="22"/>
                <w:highlight w:val="none"/>
                <w:lang w:eastAsia="zh-CN"/>
              </w:rPr>
              <w:t>收取招标代理服务费，由中标人在领取中标通知书前支付给招标代理机构。</w:t>
            </w:r>
          </w:p>
        </w:tc>
      </w:tr>
      <w:tr w14:paraId="7BD0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38374D1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9553" w:type="dxa"/>
            <w:gridSpan w:val="3"/>
            <w:tcBorders>
              <w:top w:val="single" w:color="auto" w:sz="4" w:space="0"/>
              <w:left w:val="single" w:color="auto" w:sz="4" w:space="0"/>
              <w:bottom w:val="single" w:color="auto" w:sz="4" w:space="0"/>
              <w:right w:val="single" w:color="auto" w:sz="4" w:space="0"/>
            </w:tcBorders>
            <w:vAlign w:val="center"/>
          </w:tcPr>
          <w:p w14:paraId="3C958496">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电子投标文件须在投标截止时间前在开封市公共资源交易中心网站（http://www.kfsggzyjyw.cn/kfggzy/）会员系统中加密上传，逾期上传的，招标人不予受理。</w:t>
            </w:r>
          </w:p>
          <w:p w14:paraId="4F0C336D">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a、各投标人应在投标截止时间前上传加密的电子投标文件到会员系统的指定位置。请投标人在上传时认真检查上传投标文件是否完整、正确。</w:t>
            </w:r>
          </w:p>
          <w:p w14:paraId="221DBAA3">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b、投标人因交易中心投标系统问题无法上传电子投标文件时，请在工作时间与开封市公共资源交易中心联系，联系电话：0371-23859291。</w:t>
            </w:r>
          </w:p>
          <w:p w14:paraId="698DB11D">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c、各投标（响应）人从参与项目交易开始至项目交易活动结束止，应时刻关注电子交易系统中的项目进度和状态，特别是项目评审期间。由于自身原因错过变更通知、文件澄清、报价响应（自系统发起40分钟内做出）等重要信息的，后果由投标（响应）人自行承担。</w:t>
            </w:r>
          </w:p>
        </w:tc>
      </w:tr>
      <w:tr w14:paraId="45EB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2" w:type="dxa"/>
            <w:tcBorders>
              <w:top w:val="single" w:color="auto" w:sz="4" w:space="0"/>
              <w:left w:val="single" w:color="auto" w:sz="4" w:space="0"/>
              <w:bottom w:val="single" w:color="auto" w:sz="4" w:space="0"/>
              <w:right w:val="single" w:color="auto" w:sz="4" w:space="0"/>
            </w:tcBorders>
            <w:vAlign w:val="center"/>
          </w:tcPr>
          <w:p w14:paraId="0E4AD725">
            <w:pPr>
              <w:autoSpaceDE w:val="0"/>
              <w:autoSpaceDN w:val="0"/>
              <w:adjustRightInd w:val="0"/>
              <w:jc w:val="center"/>
              <w:rPr>
                <w:rFonts w:hint="eastAsia" w:ascii="宋体" w:hAnsi="宋体" w:cs="宋体"/>
                <w:color w:val="auto"/>
                <w:szCs w:val="21"/>
                <w:highlight w:val="none"/>
              </w:rPr>
            </w:pPr>
            <w:r>
              <w:rPr>
                <w:rFonts w:hint="eastAsia" w:ascii="宋体" w:hAnsi="宋体" w:cs="TimesNewRomanPSMT"/>
                <w:color w:val="auto"/>
                <w:kern w:val="0"/>
                <w:szCs w:val="21"/>
                <w:highlight w:val="none"/>
              </w:rPr>
              <w:t>31</w:t>
            </w:r>
          </w:p>
        </w:tc>
        <w:tc>
          <w:tcPr>
            <w:tcW w:w="2109" w:type="dxa"/>
            <w:gridSpan w:val="2"/>
            <w:tcBorders>
              <w:top w:val="single" w:color="auto" w:sz="4" w:space="0"/>
              <w:left w:val="single" w:color="auto" w:sz="4" w:space="0"/>
              <w:bottom w:val="single" w:color="auto" w:sz="4" w:space="0"/>
              <w:right w:val="single" w:color="auto" w:sz="4" w:space="0"/>
            </w:tcBorders>
            <w:vAlign w:val="center"/>
          </w:tcPr>
          <w:p w14:paraId="682C6CCC">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招标人其他要求</w:t>
            </w:r>
          </w:p>
        </w:tc>
        <w:tc>
          <w:tcPr>
            <w:tcW w:w="7444" w:type="dxa"/>
            <w:tcBorders>
              <w:top w:val="single" w:color="auto" w:sz="4" w:space="0"/>
              <w:left w:val="single" w:color="auto" w:sz="4" w:space="0"/>
              <w:bottom w:val="single" w:color="auto" w:sz="4" w:space="0"/>
              <w:right w:val="single" w:color="auto" w:sz="4" w:space="0"/>
            </w:tcBorders>
            <w:vAlign w:val="center"/>
          </w:tcPr>
          <w:p w14:paraId="0B56BD75">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1、任何一方违约另一方有权依据合同约定终止合同。</w:t>
            </w:r>
          </w:p>
          <w:p w14:paraId="19AEE1D6">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2、具体实施条款按合同专项约定。</w:t>
            </w:r>
          </w:p>
          <w:p w14:paraId="651A8849">
            <w:pPr>
              <w:autoSpaceDE w:val="0"/>
              <w:spacing w:line="360" w:lineRule="auto"/>
              <w:jc w:val="left"/>
              <w:outlineLvl w:val="0"/>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eastAsia="zh-CN"/>
              </w:rPr>
              <w:t>3、项目所属行业：</w:t>
            </w:r>
            <w:r>
              <w:rPr>
                <w:rFonts w:hint="eastAsia" w:ascii="宋体" w:hAnsi="宋体" w:eastAsia="宋体" w:cs="Times New Roman"/>
                <w:b/>
                <w:bCs/>
                <w:color w:val="auto"/>
                <w:sz w:val="22"/>
                <w:szCs w:val="22"/>
                <w:highlight w:val="none"/>
                <w:lang w:eastAsia="zh-CN"/>
              </w:rPr>
              <w:t>租赁和商务服务业</w:t>
            </w:r>
            <w:r>
              <w:rPr>
                <w:rFonts w:hint="eastAsia" w:ascii="宋体" w:hAnsi="宋体" w:eastAsia="宋体" w:cs="Times New Roman"/>
                <w:color w:val="auto"/>
                <w:sz w:val="22"/>
                <w:szCs w:val="22"/>
                <w:highlight w:val="none"/>
                <w:lang w:eastAsia="zh-CN"/>
              </w:rPr>
              <w:t>。</w:t>
            </w:r>
          </w:p>
        </w:tc>
      </w:tr>
    </w:tbl>
    <w:p w14:paraId="6DD7A3FC">
      <w:pPr>
        <w:pStyle w:val="25"/>
        <w:spacing w:line="360" w:lineRule="auto"/>
        <w:rPr>
          <w:rFonts w:ascii="宋体" w:eastAsia="宋体"/>
          <w:color w:val="auto"/>
          <w:sz w:val="21"/>
          <w:szCs w:val="21"/>
          <w:highlight w:val="none"/>
        </w:rPr>
      </w:pPr>
      <w:bookmarkStart w:id="116" w:name="_Toc19314"/>
      <w:bookmarkStart w:id="117" w:name="_Toc26118"/>
      <w:bookmarkStart w:id="118" w:name="_Toc28600"/>
      <w:bookmarkStart w:id="119" w:name="_Toc402979489"/>
      <w:bookmarkStart w:id="120" w:name="_Toc238352239"/>
      <w:bookmarkStart w:id="121" w:name="_Toc27698"/>
      <w:bookmarkStart w:id="122" w:name="_Toc12338"/>
      <w:bookmarkStart w:id="123" w:name="_Toc14462"/>
      <w:bookmarkStart w:id="124" w:name="_Toc13572"/>
      <w:bookmarkStart w:id="125" w:name="_Toc22082"/>
      <w:bookmarkStart w:id="126" w:name="_Toc19233"/>
      <w:bookmarkStart w:id="127" w:name="_Toc5434"/>
      <w:bookmarkStart w:id="128" w:name="_Toc19356"/>
      <w:bookmarkStart w:id="129" w:name="_Toc2244"/>
      <w:bookmarkStart w:id="130" w:name="_Toc445450431"/>
      <w:bookmarkStart w:id="131" w:name="_Toc9585"/>
      <w:bookmarkStart w:id="132" w:name="_Toc6130"/>
      <w:bookmarkStart w:id="133" w:name="_Toc8167"/>
      <w:bookmarkStart w:id="134" w:name="_Toc21670"/>
      <w:bookmarkStart w:id="135" w:name="_Toc457735645"/>
      <w:bookmarkStart w:id="136" w:name="_Toc457761140"/>
      <w:r>
        <w:rPr>
          <w:rFonts w:hint="eastAsia" w:ascii="宋体" w:eastAsia="宋体"/>
          <w:color w:val="auto"/>
          <w:sz w:val="21"/>
          <w:szCs w:val="21"/>
          <w:highlight w:val="none"/>
        </w:rPr>
        <w:t>1  总 则</w:t>
      </w:r>
      <w:bookmarkEnd w:id="116"/>
      <w:bookmarkEnd w:id="117"/>
      <w:bookmarkEnd w:id="118"/>
      <w:bookmarkEnd w:id="119"/>
      <w:bookmarkEnd w:id="120"/>
      <w:bookmarkEnd w:id="121"/>
      <w:bookmarkEnd w:id="122"/>
      <w:bookmarkEnd w:id="123"/>
    </w:p>
    <w:p w14:paraId="04BAE71F">
      <w:pPr>
        <w:autoSpaceDE w:val="0"/>
        <w:autoSpaceDN w:val="0"/>
        <w:adjustRightInd w:val="0"/>
        <w:spacing w:line="360" w:lineRule="auto"/>
        <w:jc w:val="left"/>
        <w:rPr>
          <w:rFonts w:hint="eastAsia" w:ascii="宋体" w:hAnsi="宋体" w:cs="仿宋_GB2312"/>
          <w:color w:val="auto"/>
          <w:kern w:val="0"/>
          <w:szCs w:val="21"/>
          <w:highlight w:val="none"/>
        </w:rPr>
      </w:pPr>
      <w:bookmarkStart w:id="137" w:name="_Toc275959535"/>
      <w:bookmarkStart w:id="138" w:name="_Toc275959279"/>
      <w:bookmarkStart w:id="139" w:name="_Toc275963890"/>
      <w:bookmarkStart w:id="140" w:name="_Toc6103"/>
      <w:bookmarkStart w:id="141" w:name="_Toc276720095"/>
      <w:bookmarkStart w:id="142" w:name="_Toc286647840"/>
      <w:r>
        <w:rPr>
          <w:rFonts w:hint="eastAsia" w:ascii="宋体" w:hAnsi="宋体" w:cs="仿宋_GB2312"/>
          <w:color w:val="auto"/>
          <w:kern w:val="0"/>
          <w:szCs w:val="21"/>
          <w:highlight w:val="none"/>
        </w:rPr>
        <w:t>1.1 项目概况</w:t>
      </w:r>
      <w:bookmarkEnd w:id="137"/>
      <w:bookmarkEnd w:id="138"/>
      <w:bookmarkEnd w:id="139"/>
      <w:bookmarkEnd w:id="140"/>
      <w:bookmarkEnd w:id="141"/>
      <w:bookmarkEnd w:id="142"/>
    </w:p>
    <w:p w14:paraId="11414B62">
      <w:pPr>
        <w:autoSpaceDE w:val="0"/>
        <w:autoSpaceDN w:val="0"/>
        <w:adjustRightInd w:val="0"/>
        <w:spacing w:line="360" w:lineRule="auto"/>
        <w:ind w:left="1109" w:leftChars="228" w:hanging="630" w:hangingChars="300"/>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1.1.1 </w:t>
      </w:r>
      <w:r>
        <w:rPr>
          <w:rFonts w:hint="eastAsia" w:ascii="宋体" w:hAnsi="宋体" w:cs="仿宋_GB2312"/>
          <w:color w:val="auto"/>
          <w:kern w:val="0"/>
          <w:szCs w:val="21"/>
          <w:highlight w:val="none"/>
        </w:rPr>
        <w:t>根据《中华人民共和国政府采购法》、《政府采购货物和服务招标投标管理办法》等有关法律、法规和规章的规定，本招标项目已具备招标条件，现对本项目进行公开招标。</w:t>
      </w:r>
    </w:p>
    <w:p w14:paraId="10F5AE25">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1.1.2 </w:t>
      </w:r>
      <w:r>
        <w:rPr>
          <w:rFonts w:hint="eastAsia" w:ascii="宋体" w:hAnsi="宋体" w:cs="仿宋_GB2312"/>
          <w:color w:val="auto"/>
          <w:kern w:val="0"/>
          <w:szCs w:val="21"/>
          <w:highlight w:val="none"/>
        </w:rPr>
        <w:t>本招标项目招标人：见投标人须知前附表。</w:t>
      </w:r>
    </w:p>
    <w:p w14:paraId="3C26761E">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1.1.3 </w:t>
      </w:r>
      <w:r>
        <w:rPr>
          <w:rFonts w:hint="eastAsia" w:ascii="宋体" w:hAnsi="宋体" w:cs="仿宋_GB2312"/>
          <w:color w:val="auto"/>
          <w:kern w:val="0"/>
          <w:szCs w:val="21"/>
          <w:highlight w:val="none"/>
        </w:rPr>
        <w:t>本项目招标代理机构：见投标人须知前附表。</w:t>
      </w:r>
    </w:p>
    <w:p w14:paraId="2A8E2AFA">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1.1.4 </w:t>
      </w:r>
      <w:r>
        <w:rPr>
          <w:rFonts w:hint="eastAsia" w:ascii="宋体" w:hAnsi="宋体" w:cs="仿宋_GB2312"/>
          <w:color w:val="auto"/>
          <w:kern w:val="0"/>
          <w:szCs w:val="21"/>
          <w:highlight w:val="none"/>
        </w:rPr>
        <w:t>本招标项目名称：见投标人须知前附表。</w:t>
      </w:r>
    </w:p>
    <w:p w14:paraId="2B1376A3">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1.1.5 </w:t>
      </w:r>
      <w:r>
        <w:rPr>
          <w:rFonts w:hint="eastAsia" w:ascii="宋体" w:hAnsi="宋体" w:cs="仿宋_GB2312"/>
          <w:color w:val="auto"/>
          <w:kern w:val="0"/>
          <w:szCs w:val="21"/>
          <w:highlight w:val="none"/>
        </w:rPr>
        <w:t>本招标项目的资金来源：见投标人须知前附表。</w:t>
      </w:r>
    </w:p>
    <w:p w14:paraId="24BB1F70">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1.1.6 </w:t>
      </w:r>
      <w:r>
        <w:rPr>
          <w:rFonts w:hint="eastAsia" w:ascii="宋体" w:hAnsi="宋体" w:cs="仿宋_GB2312"/>
          <w:color w:val="auto"/>
          <w:kern w:val="0"/>
          <w:szCs w:val="21"/>
          <w:highlight w:val="none"/>
        </w:rPr>
        <w:t>本招标项目的资金落实情况：见投标人须知前附表。</w:t>
      </w:r>
    </w:p>
    <w:p w14:paraId="39B1C575">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1.1.7 </w:t>
      </w:r>
      <w:r>
        <w:rPr>
          <w:rFonts w:hint="eastAsia" w:ascii="宋体" w:hAnsi="宋体" w:cs="仿宋_GB2312"/>
          <w:color w:val="auto"/>
          <w:kern w:val="0"/>
          <w:szCs w:val="21"/>
          <w:highlight w:val="none"/>
        </w:rPr>
        <w:t>本项目</w:t>
      </w:r>
      <w:r>
        <w:rPr>
          <w:rFonts w:hint="eastAsia" w:ascii="宋体" w:hAnsi="宋体" w:cs="宋体"/>
          <w:color w:val="auto"/>
          <w:kern w:val="0"/>
          <w:szCs w:val="21"/>
          <w:highlight w:val="none"/>
        </w:rPr>
        <w:t>服务期限、合同履行期限</w:t>
      </w:r>
      <w:r>
        <w:rPr>
          <w:rFonts w:hint="eastAsia" w:ascii="宋体" w:hAnsi="宋体" w:cs="仿宋_GB2312"/>
          <w:color w:val="auto"/>
          <w:kern w:val="0"/>
          <w:szCs w:val="21"/>
          <w:highlight w:val="none"/>
        </w:rPr>
        <w:t>：见投标人须知前附表。</w:t>
      </w:r>
    </w:p>
    <w:p w14:paraId="73F0F510">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1.1.8 本</w:t>
      </w:r>
      <w:r>
        <w:rPr>
          <w:rFonts w:hint="eastAsia" w:ascii="宋体" w:hAnsi="宋体" w:cs="宋体"/>
          <w:color w:val="auto"/>
          <w:kern w:val="0"/>
          <w:szCs w:val="21"/>
          <w:highlight w:val="none"/>
        </w:rPr>
        <w:t>项目项目</w:t>
      </w:r>
      <w:r>
        <w:rPr>
          <w:rFonts w:hint="eastAsia" w:ascii="宋体" w:hAnsi="宋体" w:cs="仿宋_GB2312"/>
          <w:color w:val="auto"/>
          <w:kern w:val="0"/>
          <w:szCs w:val="21"/>
          <w:highlight w:val="none"/>
        </w:rPr>
        <w:t>地点：见投标人须知前附表。</w:t>
      </w:r>
    </w:p>
    <w:p w14:paraId="7DF665AA">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TimesNewRomanPSMT"/>
          <w:color w:val="auto"/>
          <w:kern w:val="0"/>
          <w:szCs w:val="21"/>
          <w:highlight w:val="none"/>
        </w:rPr>
        <w:t xml:space="preserve">1.1.9 </w:t>
      </w:r>
      <w:r>
        <w:rPr>
          <w:rFonts w:hint="eastAsia" w:ascii="宋体" w:hAnsi="宋体" w:cs="仿宋_GB2312"/>
          <w:color w:val="auto"/>
          <w:kern w:val="0"/>
          <w:szCs w:val="21"/>
          <w:highlight w:val="none"/>
        </w:rPr>
        <w:t>本</w:t>
      </w:r>
      <w:r>
        <w:rPr>
          <w:rFonts w:hint="eastAsia" w:ascii="宋体" w:hAnsi="宋体" w:cs="宋体"/>
          <w:color w:val="auto"/>
          <w:kern w:val="0"/>
          <w:szCs w:val="21"/>
          <w:highlight w:val="none"/>
        </w:rPr>
        <w:t>项目</w:t>
      </w:r>
      <w:r>
        <w:rPr>
          <w:rFonts w:hint="eastAsia" w:ascii="宋体" w:hAnsi="宋体" w:cs="仿宋_GB2312"/>
          <w:color w:val="auto"/>
          <w:kern w:val="0"/>
          <w:szCs w:val="21"/>
          <w:highlight w:val="none"/>
        </w:rPr>
        <w:t>质量要求：见投标人须知前附表。</w:t>
      </w:r>
    </w:p>
    <w:p w14:paraId="70A71886">
      <w:pPr>
        <w:autoSpaceDE w:val="0"/>
        <w:autoSpaceDN w:val="0"/>
        <w:adjustRightInd w:val="0"/>
        <w:spacing w:line="360" w:lineRule="auto"/>
        <w:ind w:firstLine="539" w:firstLineChars="257"/>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1.1.10本</w:t>
      </w:r>
      <w:r>
        <w:rPr>
          <w:rFonts w:hint="eastAsia" w:ascii="宋体" w:hAnsi="宋体" w:cs="宋体"/>
          <w:color w:val="auto"/>
          <w:kern w:val="0"/>
          <w:szCs w:val="21"/>
          <w:highlight w:val="none"/>
        </w:rPr>
        <w:t>项目</w:t>
      </w:r>
      <w:r>
        <w:rPr>
          <w:rFonts w:hint="eastAsia" w:ascii="宋体" w:hAnsi="宋体" w:cs="仿宋_GB2312"/>
          <w:color w:val="auto"/>
          <w:kern w:val="0"/>
          <w:szCs w:val="21"/>
          <w:highlight w:val="none"/>
        </w:rPr>
        <w:t>采购内容：具体采购内容详见第三章“</w:t>
      </w:r>
      <w:r>
        <w:rPr>
          <w:rFonts w:hint="eastAsia" w:ascii="宋体" w:hAnsi="宋体"/>
          <w:color w:val="auto"/>
          <w:szCs w:val="21"/>
          <w:highlight w:val="none"/>
        </w:rPr>
        <w:t>采购需求及要求</w:t>
      </w:r>
      <w:r>
        <w:rPr>
          <w:rFonts w:hint="eastAsia" w:ascii="宋体" w:hAnsi="宋体" w:cs="仿宋_GB2312"/>
          <w:color w:val="auto"/>
          <w:kern w:val="0"/>
          <w:szCs w:val="21"/>
          <w:highlight w:val="none"/>
        </w:rPr>
        <w:t>”。</w:t>
      </w:r>
    </w:p>
    <w:p w14:paraId="5564D0ED">
      <w:pPr>
        <w:autoSpaceDE w:val="0"/>
        <w:autoSpaceDN w:val="0"/>
        <w:adjustRightInd w:val="0"/>
        <w:spacing w:line="360" w:lineRule="auto"/>
        <w:ind w:firstLine="539" w:firstLineChars="257"/>
        <w:jc w:val="left"/>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rPr>
        <w:t>1.1.11</w:t>
      </w:r>
      <w:r>
        <w:rPr>
          <w:rFonts w:hint="eastAsia" w:ascii="宋体" w:hAnsi="宋体" w:cs="仿宋_GB2312"/>
          <w:color w:val="auto"/>
          <w:kern w:val="0"/>
          <w:szCs w:val="21"/>
          <w:highlight w:val="none"/>
        </w:rPr>
        <w:t>本</w:t>
      </w:r>
      <w:r>
        <w:rPr>
          <w:rFonts w:hint="eastAsia" w:ascii="宋体" w:hAnsi="宋体" w:cs="宋体"/>
          <w:color w:val="auto"/>
          <w:kern w:val="0"/>
          <w:szCs w:val="21"/>
          <w:highlight w:val="none"/>
        </w:rPr>
        <w:t>项目</w:t>
      </w:r>
      <w:r>
        <w:rPr>
          <w:rFonts w:hint="eastAsia" w:ascii="宋体" w:hAnsi="宋体" w:cs="仿宋_GB2312"/>
          <w:color w:val="auto"/>
          <w:kern w:val="0"/>
          <w:szCs w:val="21"/>
          <w:highlight w:val="none"/>
        </w:rPr>
        <w:t>招标范围：见投标人须知前附表。</w:t>
      </w:r>
    </w:p>
    <w:p w14:paraId="17B004DE">
      <w:pPr>
        <w:autoSpaceDE w:val="0"/>
        <w:autoSpaceDN w:val="0"/>
        <w:adjustRightInd w:val="0"/>
        <w:spacing w:line="360" w:lineRule="auto"/>
        <w:jc w:val="left"/>
        <w:rPr>
          <w:rFonts w:hint="eastAsia" w:ascii="宋体" w:hAnsi="宋体" w:cs="宋体"/>
          <w:color w:val="auto"/>
          <w:kern w:val="0"/>
          <w:szCs w:val="21"/>
          <w:highlight w:val="none"/>
        </w:rPr>
      </w:pPr>
      <w:bookmarkStart w:id="143" w:name="_Toc275959280"/>
      <w:bookmarkStart w:id="144" w:name="_Toc275963891"/>
      <w:bookmarkStart w:id="145" w:name="_Toc275959536"/>
      <w:bookmarkStart w:id="146" w:name="_Toc286647841"/>
      <w:bookmarkStart w:id="147" w:name="_Toc276720096"/>
      <w:bookmarkStart w:id="148" w:name="_Toc2576"/>
      <w:r>
        <w:rPr>
          <w:rFonts w:hint="eastAsia" w:ascii="宋体" w:hAnsi="宋体" w:cs="宋体"/>
          <w:color w:val="auto"/>
          <w:kern w:val="0"/>
          <w:szCs w:val="21"/>
          <w:highlight w:val="none"/>
        </w:rPr>
        <w:t>1.2 投标人资格要求</w:t>
      </w:r>
      <w:bookmarkEnd w:id="143"/>
      <w:bookmarkEnd w:id="144"/>
      <w:bookmarkEnd w:id="145"/>
      <w:bookmarkEnd w:id="146"/>
      <w:bookmarkEnd w:id="147"/>
      <w:bookmarkEnd w:id="148"/>
    </w:p>
    <w:p w14:paraId="56B77A49">
      <w:pPr>
        <w:autoSpaceDE w:val="0"/>
        <w:autoSpaceDN w:val="0"/>
        <w:adjustRightInd w:val="0"/>
        <w:spacing w:line="360" w:lineRule="auto"/>
        <w:ind w:firstLine="525" w:firstLineChars="2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1.2.1 投标人应具备承担本招标项目相关的资格条件、能力和信誉。</w:t>
      </w:r>
    </w:p>
    <w:p w14:paraId="57DB20DA">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（1）资格条件：见投标人须知前附表。</w:t>
      </w:r>
    </w:p>
    <w:p w14:paraId="0C883F56">
      <w:pPr>
        <w:autoSpaceDE w:val="0"/>
        <w:autoSpaceDN w:val="0"/>
        <w:adjustRightInd w:val="0"/>
        <w:spacing w:line="360" w:lineRule="auto"/>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 xml:space="preserve">    注：根据《政府采购货物和服务招标投标管理办法》（财政部令第87号）第四章：</w:t>
      </w:r>
    </w:p>
    <w:p w14:paraId="61F28E8C">
      <w:pPr>
        <w:autoSpaceDE w:val="0"/>
        <w:autoSpaceDN w:val="0"/>
        <w:adjustRightInd w:val="0"/>
        <w:spacing w:line="360" w:lineRule="auto"/>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 xml:space="preserve">    第四十四条 公开招标采购项目开标结束后，采购人或者采购代理机构应当依法对投标人的资格进行审查。合格投标人不足3家的，不得评标。</w:t>
      </w:r>
    </w:p>
    <w:p w14:paraId="31537590">
      <w:pPr>
        <w:autoSpaceDE w:val="0"/>
        <w:autoSpaceDN w:val="0"/>
        <w:adjustRightInd w:val="0"/>
        <w:spacing w:line="360" w:lineRule="auto"/>
        <w:ind w:firstLine="525" w:firstLineChars="2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1.2.2 投标人不得存在下列情形之一：</w:t>
      </w:r>
    </w:p>
    <w:p w14:paraId="69D1F3F2">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（1）为投标人不具有立法人资格的附属机构（单位）；</w:t>
      </w:r>
    </w:p>
    <w:p w14:paraId="36887490">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（2）为本招标项目提供招标代理服务的；</w:t>
      </w:r>
    </w:p>
    <w:p w14:paraId="2BEC9680">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（3）与本招标项目的代建人或招标代理机构同为一个法定代表人的；</w:t>
      </w:r>
    </w:p>
    <w:p w14:paraId="2E566C57">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（4）与本招标项目的代建人或招标代理机构相互控股或参股的；</w:t>
      </w:r>
    </w:p>
    <w:p w14:paraId="44871627">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（5）与本招标项目的代建人或招标代理机构相互任职或工作的；</w:t>
      </w:r>
    </w:p>
    <w:p w14:paraId="0D69BA20">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（6）被责令停业的；</w:t>
      </w:r>
    </w:p>
    <w:p w14:paraId="2C161CF1">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（7）被暂停或取消投标资格的；</w:t>
      </w:r>
    </w:p>
    <w:p w14:paraId="67610FAE">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（8）财产被接管或冻结的；</w:t>
      </w:r>
    </w:p>
    <w:p w14:paraId="11A38704">
      <w:pPr>
        <w:autoSpaceDE w:val="0"/>
        <w:autoSpaceDN w:val="0"/>
        <w:adjustRightInd w:val="0"/>
        <w:spacing w:line="360" w:lineRule="auto"/>
        <w:ind w:firstLine="945" w:firstLineChars="450"/>
        <w:jc w:val="left"/>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（9）在最近三年内有骗取中标或严重违约或出现重大质量问题的。</w:t>
      </w:r>
    </w:p>
    <w:p w14:paraId="497F6125">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1.3 费用承担</w:t>
      </w:r>
    </w:p>
    <w:p w14:paraId="36BEA73A">
      <w:pPr>
        <w:spacing w:line="360" w:lineRule="auto"/>
        <w:ind w:firstLine="420" w:firstLineChars="200"/>
        <w:rPr>
          <w:rFonts w:ascii="宋体" w:cs="??_GB2312"/>
          <w:color w:val="auto"/>
          <w:kern w:val="0"/>
          <w:szCs w:val="21"/>
          <w:highlight w:val="none"/>
        </w:rPr>
      </w:pPr>
      <w:r>
        <w:rPr>
          <w:rFonts w:hint="eastAsia" w:ascii="宋体" w:hAnsi="宋体" w:cs="??_GB2312"/>
          <w:color w:val="auto"/>
          <w:kern w:val="0"/>
          <w:szCs w:val="21"/>
          <w:highlight w:val="none"/>
        </w:rPr>
        <w:t>投标人准备和参加本次投标活动所发生的一切费用自理。</w:t>
      </w:r>
    </w:p>
    <w:p w14:paraId="4B222D4B">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1.4 保密</w:t>
      </w:r>
    </w:p>
    <w:p w14:paraId="79306C30">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 xml:space="preserve">    参与招标投标活动的各方应对招标文件和投标文件中的商业和技术等秘密保密，违者应对由此造成的后果承担法律责任。</w:t>
      </w:r>
    </w:p>
    <w:p w14:paraId="51B35463">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1.5语言文字</w:t>
      </w:r>
    </w:p>
    <w:p w14:paraId="67B949FB">
      <w:pPr>
        <w:spacing w:line="360" w:lineRule="auto"/>
        <w:ind w:firstLine="480"/>
        <w:rPr>
          <w:rFonts w:ascii="宋体" w:cs="??_GB2312"/>
          <w:color w:val="auto"/>
          <w:kern w:val="0"/>
          <w:szCs w:val="21"/>
          <w:highlight w:val="none"/>
        </w:rPr>
      </w:pPr>
      <w:r>
        <w:rPr>
          <w:rFonts w:hint="eastAsia" w:ascii="宋体" w:hAnsi="宋体" w:cs="??_GB2312"/>
          <w:color w:val="auto"/>
          <w:kern w:val="0"/>
          <w:szCs w:val="21"/>
          <w:highlight w:val="none"/>
        </w:rPr>
        <w:t>除专用术语外，与招标投标有关的语言均使用中文。必要时专用术语应附有中文注释。</w:t>
      </w:r>
    </w:p>
    <w:p w14:paraId="4A58113A">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1.6计量单位</w:t>
      </w:r>
    </w:p>
    <w:p w14:paraId="2F99BF41">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 xml:space="preserve">    所有计量均采用中华人民共和国法定计量单位。</w:t>
      </w:r>
    </w:p>
    <w:p w14:paraId="384AEAA5">
      <w:pPr>
        <w:spacing w:line="360" w:lineRule="auto"/>
        <w:rPr>
          <w:rFonts w:ascii="宋体" w:cs="??_GB2312"/>
          <w:color w:val="auto"/>
          <w:kern w:val="0"/>
          <w:szCs w:val="21"/>
          <w:highlight w:val="none"/>
        </w:rPr>
      </w:pPr>
      <w:bookmarkStart w:id="149" w:name="_Toc238352241"/>
      <w:r>
        <w:rPr>
          <w:rFonts w:hint="eastAsia" w:ascii="宋体" w:hAnsi="宋体" w:cs="??_GB2312"/>
          <w:color w:val="auto"/>
          <w:kern w:val="0"/>
          <w:szCs w:val="21"/>
          <w:highlight w:val="none"/>
        </w:rPr>
        <w:t>1.7 投标预备会</w:t>
      </w:r>
    </w:p>
    <w:p w14:paraId="2D18811A">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 xml:space="preserve">     不召开。</w:t>
      </w:r>
    </w:p>
    <w:p w14:paraId="201D8F06">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1.8 偏离</w:t>
      </w:r>
    </w:p>
    <w:p w14:paraId="2904A515">
      <w:pPr>
        <w:spacing w:line="360" w:lineRule="auto"/>
        <w:ind w:firstLine="315" w:firstLineChars="150"/>
        <w:rPr>
          <w:rFonts w:ascii="宋体" w:cs="??_GB2312"/>
          <w:color w:val="auto"/>
          <w:kern w:val="0"/>
          <w:szCs w:val="21"/>
          <w:highlight w:val="none"/>
        </w:rPr>
      </w:pPr>
      <w:r>
        <w:rPr>
          <w:rFonts w:hint="eastAsia" w:ascii="宋体" w:hAnsi="宋体" w:cs="??_GB2312"/>
          <w:color w:val="auto"/>
          <w:kern w:val="0"/>
          <w:szCs w:val="21"/>
          <w:highlight w:val="none"/>
        </w:rPr>
        <w:t xml:space="preserve"> 不允许有重大偏离。</w:t>
      </w:r>
    </w:p>
    <w:p w14:paraId="323DF08B">
      <w:pPr>
        <w:pStyle w:val="25"/>
        <w:spacing w:line="360" w:lineRule="auto"/>
        <w:rPr>
          <w:rFonts w:ascii="宋体" w:eastAsia="宋体" w:cs="??_GB2312"/>
          <w:color w:val="auto"/>
          <w:sz w:val="21"/>
          <w:szCs w:val="21"/>
          <w:highlight w:val="none"/>
        </w:rPr>
      </w:pPr>
      <w:bookmarkStart w:id="150" w:name="_Toc18117"/>
      <w:bookmarkStart w:id="151" w:name="_Toc13619"/>
      <w:bookmarkStart w:id="152" w:name="_Toc13449"/>
      <w:bookmarkStart w:id="153" w:name="_Toc402979490"/>
      <w:bookmarkStart w:id="154" w:name="_Toc4803"/>
      <w:bookmarkStart w:id="155" w:name="_Toc17712"/>
      <w:bookmarkStart w:id="156" w:name="_Toc8304"/>
      <w:r>
        <w:rPr>
          <w:rFonts w:hint="eastAsia" w:ascii="宋体" w:eastAsia="宋体" w:cs="??_GB2312"/>
          <w:color w:val="auto"/>
          <w:sz w:val="21"/>
          <w:szCs w:val="21"/>
          <w:highlight w:val="none"/>
        </w:rPr>
        <w:t>2  招标文件</w:t>
      </w:r>
      <w:bookmarkEnd w:id="149"/>
      <w:bookmarkEnd w:id="150"/>
      <w:bookmarkEnd w:id="151"/>
      <w:bookmarkEnd w:id="152"/>
      <w:bookmarkEnd w:id="153"/>
      <w:bookmarkEnd w:id="154"/>
      <w:bookmarkEnd w:id="155"/>
      <w:bookmarkEnd w:id="156"/>
      <w:r>
        <w:rPr>
          <w:rFonts w:hint="eastAsia" w:ascii="宋体" w:eastAsia="宋体" w:cs="??_GB2312"/>
          <w:color w:val="auto"/>
          <w:sz w:val="21"/>
          <w:szCs w:val="21"/>
          <w:highlight w:val="none"/>
        </w:rPr>
        <w:t xml:space="preserve"> </w:t>
      </w:r>
    </w:p>
    <w:p w14:paraId="0D41DD24">
      <w:pPr>
        <w:spacing w:line="360" w:lineRule="auto"/>
        <w:rPr>
          <w:rFonts w:ascii="宋体" w:cs="??_GB2312"/>
          <w:color w:val="auto"/>
          <w:kern w:val="0"/>
          <w:szCs w:val="21"/>
          <w:highlight w:val="none"/>
        </w:rPr>
      </w:pPr>
      <w:r>
        <w:rPr>
          <w:rFonts w:hint="eastAsia" w:ascii="宋体" w:hAnsi="宋体" w:cs="??_GB2312"/>
          <w:color w:val="auto"/>
          <w:kern w:val="0"/>
          <w:szCs w:val="21"/>
          <w:highlight w:val="none"/>
        </w:rPr>
        <w:t>2.1 招标文件的组成</w:t>
      </w:r>
    </w:p>
    <w:p w14:paraId="32CD5CFC">
      <w:pPr>
        <w:spacing w:line="360" w:lineRule="auto"/>
        <w:ind w:firstLine="420" w:firstLineChars="200"/>
        <w:rPr>
          <w:rFonts w:ascii="宋体"/>
          <w:color w:val="auto"/>
          <w:szCs w:val="21"/>
          <w:highlight w:val="none"/>
        </w:rPr>
      </w:pPr>
      <w:r>
        <w:rPr>
          <w:rFonts w:hint="eastAsia" w:ascii="宋体" w:hAnsi="宋体" w:cs="??_GB2312"/>
          <w:color w:val="auto"/>
          <w:kern w:val="0"/>
          <w:szCs w:val="21"/>
          <w:highlight w:val="none"/>
        </w:rPr>
        <w:t>招标文件包括下列内</w:t>
      </w:r>
      <w:r>
        <w:rPr>
          <w:rFonts w:hint="eastAsia" w:ascii="宋体" w:hAnsi="宋体"/>
          <w:color w:val="auto"/>
          <w:szCs w:val="21"/>
          <w:highlight w:val="none"/>
        </w:rPr>
        <w:t>容：</w:t>
      </w:r>
    </w:p>
    <w:p w14:paraId="0B74FE26">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"_Toc9635" </w:instrText>
      </w:r>
      <w:r>
        <w:rPr>
          <w:color w:val="auto"/>
          <w:highlight w:val="none"/>
        </w:rPr>
        <w:fldChar w:fldCharType="separate"/>
      </w:r>
      <w:r>
        <w:rPr>
          <w:rFonts w:hint="eastAsia" w:ascii="宋体" w:hAnsi="宋体"/>
          <w:color w:val="auto"/>
          <w:szCs w:val="21"/>
          <w:highlight w:val="none"/>
        </w:rPr>
        <w:t>第一章 招标公告</w:t>
      </w:r>
      <w:r>
        <w:rPr>
          <w:rFonts w:hint="eastAsia" w:ascii="宋体" w:hAnsi="宋体"/>
          <w:color w:val="auto"/>
          <w:szCs w:val="21"/>
          <w:highlight w:val="none"/>
        </w:rPr>
        <w:tab/>
      </w:r>
      <w:r>
        <w:rPr>
          <w:rFonts w:hint="eastAsia" w:ascii="宋体" w:hAnsi="宋体"/>
          <w:color w:val="auto"/>
          <w:szCs w:val="21"/>
          <w:highlight w:val="none"/>
        </w:rPr>
        <w:fldChar w:fldCharType="end"/>
      </w:r>
    </w:p>
    <w:p w14:paraId="2246C00A">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"_Toc5774" </w:instrText>
      </w:r>
      <w:r>
        <w:rPr>
          <w:color w:val="auto"/>
          <w:highlight w:val="none"/>
        </w:rPr>
        <w:fldChar w:fldCharType="separate"/>
      </w:r>
      <w:r>
        <w:rPr>
          <w:rFonts w:hint="eastAsia" w:ascii="宋体" w:hAnsi="宋体"/>
          <w:color w:val="auto"/>
          <w:szCs w:val="21"/>
          <w:highlight w:val="none"/>
        </w:rPr>
        <w:t>第二章 投标人须知</w:t>
      </w:r>
      <w:r>
        <w:rPr>
          <w:rFonts w:hint="eastAsia" w:ascii="宋体" w:hAnsi="宋体"/>
          <w:color w:val="auto"/>
          <w:szCs w:val="21"/>
          <w:highlight w:val="none"/>
        </w:rPr>
        <w:tab/>
      </w:r>
      <w:r>
        <w:rPr>
          <w:rFonts w:hint="eastAsia" w:ascii="宋体" w:hAnsi="宋体"/>
          <w:color w:val="auto"/>
          <w:szCs w:val="21"/>
          <w:highlight w:val="none"/>
        </w:rPr>
        <w:fldChar w:fldCharType="end"/>
      </w:r>
    </w:p>
    <w:p w14:paraId="0F41F702">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"_Toc8350" </w:instrText>
      </w:r>
      <w:r>
        <w:rPr>
          <w:color w:val="auto"/>
          <w:highlight w:val="none"/>
        </w:rPr>
        <w:fldChar w:fldCharType="separate"/>
      </w:r>
      <w:r>
        <w:rPr>
          <w:rFonts w:hint="eastAsia" w:ascii="宋体" w:hAnsi="宋体"/>
          <w:color w:val="auto"/>
          <w:szCs w:val="21"/>
          <w:highlight w:val="none"/>
        </w:rPr>
        <w:t>第三章 采购需求及要求</w:t>
      </w:r>
      <w:r>
        <w:rPr>
          <w:rFonts w:hint="eastAsia" w:ascii="宋体" w:hAnsi="宋体"/>
          <w:color w:val="auto"/>
          <w:szCs w:val="21"/>
          <w:highlight w:val="none"/>
        </w:rPr>
        <w:tab/>
      </w:r>
      <w:r>
        <w:rPr>
          <w:rFonts w:hint="eastAsia" w:ascii="宋体" w:hAnsi="宋体"/>
          <w:color w:val="auto"/>
          <w:szCs w:val="21"/>
          <w:highlight w:val="none"/>
        </w:rPr>
        <w:fldChar w:fldCharType="end"/>
      </w:r>
    </w:p>
    <w:p w14:paraId="70ADC41E">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"_Toc25581" </w:instrText>
      </w:r>
      <w:r>
        <w:rPr>
          <w:color w:val="auto"/>
          <w:highlight w:val="none"/>
        </w:rPr>
        <w:fldChar w:fldCharType="separate"/>
      </w:r>
      <w:r>
        <w:rPr>
          <w:rFonts w:hint="eastAsia" w:ascii="宋体" w:hAnsi="宋体"/>
          <w:color w:val="auto"/>
          <w:szCs w:val="21"/>
          <w:highlight w:val="none"/>
        </w:rPr>
        <w:t>第四章 评标办法</w:t>
      </w:r>
      <w:r>
        <w:rPr>
          <w:rFonts w:hint="eastAsia" w:ascii="宋体" w:hAnsi="宋体"/>
          <w:color w:val="auto"/>
          <w:szCs w:val="21"/>
          <w:highlight w:val="none"/>
        </w:rPr>
        <w:tab/>
      </w:r>
      <w:r>
        <w:rPr>
          <w:rFonts w:hint="eastAsia" w:ascii="宋体" w:hAnsi="宋体"/>
          <w:color w:val="auto"/>
          <w:szCs w:val="21"/>
          <w:highlight w:val="none"/>
        </w:rPr>
        <w:fldChar w:fldCharType="end"/>
      </w:r>
    </w:p>
    <w:p w14:paraId="55499C2C">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"_Toc32072" </w:instrText>
      </w:r>
      <w:r>
        <w:rPr>
          <w:color w:val="auto"/>
          <w:highlight w:val="none"/>
        </w:rPr>
        <w:fldChar w:fldCharType="separate"/>
      </w:r>
      <w:r>
        <w:rPr>
          <w:rFonts w:hint="eastAsia" w:ascii="宋体" w:hAnsi="宋体"/>
          <w:color w:val="auto"/>
          <w:szCs w:val="21"/>
          <w:highlight w:val="none"/>
        </w:rPr>
        <w:t>第五章 合同</w:t>
      </w:r>
      <w:r>
        <w:rPr>
          <w:rFonts w:hint="eastAsia" w:ascii="宋体" w:hAnsi="宋体"/>
          <w:color w:val="auto"/>
          <w:szCs w:val="21"/>
          <w:highlight w:val="none"/>
        </w:rPr>
        <w:fldChar w:fldCharType="end"/>
      </w:r>
    </w:p>
    <w:p w14:paraId="03F925C5">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"_Toc5641" </w:instrText>
      </w:r>
      <w:r>
        <w:rPr>
          <w:color w:val="auto"/>
          <w:highlight w:val="none"/>
        </w:rPr>
        <w:fldChar w:fldCharType="separate"/>
      </w:r>
      <w:r>
        <w:rPr>
          <w:rFonts w:hint="eastAsia" w:ascii="宋体" w:hAnsi="宋体"/>
          <w:color w:val="auto"/>
          <w:szCs w:val="21"/>
          <w:highlight w:val="none"/>
        </w:rPr>
        <w:t>第六章 投标文件格式</w:t>
      </w:r>
      <w:r>
        <w:rPr>
          <w:rFonts w:hint="eastAsia" w:ascii="宋体" w:hAnsi="宋体"/>
          <w:color w:val="auto"/>
          <w:szCs w:val="21"/>
          <w:highlight w:val="none"/>
        </w:rPr>
        <w:tab/>
      </w:r>
      <w:r>
        <w:rPr>
          <w:rFonts w:hint="eastAsia" w:ascii="宋体" w:hAnsi="宋体"/>
          <w:color w:val="auto"/>
          <w:szCs w:val="21"/>
          <w:highlight w:val="none"/>
        </w:rPr>
        <w:fldChar w:fldCharType="end"/>
      </w:r>
    </w:p>
    <w:p w14:paraId="082AAB9F">
      <w:pPr>
        <w:spacing w:line="360" w:lineRule="auto"/>
        <w:rPr>
          <w:rFonts w:ascii="宋体"/>
          <w:color w:val="auto"/>
          <w:szCs w:val="21"/>
          <w:highlight w:val="none"/>
        </w:rPr>
      </w:pPr>
      <w:r>
        <w:rPr>
          <w:rFonts w:hint="eastAsia" w:ascii="宋体" w:hAnsi="宋体"/>
          <w:color w:val="auto"/>
          <w:szCs w:val="21"/>
          <w:highlight w:val="none"/>
        </w:rPr>
        <w:t xml:space="preserve">    根据本章第2.2款和第2.3款对招标文件所作的澄清、修改，构成招标文件的组成部分。</w:t>
      </w:r>
    </w:p>
    <w:p w14:paraId="680696F3">
      <w:pPr>
        <w:spacing w:line="360" w:lineRule="auto"/>
        <w:rPr>
          <w:rFonts w:ascii="宋体"/>
          <w:color w:val="auto"/>
          <w:szCs w:val="21"/>
          <w:highlight w:val="none"/>
        </w:rPr>
      </w:pPr>
      <w:r>
        <w:rPr>
          <w:rFonts w:hint="eastAsia" w:ascii="宋体" w:hAnsi="宋体"/>
          <w:color w:val="auto"/>
          <w:szCs w:val="21"/>
          <w:highlight w:val="none"/>
        </w:rPr>
        <w:t>2.2招标文件的澄清和修改</w:t>
      </w:r>
    </w:p>
    <w:p w14:paraId="5FD9DE36">
      <w:pPr>
        <w:spacing w:line="360" w:lineRule="auto"/>
        <w:ind w:left="1106" w:leftChars="222" w:hanging="640" w:hangingChars="305"/>
        <w:rPr>
          <w:rFonts w:hint="eastAsia" w:ascii="宋体" w:hAnsi="宋体"/>
          <w:color w:val="auto"/>
          <w:szCs w:val="21"/>
          <w:highlight w:val="none"/>
        </w:rPr>
      </w:pPr>
      <w:bookmarkStart w:id="157" w:name="_Toc238352242"/>
      <w:bookmarkStart w:id="158" w:name="_Toc402979491"/>
      <w:bookmarkStart w:id="159" w:name="_Toc528119497"/>
      <w:bookmarkStart w:id="160" w:name="_Toc8816"/>
      <w:bookmarkStart w:id="161" w:name="_Toc7981"/>
      <w:r>
        <w:rPr>
          <w:rFonts w:hint="eastAsia" w:ascii="宋体" w:hAnsi="宋体"/>
          <w:color w:val="auto"/>
          <w:szCs w:val="21"/>
          <w:highlight w:val="none"/>
        </w:rPr>
        <w:t>2.2.1 投标人应仔细阅读和检查招标文件的全部内容。如发现缺页或附件不全，应及时向招标人提出，以便补齐。如有疑问，应在投标人须知前附表规定的时间前以书面形式或者网站发布公告的形式（包括信函、传真等可以有形地表现所载内容的形式，下同），要求招标人对招标文件予以澄清。</w:t>
      </w:r>
    </w:p>
    <w:p w14:paraId="442EBA13">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2.2.2 招标文件的澄清将在接投标人问题后3日内以书面形式或者网站发布公告的形式通知所有购买招标文件的投标人，但不指明澄清问题的来源。</w:t>
      </w:r>
    </w:p>
    <w:p w14:paraId="4FA5396D">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2.2.3自招标文件的澄清在相关网站发布起，即默认投标人收到。</w:t>
      </w:r>
    </w:p>
    <w:p w14:paraId="1098F23A">
      <w:pPr>
        <w:spacing w:line="360" w:lineRule="auto"/>
        <w:rPr>
          <w:rFonts w:hint="eastAsia" w:ascii="宋体" w:hAnsi="宋体"/>
          <w:color w:val="auto"/>
          <w:szCs w:val="21"/>
          <w:highlight w:val="none"/>
        </w:rPr>
      </w:pPr>
      <w:bookmarkStart w:id="162" w:name="_Toc227492233"/>
      <w:bookmarkStart w:id="163" w:name="_Toc321472043"/>
      <w:bookmarkStart w:id="164" w:name="_Toc228591646"/>
      <w:bookmarkStart w:id="165" w:name="_Toc214433876"/>
      <w:bookmarkStart w:id="166" w:name="_Toc228337087"/>
      <w:bookmarkStart w:id="167" w:name="_Toc364341254"/>
      <w:bookmarkStart w:id="168" w:name="_Toc327599846"/>
      <w:bookmarkStart w:id="169" w:name="_Toc228589152"/>
      <w:bookmarkStart w:id="170" w:name="_Toc327565123"/>
      <w:bookmarkStart w:id="171" w:name="_Toc364341516"/>
      <w:bookmarkStart w:id="172" w:name="_Toc228591498"/>
      <w:bookmarkStart w:id="173" w:name="_Toc321472303"/>
      <w:bookmarkStart w:id="174" w:name="_Toc407441992"/>
      <w:bookmarkStart w:id="175" w:name="_Toc227657476"/>
      <w:bookmarkStart w:id="176" w:name="_Toc228881150"/>
      <w:r>
        <w:rPr>
          <w:rFonts w:hint="eastAsia" w:ascii="宋体" w:hAnsi="宋体"/>
          <w:color w:val="auto"/>
          <w:szCs w:val="21"/>
          <w:highlight w:val="none"/>
        </w:rPr>
        <w:t>2.3 招标文件的修改</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56915690">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2.3.1 在投标截止时间15天前，招标人可以网站发布公告的形式修改招标文件。如果修改招标文件的时间距投标截止时间不足15天，相应延长投标截止时间。</w:t>
      </w:r>
    </w:p>
    <w:p w14:paraId="20B2B4B2">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2.3.2自招标文件的修改在相关网站发布起，即默认投标人收到。</w:t>
      </w:r>
    </w:p>
    <w:p w14:paraId="02CAD71A">
      <w:pPr>
        <w:pStyle w:val="25"/>
        <w:spacing w:line="360" w:lineRule="auto"/>
        <w:rPr>
          <w:rFonts w:ascii="宋体" w:eastAsia="宋体"/>
          <w:color w:val="auto"/>
          <w:sz w:val="21"/>
          <w:szCs w:val="21"/>
          <w:highlight w:val="none"/>
        </w:rPr>
      </w:pPr>
      <w:bookmarkStart w:id="177" w:name="_Toc21571"/>
      <w:bookmarkStart w:id="178" w:name="_Toc4037"/>
      <w:bookmarkStart w:id="179" w:name="_Toc27138"/>
      <w:bookmarkStart w:id="180" w:name="_Toc9425"/>
      <w:r>
        <w:rPr>
          <w:rFonts w:hint="eastAsia" w:ascii="宋体" w:eastAsia="宋体"/>
          <w:color w:val="auto"/>
          <w:sz w:val="21"/>
          <w:szCs w:val="21"/>
          <w:highlight w:val="none"/>
        </w:rPr>
        <w:t>3  投标文件</w:t>
      </w:r>
      <w:bookmarkEnd w:id="157"/>
      <w:bookmarkEnd w:id="158"/>
      <w:bookmarkEnd w:id="159"/>
      <w:bookmarkEnd w:id="160"/>
      <w:bookmarkEnd w:id="161"/>
      <w:bookmarkEnd w:id="177"/>
      <w:bookmarkEnd w:id="178"/>
      <w:bookmarkEnd w:id="179"/>
      <w:bookmarkEnd w:id="180"/>
    </w:p>
    <w:p w14:paraId="3AAAAA08">
      <w:pPr>
        <w:spacing w:line="360" w:lineRule="auto"/>
        <w:rPr>
          <w:rFonts w:ascii="宋体"/>
          <w:color w:val="auto"/>
          <w:szCs w:val="21"/>
          <w:highlight w:val="none"/>
        </w:rPr>
      </w:pPr>
      <w:r>
        <w:rPr>
          <w:rFonts w:hint="eastAsia" w:ascii="宋体" w:hAnsi="宋体"/>
          <w:color w:val="auto"/>
          <w:szCs w:val="21"/>
          <w:highlight w:val="none"/>
        </w:rPr>
        <w:t>3.1投标文件的组成</w:t>
      </w:r>
    </w:p>
    <w:p w14:paraId="4049C77B">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"_Toc32513" </w:instrText>
      </w:r>
      <w:r>
        <w:rPr>
          <w:color w:val="auto"/>
          <w:highlight w:val="none"/>
        </w:rPr>
        <w:fldChar w:fldCharType="separate"/>
      </w:r>
      <w:r>
        <w:rPr>
          <w:rFonts w:hint="eastAsia" w:ascii="宋体" w:hAnsi="宋体"/>
          <w:color w:val="auto"/>
          <w:szCs w:val="21"/>
          <w:highlight w:val="none"/>
        </w:rPr>
        <w:t>一、投标函</w:t>
      </w:r>
      <w:r>
        <w:rPr>
          <w:rFonts w:hint="eastAsia" w:ascii="宋体" w:hAnsi="宋体"/>
          <w:color w:val="auto"/>
          <w:szCs w:val="21"/>
          <w:highlight w:val="none"/>
        </w:rPr>
        <w:tab/>
      </w:r>
      <w:r>
        <w:rPr>
          <w:rFonts w:hint="eastAsia" w:ascii="宋体" w:hAnsi="宋体"/>
          <w:color w:val="auto"/>
          <w:szCs w:val="21"/>
          <w:highlight w:val="none"/>
        </w:rPr>
        <w:fldChar w:fldCharType="end"/>
      </w:r>
    </w:p>
    <w:p w14:paraId="69768A9B">
      <w:pPr>
        <w:spacing w:line="360" w:lineRule="auto"/>
        <w:ind w:left="1106" w:leftChars="222" w:hanging="640" w:hangingChars="305"/>
        <w:rPr>
          <w:rFonts w:hint="eastAsia" w:ascii="宋体" w:hAnsi="宋体"/>
          <w:color w:val="auto"/>
          <w:szCs w:val="21"/>
          <w:highlight w:val="none"/>
        </w:rPr>
      </w:pPr>
      <w:r>
        <w:rPr>
          <w:color w:val="auto"/>
          <w:highlight w:val="none"/>
        </w:rPr>
        <w:fldChar w:fldCharType="begin"/>
      </w:r>
      <w:r>
        <w:rPr>
          <w:color w:val="auto"/>
          <w:highlight w:val="none"/>
        </w:rPr>
        <w:instrText xml:space="preserve"> HYPERLINK \l "_Toc3998" </w:instrText>
      </w:r>
      <w:r>
        <w:rPr>
          <w:color w:val="auto"/>
          <w:highlight w:val="none"/>
        </w:rPr>
        <w:fldChar w:fldCharType="separate"/>
      </w:r>
      <w:r>
        <w:rPr>
          <w:rFonts w:hint="eastAsia" w:ascii="宋体" w:hAnsi="宋体"/>
          <w:color w:val="auto"/>
          <w:szCs w:val="21"/>
          <w:highlight w:val="none"/>
        </w:rPr>
        <w:t>二、投标函附录</w:t>
      </w:r>
      <w:r>
        <w:rPr>
          <w:rFonts w:hint="eastAsia" w:ascii="宋体" w:hAnsi="宋体"/>
          <w:color w:val="auto"/>
          <w:szCs w:val="21"/>
          <w:highlight w:val="none"/>
        </w:rPr>
        <w:tab/>
      </w:r>
      <w:r>
        <w:rPr>
          <w:rFonts w:hint="eastAsia" w:ascii="宋体" w:hAnsi="宋体"/>
          <w:color w:val="auto"/>
          <w:szCs w:val="21"/>
          <w:highlight w:val="none"/>
        </w:rPr>
        <w:fldChar w:fldCharType="end"/>
      </w:r>
    </w:p>
    <w:p w14:paraId="03B03CBF">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三、</w:t>
      </w:r>
      <w:r>
        <w:rPr>
          <w:color w:val="auto"/>
          <w:highlight w:val="none"/>
        </w:rPr>
        <w:fldChar w:fldCharType="begin"/>
      </w:r>
      <w:r>
        <w:rPr>
          <w:color w:val="auto"/>
          <w:highlight w:val="none"/>
        </w:rPr>
        <w:instrText xml:space="preserve"> HYPERLINK \l "_Toc24941" </w:instrText>
      </w:r>
      <w:r>
        <w:rPr>
          <w:color w:val="auto"/>
          <w:highlight w:val="none"/>
        </w:rPr>
        <w:fldChar w:fldCharType="separate"/>
      </w:r>
      <w:r>
        <w:rPr>
          <w:rFonts w:hint="eastAsia" w:ascii="宋体" w:hAnsi="宋体"/>
          <w:color w:val="auto"/>
          <w:szCs w:val="21"/>
          <w:highlight w:val="none"/>
        </w:rPr>
        <w:t>法定代表人身份证明</w:t>
      </w:r>
      <w:r>
        <w:rPr>
          <w:rFonts w:hint="eastAsia" w:ascii="宋体" w:hAnsi="宋体"/>
          <w:color w:val="auto"/>
          <w:szCs w:val="21"/>
          <w:highlight w:val="none"/>
        </w:rPr>
        <w:tab/>
      </w:r>
      <w:r>
        <w:rPr>
          <w:rFonts w:hint="eastAsia" w:ascii="宋体" w:hAnsi="宋体"/>
          <w:color w:val="auto"/>
          <w:szCs w:val="21"/>
          <w:highlight w:val="none"/>
        </w:rPr>
        <w:fldChar w:fldCharType="end"/>
      </w:r>
    </w:p>
    <w:p w14:paraId="1B171619">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四、</w:t>
      </w:r>
      <w:r>
        <w:rPr>
          <w:color w:val="auto"/>
          <w:highlight w:val="none"/>
        </w:rPr>
        <w:fldChar w:fldCharType="begin"/>
      </w:r>
      <w:r>
        <w:rPr>
          <w:color w:val="auto"/>
          <w:highlight w:val="none"/>
        </w:rPr>
        <w:instrText xml:space="preserve"> HYPERLINK \l "_Toc28345" </w:instrText>
      </w:r>
      <w:r>
        <w:rPr>
          <w:color w:val="auto"/>
          <w:highlight w:val="none"/>
        </w:rPr>
        <w:fldChar w:fldCharType="separate"/>
      </w:r>
      <w:r>
        <w:rPr>
          <w:rFonts w:hint="eastAsia" w:ascii="宋体" w:hAnsi="宋体"/>
          <w:color w:val="auto"/>
          <w:szCs w:val="21"/>
          <w:highlight w:val="none"/>
        </w:rPr>
        <w:t>法定代表人授权书</w:t>
      </w:r>
      <w:r>
        <w:rPr>
          <w:rFonts w:hint="eastAsia" w:ascii="宋体" w:hAnsi="宋体"/>
          <w:color w:val="auto"/>
          <w:szCs w:val="21"/>
          <w:highlight w:val="none"/>
        </w:rPr>
        <w:tab/>
      </w:r>
      <w:r>
        <w:rPr>
          <w:rFonts w:hint="eastAsia" w:ascii="宋体" w:hAnsi="宋体"/>
          <w:color w:val="auto"/>
          <w:szCs w:val="21"/>
          <w:highlight w:val="none"/>
        </w:rPr>
        <w:fldChar w:fldCharType="end"/>
      </w:r>
    </w:p>
    <w:p w14:paraId="5FB78516">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五、</w:t>
      </w:r>
      <w:r>
        <w:rPr>
          <w:color w:val="auto"/>
          <w:highlight w:val="none"/>
        </w:rPr>
        <w:fldChar w:fldCharType="begin"/>
      </w:r>
      <w:r>
        <w:rPr>
          <w:color w:val="auto"/>
          <w:highlight w:val="none"/>
        </w:rPr>
        <w:instrText xml:space="preserve"> HYPERLINK \l "_Toc21914" </w:instrText>
      </w:r>
      <w:r>
        <w:rPr>
          <w:color w:val="auto"/>
          <w:highlight w:val="none"/>
        </w:rPr>
        <w:fldChar w:fldCharType="separate"/>
      </w:r>
      <w:r>
        <w:rPr>
          <w:rFonts w:hint="eastAsia" w:ascii="宋体" w:hAnsi="宋体"/>
          <w:color w:val="auto"/>
          <w:szCs w:val="21"/>
          <w:highlight w:val="none"/>
        </w:rPr>
        <w:t>投标人资格证明文件</w:t>
      </w:r>
      <w:r>
        <w:rPr>
          <w:rFonts w:hint="eastAsia" w:ascii="宋体" w:hAnsi="宋体"/>
          <w:color w:val="auto"/>
          <w:szCs w:val="21"/>
          <w:highlight w:val="none"/>
        </w:rPr>
        <w:tab/>
      </w:r>
      <w:r>
        <w:rPr>
          <w:rFonts w:hint="eastAsia" w:ascii="宋体" w:hAnsi="宋体"/>
          <w:color w:val="auto"/>
          <w:szCs w:val="21"/>
          <w:highlight w:val="none"/>
        </w:rPr>
        <w:fldChar w:fldCharType="end"/>
      </w:r>
    </w:p>
    <w:p w14:paraId="1E798C30">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六、反商业贿赂承诺书</w:t>
      </w:r>
    </w:p>
    <w:p w14:paraId="3803D632">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七、技术部分</w:t>
      </w:r>
    </w:p>
    <w:p w14:paraId="063CFDF4">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八、</w:t>
      </w:r>
      <w:r>
        <w:rPr>
          <w:rFonts w:hint="eastAsia"/>
          <w:color w:val="auto"/>
          <w:highlight w:val="none"/>
        </w:rPr>
        <w:t>商务部分</w:t>
      </w:r>
    </w:p>
    <w:p w14:paraId="6CE73F8C">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九、招标文件要求的其他材料及投标人认为有必要提供的材料</w:t>
      </w:r>
    </w:p>
    <w:p w14:paraId="7E7DC9C1">
      <w:pPr>
        <w:spacing w:line="360" w:lineRule="auto"/>
        <w:ind w:left="1106" w:leftChars="222" w:hanging="640" w:hangingChars="305"/>
        <w:rPr>
          <w:rFonts w:hint="eastAsia" w:ascii="宋体" w:hAnsi="宋体"/>
          <w:color w:val="auto"/>
          <w:szCs w:val="21"/>
          <w:highlight w:val="none"/>
        </w:rPr>
      </w:pPr>
      <w:r>
        <w:rPr>
          <w:rFonts w:hint="eastAsia" w:ascii="宋体" w:hAnsi="宋体"/>
          <w:color w:val="auto"/>
          <w:szCs w:val="21"/>
          <w:highlight w:val="none"/>
        </w:rPr>
        <w:t>十、政府采购政策</w:t>
      </w:r>
    </w:p>
    <w:p w14:paraId="3AB1E088">
      <w:pPr>
        <w:spacing w:line="360" w:lineRule="auto"/>
        <w:rPr>
          <w:rFonts w:ascii="宋体"/>
          <w:color w:val="auto"/>
          <w:szCs w:val="21"/>
          <w:highlight w:val="none"/>
        </w:rPr>
      </w:pPr>
      <w:r>
        <w:rPr>
          <w:rFonts w:hint="eastAsia" w:ascii="宋体" w:hAnsi="宋体"/>
          <w:color w:val="auto"/>
          <w:szCs w:val="21"/>
          <w:highlight w:val="none"/>
        </w:rPr>
        <w:t>3.2.投标报价</w:t>
      </w:r>
    </w:p>
    <w:p w14:paraId="54FF9F24">
      <w:pPr>
        <w:spacing w:line="360" w:lineRule="auto"/>
        <w:ind w:firstLine="420" w:firstLineChars="200"/>
        <w:rPr>
          <w:rFonts w:ascii="宋体"/>
          <w:color w:val="auto"/>
          <w:szCs w:val="21"/>
          <w:highlight w:val="none"/>
        </w:rPr>
      </w:pPr>
      <w:r>
        <w:rPr>
          <w:rFonts w:hint="eastAsia" w:ascii="宋体" w:hAnsi="宋体"/>
          <w:color w:val="auto"/>
          <w:szCs w:val="21"/>
          <w:highlight w:val="none"/>
        </w:rPr>
        <w:t>3.2.1 投标人根据招标人提供的有关资料、招标文件及招标文件补充答疑，结合本项目实际情况和市场行情自主合理报价</w:t>
      </w:r>
      <w:r>
        <w:rPr>
          <w:rFonts w:hint="eastAsia" w:ascii="宋体"/>
          <w:color w:val="auto"/>
          <w:szCs w:val="21"/>
          <w:highlight w:val="none"/>
        </w:rPr>
        <w:t>,</w:t>
      </w:r>
      <w:r>
        <w:rPr>
          <w:rFonts w:hint="eastAsia" w:ascii="宋体" w:hAnsi="宋体"/>
          <w:color w:val="auto"/>
          <w:szCs w:val="21"/>
          <w:highlight w:val="none"/>
        </w:rPr>
        <w:t>投标报价不得低于企业实际成本。</w:t>
      </w:r>
    </w:p>
    <w:p w14:paraId="6D890AD5">
      <w:pPr>
        <w:spacing w:line="360" w:lineRule="auto"/>
        <w:ind w:firstLine="420" w:firstLineChars="200"/>
        <w:rPr>
          <w:rFonts w:ascii="宋体"/>
          <w:color w:val="auto"/>
          <w:szCs w:val="21"/>
          <w:highlight w:val="none"/>
        </w:rPr>
      </w:pPr>
      <w:r>
        <w:rPr>
          <w:rFonts w:hint="eastAsia" w:ascii="宋体" w:hAnsi="宋体"/>
          <w:color w:val="auto"/>
          <w:szCs w:val="21"/>
          <w:highlight w:val="none"/>
        </w:rPr>
        <w:t>评标过程中，评标委员会发现投标人的投标总价明显低于其他报价，使其投标报价可能低于其个别成本的，评标委员会应对其质询，并要求该投标人做出书面说明和提供相关的证明材料；该投标人不能合理说明或提供证明材料的，其投标将被否决。</w:t>
      </w:r>
    </w:p>
    <w:p w14:paraId="3D7176A7">
      <w:pPr>
        <w:spacing w:line="360" w:lineRule="auto"/>
        <w:ind w:firstLine="420" w:firstLineChars="200"/>
        <w:rPr>
          <w:rFonts w:ascii="宋体"/>
          <w:color w:val="auto"/>
          <w:szCs w:val="21"/>
          <w:highlight w:val="none"/>
        </w:rPr>
      </w:pPr>
      <w:r>
        <w:rPr>
          <w:rFonts w:hint="eastAsia" w:ascii="宋体" w:hAnsi="宋体"/>
          <w:color w:val="auto"/>
          <w:szCs w:val="21"/>
          <w:highlight w:val="none"/>
        </w:rPr>
        <w:t>3.2.2 本次投标报价采用采购范围内固定总价方式。投标报价均包括完成该项目的人工费、社会保障费、保险费、材料费、机具使用费、管理费、利润、税金、风险费等所有的费用，以及投标人在服务管理过程中伴随的其他各种费用均应包括在投标报价中。（项目实施过程中发生的一切费用）</w:t>
      </w:r>
    </w:p>
    <w:p w14:paraId="44E1C673">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3.2.3 投标报价为投标人完成采购范围内各项费用的总和。投标人不得以任何理由重复计算相关费用。</w:t>
      </w:r>
    </w:p>
    <w:p w14:paraId="24870531">
      <w:pPr>
        <w:spacing w:line="360" w:lineRule="auto"/>
        <w:ind w:firstLine="420" w:firstLineChars="200"/>
        <w:rPr>
          <w:rFonts w:ascii="宋体"/>
          <w:color w:val="auto"/>
          <w:szCs w:val="21"/>
          <w:highlight w:val="none"/>
        </w:rPr>
      </w:pPr>
      <w:r>
        <w:rPr>
          <w:rFonts w:hint="eastAsia" w:ascii="宋体" w:hAnsi="宋体"/>
          <w:color w:val="auto"/>
          <w:szCs w:val="21"/>
          <w:highlight w:val="none"/>
        </w:rPr>
        <w:t>3.2.4 各投标人单位的投标报价中若出现招标范围内的漏项、错项、未列项时，均视为投标人已综合在报价内，一律不作调整。</w:t>
      </w:r>
    </w:p>
    <w:p w14:paraId="6ADEF35A">
      <w:pPr>
        <w:spacing w:line="360" w:lineRule="auto"/>
        <w:ind w:firstLine="420" w:firstLineChars="200"/>
        <w:rPr>
          <w:rFonts w:ascii="宋体"/>
          <w:color w:val="auto"/>
          <w:szCs w:val="21"/>
          <w:highlight w:val="none"/>
        </w:rPr>
      </w:pPr>
      <w:r>
        <w:rPr>
          <w:rFonts w:hint="eastAsia" w:ascii="宋体" w:hAnsi="宋体"/>
          <w:color w:val="auto"/>
          <w:szCs w:val="21"/>
          <w:highlight w:val="none"/>
        </w:rPr>
        <w:t>3.2.5 成交价结算时除合同约定可调整内容以外，均不作调整。</w:t>
      </w:r>
    </w:p>
    <w:p w14:paraId="062AB9A3">
      <w:pPr>
        <w:spacing w:line="360" w:lineRule="auto"/>
        <w:ind w:firstLine="420" w:firstLineChars="200"/>
        <w:rPr>
          <w:rFonts w:ascii="宋体"/>
          <w:color w:val="auto"/>
          <w:szCs w:val="21"/>
          <w:highlight w:val="none"/>
        </w:rPr>
      </w:pPr>
      <w:r>
        <w:rPr>
          <w:rFonts w:hint="eastAsia" w:ascii="宋体" w:hAnsi="宋体"/>
          <w:color w:val="auto"/>
          <w:szCs w:val="21"/>
          <w:highlight w:val="none"/>
        </w:rPr>
        <w:t>3.2.6投标人应仔细审阅招标文件中的全部内容，如有不明确的，须在招标答疑时以书面形式提出，由招标人明确做法并计入投标报价；否则视为投标人在投标报价中已全部计入。</w:t>
      </w:r>
    </w:p>
    <w:p w14:paraId="30205218">
      <w:pPr>
        <w:spacing w:line="360" w:lineRule="auto"/>
        <w:ind w:firstLine="420" w:firstLineChars="200"/>
        <w:rPr>
          <w:rFonts w:ascii="宋体"/>
          <w:color w:val="auto"/>
          <w:szCs w:val="21"/>
          <w:highlight w:val="none"/>
        </w:rPr>
      </w:pPr>
      <w:r>
        <w:rPr>
          <w:rFonts w:hint="eastAsia" w:ascii="宋体" w:hAnsi="宋体"/>
          <w:color w:val="auto"/>
          <w:szCs w:val="21"/>
          <w:highlight w:val="none"/>
        </w:rPr>
        <w:t>3.2.7报价是评标的重要依据之一，但不是评定中标的唯一标准。招标人不以最低报价作为中标依据。</w:t>
      </w:r>
    </w:p>
    <w:p w14:paraId="62FA3F2E">
      <w:pPr>
        <w:spacing w:line="360" w:lineRule="auto"/>
        <w:ind w:left="1043" w:leftChars="203" w:hanging="617" w:hangingChars="294"/>
        <w:rPr>
          <w:rFonts w:ascii="宋体"/>
          <w:color w:val="auto"/>
          <w:szCs w:val="21"/>
          <w:highlight w:val="none"/>
        </w:rPr>
      </w:pPr>
      <w:r>
        <w:rPr>
          <w:rFonts w:hint="eastAsia" w:ascii="宋体" w:hAnsi="宋体"/>
          <w:color w:val="auto"/>
          <w:szCs w:val="21"/>
          <w:highlight w:val="none"/>
        </w:rPr>
        <w:t>3.2.8全部报价均应以人民币为计量币种，并以人民币进行结算。且以元为单位正确表示。</w:t>
      </w:r>
    </w:p>
    <w:p w14:paraId="3556A718">
      <w:pPr>
        <w:spacing w:line="360" w:lineRule="auto"/>
        <w:rPr>
          <w:rFonts w:ascii="宋体"/>
          <w:color w:val="auto"/>
          <w:szCs w:val="21"/>
          <w:highlight w:val="none"/>
        </w:rPr>
      </w:pPr>
      <w:r>
        <w:rPr>
          <w:rFonts w:hint="eastAsia" w:ascii="宋体" w:hAnsi="宋体"/>
          <w:color w:val="auto"/>
          <w:szCs w:val="21"/>
          <w:highlight w:val="none"/>
        </w:rPr>
        <w:t>3.3投标有效期</w:t>
      </w:r>
    </w:p>
    <w:p w14:paraId="58552653">
      <w:pPr>
        <w:spacing w:line="360" w:lineRule="auto"/>
        <w:ind w:firstLine="420" w:firstLineChars="200"/>
        <w:rPr>
          <w:rFonts w:ascii="宋体"/>
          <w:color w:val="auto"/>
          <w:szCs w:val="21"/>
          <w:highlight w:val="none"/>
        </w:rPr>
      </w:pPr>
      <w:r>
        <w:rPr>
          <w:rFonts w:hint="eastAsia" w:ascii="宋体" w:hAnsi="宋体"/>
          <w:color w:val="auto"/>
          <w:szCs w:val="21"/>
          <w:highlight w:val="none"/>
        </w:rPr>
        <w:t>3.3.1投标文件应在投标人须知前附表所规定的投标有效期内有效，投标人不得要求撤销或修改其投标文件；</w:t>
      </w:r>
    </w:p>
    <w:p w14:paraId="55AC197D">
      <w:pPr>
        <w:spacing w:line="360" w:lineRule="auto"/>
        <w:rPr>
          <w:rFonts w:ascii="宋体"/>
          <w:color w:val="auto"/>
          <w:szCs w:val="21"/>
          <w:highlight w:val="none"/>
        </w:rPr>
      </w:pPr>
      <w:r>
        <w:rPr>
          <w:rFonts w:hint="eastAsia" w:ascii="宋体" w:hAnsi="宋体"/>
          <w:color w:val="auto"/>
          <w:szCs w:val="21"/>
          <w:highlight w:val="none"/>
        </w:rPr>
        <w:t>3.4投标保证金：本项目不收取投标保证金。</w:t>
      </w:r>
    </w:p>
    <w:p w14:paraId="465ABA5C">
      <w:pPr>
        <w:spacing w:line="360" w:lineRule="auto"/>
        <w:rPr>
          <w:rFonts w:ascii="宋体"/>
          <w:color w:val="auto"/>
          <w:szCs w:val="21"/>
          <w:highlight w:val="none"/>
        </w:rPr>
      </w:pPr>
      <w:r>
        <w:rPr>
          <w:rFonts w:hint="eastAsia" w:ascii="宋体" w:hAnsi="宋体"/>
          <w:color w:val="auto"/>
          <w:szCs w:val="21"/>
          <w:highlight w:val="none"/>
        </w:rPr>
        <w:t>3.5投标文件的编制</w:t>
      </w:r>
    </w:p>
    <w:p w14:paraId="21AC2F1E">
      <w:pPr>
        <w:spacing w:line="360" w:lineRule="auto"/>
        <w:ind w:firstLine="420" w:firstLineChars="200"/>
        <w:rPr>
          <w:rFonts w:ascii="宋体"/>
          <w:color w:val="auto"/>
          <w:szCs w:val="21"/>
          <w:highlight w:val="none"/>
        </w:rPr>
      </w:pPr>
      <w:r>
        <w:rPr>
          <w:rFonts w:hint="eastAsia" w:ascii="宋体" w:hAnsi="宋体"/>
          <w:color w:val="auto"/>
          <w:szCs w:val="21"/>
          <w:highlight w:val="none"/>
        </w:rPr>
        <w:t>3.5.1投标人未按招标文件要求提交投标文件或者未对招标文件提出的实质性要求和条件做出响应，则投标文件不被接受，其后果由投标人负责。</w:t>
      </w:r>
    </w:p>
    <w:p w14:paraId="6598679D">
      <w:pPr>
        <w:spacing w:line="360" w:lineRule="auto"/>
        <w:ind w:firstLine="420" w:firstLineChars="200"/>
        <w:rPr>
          <w:rFonts w:ascii="宋体"/>
          <w:color w:val="auto"/>
          <w:szCs w:val="21"/>
          <w:highlight w:val="none"/>
        </w:rPr>
      </w:pPr>
      <w:r>
        <w:rPr>
          <w:rFonts w:hint="eastAsia" w:ascii="宋体" w:hAnsi="宋体"/>
          <w:color w:val="auto"/>
          <w:szCs w:val="21"/>
          <w:highlight w:val="none"/>
        </w:rPr>
        <w:t>3.5.2投标文件应按第六章“投标文件格式”进行编写，如有必要，可以增加附页，作为投标文件的组成部分。其中，投标函附录在满足招标文件实质性要求的基础上，可以提出比招标文件要求更有利于招标人的承诺。</w:t>
      </w:r>
    </w:p>
    <w:p w14:paraId="22CBEA72">
      <w:pPr>
        <w:spacing w:line="360" w:lineRule="auto"/>
        <w:ind w:firstLine="420" w:firstLineChars="200"/>
        <w:rPr>
          <w:rFonts w:hint="eastAsia" w:ascii="宋体" w:hAnsi="宋体" w:cs="宋体"/>
          <w:b/>
          <w:color w:val="auto"/>
          <w:szCs w:val="21"/>
          <w:highlight w:val="none"/>
        </w:rPr>
      </w:pPr>
      <w:r>
        <w:rPr>
          <w:rFonts w:hint="eastAsia" w:ascii="宋体" w:hAnsi="宋体"/>
          <w:color w:val="auto"/>
          <w:szCs w:val="21"/>
          <w:highlight w:val="none"/>
        </w:rPr>
        <w:t>3.5.3投标文件应避免涂改和行间插字，如有修改须在修改处加盖投标人的企业电子签章、企业法定代表人或其委托代理人签字。</w:t>
      </w:r>
    </w:p>
    <w:p w14:paraId="03EDED49">
      <w:pPr>
        <w:spacing w:line="360" w:lineRule="auto"/>
        <w:rPr>
          <w:rFonts w:ascii="宋体"/>
          <w:color w:val="auto"/>
          <w:szCs w:val="21"/>
          <w:highlight w:val="none"/>
        </w:rPr>
      </w:pPr>
      <w:r>
        <w:rPr>
          <w:rFonts w:hint="eastAsia" w:ascii="宋体" w:hAnsi="宋体"/>
          <w:color w:val="auto"/>
          <w:szCs w:val="21"/>
          <w:highlight w:val="none"/>
        </w:rPr>
        <w:t>3.6 备选投标方案</w:t>
      </w:r>
    </w:p>
    <w:p w14:paraId="59B4C323">
      <w:pPr>
        <w:autoSpaceDE w:val="0"/>
        <w:autoSpaceDN w:val="0"/>
        <w:adjustRightInd w:val="0"/>
        <w:spacing w:line="360" w:lineRule="auto"/>
        <w:ind w:firstLine="359" w:firstLineChars="171"/>
        <w:jc w:val="left"/>
        <w:rPr>
          <w:rFonts w:hint="eastAsia" w:ascii="宋体" w:hAnsi="宋体" w:cs="TimesNewRomanPSMT"/>
          <w:color w:val="auto"/>
          <w:kern w:val="0"/>
          <w:szCs w:val="21"/>
          <w:highlight w:val="none"/>
        </w:rPr>
      </w:pPr>
      <w:r>
        <w:rPr>
          <w:rFonts w:hint="eastAsia" w:ascii="宋体" w:hAnsi="宋体"/>
          <w:color w:val="auto"/>
          <w:szCs w:val="21"/>
          <w:highlight w:val="none"/>
        </w:rPr>
        <w:t xml:space="preserve">    不允许递</w:t>
      </w:r>
      <w:r>
        <w:rPr>
          <w:rFonts w:hint="eastAsia" w:ascii="宋体" w:hAnsi="宋体" w:cs="TimesNewRomanPSMT"/>
          <w:color w:val="auto"/>
          <w:kern w:val="0"/>
          <w:szCs w:val="21"/>
          <w:highlight w:val="none"/>
        </w:rPr>
        <w:t>交备选投标方案。</w:t>
      </w:r>
    </w:p>
    <w:p w14:paraId="06AF09B5">
      <w:pPr>
        <w:autoSpaceDE w:val="0"/>
        <w:autoSpaceDN w:val="0"/>
        <w:adjustRightInd w:val="0"/>
        <w:spacing w:line="360" w:lineRule="auto"/>
        <w:jc w:val="left"/>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rPr>
        <w:t>3.7投标文件的递交</w:t>
      </w:r>
    </w:p>
    <w:p w14:paraId="04141F21">
      <w:pPr>
        <w:autoSpaceDE w:val="0"/>
        <w:autoSpaceDN w:val="0"/>
        <w:adjustRightInd w:val="0"/>
        <w:spacing w:line="360" w:lineRule="auto"/>
        <w:ind w:firstLine="420" w:firstLineChars="200"/>
        <w:jc w:val="left"/>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rPr>
        <w:t>本项目采用“远程不见面”开标方式，投标人无需到达现场提交原件资料、无需到开封市公共资源交易中心现场参加开标会议，投标人应当在开标时间前,登录（开封市公共资源交易中心网站）远程开标大厅,在线准时参加开标活动并进行投标文件解密、答疑澄清等。</w:t>
      </w:r>
    </w:p>
    <w:p w14:paraId="12FAD536">
      <w:pPr>
        <w:spacing w:line="360" w:lineRule="auto"/>
        <w:rPr>
          <w:rFonts w:ascii="宋体"/>
          <w:color w:val="auto"/>
          <w:szCs w:val="21"/>
          <w:highlight w:val="none"/>
        </w:rPr>
      </w:pPr>
      <w:r>
        <w:rPr>
          <w:rFonts w:hint="eastAsia" w:ascii="宋体" w:hAnsi="宋体"/>
          <w:color w:val="auto"/>
          <w:szCs w:val="21"/>
          <w:highlight w:val="none"/>
        </w:rPr>
        <w:t>3.8投标文件的修改、补充与撤回</w:t>
      </w:r>
    </w:p>
    <w:p w14:paraId="3BD23024">
      <w:pPr>
        <w:spacing w:line="360" w:lineRule="auto"/>
        <w:ind w:firstLine="420" w:firstLineChars="200"/>
        <w:rPr>
          <w:rFonts w:ascii="宋体"/>
          <w:color w:val="auto"/>
          <w:szCs w:val="21"/>
          <w:highlight w:val="none"/>
        </w:rPr>
      </w:pPr>
      <w:r>
        <w:rPr>
          <w:rFonts w:hint="eastAsia" w:ascii="宋体" w:hAnsi="宋体"/>
          <w:color w:val="auto"/>
          <w:szCs w:val="21"/>
          <w:highlight w:val="none"/>
        </w:rPr>
        <w:t>3.8.1投标人可以在投标文件递交截止时间之前以书面形式修改、补充或撤回投标文件。在投标文件递交截止时间后不能修改、补充或撤回投标文件。</w:t>
      </w:r>
    </w:p>
    <w:p w14:paraId="098D9F69">
      <w:pPr>
        <w:spacing w:line="360" w:lineRule="auto"/>
        <w:ind w:firstLine="420" w:firstLineChars="200"/>
        <w:rPr>
          <w:rFonts w:ascii="宋体"/>
          <w:color w:val="auto"/>
          <w:szCs w:val="21"/>
          <w:highlight w:val="none"/>
        </w:rPr>
      </w:pPr>
      <w:r>
        <w:rPr>
          <w:rFonts w:hint="eastAsia" w:ascii="宋体" w:hAnsi="宋体"/>
          <w:color w:val="auto"/>
          <w:szCs w:val="21"/>
          <w:highlight w:val="none"/>
        </w:rPr>
        <w:t>3.8.2投标文件的修改、补充与撤回通知，投标人均须按本款的规定密封、标志和递交（标明“修改”、“补充”或“撤回”字样）。</w:t>
      </w:r>
    </w:p>
    <w:p w14:paraId="192939D1">
      <w:pPr>
        <w:spacing w:line="360" w:lineRule="auto"/>
        <w:ind w:firstLine="420" w:firstLineChars="200"/>
        <w:rPr>
          <w:rFonts w:ascii="宋体"/>
          <w:color w:val="auto"/>
          <w:szCs w:val="21"/>
          <w:highlight w:val="none"/>
        </w:rPr>
      </w:pPr>
      <w:r>
        <w:rPr>
          <w:rFonts w:hint="eastAsia" w:ascii="宋体" w:hAnsi="宋体"/>
          <w:color w:val="auto"/>
          <w:szCs w:val="21"/>
          <w:highlight w:val="none"/>
        </w:rPr>
        <w:t>3.8.3在投标有效期内，投标人不能修改或撤回其投标文件。</w:t>
      </w:r>
    </w:p>
    <w:p w14:paraId="5D9BC304">
      <w:pPr>
        <w:autoSpaceDE w:val="0"/>
        <w:autoSpaceDN w:val="0"/>
        <w:adjustRightInd w:val="0"/>
        <w:spacing w:line="360" w:lineRule="auto"/>
        <w:jc w:val="left"/>
        <w:rPr>
          <w:rFonts w:ascii="宋体"/>
          <w:color w:val="auto"/>
          <w:szCs w:val="21"/>
          <w:highlight w:val="none"/>
        </w:rPr>
      </w:pPr>
      <w:r>
        <w:rPr>
          <w:rFonts w:hint="eastAsia" w:ascii="宋体" w:hAnsi="宋体"/>
          <w:color w:val="auto"/>
          <w:szCs w:val="21"/>
          <w:highlight w:val="none"/>
        </w:rPr>
        <w:t>3.9 投标文件的拒绝和无效</w:t>
      </w:r>
    </w:p>
    <w:p w14:paraId="3B956438">
      <w:pPr>
        <w:spacing w:line="360" w:lineRule="auto"/>
        <w:ind w:left="105" w:leftChars="50" w:firstLine="420" w:firstLineChars="200"/>
        <w:rPr>
          <w:rFonts w:ascii="宋体" w:cs="TimesNewRomanPSMT"/>
          <w:color w:val="auto"/>
          <w:kern w:val="0"/>
          <w:szCs w:val="21"/>
          <w:highlight w:val="none"/>
        </w:rPr>
      </w:pPr>
      <w:r>
        <w:rPr>
          <w:rFonts w:hint="eastAsia" w:ascii="宋体" w:hAnsi="宋体" w:cs="TimesNewRomanPSMT"/>
          <w:color w:val="auto"/>
          <w:kern w:val="0"/>
          <w:szCs w:val="21"/>
          <w:highlight w:val="none"/>
        </w:rPr>
        <w:t>属于下列情况之一的投标文件，其投标将被否决：</w:t>
      </w:r>
    </w:p>
    <w:p w14:paraId="6D32842B">
      <w:pPr>
        <w:spacing w:line="360" w:lineRule="auto"/>
        <w:ind w:left="105" w:leftChars="50" w:firstLine="420" w:firstLineChars="200"/>
        <w:rPr>
          <w:rFonts w:hint="eastAsia" w:ascii="宋体" w:hAnsi="宋体" w:cs="TimesNewRomanPSMT"/>
          <w:color w:val="auto"/>
          <w:kern w:val="0"/>
          <w:szCs w:val="21"/>
          <w:highlight w:val="none"/>
        </w:rPr>
      </w:pPr>
      <w:bookmarkStart w:id="181" w:name="_Toc374983545"/>
      <w:bookmarkStart w:id="182" w:name="_Toc26529"/>
      <w:bookmarkStart w:id="183" w:name="_Toc379917825"/>
      <w:bookmarkStart w:id="184" w:name="_Toc3705"/>
      <w:bookmarkStart w:id="185" w:name="_Toc379917674"/>
      <w:bookmarkStart w:id="186" w:name="_Toc238352243"/>
      <w:bookmarkStart w:id="187" w:name="_Toc520717617"/>
      <w:bookmarkStart w:id="188" w:name="_Toc16828"/>
      <w:bookmarkStart w:id="189" w:name="_Toc4444"/>
      <w:r>
        <w:rPr>
          <w:rFonts w:hint="eastAsia" w:ascii="宋体" w:hAnsi="宋体" w:cs="TimesNewRomanPSMT"/>
          <w:color w:val="auto"/>
          <w:kern w:val="0"/>
          <w:szCs w:val="21"/>
          <w:highlight w:val="none"/>
        </w:rPr>
        <w:t>（1）</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投标文件未按照招标文件要求密封或逾期送达；</w:t>
      </w:r>
      <w:bookmarkEnd w:id="181"/>
      <w:bookmarkEnd w:id="182"/>
      <w:bookmarkEnd w:id="183"/>
      <w:bookmarkEnd w:id="184"/>
      <w:bookmarkEnd w:id="185"/>
    </w:p>
    <w:p w14:paraId="46055EEE">
      <w:pPr>
        <w:spacing w:line="360" w:lineRule="auto"/>
        <w:ind w:left="105" w:leftChars="50" w:firstLine="420" w:firstLineChars="200"/>
        <w:rPr>
          <w:rFonts w:hint="eastAsia" w:ascii="宋体" w:hAnsi="宋体" w:cs="TimesNewRomanPSMT"/>
          <w:color w:val="auto"/>
          <w:kern w:val="0"/>
          <w:szCs w:val="21"/>
          <w:highlight w:val="none"/>
        </w:rPr>
      </w:pPr>
      <w:bookmarkStart w:id="190" w:name="_Toc12728"/>
      <w:bookmarkStart w:id="191" w:name="_Toc379917826"/>
      <w:bookmarkStart w:id="192" w:name="_Toc19177"/>
      <w:bookmarkStart w:id="193" w:name="_Toc379917675"/>
      <w:bookmarkStart w:id="194" w:name="_Toc374983546"/>
      <w:r>
        <w:rPr>
          <w:rFonts w:hint="eastAsia" w:ascii="宋体" w:hAnsi="宋体" w:cs="TimesNewRomanPSMT"/>
          <w:color w:val="auto"/>
          <w:kern w:val="0"/>
          <w:szCs w:val="21"/>
          <w:highlight w:val="none"/>
        </w:rPr>
        <w:t>（2）</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投标人未按照招标文件要求提交投标承诺函；</w:t>
      </w:r>
      <w:bookmarkEnd w:id="190"/>
      <w:bookmarkEnd w:id="191"/>
      <w:bookmarkEnd w:id="192"/>
      <w:bookmarkEnd w:id="193"/>
      <w:bookmarkEnd w:id="194"/>
    </w:p>
    <w:p w14:paraId="5717AD4C">
      <w:pPr>
        <w:spacing w:line="360" w:lineRule="auto"/>
        <w:ind w:left="105" w:leftChars="50" w:firstLine="420" w:firstLineChars="200"/>
        <w:rPr>
          <w:rFonts w:hint="eastAsia" w:ascii="宋体" w:hAnsi="宋体" w:cs="TimesNewRomanPSMT"/>
          <w:color w:val="auto"/>
          <w:kern w:val="0"/>
          <w:szCs w:val="21"/>
          <w:highlight w:val="none"/>
        </w:rPr>
      </w:pPr>
      <w:bookmarkStart w:id="195" w:name="_Toc379917676"/>
      <w:bookmarkStart w:id="196" w:name="_Toc27055"/>
      <w:bookmarkStart w:id="197" w:name="_Toc379917827"/>
      <w:bookmarkStart w:id="198" w:name="_Toc374983547"/>
      <w:bookmarkStart w:id="199" w:name="_Toc26290"/>
      <w:r>
        <w:rPr>
          <w:rFonts w:hint="eastAsia" w:ascii="宋体" w:hAnsi="宋体" w:cs="TimesNewRomanPSMT"/>
          <w:color w:val="auto"/>
          <w:kern w:val="0"/>
          <w:szCs w:val="21"/>
          <w:highlight w:val="none"/>
        </w:rPr>
        <w:t>（3）</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投标文件字迹模糊导致无法确认投标价格等内容；</w:t>
      </w:r>
      <w:bookmarkEnd w:id="195"/>
      <w:bookmarkEnd w:id="196"/>
      <w:bookmarkEnd w:id="197"/>
      <w:bookmarkEnd w:id="198"/>
      <w:bookmarkEnd w:id="199"/>
    </w:p>
    <w:p w14:paraId="42601879">
      <w:pPr>
        <w:spacing w:line="360" w:lineRule="auto"/>
        <w:ind w:left="105" w:leftChars="50" w:firstLine="420" w:firstLineChars="200"/>
        <w:rPr>
          <w:rFonts w:hint="eastAsia" w:ascii="宋体" w:hAnsi="宋体" w:cs="TimesNewRomanPSMT"/>
          <w:color w:val="auto"/>
          <w:kern w:val="0"/>
          <w:szCs w:val="21"/>
          <w:highlight w:val="none"/>
        </w:rPr>
      </w:pPr>
      <w:bookmarkStart w:id="200" w:name="_Toc379917677"/>
      <w:bookmarkStart w:id="201" w:name="_Toc374983548"/>
      <w:bookmarkStart w:id="202" w:name="_Toc379917828"/>
      <w:bookmarkStart w:id="203" w:name="_Toc7605"/>
      <w:bookmarkStart w:id="204" w:name="_Toc16846"/>
      <w:r>
        <w:rPr>
          <w:rFonts w:hint="eastAsia" w:ascii="宋体" w:hAnsi="宋体" w:cs="TimesNewRomanPSMT"/>
          <w:color w:val="auto"/>
          <w:kern w:val="0"/>
          <w:szCs w:val="21"/>
          <w:highlight w:val="none"/>
        </w:rPr>
        <w:t>（4）</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投标人在一份投标文件中，对同一项目内容有两个或两个以上报价；</w:t>
      </w:r>
      <w:bookmarkEnd w:id="200"/>
      <w:bookmarkEnd w:id="201"/>
      <w:bookmarkEnd w:id="202"/>
      <w:bookmarkEnd w:id="203"/>
      <w:bookmarkEnd w:id="204"/>
    </w:p>
    <w:p w14:paraId="7B97A7F4">
      <w:pPr>
        <w:spacing w:line="360" w:lineRule="auto"/>
        <w:ind w:left="105" w:leftChars="50" w:firstLine="420" w:firstLineChars="200"/>
        <w:rPr>
          <w:rFonts w:hint="eastAsia" w:ascii="宋体" w:hAnsi="宋体" w:cs="TimesNewRomanPSMT"/>
          <w:color w:val="auto"/>
          <w:kern w:val="0"/>
          <w:szCs w:val="21"/>
          <w:highlight w:val="none"/>
        </w:rPr>
      </w:pPr>
      <w:bookmarkStart w:id="205" w:name="_Toc1996"/>
      <w:bookmarkStart w:id="206" w:name="_Toc374983549"/>
      <w:bookmarkStart w:id="207" w:name="_Toc379917829"/>
      <w:bookmarkStart w:id="208" w:name="_Toc379917678"/>
      <w:bookmarkStart w:id="209" w:name="_Toc18953"/>
      <w:r>
        <w:rPr>
          <w:rFonts w:hint="eastAsia" w:ascii="宋体" w:hAnsi="宋体" w:cs="TimesNewRomanPSMT"/>
          <w:color w:val="auto"/>
          <w:kern w:val="0"/>
          <w:szCs w:val="21"/>
          <w:highlight w:val="none"/>
        </w:rPr>
        <w:t>（5）</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投标人对同一招标项目递交两份或两份以上不同的投标文件；</w:t>
      </w:r>
      <w:bookmarkEnd w:id="205"/>
      <w:bookmarkEnd w:id="206"/>
      <w:bookmarkEnd w:id="207"/>
      <w:bookmarkEnd w:id="208"/>
      <w:bookmarkEnd w:id="209"/>
    </w:p>
    <w:p w14:paraId="04133F38">
      <w:pPr>
        <w:spacing w:line="360" w:lineRule="auto"/>
        <w:ind w:left="105" w:leftChars="50" w:firstLine="420" w:firstLineChars="200"/>
        <w:rPr>
          <w:rFonts w:hint="eastAsia" w:ascii="宋体" w:hAnsi="宋体" w:cs="TimesNewRomanPSMT"/>
          <w:color w:val="auto"/>
          <w:kern w:val="0"/>
          <w:szCs w:val="21"/>
          <w:highlight w:val="none"/>
        </w:rPr>
      </w:pPr>
      <w:bookmarkStart w:id="210" w:name="_Toc374983550"/>
      <w:bookmarkStart w:id="211" w:name="_Toc10577"/>
      <w:bookmarkStart w:id="212" w:name="_Toc13760"/>
      <w:bookmarkStart w:id="213" w:name="_Toc379917830"/>
      <w:bookmarkStart w:id="214" w:name="_Toc379917679"/>
      <w:r>
        <w:rPr>
          <w:rFonts w:hint="eastAsia" w:ascii="宋体" w:hAnsi="宋体" w:cs="TimesNewRomanPSMT"/>
          <w:color w:val="auto"/>
          <w:kern w:val="0"/>
          <w:szCs w:val="21"/>
          <w:highlight w:val="none"/>
        </w:rPr>
        <w:t>（6）</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投标文件中含有虚假资料；</w:t>
      </w:r>
      <w:bookmarkEnd w:id="210"/>
      <w:bookmarkEnd w:id="211"/>
      <w:bookmarkEnd w:id="212"/>
      <w:bookmarkEnd w:id="213"/>
      <w:bookmarkEnd w:id="214"/>
    </w:p>
    <w:p w14:paraId="716CF951">
      <w:pPr>
        <w:spacing w:line="360" w:lineRule="auto"/>
        <w:ind w:left="105" w:leftChars="50" w:firstLine="420" w:firstLineChars="200"/>
        <w:rPr>
          <w:rFonts w:hint="eastAsia" w:ascii="宋体" w:hAnsi="宋体" w:cs="TimesNewRomanPSMT"/>
          <w:color w:val="auto"/>
          <w:kern w:val="0"/>
          <w:szCs w:val="21"/>
          <w:highlight w:val="none"/>
        </w:rPr>
      </w:pPr>
      <w:bookmarkStart w:id="215" w:name="_Toc723"/>
      <w:bookmarkStart w:id="216" w:name="_Toc374983551"/>
      <w:bookmarkStart w:id="217" w:name="_Toc15824"/>
      <w:bookmarkStart w:id="218" w:name="_Toc379917680"/>
      <w:bookmarkStart w:id="219" w:name="_Toc379917831"/>
      <w:r>
        <w:rPr>
          <w:rFonts w:hint="eastAsia" w:ascii="宋体" w:hAnsi="宋体" w:cs="TimesNewRomanPSMT"/>
          <w:color w:val="auto"/>
          <w:kern w:val="0"/>
          <w:szCs w:val="21"/>
          <w:highlight w:val="none"/>
        </w:rPr>
        <w:t>（7）</w:t>
      </w:r>
      <w:r>
        <w:rPr>
          <w:rFonts w:hint="eastAsia" w:ascii="宋体" w:hAnsi="宋体" w:cs="TimesNewRomanPSMT"/>
          <w:color w:val="auto"/>
          <w:kern w:val="0"/>
          <w:szCs w:val="21"/>
          <w:highlight w:val="none"/>
        </w:rPr>
        <w:tab/>
      </w:r>
      <w:r>
        <w:rPr>
          <w:rFonts w:hint="eastAsia" w:ascii="宋体" w:hAnsi="宋体" w:cs="TimesNewRomanPSMT"/>
          <w:color w:val="auto"/>
          <w:kern w:val="0"/>
          <w:szCs w:val="21"/>
          <w:highlight w:val="none"/>
        </w:rPr>
        <w:t>投标文件中有招标人不能接受的条件；</w:t>
      </w:r>
      <w:bookmarkEnd w:id="215"/>
      <w:bookmarkEnd w:id="216"/>
      <w:bookmarkEnd w:id="217"/>
      <w:bookmarkEnd w:id="218"/>
      <w:bookmarkEnd w:id="219"/>
    </w:p>
    <w:p w14:paraId="7CA59E8B">
      <w:pPr>
        <w:spacing w:line="360" w:lineRule="auto"/>
        <w:ind w:left="105" w:leftChars="50" w:firstLine="420" w:firstLineChars="200"/>
        <w:rPr>
          <w:rFonts w:hint="eastAsia" w:ascii="宋体" w:hAnsi="宋体" w:cs="TimesNewRomanPSMT"/>
          <w:color w:val="auto"/>
          <w:kern w:val="0"/>
          <w:szCs w:val="21"/>
          <w:highlight w:val="none"/>
        </w:rPr>
      </w:pPr>
      <w:bookmarkStart w:id="220" w:name="_Toc379917681"/>
      <w:bookmarkStart w:id="221" w:name="_Toc379917832"/>
      <w:bookmarkStart w:id="222" w:name="_Toc21159"/>
      <w:bookmarkStart w:id="223" w:name="_Toc374983552"/>
      <w:bookmarkStart w:id="224" w:name="_Toc3035"/>
      <w:r>
        <w:rPr>
          <w:rFonts w:hint="eastAsia" w:ascii="宋体" w:hAnsi="宋体" w:cs="TimesNewRomanPSMT"/>
          <w:color w:val="auto"/>
          <w:kern w:val="0"/>
          <w:szCs w:val="21"/>
          <w:highlight w:val="none"/>
        </w:rPr>
        <w:t>（8）  投标报价高于招标人招标控制价的。</w:t>
      </w:r>
      <w:bookmarkEnd w:id="220"/>
      <w:bookmarkEnd w:id="221"/>
      <w:bookmarkEnd w:id="222"/>
      <w:bookmarkEnd w:id="223"/>
      <w:bookmarkEnd w:id="224"/>
    </w:p>
    <w:p w14:paraId="78C04017">
      <w:pPr>
        <w:pStyle w:val="25"/>
        <w:spacing w:line="360" w:lineRule="auto"/>
        <w:jc w:val="left"/>
        <w:rPr>
          <w:rFonts w:ascii="宋体" w:eastAsia="宋体" w:cs="TimesNewRomanPSMT"/>
          <w:color w:val="auto"/>
          <w:sz w:val="21"/>
          <w:szCs w:val="21"/>
          <w:highlight w:val="none"/>
        </w:rPr>
      </w:pPr>
      <w:bookmarkStart w:id="225" w:name="_Toc402979492"/>
      <w:bookmarkStart w:id="226" w:name="_Toc7043"/>
      <w:bookmarkStart w:id="227" w:name="_Toc8684"/>
      <w:bookmarkStart w:id="228" w:name="_Toc14996"/>
      <w:bookmarkStart w:id="229" w:name="_Toc25662"/>
      <w:r>
        <w:rPr>
          <w:rFonts w:hint="eastAsia" w:ascii="宋体" w:eastAsia="宋体" w:cs="TimesNewRomanPSMT"/>
          <w:color w:val="auto"/>
          <w:sz w:val="21"/>
          <w:szCs w:val="21"/>
          <w:highlight w:val="none"/>
        </w:rPr>
        <w:t>4</w:t>
      </w:r>
      <w:bookmarkEnd w:id="186"/>
      <w:bookmarkEnd w:id="187"/>
      <w:r>
        <w:rPr>
          <w:rFonts w:hint="eastAsia" w:ascii="宋体" w:eastAsia="宋体" w:cs="TimesNewRomanPSMT"/>
          <w:color w:val="auto"/>
          <w:sz w:val="21"/>
          <w:szCs w:val="21"/>
          <w:highlight w:val="none"/>
        </w:rPr>
        <w:t xml:space="preserve">  开标</w:t>
      </w:r>
      <w:bookmarkEnd w:id="188"/>
      <w:bookmarkEnd w:id="189"/>
      <w:bookmarkEnd w:id="225"/>
      <w:bookmarkEnd w:id="226"/>
      <w:bookmarkEnd w:id="227"/>
      <w:bookmarkEnd w:id="228"/>
      <w:bookmarkEnd w:id="229"/>
    </w:p>
    <w:p w14:paraId="0267AD77">
      <w:pPr>
        <w:autoSpaceDE w:val="0"/>
        <w:autoSpaceDN w:val="0"/>
        <w:adjustRightInd w:val="0"/>
        <w:spacing w:line="360" w:lineRule="auto"/>
        <w:jc w:val="left"/>
        <w:rPr>
          <w:rFonts w:ascii="宋体" w:cs="TimesNewRomanPSMT"/>
          <w:color w:val="auto"/>
          <w:kern w:val="0"/>
          <w:szCs w:val="21"/>
          <w:highlight w:val="none"/>
        </w:rPr>
      </w:pPr>
      <w:r>
        <w:rPr>
          <w:rFonts w:hint="eastAsia" w:ascii="宋体" w:hAnsi="宋体" w:cs="TimesNewRomanPSMT"/>
          <w:color w:val="auto"/>
          <w:kern w:val="0"/>
          <w:szCs w:val="21"/>
          <w:highlight w:val="none"/>
        </w:rPr>
        <w:t>4.1 开标时间和地点</w:t>
      </w:r>
    </w:p>
    <w:p w14:paraId="5E76727D">
      <w:pPr>
        <w:autoSpaceDE w:val="0"/>
        <w:autoSpaceDN w:val="0"/>
        <w:adjustRightInd w:val="0"/>
        <w:spacing w:line="360" w:lineRule="auto"/>
        <w:ind w:firstLine="420" w:firstLineChars="200"/>
        <w:jc w:val="left"/>
        <w:rPr>
          <w:rFonts w:ascii="宋体" w:cs="TimesNewRomanPSMT"/>
          <w:color w:val="auto"/>
          <w:kern w:val="0"/>
          <w:szCs w:val="21"/>
          <w:highlight w:val="none"/>
        </w:rPr>
      </w:pPr>
      <w:r>
        <w:rPr>
          <w:rFonts w:hint="eastAsia" w:ascii="宋体" w:hAnsi="宋体" w:cs="TimesNewRomanPSMT"/>
          <w:color w:val="auto"/>
          <w:kern w:val="0"/>
          <w:szCs w:val="21"/>
          <w:highlight w:val="none"/>
        </w:rPr>
        <w:t>招标人在投标人须知前附表中规定的开标时间、地点开标，</w:t>
      </w:r>
      <w:r>
        <w:rPr>
          <w:rFonts w:hint="eastAsia" w:ascii="宋体" w:hAnsi="宋体" w:cs="TimesNewRomanPSMT"/>
          <w:b/>
          <w:color w:val="auto"/>
          <w:kern w:val="0"/>
          <w:szCs w:val="21"/>
          <w:highlight w:val="none"/>
        </w:rPr>
        <w:t>所有投标人须准时参加并按照程序要求解密投标文件</w:t>
      </w:r>
      <w:r>
        <w:rPr>
          <w:rFonts w:hint="eastAsia" w:ascii="宋体" w:hAnsi="宋体" w:cs="TimesNewRomanPSMT"/>
          <w:color w:val="auto"/>
          <w:kern w:val="0"/>
          <w:szCs w:val="21"/>
          <w:highlight w:val="none"/>
        </w:rPr>
        <w:t>，否则不予接受其投标文件。</w:t>
      </w:r>
    </w:p>
    <w:p w14:paraId="01131177">
      <w:pPr>
        <w:autoSpaceDE w:val="0"/>
        <w:autoSpaceDN w:val="0"/>
        <w:adjustRightInd w:val="0"/>
        <w:spacing w:line="360" w:lineRule="auto"/>
        <w:jc w:val="left"/>
        <w:rPr>
          <w:rFonts w:ascii="宋体" w:cs="TimesNewRomanPSMT"/>
          <w:color w:val="auto"/>
          <w:kern w:val="0"/>
          <w:szCs w:val="21"/>
          <w:highlight w:val="none"/>
        </w:rPr>
      </w:pPr>
      <w:r>
        <w:rPr>
          <w:rFonts w:hint="eastAsia" w:ascii="宋体" w:hAnsi="宋体" w:cs="TimesNewRomanPSMT"/>
          <w:color w:val="auto"/>
          <w:kern w:val="0"/>
          <w:szCs w:val="21"/>
          <w:highlight w:val="none"/>
        </w:rPr>
        <w:t>4.2 开标程序</w:t>
      </w:r>
    </w:p>
    <w:p w14:paraId="5391A37F">
      <w:pPr>
        <w:spacing w:line="360" w:lineRule="auto"/>
        <w:ind w:firstLine="420"/>
        <w:rPr>
          <w:rFonts w:hint="eastAsia" w:ascii="宋体" w:hAnsi="宋体" w:cs="宋体"/>
          <w:color w:val="auto"/>
          <w:szCs w:val="22"/>
          <w:highlight w:val="none"/>
        </w:rPr>
      </w:pPr>
      <w:bookmarkStart w:id="230" w:name="_Toc257210912"/>
      <w:bookmarkStart w:id="231" w:name="_Toc5669"/>
      <w:bookmarkStart w:id="232" w:name="_Toc239235319"/>
      <w:bookmarkStart w:id="233" w:name="_Toc3044"/>
      <w:bookmarkStart w:id="234" w:name="_Toc238613292"/>
      <w:bookmarkStart w:id="235" w:name="_Toc402979493"/>
      <w:r>
        <w:rPr>
          <w:rFonts w:hint="eastAsia" w:ascii="宋体" w:hAnsi="宋体" w:cs="宋体"/>
          <w:color w:val="auto"/>
          <w:szCs w:val="22"/>
          <w:highlight w:val="none"/>
        </w:rPr>
        <w:t>4.2.1本项目采用“远程不见面”电子开标。到投标截止时间止，各投标人在规定时间内对电子投标文件进行解密。解密完成后各投标人的电子投标文件的实质性内容将自动显示在网页中。投标人在投标截止时间前未上传电子投标文件的将视为放弃投标。（系统解密时长默认为40分钟错过解密时长者视为自动放弃本次投标）。</w:t>
      </w:r>
    </w:p>
    <w:p w14:paraId="153A31DB">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4.2.2因投标人原因造成投标文件未解密的，视为撤销其投标文件。部分投标人的投标文件未解密的，其他投标人的投标文件的开标会议可以继续进行。一个标段解密的投标文件不足三家时该标段不再继续进行。</w:t>
      </w:r>
    </w:p>
    <w:p w14:paraId="74976104">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4.2.3开标会议结束，各投标人可在开标会议过程中至开标会议结束后5分钟之内对开标会议开标过程涉及内容提出质疑，否则视为对开标过程涉及内容会议无异议。</w:t>
      </w:r>
    </w:p>
    <w:p w14:paraId="6E71DB13">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4.2.4各投标人从参与项目开始至结束，应时刻关注电子交易系统中的项目进度和状态，留意变更公告等内容，特别是项目开标后，评审小组向投标人提出的澄清要求、报价要求等，投标人应自系统发出30分钟（另有约定的从其约定）内回复。错过重要信息或超过30分钟回复者，投标人自行承担责任。</w:t>
      </w:r>
    </w:p>
    <w:p w14:paraId="20EE553A">
      <w:pPr>
        <w:spacing w:line="360" w:lineRule="auto"/>
        <w:ind w:firstLine="420"/>
        <w:rPr>
          <w:rFonts w:hint="eastAsia" w:ascii="宋体" w:hAnsi="宋体" w:cs="宋体"/>
          <w:color w:val="auto"/>
          <w:szCs w:val="22"/>
          <w:highlight w:val="none"/>
        </w:rPr>
      </w:pPr>
      <w:r>
        <w:rPr>
          <w:rFonts w:hint="eastAsia" w:ascii="宋体" w:hAnsi="宋体" w:cs="宋体"/>
          <w:color w:val="auto"/>
          <w:szCs w:val="22"/>
          <w:highlight w:val="none"/>
        </w:rPr>
        <w:t>4.2.5相关不见面操作流程详见“开封市公共资源交易中心-重要通知”。</w:t>
      </w:r>
    </w:p>
    <w:p w14:paraId="72484625">
      <w:pPr>
        <w:pStyle w:val="37"/>
        <w:spacing w:line="360" w:lineRule="auto"/>
        <w:outlineLvl w:val="1"/>
        <w:rPr>
          <w:rFonts w:hint="eastAsia" w:hAnsi="宋体" w:cs="TimesNewRomanPSMT"/>
          <w:b/>
          <w:color w:val="auto"/>
          <w:sz w:val="21"/>
          <w:szCs w:val="21"/>
          <w:highlight w:val="none"/>
        </w:rPr>
      </w:pPr>
      <w:bookmarkStart w:id="236" w:name="_Toc19501"/>
      <w:r>
        <w:rPr>
          <w:rFonts w:hint="eastAsia" w:hAnsi="宋体" w:cs="TimesNewRomanPSMT"/>
          <w:b/>
          <w:color w:val="auto"/>
          <w:sz w:val="21"/>
          <w:szCs w:val="21"/>
          <w:highlight w:val="none"/>
        </w:rPr>
        <w:t>5  评标</w:t>
      </w:r>
      <w:bookmarkEnd w:id="230"/>
      <w:bookmarkEnd w:id="231"/>
      <w:bookmarkEnd w:id="232"/>
      <w:bookmarkEnd w:id="233"/>
      <w:bookmarkEnd w:id="234"/>
      <w:bookmarkEnd w:id="235"/>
      <w:bookmarkEnd w:id="236"/>
    </w:p>
    <w:p w14:paraId="59B7DC7F">
      <w:pPr>
        <w:autoSpaceDE w:val="0"/>
        <w:autoSpaceDN w:val="0"/>
        <w:adjustRightInd w:val="0"/>
        <w:spacing w:line="360" w:lineRule="auto"/>
        <w:jc w:val="left"/>
        <w:rPr>
          <w:rFonts w:ascii="宋体" w:cs="TimesNewRomanPSMT"/>
          <w:color w:val="auto"/>
          <w:kern w:val="0"/>
          <w:szCs w:val="21"/>
          <w:highlight w:val="none"/>
        </w:rPr>
      </w:pPr>
      <w:r>
        <w:rPr>
          <w:rFonts w:hint="eastAsia" w:ascii="宋体" w:hAnsi="宋体" w:cs="TimesNewRomanPSMT"/>
          <w:color w:val="auto"/>
          <w:kern w:val="0"/>
          <w:szCs w:val="21"/>
          <w:highlight w:val="none"/>
        </w:rPr>
        <w:t>5.1 评标委员会</w:t>
      </w:r>
    </w:p>
    <w:p w14:paraId="7D92D311">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TimesNewRomanPSMT"/>
          <w:color w:val="auto"/>
          <w:kern w:val="0"/>
          <w:szCs w:val="21"/>
          <w:highlight w:val="none"/>
        </w:rPr>
        <w:t>5.1.1 评标由招标人依法组建的评标委员会负责。评标委员会由招标人代表以及有关技术、经济等方面的专家组成。评标委员会成员人数以及技术、经济等方面专家的确定方式见投标人须知</w:t>
      </w:r>
      <w:r>
        <w:rPr>
          <w:rFonts w:hint="eastAsia" w:ascii="宋体" w:hAnsi="宋体" w:cs="??_GB2312"/>
          <w:color w:val="auto"/>
          <w:kern w:val="0"/>
          <w:szCs w:val="21"/>
          <w:highlight w:val="none"/>
        </w:rPr>
        <w:t>前附表。</w:t>
      </w:r>
    </w:p>
    <w:p w14:paraId="04B838B4">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TimesNewRomanPSMT"/>
          <w:color w:val="auto"/>
          <w:kern w:val="0"/>
          <w:szCs w:val="21"/>
          <w:highlight w:val="none"/>
        </w:rPr>
        <w:t xml:space="preserve">5.1.2 </w:t>
      </w:r>
      <w:r>
        <w:rPr>
          <w:rFonts w:hint="eastAsia" w:ascii="宋体" w:hAnsi="宋体" w:cs="??_GB2312"/>
          <w:color w:val="auto"/>
          <w:kern w:val="0"/>
          <w:szCs w:val="21"/>
          <w:highlight w:val="none"/>
        </w:rPr>
        <w:t>评标委员会成员有下列情形之一的，应当回避：</w:t>
      </w:r>
    </w:p>
    <w:p w14:paraId="2A63F8E1">
      <w:pPr>
        <w:autoSpaceDE w:val="0"/>
        <w:autoSpaceDN w:val="0"/>
        <w:adjustRightInd w:val="0"/>
        <w:spacing w:line="360" w:lineRule="auto"/>
        <w:ind w:firstLine="987" w:firstLineChars="47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1</w:t>
      </w:r>
      <w:r>
        <w:rPr>
          <w:rFonts w:hint="eastAsia" w:ascii="宋体" w:hAnsi="宋体" w:cs="??_GB2312"/>
          <w:color w:val="auto"/>
          <w:kern w:val="0"/>
          <w:szCs w:val="21"/>
          <w:highlight w:val="none"/>
        </w:rPr>
        <w:t>）招标人或投标人的主要负责人的近亲属；</w:t>
      </w:r>
    </w:p>
    <w:p w14:paraId="584F9F03">
      <w:pPr>
        <w:autoSpaceDE w:val="0"/>
        <w:autoSpaceDN w:val="0"/>
        <w:adjustRightInd w:val="0"/>
        <w:spacing w:line="360" w:lineRule="auto"/>
        <w:ind w:firstLine="987" w:firstLineChars="47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2</w:t>
      </w:r>
      <w:r>
        <w:rPr>
          <w:rFonts w:hint="eastAsia" w:ascii="宋体" w:hAnsi="宋体" w:cs="??_GB2312"/>
          <w:color w:val="auto"/>
          <w:kern w:val="0"/>
          <w:szCs w:val="21"/>
          <w:highlight w:val="none"/>
        </w:rPr>
        <w:t>）项目主管部门或者行政监督部门的人员；</w:t>
      </w:r>
    </w:p>
    <w:p w14:paraId="019416AD">
      <w:pPr>
        <w:autoSpaceDE w:val="0"/>
        <w:autoSpaceDN w:val="0"/>
        <w:adjustRightInd w:val="0"/>
        <w:spacing w:line="360" w:lineRule="auto"/>
        <w:ind w:firstLine="987" w:firstLineChars="47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3</w:t>
      </w:r>
      <w:r>
        <w:rPr>
          <w:rFonts w:hint="eastAsia" w:ascii="宋体" w:hAnsi="宋体" w:cs="??_GB2312"/>
          <w:color w:val="auto"/>
          <w:kern w:val="0"/>
          <w:szCs w:val="21"/>
          <w:highlight w:val="none"/>
        </w:rPr>
        <w:t>）与投标人有经济利益关系，可能影响对投标公正评审的；</w:t>
      </w:r>
    </w:p>
    <w:p w14:paraId="2936A37F">
      <w:pPr>
        <w:autoSpaceDE w:val="0"/>
        <w:autoSpaceDN w:val="0"/>
        <w:adjustRightInd w:val="0"/>
        <w:spacing w:line="360" w:lineRule="auto"/>
        <w:ind w:left="1081" w:leftChars="465" w:hanging="105" w:hangingChars="50"/>
        <w:jc w:val="left"/>
        <w:rPr>
          <w:rFonts w:ascii="宋体" w:cs="??_GB2312"/>
          <w:color w:val="auto"/>
          <w:kern w:val="0"/>
          <w:szCs w:val="21"/>
          <w:highlight w:val="none"/>
        </w:rPr>
      </w:pPr>
      <w:r>
        <w:rPr>
          <w:rFonts w:hint="eastAsia" w:ascii="宋体" w:hAnsi="宋体" w:cs="??_GB2312"/>
          <w:color w:val="auto"/>
          <w:kern w:val="0"/>
          <w:szCs w:val="21"/>
          <w:highlight w:val="none"/>
        </w:rPr>
        <w:t>（</w:t>
      </w:r>
      <w:r>
        <w:rPr>
          <w:rFonts w:hint="eastAsia" w:ascii="宋体" w:hAnsi="宋体" w:cs="TimesNewRomanPSMT"/>
          <w:color w:val="auto"/>
          <w:kern w:val="0"/>
          <w:szCs w:val="21"/>
          <w:highlight w:val="none"/>
        </w:rPr>
        <w:t>4</w:t>
      </w:r>
      <w:r>
        <w:rPr>
          <w:rFonts w:hint="eastAsia" w:ascii="宋体" w:hAnsi="宋体" w:cs="??_GB2312"/>
          <w:color w:val="auto"/>
          <w:kern w:val="0"/>
          <w:szCs w:val="21"/>
          <w:highlight w:val="none"/>
        </w:rPr>
        <w:t>）曾因在招标、评标以及其他与招标投标有关活动中从事违法行为而受过行政处罚或刑事处罚的。</w:t>
      </w:r>
    </w:p>
    <w:p w14:paraId="302AFEE7">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5.2 评标原则</w:t>
      </w:r>
    </w:p>
    <w:p w14:paraId="7C81B8FF">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评标活动遵循公平、公正、科学和择优的原则。</w:t>
      </w:r>
    </w:p>
    <w:p w14:paraId="17A3055D">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5.3 评标</w:t>
      </w:r>
    </w:p>
    <w:p w14:paraId="6411803F">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评标委员会按照第四章“评标办法”规定的方法、评审因素、标准和程序对投标文件进行评审。第四章“评标办法”没有规定的方法、评审因素和标准，不作为评标依据。</w:t>
      </w:r>
    </w:p>
    <w:p w14:paraId="0E71EB53">
      <w:pPr>
        <w:pStyle w:val="37"/>
        <w:spacing w:line="360" w:lineRule="auto"/>
        <w:outlineLvl w:val="1"/>
        <w:rPr>
          <w:rFonts w:hint="eastAsia" w:hAnsi="宋体" w:cs="??_GB2312"/>
          <w:b/>
          <w:color w:val="auto"/>
          <w:sz w:val="21"/>
          <w:szCs w:val="21"/>
          <w:highlight w:val="none"/>
        </w:rPr>
      </w:pPr>
      <w:bookmarkStart w:id="237" w:name="_Toc26206"/>
      <w:bookmarkStart w:id="238" w:name="_Toc30366"/>
      <w:bookmarkStart w:id="239" w:name="_Toc239235320"/>
      <w:bookmarkStart w:id="240" w:name="_Toc17622"/>
      <w:bookmarkStart w:id="241" w:name="_Toc238613293"/>
      <w:bookmarkStart w:id="242" w:name="_Toc402979494"/>
      <w:bookmarkStart w:id="243" w:name="_Toc257210913"/>
      <w:r>
        <w:rPr>
          <w:rFonts w:hint="eastAsia" w:hAnsi="宋体" w:cs="??_GB2312"/>
          <w:b/>
          <w:color w:val="auto"/>
          <w:sz w:val="21"/>
          <w:szCs w:val="21"/>
          <w:highlight w:val="none"/>
        </w:rPr>
        <w:t>6  合同授予</w:t>
      </w:r>
      <w:bookmarkEnd w:id="237"/>
      <w:bookmarkEnd w:id="238"/>
      <w:bookmarkEnd w:id="239"/>
      <w:bookmarkEnd w:id="240"/>
      <w:bookmarkEnd w:id="241"/>
      <w:bookmarkEnd w:id="242"/>
      <w:bookmarkEnd w:id="243"/>
    </w:p>
    <w:p w14:paraId="435D7AFC">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6.1 定标方式</w:t>
      </w:r>
    </w:p>
    <w:p w14:paraId="7443F959">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6.1.1招标人依据评标委员会推荐的中标候选人确定中标人，评标委员会推荐中标候选人的人数见投标人须知前附表。</w:t>
      </w:r>
      <w:r>
        <w:rPr>
          <w:rFonts w:ascii="宋体" w:hAnsi="宋体" w:cs="??_GB2312"/>
          <w:color w:val="auto"/>
          <w:kern w:val="0"/>
          <w:szCs w:val="21"/>
          <w:highlight w:val="none"/>
        </w:rPr>
        <w:t>排名第一的中标候选人</w:t>
      </w:r>
      <w:r>
        <w:rPr>
          <w:rFonts w:hint="eastAsia" w:ascii="宋体" w:hAnsi="宋体" w:cs="??_GB2312"/>
          <w:color w:val="auto"/>
          <w:kern w:val="0"/>
          <w:szCs w:val="21"/>
          <w:highlight w:val="none"/>
        </w:rPr>
        <w:t>因不可抗力或者自身原因不能履行政府采购合同的</w:t>
      </w:r>
      <w:r>
        <w:rPr>
          <w:rFonts w:ascii="宋体" w:hAnsi="宋体" w:cs="??_GB2312"/>
          <w:color w:val="auto"/>
          <w:kern w:val="0"/>
          <w:szCs w:val="21"/>
          <w:highlight w:val="none"/>
        </w:rPr>
        <w:t>，招标人可以确定排名第二的中标候选人为中标人</w:t>
      </w:r>
      <w:r>
        <w:rPr>
          <w:rFonts w:hint="eastAsia" w:ascii="宋体" w:hAnsi="宋体" w:cs="??_GB2312"/>
          <w:color w:val="auto"/>
          <w:kern w:val="0"/>
          <w:szCs w:val="21"/>
          <w:highlight w:val="none"/>
        </w:rPr>
        <w:t>。也可重新招标。</w:t>
      </w:r>
    </w:p>
    <w:p w14:paraId="6EC1C96F">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6.2 中标通知</w:t>
      </w:r>
    </w:p>
    <w:p w14:paraId="1B599C24">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在投标人须知前附表中规定的投标有效期内，招标人以书面形式向中标投标人发出中标通知书。</w:t>
      </w:r>
    </w:p>
    <w:p w14:paraId="57C7CB72">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6.3 签订合同</w:t>
      </w:r>
    </w:p>
    <w:p w14:paraId="26D4C15D">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6.3.1 招标人和中标投标人应当在中标通知书指定的时间内，根据招标文件和中标投标人的投标文件订立书面合同。中标投标人无正当理由拒签合同的，招标人取消其中标资格；给招标人造成的损失的，中标投标人还应当予以赔偿。</w:t>
      </w:r>
    </w:p>
    <w:p w14:paraId="4B0AC44F">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6.3.2 发出中标通知书后，招标人无正当理由拒签合同的；给中标投标人造成损失的，还应当赔偿损失。</w:t>
      </w:r>
    </w:p>
    <w:p w14:paraId="7719D506">
      <w:pPr>
        <w:pStyle w:val="37"/>
        <w:spacing w:line="360" w:lineRule="auto"/>
        <w:outlineLvl w:val="1"/>
        <w:rPr>
          <w:rFonts w:hint="eastAsia" w:hAnsi="宋体" w:cs="??_GB2312"/>
          <w:b/>
          <w:color w:val="auto"/>
          <w:sz w:val="21"/>
          <w:szCs w:val="21"/>
          <w:highlight w:val="none"/>
        </w:rPr>
      </w:pPr>
      <w:bookmarkStart w:id="244" w:name="_Toc238613294"/>
      <w:bookmarkStart w:id="245" w:name="_Toc239235321"/>
      <w:bookmarkStart w:id="246" w:name="_Toc257210914"/>
      <w:bookmarkStart w:id="247" w:name="_Toc25876"/>
      <w:bookmarkStart w:id="248" w:name="_Toc402979495"/>
      <w:bookmarkStart w:id="249" w:name="_Toc18509"/>
      <w:bookmarkStart w:id="250" w:name="_Toc24090"/>
      <w:r>
        <w:rPr>
          <w:rFonts w:hint="eastAsia" w:hAnsi="宋体" w:cs="??_GB2312"/>
          <w:b/>
          <w:color w:val="auto"/>
          <w:sz w:val="21"/>
          <w:szCs w:val="21"/>
          <w:highlight w:val="none"/>
        </w:rPr>
        <w:t>7  重新招标</w:t>
      </w:r>
      <w:bookmarkEnd w:id="244"/>
      <w:bookmarkEnd w:id="245"/>
      <w:bookmarkEnd w:id="246"/>
      <w:bookmarkEnd w:id="247"/>
      <w:bookmarkEnd w:id="248"/>
      <w:bookmarkEnd w:id="249"/>
      <w:bookmarkEnd w:id="250"/>
    </w:p>
    <w:p w14:paraId="350E4E93">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7.1 重新招标</w:t>
      </w:r>
    </w:p>
    <w:p w14:paraId="00E93FF0">
      <w:pPr>
        <w:autoSpaceDE w:val="0"/>
        <w:autoSpaceDN w:val="0"/>
        <w:adjustRightInd w:val="0"/>
        <w:spacing w:line="360" w:lineRule="auto"/>
        <w:ind w:firstLine="539" w:firstLineChars="257"/>
        <w:jc w:val="left"/>
        <w:rPr>
          <w:rFonts w:ascii="宋体" w:cs="??_GB2312"/>
          <w:color w:val="auto"/>
          <w:kern w:val="0"/>
          <w:szCs w:val="21"/>
          <w:highlight w:val="none"/>
        </w:rPr>
      </w:pPr>
      <w:r>
        <w:rPr>
          <w:rFonts w:hint="eastAsia" w:ascii="宋体" w:hAnsi="宋体" w:cs="??_GB2312"/>
          <w:color w:val="auto"/>
          <w:kern w:val="0"/>
          <w:szCs w:val="21"/>
          <w:highlight w:val="none"/>
        </w:rPr>
        <w:t>有下列情形之一的，招标人将重新招标：</w:t>
      </w:r>
    </w:p>
    <w:p w14:paraId="0F468832">
      <w:pPr>
        <w:autoSpaceDE w:val="0"/>
        <w:autoSpaceDN w:val="0"/>
        <w:adjustRightInd w:val="0"/>
        <w:spacing w:line="360" w:lineRule="auto"/>
        <w:ind w:firstLine="539" w:firstLineChars="257"/>
        <w:jc w:val="left"/>
        <w:rPr>
          <w:rFonts w:ascii="宋体" w:cs="??_GB2312"/>
          <w:color w:val="auto"/>
          <w:kern w:val="0"/>
          <w:szCs w:val="21"/>
          <w:highlight w:val="none"/>
        </w:rPr>
      </w:pPr>
      <w:r>
        <w:rPr>
          <w:rFonts w:hint="eastAsia" w:ascii="宋体" w:hAnsi="宋体" w:cs="??_GB2312"/>
          <w:color w:val="auto"/>
          <w:kern w:val="0"/>
          <w:szCs w:val="21"/>
          <w:highlight w:val="none"/>
        </w:rPr>
        <w:t>（1）投标截止时间止，投标人少于3家的；</w:t>
      </w:r>
    </w:p>
    <w:p w14:paraId="1FE3ADE0">
      <w:pPr>
        <w:autoSpaceDE w:val="0"/>
        <w:autoSpaceDN w:val="0"/>
        <w:adjustRightInd w:val="0"/>
        <w:spacing w:line="360" w:lineRule="auto"/>
        <w:ind w:firstLine="539" w:firstLineChars="257"/>
        <w:jc w:val="left"/>
        <w:rPr>
          <w:rFonts w:ascii="宋体" w:cs="??_GB2312"/>
          <w:color w:val="auto"/>
          <w:kern w:val="0"/>
          <w:szCs w:val="21"/>
          <w:highlight w:val="none"/>
        </w:rPr>
      </w:pPr>
      <w:r>
        <w:rPr>
          <w:rFonts w:hint="eastAsia" w:ascii="宋体" w:hAnsi="宋体" w:cs="??_GB2312"/>
          <w:color w:val="auto"/>
          <w:kern w:val="0"/>
          <w:szCs w:val="21"/>
          <w:highlight w:val="none"/>
        </w:rPr>
        <w:t>（2）经评标委员会评审后否决所有投标的。</w:t>
      </w:r>
    </w:p>
    <w:p w14:paraId="7C9222D5">
      <w:pPr>
        <w:pStyle w:val="37"/>
        <w:spacing w:line="360" w:lineRule="auto"/>
        <w:outlineLvl w:val="1"/>
        <w:rPr>
          <w:rFonts w:hint="eastAsia" w:hAnsi="宋体" w:cs="??_GB2312"/>
          <w:b/>
          <w:color w:val="auto"/>
          <w:sz w:val="21"/>
          <w:szCs w:val="21"/>
          <w:highlight w:val="none"/>
        </w:rPr>
      </w:pPr>
      <w:bookmarkStart w:id="251" w:name="_Toc402979496"/>
      <w:bookmarkStart w:id="252" w:name="_Toc257210915"/>
      <w:bookmarkStart w:id="253" w:name="_Toc3050"/>
      <w:bookmarkStart w:id="254" w:name="_Toc5390"/>
      <w:bookmarkStart w:id="255" w:name="_Toc239235322"/>
      <w:bookmarkStart w:id="256" w:name="_Toc14817"/>
      <w:bookmarkStart w:id="257" w:name="_Toc238613295"/>
      <w:r>
        <w:rPr>
          <w:rFonts w:hint="eastAsia" w:hAnsi="宋体" w:cs="??_GB2312"/>
          <w:b/>
          <w:color w:val="auto"/>
          <w:sz w:val="21"/>
          <w:szCs w:val="21"/>
          <w:highlight w:val="none"/>
        </w:rPr>
        <w:t>8  纪律和监督</w:t>
      </w:r>
      <w:bookmarkEnd w:id="251"/>
      <w:bookmarkEnd w:id="252"/>
      <w:bookmarkEnd w:id="253"/>
      <w:bookmarkEnd w:id="254"/>
      <w:bookmarkEnd w:id="255"/>
      <w:bookmarkEnd w:id="256"/>
      <w:bookmarkEnd w:id="257"/>
    </w:p>
    <w:p w14:paraId="0D4F2D45">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8.1 对招标人的纪律要求</w:t>
      </w:r>
    </w:p>
    <w:p w14:paraId="318870E1">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招标人不得泄漏招标投标活动中应当保密的情况和资料，不得与投标人串通损害国家利益、社会公共利益或者他人合法权益。</w:t>
      </w:r>
    </w:p>
    <w:p w14:paraId="5A5F4626">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8.2 对投标人的纪律要求</w:t>
      </w:r>
    </w:p>
    <w:p w14:paraId="1412F48D">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63C8969">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8.3 对评标委员会成员的纪律要求</w:t>
      </w:r>
    </w:p>
    <w:p w14:paraId="4B703FDC">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2C4EB609">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8.4 对与评标活动有关的工作人员的纪律要求</w:t>
      </w:r>
    </w:p>
    <w:p w14:paraId="62AA4C50">
      <w:pPr>
        <w:autoSpaceDE w:val="0"/>
        <w:autoSpaceDN w:val="0"/>
        <w:adjustRightInd w:val="0"/>
        <w:spacing w:line="360" w:lineRule="auto"/>
        <w:ind w:firstLine="420" w:firstLineChars="200"/>
        <w:jc w:val="left"/>
        <w:rPr>
          <w:rFonts w:ascii="宋体" w:cs="??_GB2312"/>
          <w:color w:val="auto"/>
          <w:kern w:val="0"/>
          <w:szCs w:val="21"/>
          <w:highlight w:val="none"/>
        </w:rPr>
      </w:pPr>
      <w:r>
        <w:rPr>
          <w:rFonts w:hint="eastAsia" w:ascii="宋体" w:hAnsi="宋体" w:cs="??_GB2312"/>
          <w:color w:val="auto"/>
          <w:kern w:val="0"/>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A3E791F">
      <w:pPr>
        <w:autoSpaceDE w:val="0"/>
        <w:autoSpaceDN w:val="0"/>
        <w:adjustRightInd w:val="0"/>
        <w:spacing w:line="360" w:lineRule="auto"/>
        <w:jc w:val="left"/>
        <w:rPr>
          <w:rFonts w:ascii="宋体" w:cs="??_GB2312"/>
          <w:color w:val="auto"/>
          <w:kern w:val="0"/>
          <w:szCs w:val="21"/>
          <w:highlight w:val="none"/>
        </w:rPr>
      </w:pPr>
      <w:r>
        <w:rPr>
          <w:rFonts w:hint="eastAsia" w:ascii="宋体" w:hAnsi="宋体" w:cs="??_GB2312"/>
          <w:color w:val="auto"/>
          <w:kern w:val="0"/>
          <w:szCs w:val="21"/>
          <w:highlight w:val="none"/>
        </w:rPr>
        <w:t>8.5 投诉</w:t>
      </w:r>
    </w:p>
    <w:p w14:paraId="09B96EDC">
      <w:pPr>
        <w:autoSpaceDE w:val="0"/>
        <w:autoSpaceDN w:val="0"/>
        <w:adjustRightInd w:val="0"/>
        <w:spacing w:line="360" w:lineRule="auto"/>
        <w:ind w:firstLine="420" w:firstLineChars="200"/>
        <w:jc w:val="left"/>
        <w:rPr>
          <w:rFonts w:hint="eastAsia" w:ascii="宋体" w:hAnsi="宋体" w:cs="??_GB2312"/>
          <w:color w:val="auto"/>
          <w:kern w:val="0"/>
          <w:szCs w:val="21"/>
          <w:highlight w:val="none"/>
        </w:rPr>
      </w:pPr>
      <w:r>
        <w:rPr>
          <w:rFonts w:hint="eastAsia" w:ascii="宋体" w:hAnsi="宋体" w:cs="??_GB2312"/>
          <w:color w:val="auto"/>
          <w:kern w:val="0"/>
          <w:szCs w:val="21"/>
          <w:highlight w:val="none"/>
        </w:rPr>
        <w:t>投标人认为本次招标活动违反法律、法规和规章规定的，有权向有关行政监督部门投诉。</w:t>
      </w:r>
    </w:p>
    <w:p w14:paraId="29DEA42C">
      <w:pPr>
        <w:pStyle w:val="37"/>
        <w:spacing w:line="360" w:lineRule="auto"/>
        <w:outlineLvl w:val="1"/>
        <w:rPr>
          <w:rFonts w:hint="eastAsia" w:hAnsi="宋体" w:cs="??_GB2312"/>
          <w:b/>
          <w:color w:val="auto"/>
          <w:sz w:val="21"/>
          <w:szCs w:val="21"/>
          <w:highlight w:val="none"/>
        </w:rPr>
      </w:pPr>
      <w:bookmarkStart w:id="258" w:name="_Toc239235323"/>
      <w:bookmarkStart w:id="259" w:name="_Toc402979497"/>
      <w:bookmarkStart w:id="260" w:name="_Toc257210916"/>
      <w:bookmarkStart w:id="261" w:name="_Toc12656"/>
      <w:bookmarkStart w:id="262" w:name="_Toc238613296"/>
      <w:bookmarkStart w:id="263" w:name="_Toc19357"/>
      <w:bookmarkStart w:id="264" w:name="_Toc15665"/>
      <w:r>
        <w:rPr>
          <w:rFonts w:hint="eastAsia" w:hAnsi="宋体" w:cs="??_GB2312"/>
          <w:b/>
          <w:color w:val="auto"/>
          <w:sz w:val="21"/>
          <w:szCs w:val="21"/>
          <w:highlight w:val="none"/>
        </w:rPr>
        <w:t>9   项目款的支付</w:t>
      </w:r>
      <w:bookmarkEnd w:id="258"/>
      <w:bookmarkEnd w:id="259"/>
      <w:bookmarkEnd w:id="260"/>
      <w:bookmarkEnd w:id="261"/>
      <w:bookmarkEnd w:id="262"/>
      <w:bookmarkEnd w:id="263"/>
      <w:bookmarkEnd w:id="264"/>
      <w:bookmarkStart w:id="265" w:name="_Toc238613297"/>
      <w:bookmarkEnd w:id="265"/>
    </w:p>
    <w:p w14:paraId="5D4CF2F1">
      <w:pPr>
        <w:pStyle w:val="37"/>
        <w:spacing w:line="360" w:lineRule="auto"/>
        <w:ind w:firstLine="525" w:firstLineChars="250"/>
        <w:rPr>
          <w:rFonts w:hint="eastAsia" w:hAnsi="宋体" w:cs="??_GB2312"/>
          <w:color w:val="auto"/>
          <w:sz w:val="21"/>
          <w:szCs w:val="21"/>
          <w:highlight w:val="none"/>
        </w:rPr>
      </w:pPr>
      <w:r>
        <w:rPr>
          <w:rFonts w:hint="eastAsia" w:hAnsi="宋体" w:cs="??_GB2312"/>
          <w:color w:val="auto"/>
          <w:sz w:val="21"/>
          <w:szCs w:val="21"/>
          <w:highlight w:val="none"/>
        </w:rPr>
        <w:t>具体内容以签订合同时为准。</w:t>
      </w:r>
    </w:p>
    <w:p w14:paraId="6C10E1E9">
      <w:pPr>
        <w:autoSpaceDE w:val="0"/>
        <w:autoSpaceDN w:val="0"/>
        <w:adjustRightInd w:val="0"/>
        <w:spacing w:line="360" w:lineRule="auto"/>
        <w:jc w:val="left"/>
        <w:outlineLvl w:val="1"/>
        <w:rPr>
          <w:rFonts w:ascii="宋体" w:cs="??_GB2312"/>
          <w:b/>
          <w:color w:val="auto"/>
          <w:kern w:val="0"/>
          <w:szCs w:val="21"/>
          <w:highlight w:val="none"/>
        </w:rPr>
      </w:pPr>
      <w:bookmarkStart w:id="266" w:name="_Toc7683"/>
      <w:bookmarkStart w:id="267" w:name="_Toc257210918"/>
      <w:bookmarkStart w:id="268" w:name="_Toc3917"/>
      <w:bookmarkStart w:id="269" w:name="_Toc402979498"/>
      <w:bookmarkStart w:id="270" w:name="_Toc28308"/>
      <w:r>
        <w:rPr>
          <w:rFonts w:hint="eastAsia" w:ascii="宋体" w:hAnsi="宋体" w:cs="??_GB2312"/>
          <w:b/>
          <w:color w:val="auto"/>
          <w:kern w:val="0"/>
          <w:szCs w:val="21"/>
          <w:highlight w:val="none"/>
        </w:rPr>
        <w:t>10  需要补充的其他内容：</w:t>
      </w:r>
      <w:bookmarkEnd w:id="266"/>
      <w:bookmarkEnd w:id="267"/>
      <w:bookmarkEnd w:id="268"/>
      <w:bookmarkEnd w:id="269"/>
      <w:bookmarkEnd w:id="270"/>
      <w:r>
        <w:rPr>
          <w:rFonts w:hint="eastAsia" w:ascii="宋体" w:hAnsi="宋体" w:cs="??_GB2312"/>
          <w:b/>
          <w:color w:val="auto"/>
          <w:kern w:val="0"/>
          <w:szCs w:val="21"/>
          <w:highlight w:val="none"/>
        </w:rPr>
        <w:t xml:space="preserve"> </w:t>
      </w:r>
    </w:p>
    <w:p w14:paraId="5EB7AA18">
      <w:pPr>
        <w:pStyle w:val="37"/>
        <w:spacing w:line="360" w:lineRule="auto"/>
        <w:ind w:firstLine="420" w:firstLineChars="200"/>
        <w:rPr>
          <w:rFonts w:hint="eastAsia" w:hAnsi="宋体" w:cs="??_GB2312"/>
          <w:color w:val="auto"/>
          <w:sz w:val="21"/>
          <w:szCs w:val="21"/>
          <w:highlight w:val="none"/>
        </w:rPr>
      </w:pPr>
      <w:r>
        <w:rPr>
          <w:rFonts w:hint="eastAsia" w:hAnsi="宋体" w:cs="??_GB2312"/>
          <w:color w:val="auto"/>
          <w:sz w:val="21"/>
          <w:szCs w:val="21"/>
          <w:highlight w:val="none"/>
        </w:rPr>
        <w:t>10.1 未尽事宜，按国家有关规定执行。</w:t>
      </w:r>
    </w:p>
    <w:bookmarkEnd w:id="124"/>
    <w:bookmarkEnd w:id="125"/>
    <w:bookmarkEnd w:id="126"/>
    <w:bookmarkEnd w:id="127"/>
    <w:bookmarkEnd w:id="128"/>
    <w:bookmarkEnd w:id="129"/>
    <w:bookmarkEnd w:id="130"/>
    <w:bookmarkEnd w:id="131"/>
    <w:bookmarkEnd w:id="132"/>
    <w:bookmarkEnd w:id="133"/>
    <w:bookmarkEnd w:id="134"/>
    <w:bookmarkEnd w:id="135"/>
    <w:bookmarkEnd w:id="136"/>
    <w:p w14:paraId="47053DB3">
      <w:pPr>
        <w:jc w:val="left"/>
        <w:rPr>
          <w:rFonts w:hint="eastAsia" w:ascii="宋体" w:hAnsi="宋体" w:cs="宋体"/>
          <w:color w:val="auto"/>
          <w:sz w:val="20"/>
          <w:szCs w:val="20"/>
          <w:highlight w:val="none"/>
        </w:rPr>
      </w:pPr>
    </w:p>
    <w:p w14:paraId="2F1CD3D8">
      <w:pPr>
        <w:rPr>
          <w:rFonts w:hint="eastAsia" w:ascii="宋体" w:hAnsi="宋体" w:cs="宋体"/>
          <w:color w:val="auto"/>
          <w:sz w:val="48"/>
          <w:szCs w:val="48"/>
          <w:highlight w:val="none"/>
        </w:rPr>
      </w:pPr>
      <w:bookmarkStart w:id="271" w:name="_Toc445450456"/>
      <w:r>
        <w:rPr>
          <w:rFonts w:hint="eastAsia" w:ascii="宋体" w:hAnsi="宋体" w:cs="宋体"/>
          <w:color w:val="auto"/>
          <w:sz w:val="48"/>
          <w:szCs w:val="48"/>
          <w:highlight w:val="none"/>
        </w:rPr>
        <w:br w:type="page"/>
      </w:r>
    </w:p>
    <w:bookmarkEnd w:id="271"/>
    <w:p w14:paraId="7FF7DACF">
      <w:pPr>
        <w:autoSpaceDE w:val="0"/>
        <w:autoSpaceDN w:val="0"/>
        <w:adjustRightInd w:val="0"/>
        <w:jc w:val="center"/>
        <w:outlineLvl w:val="0"/>
        <w:rPr>
          <w:rFonts w:hint="eastAsia" w:ascii="宋体" w:hAnsi="宋体" w:cs="宋体"/>
          <w:b/>
          <w:color w:val="auto"/>
          <w:spacing w:val="-26"/>
          <w:kern w:val="0"/>
          <w:sz w:val="44"/>
          <w:szCs w:val="44"/>
          <w:highlight w:val="none"/>
        </w:rPr>
      </w:pPr>
      <w:bookmarkStart w:id="272" w:name="_Toc445450458"/>
      <w:bookmarkStart w:id="273" w:name="_Toc27080"/>
      <w:r>
        <w:rPr>
          <w:rFonts w:hint="eastAsia" w:ascii="宋体" w:hAnsi="宋体" w:cs="宋体"/>
          <w:b/>
          <w:color w:val="auto"/>
          <w:spacing w:val="-26"/>
          <w:kern w:val="0"/>
          <w:sz w:val="44"/>
          <w:szCs w:val="44"/>
          <w:highlight w:val="none"/>
        </w:rPr>
        <w:t xml:space="preserve"> </w:t>
      </w:r>
      <w:bookmarkStart w:id="274" w:name="_Toc26611"/>
      <w:r>
        <w:rPr>
          <w:rFonts w:hint="eastAsia" w:ascii="宋体" w:hAnsi="宋体" w:cs="宋体"/>
          <w:b/>
          <w:color w:val="auto"/>
          <w:spacing w:val="-26"/>
          <w:kern w:val="0"/>
          <w:sz w:val="44"/>
          <w:szCs w:val="44"/>
          <w:highlight w:val="none"/>
        </w:rPr>
        <w:t>第三章 采购需求及要求</w:t>
      </w:r>
      <w:bookmarkEnd w:id="274"/>
    </w:p>
    <w:p w14:paraId="62923321">
      <w:pPr>
        <w:autoSpaceDE w:val="0"/>
        <w:autoSpaceDN w:val="0"/>
        <w:adjustRightInd w:val="0"/>
        <w:spacing w:line="360" w:lineRule="auto"/>
        <w:jc w:val="left"/>
        <w:rPr>
          <w:rFonts w:hint="eastAsia" w:ascii="宋体" w:hAnsi="宋体" w:cs="??_GB2312"/>
          <w:color w:val="auto"/>
          <w:kern w:val="0"/>
          <w:szCs w:val="21"/>
          <w:highlight w:val="none"/>
        </w:rPr>
      </w:pPr>
    </w:p>
    <w:p w14:paraId="1171542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项目内容</w:t>
      </w:r>
    </w:p>
    <w:p w14:paraId="362EF3D7">
      <w:pPr>
        <w:pStyle w:val="2"/>
        <w:keepNext w:val="0"/>
        <w:keepLines w:val="0"/>
        <w:pageBreakBefore w:val="0"/>
        <w:widowControl w:val="0"/>
        <w:kinsoku/>
        <w:wordWrap/>
        <w:overflowPunct/>
        <w:topLinePunct w:val="0"/>
        <w:autoSpaceDE/>
        <w:autoSpaceDN/>
        <w:bidi w:val="0"/>
        <w:adjustRightInd/>
        <w:snapToGrid/>
        <w:spacing w:after="0" w:line="480" w:lineRule="auto"/>
        <w:ind w:left="0" w:leftChars="0" w:firstLine="480"/>
        <w:textAlignment w:val="auto"/>
        <w:rPr>
          <w:rFonts w:hint="eastAsia" w:ascii="宋体" w:hAnsi="宋体" w:eastAsia="宋体" w:cs="宋体"/>
          <w:sz w:val="21"/>
          <w:szCs w:val="21"/>
        </w:rPr>
      </w:pPr>
      <w:r>
        <w:rPr>
          <w:rFonts w:hint="eastAsia" w:ascii="宋体" w:hAnsi="宋体" w:eastAsia="宋体" w:cs="宋体"/>
          <w:sz w:val="21"/>
          <w:szCs w:val="21"/>
        </w:rPr>
        <w:t>本项目范围为对开封市20家</w:t>
      </w:r>
      <w:bookmarkStart w:id="275" w:name="OLE_LINK4"/>
      <w:r>
        <w:rPr>
          <w:rFonts w:hint="eastAsia" w:ascii="宋体" w:hAnsi="宋体" w:eastAsia="宋体" w:cs="宋体"/>
          <w:sz w:val="21"/>
          <w:szCs w:val="21"/>
        </w:rPr>
        <w:t>污水处理厂及6家固体废物处置场</w:t>
      </w:r>
      <w:bookmarkEnd w:id="275"/>
      <w:r>
        <w:rPr>
          <w:rFonts w:hint="eastAsia" w:ascii="宋体" w:hAnsi="宋体" w:eastAsia="宋体" w:cs="宋体"/>
          <w:sz w:val="21"/>
          <w:szCs w:val="21"/>
        </w:rPr>
        <w:t>，编制《开封市污水集中处理设施及固体废物设施周边土壤污染状况监测工作方案》，方案应包括但不限于工作概况、工作依据、信息采集、污染识别、点位布设、监测项目、监测方法、质量保障和控制等，方案经专家评审通过后备案。</w:t>
      </w:r>
    </w:p>
    <w:p w14:paraId="5F314D19">
      <w:pPr>
        <w:pStyle w:val="2"/>
        <w:keepNext w:val="0"/>
        <w:keepLines w:val="0"/>
        <w:pageBreakBefore w:val="0"/>
        <w:widowControl w:val="0"/>
        <w:kinsoku/>
        <w:wordWrap/>
        <w:overflowPunct/>
        <w:topLinePunct w:val="0"/>
        <w:autoSpaceDE/>
        <w:autoSpaceDN/>
        <w:bidi w:val="0"/>
        <w:adjustRightInd/>
        <w:snapToGrid/>
        <w:spacing w:after="0" w:line="480" w:lineRule="auto"/>
        <w:ind w:left="0" w:leftChars="0" w:firstLine="480"/>
        <w:textAlignment w:val="auto"/>
        <w:rPr>
          <w:rFonts w:hint="eastAsia" w:ascii="宋体" w:hAnsi="宋体" w:eastAsia="宋体" w:cs="宋体"/>
          <w:sz w:val="21"/>
          <w:szCs w:val="21"/>
        </w:rPr>
      </w:pPr>
      <w:r>
        <w:rPr>
          <w:rFonts w:hint="eastAsia" w:ascii="宋体" w:hAnsi="宋体" w:eastAsia="宋体" w:cs="宋体"/>
          <w:sz w:val="21"/>
          <w:szCs w:val="21"/>
        </w:rPr>
        <w:t>按照《工业企业、周边土壤和地下水监测技术指南（试行）》（总站土字﹝2024﹞73 号）的要求，通过信息采集、污染识别、监测点位布设、样品采集分析测试等，评估污水处理厂和固体废物处置场可能造成的污染风险。</w:t>
      </w:r>
    </w:p>
    <w:p w14:paraId="2EB71E4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预期成果</w:t>
      </w:r>
    </w:p>
    <w:p w14:paraId="74C5C524">
      <w:pPr>
        <w:pStyle w:val="2"/>
        <w:keepNext w:val="0"/>
        <w:keepLines w:val="0"/>
        <w:pageBreakBefore w:val="0"/>
        <w:widowControl w:val="0"/>
        <w:kinsoku/>
        <w:wordWrap/>
        <w:overflowPunct/>
        <w:topLinePunct w:val="0"/>
        <w:autoSpaceDE/>
        <w:autoSpaceDN/>
        <w:bidi w:val="0"/>
        <w:adjustRightInd/>
        <w:snapToGrid/>
        <w:spacing w:after="0" w:line="480" w:lineRule="auto"/>
        <w:ind w:left="0" w:leftChars="0" w:firstLine="480"/>
        <w:textAlignment w:val="auto"/>
        <w:rPr>
          <w:rFonts w:hint="eastAsia" w:ascii="宋体" w:hAnsi="宋体" w:eastAsia="宋体" w:cs="宋体"/>
          <w:sz w:val="21"/>
          <w:szCs w:val="21"/>
        </w:rPr>
      </w:pPr>
      <w:r>
        <w:rPr>
          <w:rFonts w:hint="eastAsia" w:ascii="宋体" w:hAnsi="宋体" w:eastAsia="宋体" w:cs="宋体"/>
          <w:sz w:val="21"/>
          <w:szCs w:val="21"/>
        </w:rPr>
        <w:t>1、制定监测方案。内容至少包括：信息采集情况、污染识别结果、监测点位及布设图、监测指标与频次、拟选取的样品采集、流转、制备、保存与分析测试等方法、质量保证与质量控制等。</w:t>
      </w:r>
    </w:p>
    <w:p w14:paraId="218C59D8">
      <w:pPr>
        <w:pStyle w:val="2"/>
        <w:keepNext w:val="0"/>
        <w:keepLines w:val="0"/>
        <w:pageBreakBefore w:val="0"/>
        <w:widowControl w:val="0"/>
        <w:kinsoku/>
        <w:wordWrap/>
        <w:overflowPunct/>
        <w:topLinePunct w:val="0"/>
        <w:autoSpaceDE/>
        <w:autoSpaceDN/>
        <w:bidi w:val="0"/>
        <w:adjustRightInd/>
        <w:snapToGrid/>
        <w:spacing w:after="0" w:line="480" w:lineRule="auto"/>
        <w:ind w:left="0" w:leftChars="0" w:firstLine="480"/>
        <w:textAlignment w:val="auto"/>
        <w:rPr>
          <w:rFonts w:hint="eastAsia" w:ascii="宋体" w:hAnsi="宋体" w:eastAsia="宋体" w:cs="宋体"/>
          <w:sz w:val="21"/>
          <w:szCs w:val="21"/>
        </w:rPr>
      </w:pPr>
      <w:r>
        <w:rPr>
          <w:rFonts w:hint="eastAsia" w:ascii="宋体" w:hAnsi="宋体" w:eastAsia="宋体" w:cs="宋体"/>
          <w:sz w:val="21"/>
          <w:szCs w:val="21"/>
        </w:rPr>
        <w:t>2、编制监测报告。内容至少包括企业基本情况、监测点位实际采样位置、监测结果、质量保障和质量控制、结论和建议等内容，报告内容可根据实际监测情况适当调整。</w:t>
      </w:r>
    </w:p>
    <w:p w14:paraId="630F1F05">
      <w:pPr>
        <w:pStyle w:val="11"/>
        <w:rPr>
          <w:rFonts w:hint="eastAsia" w:ascii="宋体" w:hAnsi="宋体" w:cs="宋体"/>
          <w:b/>
          <w:color w:val="auto"/>
          <w:spacing w:val="-26"/>
          <w:kern w:val="0"/>
          <w:sz w:val="44"/>
          <w:szCs w:val="44"/>
          <w:highlight w:val="none"/>
        </w:rPr>
      </w:pPr>
    </w:p>
    <w:p w14:paraId="4C26173D">
      <w:pPr>
        <w:pStyle w:val="23"/>
        <w:rPr>
          <w:rFonts w:hint="eastAsia" w:ascii="宋体" w:hAnsi="宋体" w:cs="宋体"/>
          <w:b/>
          <w:color w:val="auto"/>
          <w:spacing w:val="-26"/>
          <w:kern w:val="0"/>
          <w:sz w:val="44"/>
          <w:szCs w:val="44"/>
          <w:highlight w:val="none"/>
        </w:rPr>
      </w:pPr>
    </w:p>
    <w:p w14:paraId="6C565C25">
      <w:pPr>
        <w:pStyle w:val="11"/>
        <w:rPr>
          <w:rFonts w:hint="eastAsia" w:ascii="宋体" w:hAnsi="宋体" w:cs="宋体"/>
          <w:b/>
          <w:color w:val="auto"/>
          <w:spacing w:val="-26"/>
          <w:kern w:val="0"/>
          <w:sz w:val="44"/>
          <w:szCs w:val="44"/>
          <w:highlight w:val="none"/>
        </w:rPr>
      </w:pPr>
    </w:p>
    <w:p w14:paraId="4819E13D">
      <w:pPr>
        <w:rPr>
          <w:color w:val="auto"/>
          <w:highlight w:val="none"/>
        </w:rPr>
      </w:pPr>
    </w:p>
    <w:p w14:paraId="23E2CD49">
      <w:pPr>
        <w:pStyle w:val="11"/>
        <w:rPr>
          <w:rFonts w:hint="eastAsia" w:ascii="宋体" w:hAnsi="宋体" w:cs="宋体"/>
          <w:b/>
          <w:color w:val="auto"/>
          <w:spacing w:val="-26"/>
          <w:kern w:val="0"/>
          <w:sz w:val="44"/>
          <w:szCs w:val="44"/>
          <w:highlight w:val="none"/>
        </w:rPr>
      </w:pPr>
    </w:p>
    <w:p w14:paraId="2366EAB9">
      <w:pPr>
        <w:rPr>
          <w:rFonts w:hint="eastAsia" w:ascii="宋体" w:hAnsi="宋体" w:cs="宋体"/>
          <w:b/>
          <w:color w:val="auto"/>
          <w:spacing w:val="-26"/>
          <w:kern w:val="0"/>
          <w:sz w:val="44"/>
          <w:szCs w:val="44"/>
          <w:highlight w:val="none"/>
        </w:rPr>
      </w:pPr>
      <w:bookmarkStart w:id="276" w:name="_Toc11792"/>
      <w:r>
        <w:rPr>
          <w:rFonts w:hint="eastAsia" w:ascii="宋体" w:hAnsi="宋体" w:cs="宋体"/>
          <w:b/>
          <w:color w:val="auto"/>
          <w:spacing w:val="-26"/>
          <w:kern w:val="0"/>
          <w:sz w:val="44"/>
          <w:szCs w:val="44"/>
          <w:highlight w:val="none"/>
        </w:rPr>
        <w:br w:type="page"/>
      </w:r>
    </w:p>
    <w:p w14:paraId="4EEA211E">
      <w:pPr>
        <w:autoSpaceDE w:val="0"/>
        <w:autoSpaceDN w:val="0"/>
        <w:adjustRightInd w:val="0"/>
        <w:jc w:val="center"/>
        <w:outlineLvl w:val="0"/>
        <w:rPr>
          <w:rFonts w:hint="eastAsia" w:ascii="宋体" w:hAnsi="宋体" w:cs="宋体"/>
          <w:color w:val="auto"/>
          <w:sz w:val="28"/>
          <w:szCs w:val="28"/>
          <w:highlight w:val="none"/>
        </w:rPr>
      </w:pPr>
      <w:r>
        <w:rPr>
          <w:rFonts w:hint="eastAsia" w:ascii="宋体" w:hAnsi="宋体" w:cs="宋体"/>
          <w:b/>
          <w:color w:val="auto"/>
          <w:spacing w:val="-26"/>
          <w:kern w:val="0"/>
          <w:sz w:val="44"/>
          <w:szCs w:val="44"/>
          <w:highlight w:val="none"/>
        </w:rPr>
        <w:t xml:space="preserve">第四章   </w:t>
      </w:r>
      <w:bookmarkEnd w:id="272"/>
      <w:bookmarkStart w:id="277" w:name="_Toc144974566"/>
      <w:bookmarkStart w:id="278" w:name="_Toc414277162"/>
      <w:bookmarkStart w:id="279" w:name="_Toc152045599"/>
      <w:bookmarkStart w:id="280" w:name="_Toc152042376"/>
      <w:bookmarkStart w:id="281" w:name="_Toc414112650"/>
      <w:bookmarkStart w:id="282" w:name="_Toc415575789"/>
      <w:bookmarkStart w:id="283" w:name="_Toc445450459"/>
      <w:r>
        <w:rPr>
          <w:rFonts w:hint="eastAsia" w:ascii="宋体" w:hAnsi="宋体" w:cs="宋体"/>
          <w:b/>
          <w:color w:val="auto"/>
          <w:spacing w:val="-26"/>
          <w:kern w:val="0"/>
          <w:sz w:val="44"/>
          <w:szCs w:val="44"/>
          <w:highlight w:val="none"/>
        </w:rPr>
        <w:t>评标办法</w:t>
      </w:r>
      <w:bookmarkEnd w:id="273"/>
      <w:bookmarkEnd w:id="276"/>
    </w:p>
    <w:bookmarkEnd w:id="277"/>
    <w:bookmarkEnd w:id="278"/>
    <w:bookmarkEnd w:id="279"/>
    <w:bookmarkEnd w:id="280"/>
    <w:bookmarkEnd w:id="281"/>
    <w:bookmarkEnd w:id="282"/>
    <w:bookmarkEnd w:id="283"/>
    <w:tbl>
      <w:tblPr>
        <w:tblStyle w:val="27"/>
        <w:tblpPr w:leftFromText="180" w:rightFromText="180" w:vertAnchor="text" w:horzAnchor="page" w:tblpXSpec="center" w:tblpY="313"/>
        <w:tblOverlap w:val="never"/>
        <w:tblW w:w="9540" w:type="dxa"/>
        <w:jc w:val="center"/>
        <w:tblLayout w:type="fixed"/>
        <w:tblCellMar>
          <w:top w:w="0" w:type="dxa"/>
          <w:left w:w="108" w:type="dxa"/>
          <w:bottom w:w="0" w:type="dxa"/>
          <w:right w:w="108" w:type="dxa"/>
        </w:tblCellMar>
      </w:tblPr>
      <w:tblGrid>
        <w:gridCol w:w="534"/>
        <w:gridCol w:w="1460"/>
        <w:gridCol w:w="2611"/>
        <w:gridCol w:w="4935"/>
      </w:tblGrid>
      <w:tr w14:paraId="330ED941">
        <w:tblPrEx>
          <w:tblCellMar>
            <w:top w:w="0" w:type="dxa"/>
            <w:left w:w="108" w:type="dxa"/>
            <w:bottom w:w="0" w:type="dxa"/>
            <w:right w:w="108" w:type="dxa"/>
          </w:tblCellMar>
        </w:tblPrEx>
        <w:trPr>
          <w:trHeight w:val="680" w:hRule="atLeast"/>
          <w:jc w:val="center"/>
        </w:trPr>
        <w:tc>
          <w:tcPr>
            <w:tcW w:w="1994" w:type="dxa"/>
            <w:gridSpan w:val="2"/>
            <w:tcBorders>
              <w:top w:val="single" w:color="auto" w:sz="4" w:space="0"/>
              <w:left w:val="single" w:color="auto" w:sz="4" w:space="0"/>
              <w:bottom w:val="single" w:color="auto" w:sz="4" w:space="0"/>
              <w:right w:val="single" w:color="000000" w:sz="2" w:space="0"/>
            </w:tcBorders>
            <w:shd w:val="clear" w:color="auto" w:fill="FFFFFF"/>
            <w:vAlign w:val="center"/>
          </w:tcPr>
          <w:p w14:paraId="07054D33">
            <w:pPr>
              <w:autoSpaceDE w:val="0"/>
              <w:autoSpaceDN w:val="0"/>
              <w:adjustRightInd w:val="0"/>
              <w:jc w:val="center"/>
              <w:rPr>
                <w:rFonts w:hint="eastAsia" w:ascii="宋体" w:hAnsi="宋体" w:cs="宋体"/>
                <w:color w:val="auto"/>
                <w:szCs w:val="21"/>
                <w:highlight w:val="none"/>
                <w:lang w:val="zh-CN"/>
              </w:rPr>
            </w:pPr>
            <w:bookmarkStart w:id="284" w:name="_Toc457761147"/>
            <w:bookmarkStart w:id="285" w:name="_Toc8657"/>
            <w:bookmarkStart w:id="286" w:name="_Toc17430"/>
            <w:bookmarkStart w:id="287" w:name="_Toc30355"/>
            <w:bookmarkStart w:id="288" w:name="_Toc32043"/>
            <w:bookmarkStart w:id="289" w:name="_Toc457735651"/>
            <w:bookmarkStart w:id="290" w:name="_Toc31547"/>
            <w:bookmarkStart w:id="291" w:name="_Toc9707"/>
            <w:bookmarkStart w:id="292" w:name="_Toc11184"/>
            <w:bookmarkStart w:id="293" w:name="_Toc20718"/>
            <w:bookmarkStart w:id="294" w:name="_Toc16748"/>
            <w:bookmarkStart w:id="295" w:name="_Toc5008"/>
            <w:bookmarkStart w:id="296" w:name="_Toc414112652"/>
            <w:bookmarkStart w:id="297" w:name="_Toc445450461"/>
            <w:bookmarkStart w:id="298" w:name="_Toc152042378"/>
            <w:bookmarkStart w:id="299" w:name="_Toc415575791"/>
            <w:bookmarkStart w:id="300" w:name="_Toc144974568"/>
            <w:bookmarkStart w:id="301" w:name="_Toc152045601"/>
            <w:bookmarkStart w:id="302" w:name="_Toc414277164"/>
            <w:r>
              <w:rPr>
                <w:rFonts w:hint="eastAsia" w:ascii="宋体" w:hAnsi="宋体" w:cs="宋体"/>
                <w:b/>
                <w:color w:val="auto"/>
                <w:szCs w:val="21"/>
                <w:highlight w:val="none"/>
                <w:lang w:val="zh-CN"/>
              </w:rPr>
              <w:t>条款号</w:t>
            </w:r>
          </w:p>
        </w:tc>
        <w:tc>
          <w:tcPr>
            <w:tcW w:w="261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716F5413">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b/>
                <w:color w:val="auto"/>
                <w:szCs w:val="21"/>
                <w:highlight w:val="none"/>
                <w:lang w:val="zh-CN"/>
              </w:rPr>
              <w:t>评审因素</w:t>
            </w:r>
          </w:p>
        </w:tc>
        <w:tc>
          <w:tcPr>
            <w:tcW w:w="4935" w:type="dxa"/>
            <w:tcBorders>
              <w:top w:val="single" w:color="auto" w:sz="4" w:space="0"/>
              <w:left w:val="single" w:color="000000" w:sz="2" w:space="0"/>
              <w:bottom w:val="single" w:color="000000" w:sz="2" w:space="0"/>
              <w:right w:val="single" w:color="auto" w:sz="4" w:space="0"/>
            </w:tcBorders>
            <w:shd w:val="clear" w:color="auto" w:fill="FFFFFF"/>
            <w:vAlign w:val="center"/>
          </w:tcPr>
          <w:p w14:paraId="56F93FBB">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b/>
                <w:color w:val="auto"/>
                <w:szCs w:val="21"/>
                <w:highlight w:val="none"/>
                <w:lang w:val="zh-CN"/>
              </w:rPr>
              <w:t>评审标准</w:t>
            </w:r>
          </w:p>
        </w:tc>
      </w:tr>
      <w:tr w14:paraId="5BB41BEB">
        <w:tblPrEx>
          <w:tblCellMar>
            <w:top w:w="0" w:type="dxa"/>
            <w:left w:w="108" w:type="dxa"/>
            <w:bottom w:w="0" w:type="dxa"/>
            <w:right w:w="108" w:type="dxa"/>
          </w:tblCellMar>
        </w:tblPrEx>
        <w:trPr>
          <w:trHeight w:val="680" w:hRule="atLeast"/>
          <w:jc w:val="center"/>
        </w:trPr>
        <w:tc>
          <w:tcPr>
            <w:tcW w:w="534" w:type="dxa"/>
            <w:vMerge w:val="restart"/>
            <w:tcBorders>
              <w:top w:val="single" w:color="auto" w:sz="4" w:space="0"/>
              <w:left w:val="single" w:color="auto" w:sz="4" w:space="0"/>
              <w:right w:val="single" w:color="auto" w:sz="4" w:space="0"/>
            </w:tcBorders>
            <w:shd w:val="clear" w:color="auto" w:fill="FFFFFF"/>
            <w:vAlign w:val="center"/>
          </w:tcPr>
          <w:p w14:paraId="5BB150CD">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b/>
                <w:bCs/>
                <w:color w:val="auto"/>
                <w:szCs w:val="21"/>
                <w:highlight w:val="none"/>
              </w:rPr>
              <w:t>2.1</w:t>
            </w:r>
            <w:r>
              <w:rPr>
                <w:rFonts w:hint="eastAsia" w:ascii="宋体" w:hAnsi="宋体" w:cs="宋体"/>
                <w:b/>
                <w:bCs/>
                <w:color w:val="auto"/>
                <w:szCs w:val="21"/>
                <w:highlight w:val="none"/>
                <w:lang w:val="zh-CN"/>
              </w:rPr>
              <w:t>初步评审</w:t>
            </w:r>
          </w:p>
        </w:tc>
        <w:tc>
          <w:tcPr>
            <w:tcW w:w="1460" w:type="dxa"/>
            <w:vMerge w:val="restart"/>
            <w:tcBorders>
              <w:top w:val="single" w:color="auto" w:sz="4" w:space="0"/>
              <w:left w:val="single" w:color="auto" w:sz="4" w:space="0"/>
              <w:right w:val="single" w:color="auto" w:sz="4" w:space="0"/>
            </w:tcBorders>
            <w:shd w:val="clear" w:color="auto" w:fill="FFFFFF"/>
            <w:vAlign w:val="center"/>
          </w:tcPr>
          <w:p w14:paraId="3C75BF89">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2.1.1</w:t>
            </w:r>
          </w:p>
          <w:p w14:paraId="0C41B64D">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rPr>
              <w:t>资格</w:t>
            </w:r>
            <w:r>
              <w:rPr>
                <w:rFonts w:hint="eastAsia" w:ascii="宋体" w:hAnsi="宋体" w:cs="宋体"/>
                <w:color w:val="auto"/>
                <w:szCs w:val="21"/>
                <w:highlight w:val="none"/>
                <w:lang w:val="zh-CN"/>
              </w:rPr>
              <w:t>评审标准</w:t>
            </w: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4FFB5F0B">
            <w:pPr>
              <w:spacing w:line="360" w:lineRule="exact"/>
              <w:ind w:left="107" w:hanging="107" w:hangingChars="51"/>
              <w:jc w:val="center"/>
              <w:rPr>
                <w:rFonts w:hint="eastAsia" w:ascii="宋体" w:hAnsi="宋体" w:cs="宋体"/>
                <w:color w:val="auto"/>
                <w:szCs w:val="21"/>
                <w:highlight w:val="none"/>
                <w:lang w:val="zh-CN"/>
              </w:rPr>
            </w:pPr>
            <w:r>
              <w:rPr>
                <w:rFonts w:hint="eastAsia" w:ascii="宋体" w:hAnsi="宋体"/>
                <w:color w:val="auto"/>
                <w:szCs w:val="21"/>
                <w:highlight w:val="none"/>
              </w:rPr>
              <w:t>营业执照</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97A163D">
            <w:pPr>
              <w:shd w:val="clear" w:color="auto" w:fill="FFFFFF"/>
              <w:spacing w:line="360" w:lineRule="auto"/>
              <w:rPr>
                <w:rFonts w:hint="eastAsia" w:ascii="宋体" w:hAnsi="宋体" w:cs="宋体"/>
                <w:color w:val="auto"/>
                <w:szCs w:val="21"/>
                <w:highlight w:val="none"/>
                <w:lang w:val="zh-CN"/>
              </w:rPr>
            </w:pPr>
            <w:r>
              <w:rPr>
                <w:rFonts w:hint="eastAsia"/>
                <w:color w:val="auto"/>
                <w:highlight w:val="none"/>
              </w:rPr>
              <w:t>提供有效的营业执照</w:t>
            </w:r>
          </w:p>
        </w:tc>
      </w:tr>
      <w:tr w14:paraId="38D86E85">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279FE6A8">
            <w:pPr>
              <w:autoSpaceDE w:val="0"/>
              <w:autoSpaceDN w:val="0"/>
              <w:adjustRightInd w:val="0"/>
              <w:jc w:val="left"/>
              <w:rPr>
                <w:rFonts w:hint="eastAsia" w:ascii="宋体" w:hAnsi="宋体" w:cs="宋体"/>
                <w:color w:val="auto"/>
                <w:szCs w:val="21"/>
                <w:highlight w:val="none"/>
                <w:lang w:val="zh-CN"/>
              </w:rPr>
            </w:pPr>
          </w:p>
        </w:tc>
        <w:tc>
          <w:tcPr>
            <w:tcW w:w="1460" w:type="dxa"/>
            <w:vMerge w:val="continue"/>
            <w:tcBorders>
              <w:left w:val="single" w:color="auto" w:sz="4" w:space="0"/>
              <w:bottom w:val="single" w:color="000000" w:sz="2" w:space="0"/>
              <w:right w:val="single" w:color="auto" w:sz="4" w:space="0"/>
            </w:tcBorders>
            <w:shd w:val="clear" w:color="auto" w:fill="FFFFFF"/>
            <w:vAlign w:val="center"/>
          </w:tcPr>
          <w:p w14:paraId="3C607E2B">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5CD507DE">
            <w:pPr>
              <w:spacing w:line="420" w:lineRule="exact"/>
              <w:ind w:leftChars="-51" w:hanging="107" w:hangingChars="51"/>
              <w:jc w:val="center"/>
              <w:rPr>
                <w:rFonts w:hint="eastAsia" w:ascii="宋体" w:hAnsi="宋体" w:cs="宋体"/>
                <w:color w:val="auto"/>
                <w:szCs w:val="21"/>
                <w:highlight w:val="none"/>
                <w:lang w:val="zh-CN"/>
              </w:rPr>
            </w:pPr>
            <w:r>
              <w:rPr>
                <w:rFonts w:hint="eastAsia" w:ascii="宋体" w:hAnsi="宋体"/>
                <w:color w:val="auto"/>
                <w:kern w:val="0"/>
                <w:szCs w:val="21"/>
                <w:highlight w:val="none"/>
              </w:rPr>
              <w:t>其他资料</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39BBE17">
            <w:pPr>
              <w:spacing w:line="420" w:lineRule="exact"/>
              <w:rPr>
                <w:rFonts w:hint="eastAsia" w:ascii="宋体" w:hAnsi="宋体" w:cs="宋体"/>
                <w:color w:val="auto"/>
                <w:szCs w:val="21"/>
                <w:highlight w:val="none"/>
                <w:lang w:val="zh-CN"/>
              </w:rPr>
            </w:pPr>
            <w:r>
              <w:rPr>
                <w:rFonts w:hint="eastAsia" w:ascii="宋体" w:hAnsi="宋体"/>
                <w:color w:val="auto"/>
                <w:szCs w:val="21"/>
                <w:highlight w:val="none"/>
              </w:rPr>
              <w:t>符合“投标人须知前附表”第12项规定的其他内容</w:t>
            </w:r>
          </w:p>
        </w:tc>
      </w:tr>
      <w:tr w14:paraId="0CBFAC7F">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6214A906">
            <w:pPr>
              <w:autoSpaceDE w:val="0"/>
              <w:autoSpaceDN w:val="0"/>
              <w:adjustRightInd w:val="0"/>
              <w:jc w:val="center"/>
              <w:rPr>
                <w:rFonts w:hint="eastAsia" w:ascii="宋体" w:hAnsi="宋体" w:cs="宋体"/>
                <w:color w:val="auto"/>
                <w:szCs w:val="21"/>
                <w:highlight w:val="none"/>
                <w:lang w:val="zh-CN"/>
              </w:rPr>
            </w:pPr>
          </w:p>
        </w:tc>
        <w:tc>
          <w:tcPr>
            <w:tcW w:w="1460" w:type="dxa"/>
            <w:vMerge w:val="restart"/>
            <w:tcBorders>
              <w:top w:val="single" w:color="000000" w:sz="2" w:space="0"/>
              <w:left w:val="single" w:color="auto" w:sz="4" w:space="0"/>
              <w:right w:val="single" w:color="auto" w:sz="4" w:space="0"/>
            </w:tcBorders>
            <w:shd w:val="clear" w:color="auto" w:fill="FFFFFF"/>
            <w:vAlign w:val="center"/>
          </w:tcPr>
          <w:p w14:paraId="4DA53AAC">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p>
          <w:p w14:paraId="56C8BD1D">
            <w:pPr>
              <w:autoSpaceDE w:val="0"/>
              <w:autoSpaceDN w:val="0"/>
              <w:adjustRightInd w:val="0"/>
              <w:jc w:val="center"/>
              <w:rPr>
                <w:rFonts w:hint="eastAsia" w:ascii="宋体" w:hAnsi="宋体" w:cs="宋体"/>
                <w:color w:val="auto"/>
                <w:szCs w:val="21"/>
                <w:highlight w:val="none"/>
                <w:lang w:val="zh-CN"/>
              </w:rPr>
            </w:pPr>
            <w:r>
              <w:rPr>
                <w:rFonts w:hint="eastAsia" w:ascii="宋体" w:hAnsi="宋体" w:cs="宋体"/>
                <w:color w:val="auto"/>
                <w:szCs w:val="21"/>
                <w:highlight w:val="none"/>
              </w:rPr>
              <w:t>符合性</w:t>
            </w:r>
            <w:r>
              <w:rPr>
                <w:rFonts w:hint="eastAsia" w:ascii="宋体" w:hAnsi="宋体" w:cs="宋体"/>
                <w:color w:val="auto"/>
                <w:szCs w:val="21"/>
                <w:highlight w:val="none"/>
                <w:lang w:val="zh-CN"/>
              </w:rPr>
              <w:t>评审标准</w:t>
            </w: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6E0BD933">
            <w:pPr>
              <w:spacing w:line="360" w:lineRule="exact"/>
              <w:ind w:left="107" w:hanging="107" w:hangingChars="51"/>
              <w:jc w:val="center"/>
              <w:rPr>
                <w:rFonts w:hint="eastAsia" w:ascii="宋体" w:hAnsi="宋体" w:cs="宋体"/>
                <w:color w:val="auto"/>
                <w:szCs w:val="21"/>
                <w:highlight w:val="none"/>
                <w:lang w:val="zh-CN"/>
              </w:rPr>
            </w:pPr>
            <w:r>
              <w:rPr>
                <w:rFonts w:hint="eastAsia" w:ascii="宋体" w:hAnsi="宋体"/>
                <w:color w:val="auto"/>
                <w:szCs w:val="21"/>
                <w:highlight w:val="none"/>
              </w:rPr>
              <w:t>投标人名称</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5798674C">
            <w:pPr>
              <w:spacing w:line="360" w:lineRule="exact"/>
              <w:rPr>
                <w:rFonts w:hint="eastAsia" w:ascii="宋体" w:hAnsi="宋体" w:cs="宋体"/>
                <w:color w:val="auto"/>
                <w:szCs w:val="21"/>
                <w:highlight w:val="none"/>
                <w:lang w:val="zh-CN"/>
              </w:rPr>
            </w:pPr>
            <w:r>
              <w:rPr>
                <w:rFonts w:hint="eastAsia" w:ascii="宋体" w:hAnsi="宋体"/>
                <w:color w:val="auto"/>
                <w:szCs w:val="21"/>
                <w:highlight w:val="none"/>
              </w:rPr>
              <w:t>与营业执照一致</w:t>
            </w:r>
          </w:p>
        </w:tc>
      </w:tr>
      <w:tr w14:paraId="613B786A">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30494E78">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07540C44">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3E6748CC">
            <w:pPr>
              <w:spacing w:line="360" w:lineRule="exact"/>
              <w:ind w:left="107" w:hanging="107" w:hangingChars="51"/>
              <w:jc w:val="center"/>
              <w:rPr>
                <w:rFonts w:hint="eastAsia" w:ascii="宋体" w:hAnsi="宋体" w:cs="宋体"/>
                <w:color w:val="auto"/>
                <w:szCs w:val="21"/>
                <w:highlight w:val="none"/>
                <w:lang w:val="zh-CN"/>
              </w:rPr>
            </w:pPr>
            <w:r>
              <w:rPr>
                <w:rFonts w:hint="eastAsia" w:ascii="宋体" w:hAnsi="宋体"/>
                <w:color w:val="auto"/>
                <w:szCs w:val="21"/>
                <w:highlight w:val="none"/>
              </w:rPr>
              <w:t>投标函签字盖章</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1B608783">
            <w:pPr>
              <w:spacing w:line="360" w:lineRule="exact"/>
              <w:jc w:val="left"/>
              <w:rPr>
                <w:rFonts w:hint="eastAsia" w:ascii="宋体" w:hAnsi="宋体" w:cs="宋体"/>
                <w:color w:val="auto"/>
                <w:szCs w:val="21"/>
                <w:highlight w:val="none"/>
                <w:lang w:val="zh-CN"/>
              </w:rPr>
            </w:pPr>
            <w:r>
              <w:rPr>
                <w:rFonts w:hint="eastAsia" w:ascii="宋体" w:hAnsi="宋体" w:cs="宋体"/>
                <w:color w:val="auto"/>
                <w:spacing w:val="1"/>
                <w:kern w:val="0"/>
                <w:szCs w:val="21"/>
                <w:highlight w:val="none"/>
              </w:rPr>
              <w:t>法定代表人或其委托代理人签字并加盖单位章</w:t>
            </w:r>
          </w:p>
        </w:tc>
      </w:tr>
      <w:tr w14:paraId="02415157">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418773D1">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0472F5B1">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494835D5">
            <w:pPr>
              <w:spacing w:line="360" w:lineRule="exact"/>
              <w:ind w:left="107" w:hanging="107" w:hangingChars="51"/>
              <w:jc w:val="center"/>
              <w:rPr>
                <w:rFonts w:hint="eastAsia" w:ascii="宋体" w:hAnsi="宋体" w:cs="宋体"/>
                <w:color w:val="auto"/>
                <w:szCs w:val="21"/>
                <w:highlight w:val="none"/>
              </w:rPr>
            </w:pPr>
            <w:r>
              <w:rPr>
                <w:rFonts w:hint="eastAsia" w:ascii="宋体" w:hAnsi="宋体"/>
                <w:color w:val="auto"/>
                <w:szCs w:val="21"/>
                <w:highlight w:val="none"/>
              </w:rPr>
              <w:t>投标文件格式</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7245FE7F">
            <w:pPr>
              <w:spacing w:line="360" w:lineRule="exact"/>
              <w:jc w:val="left"/>
              <w:rPr>
                <w:rFonts w:hint="eastAsia" w:ascii="宋体" w:hAnsi="宋体" w:cs="宋体"/>
                <w:color w:val="auto"/>
                <w:szCs w:val="21"/>
                <w:highlight w:val="none"/>
              </w:rPr>
            </w:pPr>
            <w:r>
              <w:rPr>
                <w:rFonts w:hint="eastAsia" w:ascii="宋体" w:hAnsi="宋体"/>
                <w:color w:val="auto"/>
                <w:szCs w:val="21"/>
                <w:highlight w:val="none"/>
              </w:rPr>
              <w:t>符合本招标文件规定的“投标文件格式”的要求</w:t>
            </w:r>
          </w:p>
        </w:tc>
      </w:tr>
      <w:tr w14:paraId="5487A7AF">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1EDA2C2E">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32DDB5AF">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7E8FC44D">
            <w:pPr>
              <w:spacing w:line="360" w:lineRule="exact"/>
              <w:ind w:left="107" w:hanging="107" w:hangingChars="51"/>
              <w:jc w:val="center"/>
              <w:rPr>
                <w:rFonts w:hint="eastAsia" w:ascii="宋体" w:hAnsi="宋体" w:cs="宋体"/>
                <w:color w:val="auto"/>
                <w:szCs w:val="21"/>
                <w:highlight w:val="none"/>
              </w:rPr>
            </w:pPr>
            <w:r>
              <w:rPr>
                <w:rFonts w:hint="eastAsia" w:ascii="宋体" w:hAnsi="宋体"/>
                <w:color w:val="auto"/>
                <w:szCs w:val="21"/>
                <w:highlight w:val="none"/>
              </w:rPr>
              <w:t>报价唯一</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6C6AB3FB">
            <w:pPr>
              <w:spacing w:line="360" w:lineRule="exact"/>
              <w:rPr>
                <w:rFonts w:hint="eastAsia" w:ascii="宋体" w:hAnsi="宋体" w:cs="宋体"/>
                <w:color w:val="auto"/>
                <w:szCs w:val="21"/>
                <w:highlight w:val="none"/>
              </w:rPr>
            </w:pPr>
            <w:r>
              <w:rPr>
                <w:rFonts w:hint="eastAsia" w:ascii="宋体" w:hAnsi="宋体"/>
                <w:color w:val="auto"/>
                <w:szCs w:val="21"/>
                <w:highlight w:val="none"/>
              </w:rPr>
              <w:t>只能有一个有效报价，且未超出该项目招标控制价</w:t>
            </w:r>
          </w:p>
        </w:tc>
      </w:tr>
      <w:tr w14:paraId="6EB303B0">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7338B605">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61ABC8AA">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163DFC80">
            <w:pPr>
              <w:spacing w:line="420" w:lineRule="exact"/>
              <w:jc w:val="center"/>
              <w:rPr>
                <w:rFonts w:hint="eastAsia" w:ascii="宋体" w:hAnsi="宋体"/>
                <w:color w:val="auto"/>
                <w:szCs w:val="21"/>
                <w:highlight w:val="none"/>
              </w:rPr>
            </w:pPr>
            <w:r>
              <w:rPr>
                <w:rFonts w:hint="eastAsia" w:ascii="宋体" w:hAnsi="宋体"/>
                <w:color w:val="auto"/>
                <w:szCs w:val="21"/>
                <w:highlight w:val="none"/>
              </w:rPr>
              <w:t>投标范围</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630C6CB3">
            <w:pPr>
              <w:spacing w:line="42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1FE62309">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64A17005">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20535E0A">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394B6087">
            <w:pPr>
              <w:spacing w:line="420" w:lineRule="exact"/>
              <w:jc w:val="center"/>
              <w:rPr>
                <w:rFonts w:hint="eastAsia" w:ascii="宋体" w:hAnsi="宋体"/>
                <w:color w:val="auto"/>
                <w:szCs w:val="21"/>
                <w:highlight w:val="none"/>
              </w:rPr>
            </w:pPr>
            <w:r>
              <w:rPr>
                <w:rFonts w:hint="eastAsia" w:ascii="宋体" w:hAnsi="宋体" w:cs="宋体"/>
                <w:color w:val="auto"/>
                <w:kern w:val="0"/>
                <w:szCs w:val="21"/>
                <w:highlight w:val="none"/>
              </w:rPr>
              <w:t>服务期限</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1BC2EC0B">
            <w:pPr>
              <w:tabs>
                <w:tab w:val="left" w:pos="2370"/>
              </w:tabs>
              <w:spacing w:line="42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5EAE0017">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right w:val="single" w:color="auto" w:sz="4" w:space="0"/>
            </w:tcBorders>
            <w:shd w:val="clear" w:color="auto" w:fill="FFFFFF"/>
            <w:vAlign w:val="center"/>
          </w:tcPr>
          <w:p w14:paraId="5ADADD38">
            <w:pPr>
              <w:autoSpaceDE w:val="0"/>
              <w:autoSpaceDN w:val="0"/>
              <w:adjustRightInd w:val="0"/>
              <w:jc w:val="left"/>
              <w:rPr>
                <w:rFonts w:hint="eastAsia" w:ascii="宋体" w:hAnsi="宋体" w:cs="宋体"/>
                <w:color w:val="auto"/>
                <w:szCs w:val="21"/>
                <w:highlight w:val="none"/>
              </w:rPr>
            </w:pPr>
          </w:p>
        </w:tc>
        <w:tc>
          <w:tcPr>
            <w:tcW w:w="1460" w:type="dxa"/>
            <w:vMerge w:val="continue"/>
            <w:tcBorders>
              <w:left w:val="single" w:color="auto" w:sz="4" w:space="0"/>
              <w:right w:val="single" w:color="auto" w:sz="4" w:space="0"/>
            </w:tcBorders>
            <w:shd w:val="clear" w:color="auto" w:fill="FFFFFF"/>
            <w:vAlign w:val="center"/>
          </w:tcPr>
          <w:p w14:paraId="19659C17">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000000" w:sz="2" w:space="0"/>
              <w:right w:val="single" w:color="000000" w:sz="2" w:space="0"/>
            </w:tcBorders>
            <w:shd w:val="clear" w:color="auto" w:fill="FFFFFF"/>
            <w:vAlign w:val="center"/>
          </w:tcPr>
          <w:p w14:paraId="6A21E3A9">
            <w:pPr>
              <w:spacing w:line="420" w:lineRule="exact"/>
              <w:jc w:val="center"/>
              <w:rPr>
                <w:rFonts w:hint="eastAsia" w:ascii="宋体" w:hAnsi="宋体" w:cs="宋体"/>
                <w:color w:val="auto"/>
                <w:szCs w:val="21"/>
                <w:highlight w:val="none"/>
              </w:rPr>
            </w:pPr>
            <w:r>
              <w:rPr>
                <w:rFonts w:hint="eastAsia" w:ascii="宋体" w:hAnsi="宋体"/>
                <w:color w:val="auto"/>
                <w:szCs w:val="21"/>
                <w:highlight w:val="none"/>
              </w:rPr>
              <w:t>投标质量</w:t>
            </w:r>
          </w:p>
        </w:tc>
        <w:tc>
          <w:tcPr>
            <w:tcW w:w="4935" w:type="dxa"/>
            <w:tcBorders>
              <w:top w:val="single" w:color="000000" w:sz="2" w:space="0"/>
              <w:left w:val="single" w:color="000000" w:sz="2" w:space="0"/>
              <w:bottom w:val="single" w:color="000000" w:sz="2" w:space="0"/>
              <w:right w:val="single" w:color="auto" w:sz="4" w:space="0"/>
            </w:tcBorders>
            <w:shd w:val="clear" w:color="auto" w:fill="FFFFFF"/>
            <w:vAlign w:val="center"/>
          </w:tcPr>
          <w:p w14:paraId="3127CB46">
            <w:pPr>
              <w:spacing w:line="420" w:lineRule="exact"/>
              <w:rPr>
                <w:rFonts w:hint="eastAsia" w:ascii="宋体" w:hAnsi="宋体" w:cs="宋体"/>
                <w:color w:val="auto"/>
                <w:szCs w:val="21"/>
                <w:highlight w:val="none"/>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r w14:paraId="4E89E2A7">
        <w:tblPrEx>
          <w:tblCellMar>
            <w:top w:w="0" w:type="dxa"/>
            <w:left w:w="108" w:type="dxa"/>
            <w:bottom w:w="0" w:type="dxa"/>
            <w:right w:w="108" w:type="dxa"/>
          </w:tblCellMar>
        </w:tblPrEx>
        <w:trPr>
          <w:trHeight w:val="680" w:hRule="atLeast"/>
          <w:jc w:val="center"/>
        </w:trPr>
        <w:tc>
          <w:tcPr>
            <w:tcW w:w="534" w:type="dxa"/>
            <w:vMerge w:val="continue"/>
            <w:tcBorders>
              <w:left w:val="single" w:color="auto" w:sz="4" w:space="0"/>
              <w:bottom w:val="single" w:color="auto" w:sz="4" w:space="0"/>
              <w:right w:val="single" w:color="auto" w:sz="4" w:space="0"/>
            </w:tcBorders>
            <w:shd w:val="clear" w:color="auto" w:fill="FFFFFF"/>
            <w:vAlign w:val="center"/>
          </w:tcPr>
          <w:p w14:paraId="54464D05">
            <w:pPr>
              <w:jc w:val="left"/>
              <w:rPr>
                <w:rFonts w:hint="eastAsia" w:ascii="宋体" w:hAnsi="宋体" w:cs="宋体"/>
                <w:color w:val="auto"/>
                <w:szCs w:val="21"/>
                <w:highlight w:val="none"/>
                <w:lang w:val="zh-CN"/>
              </w:rPr>
            </w:pPr>
          </w:p>
        </w:tc>
        <w:tc>
          <w:tcPr>
            <w:tcW w:w="1460" w:type="dxa"/>
            <w:vMerge w:val="continue"/>
            <w:tcBorders>
              <w:left w:val="single" w:color="auto" w:sz="4" w:space="0"/>
              <w:bottom w:val="single" w:color="auto" w:sz="4" w:space="0"/>
              <w:right w:val="single" w:color="auto" w:sz="4" w:space="0"/>
            </w:tcBorders>
            <w:shd w:val="clear" w:color="auto" w:fill="FFFFFF"/>
            <w:vAlign w:val="center"/>
          </w:tcPr>
          <w:p w14:paraId="28058A6A">
            <w:pPr>
              <w:rPr>
                <w:rFonts w:hint="eastAsia" w:ascii="宋体" w:hAnsi="宋体" w:cs="宋体"/>
                <w:color w:val="auto"/>
                <w:szCs w:val="21"/>
                <w:highlight w:val="none"/>
              </w:rPr>
            </w:pPr>
          </w:p>
        </w:tc>
        <w:tc>
          <w:tcPr>
            <w:tcW w:w="2611" w:type="dxa"/>
            <w:tcBorders>
              <w:top w:val="single" w:color="000000" w:sz="2" w:space="0"/>
              <w:left w:val="single" w:color="auto" w:sz="4" w:space="0"/>
              <w:bottom w:val="single" w:color="auto" w:sz="4" w:space="0"/>
              <w:right w:val="single" w:color="000000" w:sz="2" w:space="0"/>
            </w:tcBorders>
            <w:shd w:val="clear" w:color="auto" w:fill="FFFFFF"/>
            <w:vAlign w:val="center"/>
          </w:tcPr>
          <w:p w14:paraId="779BD6ED">
            <w:pPr>
              <w:spacing w:line="420" w:lineRule="exact"/>
              <w:jc w:val="center"/>
              <w:rPr>
                <w:rFonts w:hint="eastAsia" w:ascii="宋体" w:hAnsi="宋体" w:cs="宋体"/>
                <w:color w:val="auto"/>
                <w:szCs w:val="21"/>
                <w:highlight w:val="none"/>
                <w:lang w:val="zh-CN"/>
              </w:rPr>
            </w:pPr>
            <w:r>
              <w:rPr>
                <w:rFonts w:hint="eastAsia" w:ascii="宋体" w:hAnsi="宋体"/>
                <w:color w:val="auto"/>
                <w:szCs w:val="21"/>
                <w:highlight w:val="none"/>
              </w:rPr>
              <w:t>投标有效期</w:t>
            </w:r>
          </w:p>
        </w:tc>
        <w:tc>
          <w:tcPr>
            <w:tcW w:w="4935" w:type="dxa"/>
            <w:tcBorders>
              <w:top w:val="single" w:color="000000" w:sz="2" w:space="0"/>
              <w:left w:val="single" w:color="000000" w:sz="2" w:space="0"/>
              <w:bottom w:val="single" w:color="auto" w:sz="4" w:space="0"/>
              <w:right w:val="single" w:color="auto" w:sz="4" w:space="0"/>
            </w:tcBorders>
            <w:shd w:val="clear" w:color="auto" w:fill="FFFFFF"/>
            <w:vAlign w:val="center"/>
          </w:tcPr>
          <w:p w14:paraId="30913ACF">
            <w:pPr>
              <w:spacing w:line="420" w:lineRule="exact"/>
              <w:rPr>
                <w:rFonts w:hint="eastAsia" w:ascii="宋体" w:hAnsi="宋体" w:cs="宋体"/>
                <w:color w:val="auto"/>
                <w:szCs w:val="21"/>
                <w:highlight w:val="none"/>
                <w:lang w:val="zh-CN"/>
              </w:rPr>
            </w:pPr>
            <w:r>
              <w:rPr>
                <w:rFonts w:hint="eastAsia" w:ascii="宋体" w:hAnsi="宋体" w:cs="宋体"/>
                <w:color w:val="auto"/>
                <w:kern w:val="0"/>
                <w:szCs w:val="21"/>
                <w:highlight w:val="none"/>
              </w:rPr>
              <w:t>符合“</w:t>
            </w:r>
            <w:r>
              <w:rPr>
                <w:rFonts w:hint="eastAsia" w:ascii="宋体" w:hAnsi="宋体"/>
                <w:color w:val="auto"/>
                <w:szCs w:val="21"/>
                <w:highlight w:val="none"/>
              </w:rPr>
              <w:t>投标人须知前附表</w:t>
            </w:r>
            <w:r>
              <w:rPr>
                <w:rFonts w:hint="eastAsia" w:ascii="宋体" w:hAnsi="宋体" w:cs="宋体"/>
                <w:color w:val="auto"/>
                <w:kern w:val="0"/>
                <w:szCs w:val="21"/>
                <w:highlight w:val="none"/>
              </w:rPr>
              <w:t>”规定</w:t>
            </w:r>
          </w:p>
        </w:tc>
      </w:tr>
    </w:tbl>
    <w:p w14:paraId="1AC8F723">
      <w:pPr>
        <w:autoSpaceDE w:val="0"/>
        <w:autoSpaceDN w:val="0"/>
        <w:adjustRightInd w:val="0"/>
        <w:ind w:firstLine="482"/>
        <w:jc w:val="center"/>
        <w:outlineLvl w:val="0"/>
        <w:rPr>
          <w:rFonts w:hint="eastAsia" w:ascii="宋体" w:hAnsi="宋体" w:cs="宋体"/>
          <w:b/>
          <w:color w:val="auto"/>
          <w:sz w:val="24"/>
          <w:highlight w:val="none"/>
          <w:lang w:val="zh-CN"/>
        </w:rPr>
      </w:pPr>
      <w:bookmarkStart w:id="303" w:name="_Toc22431"/>
      <w:bookmarkStart w:id="304" w:name="_Toc12167"/>
      <w:bookmarkStart w:id="305" w:name="_Toc25469"/>
      <w:bookmarkStart w:id="306" w:name="_Toc21946"/>
      <w:r>
        <w:rPr>
          <w:rFonts w:hint="eastAsia" w:ascii="宋体" w:hAnsi="宋体" w:cs="宋体"/>
          <w:b/>
          <w:color w:val="auto"/>
          <w:kern w:val="0"/>
          <w:sz w:val="24"/>
          <w:highlight w:val="none"/>
          <w:lang w:val="zh-CN"/>
        </w:rPr>
        <w:t>1、评标办法前附表</w:t>
      </w:r>
      <w:bookmarkEnd w:id="284"/>
      <w:bookmarkEnd w:id="285"/>
      <w:bookmarkEnd w:id="286"/>
      <w:bookmarkEnd w:id="287"/>
      <w:bookmarkEnd w:id="288"/>
      <w:bookmarkEnd w:id="289"/>
      <w:bookmarkEnd w:id="290"/>
      <w:bookmarkEnd w:id="291"/>
      <w:bookmarkEnd w:id="292"/>
      <w:bookmarkEnd w:id="293"/>
      <w:bookmarkEnd w:id="294"/>
      <w:bookmarkEnd w:id="295"/>
      <w:bookmarkEnd w:id="303"/>
      <w:bookmarkEnd w:id="304"/>
      <w:bookmarkEnd w:id="305"/>
      <w:bookmarkEnd w:id="306"/>
    </w:p>
    <w:p w14:paraId="2ABDC4B8">
      <w:pPr>
        <w:numPr>
          <w:ilvl w:val="0"/>
          <w:numId w:val="3"/>
        </w:numPr>
        <w:spacing w:line="271" w:lineRule="auto"/>
        <w:ind w:firstLine="3373" w:firstLineChars="1600"/>
        <w:jc w:val="left"/>
        <w:outlineLvl w:val="0"/>
        <w:rPr>
          <w:rFonts w:hint="eastAsia" w:ascii="宋体" w:hAnsi="宋体"/>
          <w:b/>
          <w:bCs/>
          <w:color w:val="auto"/>
          <w:szCs w:val="21"/>
          <w:highlight w:val="none"/>
        </w:rPr>
      </w:pPr>
      <w:bookmarkStart w:id="307" w:name="_Toc25757"/>
      <w:bookmarkStart w:id="308" w:name="_Toc1025"/>
      <w:bookmarkStart w:id="309" w:name="_Toc5277"/>
      <w:bookmarkStart w:id="310" w:name="_Toc14534"/>
      <w:bookmarkStart w:id="311" w:name="_Toc32254"/>
      <w:bookmarkStart w:id="312" w:name="_Toc30096"/>
      <w:bookmarkStart w:id="313" w:name="_Toc20028"/>
      <w:bookmarkStart w:id="314" w:name="_Toc17232"/>
      <w:bookmarkStart w:id="315" w:name="_Toc25626"/>
      <w:bookmarkStart w:id="316" w:name="_Toc7896"/>
      <w:bookmarkStart w:id="317" w:name="_Toc1100"/>
      <w:bookmarkStart w:id="318" w:name="_Toc4736"/>
      <w:bookmarkStart w:id="319" w:name="_Toc29704"/>
      <w:bookmarkStart w:id="320" w:name="_Toc9311"/>
      <w:r>
        <w:rPr>
          <w:rFonts w:hint="eastAsia" w:ascii="宋体" w:hAnsi="宋体"/>
          <w:b/>
          <w:bCs/>
          <w:color w:val="auto"/>
          <w:szCs w:val="21"/>
          <w:highlight w:val="none"/>
        </w:rPr>
        <w:t>评审标准</w:t>
      </w:r>
      <w:bookmarkEnd w:id="307"/>
      <w:bookmarkEnd w:id="308"/>
      <w:bookmarkEnd w:id="309"/>
      <w:bookmarkEnd w:id="310"/>
    </w:p>
    <w:tbl>
      <w:tblPr>
        <w:tblStyle w:val="27"/>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1066"/>
        <w:gridCol w:w="1516"/>
        <w:gridCol w:w="5836"/>
        <w:gridCol w:w="6"/>
      </w:tblGrid>
      <w:tr w14:paraId="2FE1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680"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4D3099DD">
            <w:pPr>
              <w:autoSpaceDE w:val="0"/>
              <w:autoSpaceDN w:val="0"/>
              <w:adjustRightInd w:val="0"/>
              <w:spacing w:line="360" w:lineRule="exact"/>
              <w:jc w:val="left"/>
              <w:rPr>
                <w:rFonts w:hint="eastAsia" w:ascii="宋体" w:hAnsi="宋体"/>
                <w:color w:val="auto"/>
                <w:kern w:val="0"/>
                <w:szCs w:val="21"/>
                <w:highlight w:val="none"/>
              </w:rPr>
            </w:pPr>
            <w:r>
              <w:rPr>
                <w:rFonts w:hint="eastAsia" w:ascii="宋体" w:hAnsi="宋体"/>
                <w:color w:val="auto"/>
                <w:kern w:val="0"/>
                <w:szCs w:val="21"/>
                <w:highlight w:val="none"/>
              </w:rPr>
              <w:t>2.2.1</w:t>
            </w:r>
          </w:p>
        </w:tc>
        <w:tc>
          <w:tcPr>
            <w:tcW w:w="2582" w:type="dxa"/>
            <w:gridSpan w:val="2"/>
            <w:tcBorders>
              <w:top w:val="single" w:color="auto" w:sz="4" w:space="0"/>
              <w:left w:val="nil"/>
              <w:bottom w:val="single" w:color="auto" w:sz="4" w:space="0"/>
              <w:right w:val="single" w:color="auto" w:sz="4" w:space="0"/>
            </w:tcBorders>
            <w:vAlign w:val="center"/>
          </w:tcPr>
          <w:p w14:paraId="5C8B9703">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分值组成</w:t>
            </w:r>
          </w:p>
          <w:p w14:paraId="722D4539">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（总分100分）</w:t>
            </w:r>
          </w:p>
        </w:tc>
        <w:tc>
          <w:tcPr>
            <w:tcW w:w="5836" w:type="dxa"/>
            <w:tcBorders>
              <w:top w:val="single" w:color="auto" w:sz="4" w:space="0"/>
              <w:left w:val="nil"/>
              <w:bottom w:val="single" w:color="auto" w:sz="4" w:space="0"/>
              <w:right w:val="single" w:color="auto" w:sz="4" w:space="0"/>
            </w:tcBorders>
            <w:vAlign w:val="center"/>
          </w:tcPr>
          <w:p w14:paraId="4DC59491">
            <w:pPr>
              <w:autoSpaceDE w:val="0"/>
              <w:autoSpaceDN w:val="0"/>
              <w:adjustRightInd w:val="0"/>
              <w:spacing w:line="360" w:lineRule="exact"/>
              <w:jc w:val="left"/>
              <w:rPr>
                <w:rFonts w:hint="eastAsia" w:ascii="宋体" w:hAnsi="宋体"/>
                <w:color w:val="auto"/>
                <w:kern w:val="0"/>
                <w:szCs w:val="21"/>
                <w:highlight w:val="none"/>
              </w:rPr>
            </w:pPr>
            <w:r>
              <w:rPr>
                <w:rFonts w:hint="eastAsia" w:ascii="宋体" w:hAnsi="宋体"/>
                <w:color w:val="auto"/>
                <w:kern w:val="0"/>
                <w:szCs w:val="21"/>
                <w:highlight w:val="none"/>
              </w:rPr>
              <w:t>投标报价：</w:t>
            </w:r>
            <w:r>
              <w:rPr>
                <w:rFonts w:hint="eastAsia" w:ascii="宋体" w:hAnsi="宋体"/>
                <w:color w:val="auto"/>
                <w:kern w:val="0"/>
                <w:szCs w:val="21"/>
                <w:highlight w:val="none"/>
                <w:lang w:val="en-US" w:eastAsia="zh-CN"/>
              </w:rPr>
              <w:t>1</w:t>
            </w:r>
            <w:r>
              <w:rPr>
                <w:rFonts w:hint="eastAsia" w:ascii="宋体" w:hAnsi="宋体"/>
                <w:color w:val="auto"/>
                <w:kern w:val="0"/>
                <w:szCs w:val="21"/>
                <w:highlight w:val="none"/>
              </w:rPr>
              <w:t>0分；技术部分：</w:t>
            </w:r>
            <w:r>
              <w:rPr>
                <w:rFonts w:hint="eastAsia" w:ascii="宋体" w:hAnsi="宋体"/>
                <w:color w:val="auto"/>
                <w:kern w:val="0"/>
                <w:szCs w:val="21"/>
                <w:highlight w:val="none"/>
                <w:lang w:val="en-US" w:eastAsia="zh-CN"/>
              </w:rPr>
              <w:t>60</w:t>
            </w:r>
            <w:r>
              <w:rPr>
                <w:rFonts w:hint="eastAsia" w:ascii="宋体" w:hAnsi="宋体"/>
                <w:color w:val="auto"/>
                <w:kern w:val="0"/>
                <w:szCs w:val="21"/>
                <w:highlight w:val="none"/>
              </w:rPr>
              <w:t>分；</w:t>
            </w:r>
            <w:r>
              <w:rPr>
                <w:rFonts w:hint="eastAsia" w:ascii="宋体" w:hAnsi="宋体" w:cs="宋体"/>
                <w:color w:val="auto"/>
                <w:kern w:val="0"/>
                <w:szCs w:val="21"/>
                <w:highlight w:val="none"/>
              </w:rPr>
              <w:t>商务</w:t>
            </w:r>
            <w:r>
              <w:rPr>
                <w:rFonts w:hint="eastAsia" w:ascii="宋体" w:hAnsi="宋体"/>
                <w:color w:val="auto"/>
                <w:kern w:val="0"/>
                <w:szCs w:val="21"/>
                <w:highlight w:val="none"/>
              </w:rPr>
              <w:t>部分：</w:t>
            </w:r>
            <w:r>
              <w:rPr>
                <w:rFonts w:hint="eastAsia" w:ascii="宋体" w:hAnsi="宋体"/>
                <w:color w:val="auto"/>
                <w:kern w:val="0"/>
                <w:szCs w:val="21"/>
                <w:highlight w:val="none"/>
                <w:lang w:val="en-US" w:eastAsia="zh-CN"/>
              </w:rPr>
              <w:t>30</w:t>
            </w:r>
            <w:r>
              <w:rPr>
                <w:rFonts w:hint="eastAsia" w:ascii="宋体" w:hAnsi="宋体"/>
                <w:color w:val="auto"/>
                <w:kern w:val="0"/>
                <w:szCs w:val="21"/>
                <w:highlight w:val="none"/>
              </w:rPr>
              <w:t>分.</w:t>
            </w:r>
          </w:p>
        </w:tc>
      </w:tr>
      <w:tr w14:paraId="6CA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680"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72FC5266">
            <w:pPr>
              <w:pStyle w:val="37"/>
              <w:spacing w:line="420" w:lineRule="exact"/>
              <w:rPr>
                <w:rFonts w:hint="eastAsia" w:hAnsi="宋体"/>
                <w:color w:val="auto"/>
                <w:kern w:val="0"/>
                <w:szCs w:val="21"/>
                <w:highlight w:val="none"/>
              </w:rPr>
            </w:pPr>
            <w:r>
              <w:rPr>
                <w:rFonts w:hint="eastAsia" w:hAnsi="宋体"/>
                <w:bCs/>
                <w:color w:val="auto"/>
                <w:sz w:val="21"/>
                <w:szCs w:val="21"/>
                <w:highlight w:val="none"/>
              </w:rPr>
              <w:t>2.2.2</w:t>
            </w:r>
          </w:p>
        </w:tc>
        <w:tc>
          <w:tcPr>
            <w:tcW w:w="2582" w:type="dxa"/>
            <w:gridSpan w:val="2"/>
            <w:tcBorders>
              <w:top w:val="single" w:color="auto" w:sz="4" w:space="0"/>
              <w:left w:val="nil"/>
              <w:bottom w:val="single" w:color="auto" w:sz="4" w:space="0"/>
              <w:right w:val="single" w:color="auto" w:sz="4" w:space="0"/>
            </w:tcBorders>
            <w:vAlign w:val="center"/>
          </w:tcPr>
          <w:p w14:paraId="54F2052B">
            <w:pPr>
              <w:spacing w:line="320" w:lineRule="exact"/>
              <w:jc w:val="center"/>
              <w:rPr>
                <w:rFonts w:hint="eastAsia" w:ascii="宋体" w:hAnsi="宋体"/>
                <w:color w:val="auto"/>
                <w:kern w:val="0"/>
                <w:szCs w:val="21"/>
                <w:highlight w:val="none"/>
              </w:rPr>
            </w:pPr>
            <w:r>
              <w:rPr>
                <w:rFonts w:hint="eastAsia" w:ascii="宋体" w:hAnsi="宋体" w:cs="宋体"/>
                <w:bCs/>
                <w:color w:val="auto"/>
                <w:szCs w:val="21"/>
                <w:highlight w:val="none"/>
              </w:rPr>
              <w:t>评标基准值计算方法</w:t>
            </w:r>
          </w:p>
        </w:tc>
        <w:tc>
          <w:tcPr>
            <w:tcW w:w="5836" w:type="dxa"/>
            <w:tcBorders>
              <w:top w:val="single" w:color="auto" w:sz="4" w:space="0"/>
              <w:left w:val="nil"/>
              <w:bottom w:val="single" w:color="auto" w:sz="4" w:space="0"/>
              <w:right w:val="single" w:color="auto" w:sz="4" w:space="0"/>
            </w:tcBorders>
            <w:vAlign w:val="center"/>
          </w:tcPr>
          <w:p w14:paraId="63BD3509">
            <w:pPr>
              <w:spacing w:line="360" w:lineRule="auto"/>
              <w:jc w:val="center"/>
              <w:rPr>
                <w:rFonts w:hint="eastAsia" w:ascii="宋体" w:hAnsi="宋体"/>
                <w:color w:val="auto"/>
                <w:kern w:val="0"/>
                <w:szCs w:val="21"/>
                <w:highlight w:val="none"/>
              </w:rPr>
            </w:pPr>
            <w:r>
              <w:rPr>
                <w:rFonts w:hint="eastAsia" w:ascii="宋体" w:hAnsi="宋体" w:cs="宋体"/>
                <w:color w:val="auto"/>
                <w:kern w:val="0"/>
                <w:szCs w:val="21"/>
                <w:highlight w:val="none"/>
              </w:rPr>
              <w:t>评标基准值=满足采购文件要求且投标报价最低的投标报价。</w:t>
            </w:r>
          </w:p>
        </w:tc>
      </w:tr>
      <w:tr w14:paraId="13D61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680"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1794AFAA">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条款号</w:t>
            </w:r>
          </w:p>
        </w:tc>
        <w:tc>
          <w:tcPr>
            <w:tcW w:w="2582" w:type="dxa"/>
            <w:gridSpan w:val="2"/>
            <w:tcBorders>
              <w:top w:val="single" w:color="auto" w:sz="4" w:space="0"/>
              <w:left w:val="nil"/>
              <w:bottom w:val="single" w:color="auto" w:sz="4" w:space="0"/>
              <w:right w:val="single" w:color="auto" w:sz="4" w:space="0"/>
            </w:tcBorders>
            <w:vAlign w:val="center"/>
          </w:tcPr>
          <w:p w14:paraId="3E23BC7D">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评分因素</w:t>
            </w:r>
          </w:p>
        </w:tc>
        <w:tc>
          <w:tcPr>
            <w:tcW w:w="5836" w:type="dxa"/>
            <w:tcBorders>
              <w:top w:val="single" w:color="auto" w:sz="4" w:space="0"/>
              <w:left w:val="nil"/>
              <w:bottom w:val="single" w:color="auto" w:sz="4" w:space="0"/>
              <w:right w:val="single" w:color="auto" w:sz="4" w:space="0"/>
            </w:tcBorders>
            <w:vAlign w:val="center"/>
          </w:tcPr>
          <w:p w14:paraId="7C02D5EF">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评分标准</w:t>
            </w:r>
          </w:p>
        </w:tc>
      </w:tr>
      <w:tr w14:paraId="12C2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9" w:type="dxa"/>
            <w:tcBorders>
              <w:top w:val="single" w:color="auto" w:sz="4" w:space="0"/>
              <w:left w:val="single" w:color="auto" w:sz="4" w:space="0"/>
              <w:bottom w:val="single" w:color="auto" w:sz="4" w:space="0"/>
              <w:right w:val="single" w:color="auto" w:sz="4" w:space="0"/>
            </w:tcBorders>
          </w:tcPr>
          <w:p w14:paraId="179B32B6">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评审因素</w:t>
            </w:r>
          </w:p>
        </w:tc>
        <w:tc>
          <w:tcPr>
            <w:tcW w:w="1066" w:type="dxa"/>
            <w:tcBorders>
              <w:top w:val="single" w:color="auto" w:sz="4" w:space="0"/>
              <w:left w:val="single" w:color="auto" w:sz="4" w:space="0"/>
              <w:bottom w:val="single" w:color="auto" w:sz="4" w:space="0"/>
              <w:right w:val="single" w:color="auto" w:sz="4" w:space="0"/>
            </w:tcBorders>
          </w:tcPr>
          <w:p w14:paraId="37F5331B">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评审内容</w:t>
            </w:r>
          </w:p>
        </w:tc>
        <w:tc>
          <w:tcPr>
            <w:tcW w:w="7358" w:type="dxa"/>
            <w:gridSpan w:val="3"/>
            <w:tcBorders>
              <w:top w:val="single" w:color="auto" w:sz="4" w:space="0"/>
              <w:left w:val="single" w:color="auto" w:sz="4" w:space="0"/>
              <w:bottom w:val="single" w:color="auto" w:sz="4" w:space="0"/>
              <w:right w:val="single" w:color="auto" w:sz="4" w:space="0"/>
            </w:tcBorders>
          </w:tcPr>
          <w:p w14:paraId="54B6551F">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评分标准</w:t>
            </w:r>
          </w:p>
        </w:tc>
      </w:tr>
      <w:tr w14:paraId="4692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079" w:type="dxa"/>
            <w:tcBorders>
              <w:top w:val="single" w:color="auto" w:sz="4" w:space="0"/>
              <w:left w:val="single" w:color="auto" w:sz="4" w:space="0"/>
              <w:bottom w:val="single" w:color="auto" w:sz="4" w:space="0"/>
              <w:right w:val="single" w:color="auto" w:sz="4" w:space="0"/>
            </w:tcBorders>
            <w:vAlign w:val="center"/>
          </w:tcPr>
          <w:p w14:paraId="4BD6AB40">
            <w:pPr>
              <w:autoSpaceDE w:val="0"/>
              <w:autoSpaceDN w:val="0"/>
              <w:adjustRightInd w:val="0"/>
              <w:spacing w:line="360" w:lineRule="exact"/>
              <w:jc w:val="center"/>
              <w:rPr>
                <w:rFonts w:hint="eastAsia" w:ascii="宋体" w:hAnsi="宋体"/>
                <w:color w:val="auto"/>
                <w:kern w:val="0"/>
                <w:szCs w:val="21"/>
                <w:highlight w:val="none"/>
              </w:rPr>
            </w:pPr>
          </w:p>
          <w:p w14:paraId="0574823B">
            <w:pPr>
              <w:autoSpaceDE w:val="0"/>
              <w:autoSpaceDN w:val="0"/>
              <w:adjustRightInd w:val="0"/>
              <w:spacing w:line="360" w:lineRule="exact"/>
              <w:jc w:val="center"/>
              <w:rPr>
                <w:rFonts w:hint="eastAsia" w:ascii="宋体" w:hAnsi="宋体"/>
                <w:color w:val="auto"/>
                <w:kern w:val="0"/>
                <w:szCs w:val="21"/>
                <w:highlight w:val="none"/>
              </w:rPr>
            </w:pPr>
          </w:p>
          <w:p w14:paraId="61B4CBF3">
            <w:pPr>
              <w:autoSpaceDE w:val="0"/>
              <w:autoSpaceDN w:val="0"/>
              <w:adjustRightInd w:val="0"/>
              <w:spacing w:line="360" w:lineRule="exact"/>
              <w:jc w:val="center"/>
              <w:rPr>
                <w:rFonts w:hint="eastAsia" w:ascii="宋体" w:hAnsi="宋体"/>
                <w:color w:val="auto"/>
                <w:kern w:val="0"/>
                <w:szCs w:val="21"/>
                <w:highlight w:val="none"/>
              </w:rPr>
            </w:pPr>
          </w:p>
          <w:p w14:paraId="70012428">
            <w:pPr>
              <w:autoSpaceDE w:val="0"/>
              <w:autoSpaceDN w:val="0"/>
              <w:adjustRightInd w:val="0"/>
              <w:spacing w:line="360" w:lineRule="exact"/>
              <w:jc w:val="center"/>
              <w:rPr>
                <w:rFonts w:hint="eastAsia" w:ascii="宋体" w:hAnsi="宋体"/>
                <w:color w:val="auto"/>
                <w:kern w:val="0"/>
                <w:szCs w:val="21"/>
                <w:highlight w:val="none"/>
              </w:rPr>
            </w:pPr>
          </w:p>
          <w:p w14:paraId="76D50E89">
            <w:pPr>
              <w:autoSpaceDE w:val="0"/>
              <w:autoSpaceDN w:val="0"/>
              <w:adjustRightInd w:val="0"/>
              <w:spacing w:line="360" w:lineRule="exact"/>
              <w:jc w:val="center"/>
              <w:rPr>
                <w:rFonts w:hint="eastAsia" w:ascii="宋体" w:hAnsi="宋体"/>
                <w:color w:val="auto"/>
                <w:kern w:val="0"/>
                <w:szCs w:val="21"/>
                <w:highlight w:val="none"/>
              </w:rPr>
            </w:pPr>
          </w:p>
          <w:p w14:paraId="669B8F49">
            <w:pPr>
              <w:autoSpaceDE w:val="0"/>
              <w:autoSpaceDN w:val="0"/>
              <w:adjustRightInd w:val="0"/>
              <w:spacing w:line="360" w:lineRule="exact"/>
              <w:jc w:val="center"/>
              <w:rPr>
                <w:rFonts w:hint="eastAsia" w:ascii="宋体" w:hAnsi="宋体"/>
                <w:color w:val="auto"/>
                <w:kern w:val="0"/>
                <w:szCs w:val="21"/>
                <w:highlight w:val="none"/>
              </w:rPr>
            </w:pPr>
          </w:p>
          <w:p w14:paraId="78D4C48C">
            <w:pPr>
              <w:autoSpaceDE w:val="0"/>
              <w:autoSpaceDN w:val="0"/>
              <w:adjustRightInd w:val="0"/>
              <w:spacing w:line="360" w:lineRule="exact"/>
              <w:jc w:val="center"/>
              <w:rPr>
                <w:rFonts w:hint="eastAsia" w:ascii="宋体" w:hAnsi="宋体"/>
                <w:color w:val="auto"/>
                <w:kern w:val="0"/>
                <w:szCs w:val="21"/>
                <w:highlight w:val="none"/>
              </w:rPr>
            </w:pPr>
          </w:p>
          <w:p w14:paraId="158537AE">
            <w:pPr>
              <w:autoSpaceDE w:val="0"/>
              <w:autoSpaceDN w:val="0"/>
              <w:adjustRightInd w:val="0"/>
              <w:spacing w:line="360" w:lineRule="exact"/>
              <w:jc w:val="center"/>
              <w:rPr>
                <w:rFonts w:hint="eastAsia" w:ascii="宋体" w:hAnsi="宋体"/>
                <w:color w:val="auto"/>
                <w:kern w:val="0"/>
                <w:szCs w:val="21"/>
                <w:highlight w:val="none"/>
              </w:rPr>
            </w:pPr>
          </w:p>
          <w:p w14:paraId="32B5DBC3">
            <w:pPr>
              <w:autoSpaceDE w:val="0"/>
              <w:autoSpaceDN w:val="0"/>
              <w:adjustRightInd w:val="0"/>
              <w:spacing w:line="360" w:lineRule="exact"/>
              <w:jc w:val="center"/>
              <w:rPr>
                <w:rFonts w:hint="eastAsia" w:ascii="宋体" w:hAnsi="宋体"/>
                <w:color w:val="auto"/>
                <w:kern w:val="0"/>
                <w:szCs w:val="21"/>
                <w:highlight w:val="none"/>
              </w:rPr>
            </w:pPr>
          </w:p>
          <w:p w14:paraId="05BCA19C">
            <w:pPr>
              <w:autoSpaceDE w:val="0"/>
              <w:autoSpaceDN w:val="0"/>
              <w:adjustRightInd w:val="0"/>
              <w:spacing w:line="360" w:lineRule="exact"/>
              <w:jc w:val="center"/>
              <w:rPr>
                <w:rFonts w:hint="eastAsia" w:ascii="宋体" w:hAnsi="宋体"/>
                <w:color w:val="auto"/>
                <w:kern w:val="0"/>
                <w:szCs w:val="21"/>
                <w:highlight w:val="none"/>
              </w:rPr>
            </w:pPr>
          </w:p>
          <w:p w14:paraId="30908203">
            <w:pPr>
              <w:autoSpaceDE w:val="0"/>
              <w:autoSpaceDN w:val="0"/>
              <w:adjustRightInd w:val="0"/>
              <w:spacing w:line="360" w:lineRule="exact"/>
              <w:jc w:val="center"/>
              <w:rPr>
                <w:rFonts w:hint="eastAsia" w:ascii="宋体" w:hAnsi="宋体"/>
                <w:color w:val="auto"/>
                <w:kern w:val="0"/>
                <w:szCs w:val="21"/>
                <w:highlight w:val="none"/>
              </w:rPr>
            </w:pPr>
          </w:p>
          <w:p w14:paraId="32D88A9A">
            <w:pPr>
              <w:autoSpaceDE w:val="0"/>
              <w:autoSpaceDN w:val="0"/>
              <w:adjustRightInd w:val="0"/>
              <w:spacing w:line="360" w:lineRule="exact"/>
              <w:jc w:val="center"/>
              <w:rPr>
                <w:rFonts w:hint="eastAsia" w:ascii="宋体" w:hAnsi="宋体"/>
                <w:color w:val="auto"/>
                <w:kern w:val="0"/>
                <w:szCs w:val="21"/>
                <w:highlight w:val="none"/>
              </w:rPr>
            </w:pPr>
          </w:p>
          <w:p w14:paraId="384A03CC">
            <w:pPr>
              <w:autoSpaceDE w:val="0"/>
              <w:autoSpaceDN w:val="0"/>
              <w:adjustRightInd w:val="0"/>
              <w:spacing w:line="360" w:lineRule="exact"/>
              <w:jc w:val="center"/>
              <w:rPr>
                <w:rFonts w:hint="eastAsia" w:ascii="宋体" w:hAnsi="宋体"/>
                <w:color w:val="auto"/>
                <w:kern w:val="0"/>
                <w:szCs w:val="21"/>
                <w:highlight w:val="none"/>
              </w:rPr>
            </w:pPr>
          </w:p>
          <w:p w14:paraId="0A807863">
            <w:pPr>
              <w:autoSpaceDE w:val="0"/>
              <w:autoSpaceDN w:val="0"/>
              <w:adjustRightInd w:val="0"/>
              <w:spacing w:line="360" w:lineRule="exact"/>
              <w:jc w:val="center"/>
              <w:rPr>
                <w:rFonts w:hint="eastAsia" w:ascii="宋体" w:hAnsi="宋体"/>
                <w:color w:val="auto"/>
                <w:kern w:val="0"/>
                <w:szCs w:val="21"/>
                <w:highlight w:val="none"/>
              </w:rPr>
            </w:pPr>
          </w:p>
          <w:p w14:paraId="7D97282E">
            <w:pPr>
              <w:autoSpaceDE w:val="0"/>
              <w:autoSpaceDN w:val="0"/>
              <w:adjustRightInd w:val="0"/>
              <w:spacing w:line="360" w:lineRule="exact"/>
              <w:jc w:val="center"/>
              <w:rPr>
                <w:rFonts w:hint="eastAsia" w:ascii="宋体" w:hAnsi="宋体"/>
                <w:color w:val="auto"/>
                <w:kern w:val="0"/>
                <w:szCs w:val="21"/>
                <w:highlight w:val="none"/>
              </w:rPr>
            </w:pPr>
          </w:p>
          <w:p w14:paraId="2AED7216">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报价部分</w:t>
            </w:r>
          </w:p>
          <w:p w14:paraId="723E75C1">
            <w:pPr>
              <w:autoSpaceDE w:val="0"/>
              <w:autoSpaceDN w:val="0"/>
              <w:adjustRightInd w:val="0"/>
              <w:spacing w:line="360" w:lineRule="exact"/>
              <w:jc w:val="center"/>
              <w:rPr>
                <w:rFonts w:hint="eastAsia" w:ascii="宋体" w:hAnsi="宋体"/>
                <w:color w:val="auto"/>
                <w:kern w:val="0"/>
                <w:szCs w:val="21"/>
                <w:highlight w:val="none"/>
              </w:rPr>
            </w:pPr>
            <w:r>
              <w:rPr>
                <w:rFonts w:hint="eastAsia" w:ascii="宋体" w:hAnsi="宋体"/>
                <w:color w:val="auto"/>
                <w:kern w:val="0"/>
                <w:szCs w:val="21"/>
                <w:highlight w:val="none"/>
              </w:rPr>
              <w:t>（</w:t>
            </w:r>
            <w:r>
              <w:rPr>
                <w:rFonts w:hint="eastAsia" w:ascii="宋体" w:hAnsi="宋体"/>
                <w:color w:val="auto"/>
                <w:kern w:val="0"/>
                <w:szCs w:val="21"/>
                <w:highlight w:val="none"/>
                <w:lang w:val="en-US" w:eastAsia="zh-CN"/>
              </w:rPr>
              <w:t>1</w:t>
            </w:r>
            <w:r>
              <w:rPr>
                <w:rFonts w:hint="eastAsia" w:ascii="宋体" w:hAnsi="宋体"/>
                <w:color w:val="auto"/>
                <w:kern w:val="0"/>
                <w:szCs w:val="21"/>
                <w:highlight w:val="none"/>
              </w:rPr>
              <w:t>0分）</w:t>
            </w:r>
          </w:p>
        </w:tc>
        <w:tc>
          <w:tcPr>
            <w:tcW w:w="1066" w:type="dxa"/>
            <w:tcBorders>
              <w:top w:val="single" w:color="auto" w:sz="4" w:space="0"/>
              <w:left w:val="single" w:color="auto" w:sz="4" w:space="0"/>
              <w:bottom w:val="single" w:color="auto" w:sz="4" w:space="0"/>
              <w:right w:val="single" w:color="auto" w:sz="4" w:space="0"/>
            </w:tcBorders>
            <w:vAlign w:val="center"/>
          </w:tcPr>
          <w:p w14:paraId="61385D0E">
            <w:pPr>
              <w:autoSpaceDE w:val="0"/>
              <w:autoSpaceDN w:val="0"/>
              <w:adjustRightInd w:val="0"/>
              <w:spacing w:line="360" w:lineRule="exact"/>
              <w:jc w:val="center"/>
              <w:rPr>
                <w:rFonts w:hint="eastAsia" w:ascii="宋体" w:hAnsi="宋体"/>
                <w:color w:val="auto"/>
                <w:kern w:val="0"/>
                <w:szCs w:val="21"/>
                <w:highlight w:val="none"/>
              </w:rPr>
            </w:pPr>
          </w:p>
          <w:p w14:paraId="4A56CA50">
            <w:pPr>
              <w:autoSpaceDE w:val="0"/>
              <w:autoSpaceDN w:val="0"/>
              <w:adjustRightInd w:val="0"/>
              <w:spacing w:line="360" w:lineRule="exact"/>
              <w:jc w:val="center"/>
              <w:rPr>
                <w:rFonts w:hint="eastAsia" w:ascii="宋体" w:hAnsi="宋体"/>
                <w:color w:val="auto"/>
                <w:kern w:val="0"/>
                <w:szCs w:val="21"/>
                <w:highlight w:val="none"/>
              </w:rPr>
            </w:pPr>
          </w:p>
          <w:p w14:paraId="7E9C2BEF">
            <w:pPr>
              <w:autoSpaceDE w:val="0"/>
              <w:autoSpaceDN w:val="0"/>
              <w:adjustRightInd w:val="0"/>
              <w:spacing w:line="360" w:lineRule="exact"/>
              <w:jc w:val="center"/>
              <w:rPr>
                <w:rFonts w:hint="eastAsia" w:ascii="宋体" w:hAnsi="宋体"/>
                <w:color w:val="auto"/>
                <w:kern w:val="0"/>
                <w:szCs w:val="21"/>
                <w:highlight w:val="none"/>
              </w:rPr>
            </w:pPr>
          </w:p>
          <w:p w14:paraId="484E7DF7">
            <w:pPr>
              <w:autoSpaceDE w:val="0"/>
              <w:autoSpaceDN w:val="0"/>
              <w:adjustRightInd w:val="0"/>
              <w:spacing w:line="360" w:lineRule="exact"/>
              <w:jc w:val="center"/>
              <w:rPr>
                <w:rFonts w:hint="eastAsia" w:ascii="宋体" w:hAnsi="宋体"/>
                <w:color w:val="auto"/>
                <w:kern w:val="0"/>
                <w:szCs w:val="21"/>
                <w:highlight w:val="none"/>
              </w:rPr>
            </w:pPr>
          </w:p>
          <w:p w14:paraId="0643363D">
            <w:pPr>
              <w:autoSpaceDE w:val="0"/>
              <w:autoSpaceDN w:val="0"/>
              <w:adjustRightInd w:val="0"/>
              <w:spacing w:line="360" w:lineRule="exact"/>
              <w:jc w:val="center"/>
              <w:rPr>
                <w:rFonts w:hint="eastAsia" w:ascii="宋体" w:hAnsi="宋体"/>
                <w:color w:val="auto"/>
                <w:kern w:val="0"/>
                <w:szCs w:val="21"/>
                <w:highlight w:val="none"/>
              </w:rPr>
            </w:pPr>
          </w:p>
          <w:p w14:paraId="5B847CE7">
            <w:pPr>
              <w:autoSpaceDE w:val="0"/>
              <w:autoSpaceDN w:val="0"/>
              <w:adjustRightInd w:val="0"/>
              <w:spacing w:line="360" w:lineRule="exact"/>
              <w:jc w:val="center"/>
              <w:rPr>
                <w:rFonts w:hint="eastAsia" w:ascii="宋体" w:hAnsi="宋体"/>
                <w:color w:val="auto"/>
                <w:kern w:val="0"/>
                <w:szCs w:val="21"/>
                <w:highlight w:val="none"/>
              </w:rPr>
            </w:pPr>
          </w:p>
          <w:p w14:paraId="04B89359">
            <w:pPr>
              <w:autoSpaceDE w:val="0"/>
              <w:autoSpaceDN w:val="0"/>
              <w:adjustRightInd w:val="0"/>
              <w:spacing w:line="360" w:lineRule="exact"/>
              <w:jc w:val="center"/>
              <w:rPr>
                <w:rFonts w:hint="eastAsia" w:ascii="宋体" w:hAnsi="宋体"/>
                <w:color w:val="auto"/>
                <w:kern w:val="0"/>
                <w:szCs w:val="21"/>
                <w:highlight w:val="none"/>
              </w:rPr>
            </w:pPr>
          </w:p>
          <w:p w14:paraId="37F96040">
            <w:pPr>
              <w:autoSpaceDE w:val="0"/>
              <w:autoSpaceDN w:val="0"/>
              <w:adjustRightInd w:val="0"/>
              <w:spacing w:line="360" w:lineRule="exact"/>
              <w:jc w:val="center"/>
              <w:rPr>
                <w:rFonts w:hint="eastAsia" w:ascii="宋体" w:hAnsi="宋体"/>
                <w:color w:val="auto"/>
                <w:kern w:val="0"/>
                <w:szCs w:val="21"/>
                <w:highlight w:val="none"/>
              </w:rPr>
            </w:pPr>
          </w:p>
          <w:p w14:paraId="74EE4373">
            <w:pPr>
              <w:autoSpaceDE w:val="0"/>
              <w:autoSpaceDN w:val="0"/>
              <w:adjustRightInd w:val="0"/>
              <w:spacing w:line="360" w:lineRule="exact"/>
              <w:jc w:val="center"/>
              <w:rPr>
                <w:rFonts w:hint="eastAsia" w:ascii="宋体" w:hAnsi="宋体"/>
                <w:color w:val="auto"/>
                <w:kern w:val="0"/>
                <w:szCs w:val="21"/>
                <w:highlight w:val="none"/>
              </w:rPr>
            </w:pPr>
          </w:p>
          <w:p w14:paraId="739E8890">
            <w:pPr>
              <w:autoSpaceDE w:val="0"/>
              <w:autoSpaceDN w:val="0"/>
              <w:adjustRightInd w:val="0"/>
              <w:spacing w:line="360" w:lineRule="exact"/>
              <w:jc w:val="center"/>
              <w:rPr>
                <w:rFonts w:hint="eastAsia" w:ascii="宋体" w:hAnsi="宋体"/>
                <w:color w:val="auto"/>
                <w:kern w:val="0"/>
                <w:szCs w:val="21"/>
                <w:highlight w:val="none"/>
              </w:rPr>
            </w:pPr>
          </w:p>
          <w:p w14:paraId="23E9EAD5">
            <w:pPr>
              <w:autoSpaceDE w:val="0"/>
              <w:autoSpaceDN w:val="0"/>
              <w:adjustRightInd w:val="0"/>
              <w:spacing w:line="360" w:lineRule="exact"/>
              <w:jc w:val="center"/>
              <w:rPr>
                <w:rFonts w:hint="eastAsia" w:ascii="宋体" w:hAnsi="宋体"/>
                <w:color w:val="auto"/>
                <w:kern w:val="0"/>
                <w:szCs w:val="21"/>
                <w:highlight w:val="none"/>
              </w:rPr>
            </w:pPr>
          </w:p>
          <w:p w14:paraId="5FE2C438">
            <w:pPr>
              <w:autoSpaceDE w:val="0"/>
              <w:autoSpaceDN w:val="0"/>
              <w:adjustRightInd w:val="0"/>
              <w:spacing w:line="360" w:lineRule="exact"/>
              <w:jc w:val="center"/>
              <w:rPr>
                <w:rFonts w:hint="eastAsia" w:ascii="宋体" w:hAnsi="宋体"/>
                <w:color w:val="auto"/>
                <w:kern w:val="0"/>
                <w:szCs w:val="21"/>
                <w:highlight w:val="none"/>
              </w:rPr>
            </w:pPr>
          </w:p>
          <w:p w14:paraId="198E8631">
            <w:pPr>
              <w:autoSpaceDE w:val="0"/>
              <w:autoSpaceDN w:val="0"/>
              <w:adjustRightInd w:val="0"/>
              <w:spacing w:line="360" w:lineRule="exact"/>
              <w:jc w:val="center"/>
              <w:rPr>
                <w:rFonts w:hint="eastAsia" w:ascii="宋体" w:hAnsi="宋体"/>
                <w:color w:val="auto"/>
                <w:kern w:val="0"/>
                <w:szCs w:val="21"/>
                <w:highlight w:val="none"/>
              </w:rPr>
            </w:pPr>
          </w:p>
          <w:p w14:paraId="0BBEC438">
            <w:pPr>
              <w:autoSpaceDE w:val="0"/>
              <w:autoSpaceDN w:val="0"/>
              <w:adjustRightInd w:val="0"/>
              <w:spacing w:line="360" w:lineRule="exact"/>
              <w:jc w:val="center"/>
              <w:rPr>
                <w:rFonts w:hint="eastAsia" w:ascii="宋体" w:hAnsi="宋体"/>
                <w:color w:val="auto"/>
                <w:kern w:val="0"/>
                <w:szCs w:val="21"/>
                <w:highlight w:val="none"/>
              </w:rPr>
            </w:pPr>
          </w:p>
          <w:p w14:paraId="307A5796">
            <w:pPr>
              <w:autoSpaceDE w:val="0"/>
              <w:autoSpaceDN w:val="0"/>
              <w:adjustRightInd w:val="0"/>
              <w:spacing w:line="360" w:lineRule="exact"/>
              <w:jc w:val="center"/>
              <w:rPr>
                <w:rFonts w:hint="eastAsia" w:ascii="宋体" w:hAnsi="宋体"/>
                <w:color w:val="auto"/>
                <w:kern w:val="0"/>
                <w:szCs w:val="21"/>
                <w:highlight w:val="none"/>
              </w:rPr>
            </w:pPr>
          </w:p>
          <w:p w14:paraId="607ED4A8">
            <w:pPr>
              <w:autoSpaceDE w:val="0"/>
              <w:autoSpaceDN w:val="0"/>
              <w:adjustRightInd w:val="0"/>
              <w:spacing w:line="360" w:lineRule="exact"/>
              <w:jc w:val="center"/>
              <w:rPr>
                <w:rFonts w:hint="eastAsia" w:ascii="宋体" w:hAnsi="宋体"/>
                <w:color w:val="auto"/>
                <w:kern w:val="0"/>
                <w:szCs w:val="21"/>
                <w:highlight w:val="none"/>
              </w:rPr>
            </w:pPr>
          </w:p>
          <w:p w14:paraId="7CB10F96">
            <w:pPr>
              <w:autoSpaceDE w:val="0"/>
              <w:autoSpaceDN w:val="0"/>
              <w:adjustRightInd w:val="0"/>
              <w:spacing w:line="360" w:lineRule="exact"/>
              <w:jc w:val="center"/>
              <w:rPr>
                <w:rFonts w:hint="eastAsia" w:ascii="宋体" w:hAnsi="宋体"/>
                <w:color w:val="auto"/>
                <w:kern w:val="0"/>
                <w:szCs w:val="21"/>
                <w:highlight w:val="none"/>
                <w:lang w:val="en-US" w:eastAsia="zh-CN"/>
              </w:rPr>
            </w:pPr>
            <w:r>
              <w:rPr>
                <w:rFonts w:hint="eastAsia" w:ascii="宋体" w:hAnsi="宋体"/>
                <w:color w:val="auto"/>
                <w:kern w:val="0"/>
                <w:szCs w:val="21"/>
                <w:highlight w:val="none"/>
              </w:rPr>
              <w:t>报价</w:t>
            </w:r>
            <w:r>
              <w:rPr>
                <w:rFonts w:hint="eastAsia" w:ascii="宋体" w:hAnsi="宋体"/>
                <w:color w:val="auto"/>
                <w:kern w:val="0"/>
                <w:szCs w:val="21"/>
                <w:highlight w:val="none"/>
                <w:lang w:val="en-US" w:eastAsia="zh-CN"/>
              </w:rPr>
              <w:t>得分</w:t>
            </w:r>
          </w:p>
          <w:p w14:paraId="7999411D">
            <w:pPr>
              <w:pStyle w:val="2"/>
              <w:ind w:left="0" w:leftChars="0" w:firstLine="0" w:firstLineChars="0"/>
              <w:jc w:val="center"/>
              <w:rPr>
                <w:rFonts w:hint="default"/>
                <w:lang w:val="en-US" w:eastAsia="zh-CN"/>
              </w:rPr>
            </w:pPr>
            <w:r>
              <w:rPr>
                <w:rFonts w:hint="eastAsia" w:ascii="宋体" w:hAnsi="宋体"/>
                <w:color w:val="auto"/>
                <w:kern w:val="0"/>
                <w:szCs w:val="21"/>
                <w:highlight w:val="none"/>
                <w:lang w:val="en-US" w:eastAsia="zh-CN"/>
              </w:rPr>
              <w:t>(10分)</w:t>
            </w:r>
          </w:p>
        </w:tc>
        <w:tc>
          <w:tcPr>
            <w:tcW w:w="7358" w:type="dxa"/>
            <w:gridSpan w:val="3"/>
            <w:tcBorders>
              <w:top w:val="single" w:color="auto" w:sz="4" w:space="0"/>
              <w:left w:val="single" w:color="auto" w:sz="4" w:space="0"/>
              <w:bottom w:val="single" w:color="auto" w:sz="4" w:space="0"/>
              <w:right w:val="single" w:color="auto" w:sz="4" w:space="0"/>
            </w:tcBorders>
          </w:tcPr>
          <w:p w14:paraId="2FAFF68A">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价格扣除：对小型或微型企业参与投标的扶持：(如有）</w:t>
            </w:r>
          </w:p>
          <w:p w14:paraId="0C91C827">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1、按照《政府采购促进中小企业发展暂行办法》有关规定，中小企业的标准为：</w:t>
            </w:r>
          </w:p>
          <w:p w14:paraId="4FB8469A">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1.1、提供本企业制造的货物、承担的工程或者服务，或者提供其他中小企业制造的货物，不包括提供或使用大型企业注册商标的货物；</w:t>
            </w:r>
          </w:p>
          <w:p w14:paraId="6B7951E4">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1.2、本规定所称中小企业划分标准，是指国务院有关部门根据企业从业人员、营业收入、资产总额等指标制定的中小企业划型标准（工信部联企业[2011]300号）；</w:t>
            </w:r>
          </w:p>
          <w:p w14:paraId="284790C4">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1.3、小型、微型企业提供有中型企业制造的货物的，视同为中型企业；小型、微型、中型企业提供有大型企业制造的货物的，视同为大型企业。</w:t>
            </w:r>
          </w:p>
          <w:p w14:paraId="5C896945">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2、监狱企业视同小型、微型企业，享受小型、微型企业同等政策待遇。监狱企业参加政府采购活动时，应当提供省级以上监狱管理局、戒毒管理局（含新疆生产建设兵团）出具的属于监狱企业的证明文件。</w:t>
            </w:r>
          </w:p>
          <w:p w14:paraId="1E987381">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3、为了发挥政府采购促进残疾人就业的作用，进一步保障残疾人权益，根据财库【2017】141号的规定，给予残疾人福利性单位（投标人为残疾人福利性单位且提供的所有谈判产品均为残疾人福利性单位产品）价格20%的扣除，用扣除后的价格参与评审，残疾人福利性单位谈判报价=残疾人福利性单位报价×（1-20%）。</w:t>
            </w:r>
          </w:p>
          <w:p w14:paraId="5993E3DE">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4、小微企业产品、监狱、残疾人福利性企业的产品仅给予一次价格20%的扣除，不重复享受政策。</w:t>
            </w:r>
          </w:p>
          <w:p w14:paraId="1999AAD8">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　　价格分采用低价优先法计算，即满足招标文件要求且评标报价最低的评标报价为评标基准价，其价格分为满分。其他投标人的价格分统一按照下列公式计算：</w:t>
            </w:r>
          </w:p>
          <w:p w14:paraId="373BE93A">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投标报价得分=(评标基准价/投标报价)×</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rPr>
              <w:t>0</w:t>
            </w:r>
          </w:p>
          <w:p w14:paraId="106F17DC">
            <w:pPr>
              <w:widowControl/>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注：小微型企业或监狱企业或残疾人福利性企业参与计算的投标报价=投标报价×（1-20%），其余单位投标报价=投标报价。</w:t>
            </w:r>
          </w:p>
          <w:p w14:paraId="10F318D5">
            <w:pPr>
              <w:widowControl/>
              <w:spacing w:line="360" w:lineRule="auto"/>
              <w:rPr>
                <w:rFonts w:hint="eastAsia" w:ascii="宋体" w:hAnsi="宋体"/>
                <w:color w:val="auto"/>
                <w:kern w:val="0"/>
                <w:szCs w:val="21"/>
                <w:highlight w:val="none"/>
              </w:rPr>
            </w:pPr>
            <w:r>
              <w:rPr>
                <w:rFonts w:hint="eastAsia" w:ascii="宋体" w:hAnsi="宋体" w:cs="宋体"/>
                <w:color w:val="auto"/>
                <w:kern w:val="0"/>
                <w:szCs w:val="21"/>
                <w:highlight w:val="none"/>
              </w:rPr>
              <w:t>投标报价得分保留小数点后两位。</w:t>
            </w:r>
          </w:p>
        </w:tc>
      </w:tr>
      <w:bookmarkEnd w:id="296"/>
      <w:bookmarkEnd w:id="297"/>
      <w:bookmarkEnd w:id="298"/>
      <w:bookmarkEnd w:id="299"/>
      <w:bookmarkEnd w:id="300"/>
      <w:bookmarkEnd w:id="301"/>
      <w:bookmarkEnd w:id="302"/>
      <w:bookmarkEnd w:id="311"/>
      <w:bookmarkEnd w:id="312"/>
      <w:bookmarkEnd w:id="313"/>
      <w:bookmarkEnd w:id="314"/>
      <w:bookmarkEnd w:id="315"/>
      <w:bookmarkEnd w:id="316"/>
      <w:bookmarkEnd w:id="317"/>
      <w:bookmarkEnd w:id="318"/>
      <w:bookmarkEnd w:id="319"/>
      <w:bookmarkEnd w:id="320"/>
      <w:tr w14:paraId="79F6C6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00" w:hRule="atLeast"/>
          <w:jc w:val="center"/>
        </w:trPr>
        <w:tc>
          <w:tcPr>
            <w:tcW w:w="10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B79D5E">
            <w:pPr>
              <w:widowControl/>
              <w:jc w:val="center"/>
              <w:rPr>
                <w:rFonts w:hint="eastAsia" w:ascii="宋体" w:hAnsi="宋体" w:cs="宋体"/>
                <w:color w:val="auto"/>
                <w:kern w:val="0"/>
                <w:szCs w:val="21"/>
                <w:highlight w:val="none"/>
              </w:rPr>
            </w:pPr>
            <w:bookmarkStart w:id="321" w:name="_Toc445450436"/>
          </w:p>
          <w:p w14:paraId="5B1D0EDD">
            <w:pPr>
              <w:widowControl/>
              <w:rPr>
                <w:rFonts w:hint="eastAsia" w:ascii="宋体" w:hAnsi="宋体" w:cs="宋体"/>
                <w:color w:val="auto"/>
                <w:kern w:val="0"/>
                <w:szCs w:val="21"/>
                <w:highlight w:val="none"/>
              </w:rPr>
            </w:pPr>
          </w:p>
          <w:p w14:paraId="04D02DE6">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技术部分</w:t>
            </w:r>
          </w:p>
          <w:p w14:paraId="417D7C77">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60</w:t>
            </w:r>
            <w:r>
              <w:rPr>
                <w:rFonts w:hint="eastAsia" w:ascii="宋体" w:hAnsi="宋体" w:cs="宋体"/>
                <w:color w:val="auto"/>
                <w:kern w:val="0"/>
                <w:szCs w:val="21"/>
                <w:highlight w:val="none"/>
              </w:rPr>
              <w:t>分）</w:t>
            </w: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0065B11B">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项目的项目需求分析</w:t>
            </w:r>
          </w:p>
          <w:p w14:paraId="19DE71FC">
            <w:pPr>
              <w:pStyle w:val="2"/>
              <w:ind w:left="0" w:leftChars="0" w:firstLine="0" w:firstLineChars="0"/>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8分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0DB604F6">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针对本项目的项目需求分析，包括但不限于：项目背景理解、现状分析、总体工作思路、服务目标等进行评价。每提供一项最多得2分，最高8分。</w:t>
            </w:r>
          </w:p>
          <w:p w14:paraId="1C1DE112">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方案具体内容完全满足采购人采购需求，专门针对本项目或适用于本项目特性的情形，方案具体内容分项描述完整，不缺少关键节点，得8分；</w:t>
            </w:r>
          </w:p>
          <w:p w14:paraId="4794FFE2">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方案具体内容基本满足采购人采购需求，专门针对本项目或适用于本项目特性的情形，方案具体内容分项描述较完整，不缺少关键节点，得4分；</w:t>
            </w:r>
          </w:p>
          <w:p w14:paraId="01C2A804">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方案具体内容基本满足采购人采购需求，专门针对本项目或适用于本项目特性的情形，方案具体内容分项描述基本完整，关键节点不全，得2分；</w:t>
            </w:r>
          </w:p>
          <w:p w14:paraId="43C667E8">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4DD2AE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5"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0B1BF938">
            <w:pPr>
              <w:widowControl/>
              <w:jc w:val="left"/>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53A2502">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项目实施方案</w:t>
            </w:r>
          </w:p>
          <w:p w14:paraId="6A856DF3">
            <w:pPr>
              <w:pStyle w:val="2"/>
              <w:ind w:left="0" w:leftChars="0" w:firstLine="0" w:firstLineChars="0"/>
              <w:jc w:val="center"/>
              <w:rPr>
                <w:color w:val="auto"/>
                <w:highlight w:val="none"/>
              </w:rPr>
            </w:pPr>
            <w:r>
              <w:rPr>
                <w:rFonts w:hint="eastAsia" w:ascii="宋体" w:hAnsi="宋体" w:eastAsia="宋体" w:cs="宋体"/>
                <w:color w:val="000000"/>
                <w:sz w:val="21"/>
                <w:szCs w:val="21"/>
                <w:highlight w:val="none"/>
                <w:lang w:val="en-US" w:eastAsia="zh-CN"/>
              </w:rPr>
              <w:t>10分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5C269D5B">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投标人合理编制项目技术服务方案，包含但不限于基础信息采集、布点方案、钻探建井方案、分析测试方案、报告编制等进行评审；每提供一项最多得2分，最高10分。</w:t>
            </w:r>
          </w:p>
          <w:p w14:paraId="3B6CFE28">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方案内容完整详细、全面、科学、针对性强、完全满足招标人采购要求的得10分；</w:t>
            </w:r>
          </w:p>
          <w:p w14:paraId="470054F0">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方案较为合理可行、较满足采购需求的得6分；</w:t>
            </w:r>
          </w:p>
          <w:p w14:paraId="7B0F5BC5">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方案基本可行的得4分；</w:t>
            </w:r>
          </w:p>
          <w:p w14:paraId="05D84CA4">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方案简单，可行性较差的得2分；</w:t>
            </w:r>
          </w:p>
          <w:p w14:paraId="5777E463">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1E2A463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99"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267BBE69">
            <w:pPr>
              <w:widowControl/>
              <w:jc w:val="left"/>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F717B0F">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工作方法与技术要求</w:t>
            </w:r>
          </w:p>
          <w:p w14:paraId="316448CD">
            <w:pPr>
              <w:pStyle w:val="2"/>
              <w:ind w:left="0" w:leftChars="0" w:firstLine="0" w:firstLineChars="0"/>
              <w:jc w:val="center"/>
              <w:rPr>
                <w:color w:val="auto"/>
                <w:highlight w:val="none"/>
              </w:rPr>
            </w:pPr>
            <w:r>
              <w:rPr>
                <w:rFonts w:hint="eastAsia" w:ascii="宋体" w:hAnsi="宋体" w:eastAsia="宋体" w:cs="宋体"/>
                <w:color w:val="000000"/>
                <w:sz w:val="21"/>
                <w:szCs w:val="21"/>
                <w:highlight w:val="none"/>
                <w:lang w:val="en-US" w:eastAsia="zh-CN"/>
              </w:rPr>
              <w:t>12分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7BD2D909">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根据本项目的具体工作内容采取相应的工作方法，包含但不限于信息采集、污染识别、点位布设、钻探建井、样品采集检测、监测数据记录等进行评审；每提供一项最多得2分，最高12分。</w:t>
            </w:r>
          </w:p>
          <w:p w14:paraId="1449C2A8">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工作方法与技术要求全部符合本项目的要求，内容描述完整，不缺少关键节点的12分；</w:t>
            </w:r>
          </w:p>
          <w:p w14:paraId="196B6512">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工作方法与技术要求全部较符合本项目的要求，内容描述较完整，不缺少关键节点的8分；</w:t>
            </w:r>
          </w:p>
          <w:p w14:paraId="556A0533">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工作方法与技术要求全部基本符合本项目的要求，内容描述基本完整，不缺少关键节点的4分；</w:t>
            </w:r>
          </w:p>
          <w:p w14:paraId="0CF7CEC4">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工作方法与技术要求全部基本符合本项目的要求，内容描述基本完整，缺少关键节点的2分；</w:t>
            </w:r>
          </w:p>
          <w:p w14:paraId="1A31A756">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35070AF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56D4BF97">
            <w:pPr>
              <w:widowControl/>
              <w:jc w:val="left"/>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B00B601">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重难点分析</w:t>
            </w:r>
          </w:p>
          <w:p w14:paraId="4B1D0CBB">
            <w:pPr>
              <w:spacing w:line="360" w:lineRule="auto"/>
              <w:jc w:val="center"/>
              <w:rPr>
                <w:rFonts w:hint="eastAsia" w:ascii="宋体" w:hAnsi="宋体"/>
                <w:color w:val="auto"/>
                <w:szCs w:val="21"/>
                <w:highlight w:val="none"/>
              </w:rPr>
            </w:pPr>
            <w:r>
              <w:rPr>
                <w:rFonts w:hint="eastAsia" w:ascii="宋体" w:hAnsi="宋体" w:eastAsia="宋体" w:cs="宋体"/>
                <w:color w:val="000000"/>
                <w:sz w:val="21"/>
                <w:szCs w:val="21"/>
                <w:highlight w:val="none"/>
                <w:lang w:val="en-US" w:eastAsia="zh-CN"/>
              </w:rPr>
              <w:t>8分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1B5B133A">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针对本项目采购需求制定工作重点难点分析和解决方案，包含但不限于：项目工作重点、项目工作重点应对方案、项目工作难点、项目工作难点应对方案；每提供一项得2分，最高8分。</w:t>
            </w:r>
          </w:p>
          <w:p w14:paraId="2AD3FB47">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针对本项目的工作重点难点分析准确全面，有解决方法且可行得8分；</w:t>
            </w:r>
          </w:p>
          <w:p w14:paraId="3E0E02E7">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分析不完整，但解决方法能支撑本次工作得4分；</w:t>
            </w:r>
          </w:p>
          <w:p w14:paraId="1AEC1E97">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表述不全面或解决方法不可行得2分；</w:t>
            </w:r>
          </w:p>
          <w:p w14:paraId="7BD655E5">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374703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70"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6A3D71A9">
            <w:pPr>
              <w:widowControl/>
              <w:jc w:val="left"/>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0DA25192">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进度保证措施</w:t>
            </w:r>
          </w:p>
          <w:p w14:paraId="03D9CE26">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4分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05CA9959">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针对本项目制定相应的实施进度方案，包含但不限于项目进度计划、项目进度保障等方案。每提供一项最多得2分，最高4分。</w:t>
            </w:r>
          </w:p>
          <w:p w14:paraId="0157E5D3">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具有科学合理明确的工作进度计划，工作进度计划与实际需求的契合度高，时间节点把控清晰明确，对工作推进指导性强的得4分；</w:t>
            </w:r>
          </w:p>
          <w:p w14:paraId="1F85AE71">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具有较合理的工作进度计划，工作进度计划与实际需求的契合度合理，时间节点把控较准确的得2分；</w:t>
            </w:r>
          </w:p>
          <w:p w14:paraId="7DD2F0F9">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工作进度计划、时间节点，有待进一步提高细化的得1分；</w:t>
            </w:r>
          </w:p>
          <w:p w14:paraId="2688CF88">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256D1C7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70"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4E802223">
            <w:pPr>
              <w:widowControl/>
              <w:spacing w:line="360" w:lineRule="auto"/>
            </w:pPr>
          </w:p>
        </w:tc>
        <w:tc>
          <w:tcPr>
            <w:tcW w:w="1066" w:type="dxa"/>
            <w:tcBorders>
              <w:top w:val="single" w:color="auto" w:sz="4" w:space="0"/>
              <w:left w:val="single" w:color="auto" w:sz="4" w:space="0"/>
              <w:bottom w:val="single" w:color="auto" w:sz="4" w:space="0"/>
              <w:right w:val="single" w:color="auto" w:sz="4" w:space="0"/>
            </w:tcBorders>
            <w:vAlign w:val="center"/>
          </w:tcPr>
          <w:p w14:paraId="6CC635C9">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质量保证措施</w:t>
            </w:r>
          </w:p>
          <w:p w14:paraId="267DED4B">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8分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44B8609E">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针对本项目制定相应的内部质量保障方案，包括但不限于实施质量管理总体框架、质量管理保证措施、安全管理保障措施、项目实施质量控制措施等内容。每提供一项最多得2分，最高8分。</w:t>
            </w:r>
          </w:p>
          <w:p w14:paraId="6A7BC9F9">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质量保证措施详细完整、可实施性、针对性强，能高质量的确保项目服务质量，得8分；</w:t>
            </w:r>
          </w:p>
          <w:p w14:paraId="705A6175">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质量保障措施完整，可实施性及针对性较强以保证项目质量，得6分；</w:t>
            </w:r>
          </w:p>
          <w:p w14:paraId="772D44B6">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质量保障措施基本完整、可实施，得4分；</w:t>
            </w:r>
          </w:p>
          <w:p w14:paraId="781A6B3B">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质量保障措施简单、合理性、可行性有待考究，得2分；</w:t>
            </w:r>
          </w:p>
          <w:p w14:paraId="25AA1105">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63C7A00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70"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01ED3FC3">
            <w:pPr>
              <w:widowControl/>
              <w:spacing w:line="360" w:lineRule="auto"/>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9158772">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项目制定相应的应急预案</w:t>
            </w:r>
          </w:p>
          <w:p w14:paraId="6039B8A2">
            <w:pPr>
              <w:pStyle w:val="2"/>
              <w:ind w:left="0" w:leftChars="0" w:firstLine="0" w:firstLineChars="0"/>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6分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7E79D730">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针对本项目制定相应的应急预案，包括但不限于紧急事件处置方案、紧急事件处置配备人员、可能发生的紧急事件及处理办法等内容。每提供一项最多得2分，最高6分。</w:t>
            </w:r>
          </w:p>
          <w:p w14:paraId="200D79C3">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应急预案详细完整、可实施性、针对性强，得6分；</w:t>
            </w:r>
          </w:p>
          <w:p w14:paraId="4BA5E09F">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应急预案完整，可实施性及针对性较强以保证项目质量，得4分；</w:t>
            </w:r>
          </w:p>
          <w:p w14:paraId="1791F736">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质量保障措施基本完整、可实施，得2分；</w:t>
            </w:r>
          </w:p>
          <w:p w14:paraId="658979BC">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应急预案简单、合理性、可行性有待考究，得1分；</w:t>
            </w:r>
          </w:p>
          <w:p w14:paraId="25C73313">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31E651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70"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635767D2">
            <w:pPr>
              <w:widowControl/>
              <w:spacing w:line="360" w:lineRule="auto"/>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CE648E3">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en-US"/>
              </w:rPr>
              <w:t>保密措施</w:t>
            </w:r>
            <w:r>
              <w:rPr>
                <w:rFonts w:hint="eastAsia" w:ascii="宋体" w:hAnsi="宋体" w:eastAsia="宋体" w:cs="宋体"/>
                <w:color w:val="000000"/>
                <w:sz w:val="21"/>
                <w:szCs w:val="21"/>
                <w:highlight w:val="none"/>
              </w:rPr>
              <w:t>及档案管理</w:t>
            </w:r>
          </w:p>
          <w:p w14:paraId="188D7149">
            <w:pPr>
              <w:pStyle w:val="2"/>
              <w:ind w:left="0" w:leftChars="0" w:firstLine="0" w:firstLineChars="0"/>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4分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13A0BE03">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供应商需提供满足采购需求的保密措施和档案管理制度。包含但不限于：完善保密制度、制定有保密工作管理文件保密措施、档案管理制度；每提供一项得1分，最高得4分。</w:t>
            </w:r>
          </w:p>
          <w:p w14:paraId="79D9318D">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保密措施及档案管理制度齐全，对本项目针对性强，具有可操作性的得4分；</w:t>
            </w:r>
          </w:p>
          <w:p w14:paraId="2BB1E97D">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保密措施及档案管理制度基本齐全，对本项目针对性较强，基本具有可操作性的得2分；</w:t>
            </w:r>
          </w:p>
          <w:p w14:paraId="52CA5E53">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保密措施及档案管理制度缺失，对本项目无针对性，可操作性若的得1分；</w:t>
            </w:r>
          </w:p>
          <w:p w14:paraId="0F7AC5B8">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rPr>
              <w:t>未提供不得分。</w:t>
            </w:r>
          </w:p>
        </w:tc>
      </w:tr>
      <w:tr w14:paraId="74874D5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89" w:hRule="atLeast"/>
          <w:jc w:val="center"/>
        </w:trPr>
        <w:tc>
          <w:tcPr>
            <w:tcW w:w="10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4B8E90">
            <w:pPr>
              <w:widowControl/>
              <w:jc w:val="center"/>
              <w:rPr>
                <w:rFonts w:hint="eastAsia" w:ascii="宋体" w:hAnsi="宋体" w:cs="宋体"/>
                <w:color w:val="auto"/>
                <w:kern w:val="0"/>
                <w:szCs w:val="21"/>
                <w:highlight w:val="none"/>
              </w:rPr>
            </w:pPr>
          </w:p>
          <w:p w14:paraId="7FA9098B">
            <w:pPr>
              <w:widowControl/>
              <w:jc w:val="center"/>
              <w:rPr>
                <w:rFonts w:hint="eastAsia" w:ascii="宋体" w:hAnsi="宋体" w:cs="宋体"/>
                <w:color w:val="auto"/>
                <w:kern w:val="0"/>
                <w:szCs w:val="21"/>
                <w:highlight w:val="none"/>
              </w:rPr>
            </w:pPr>
          </w:p>
          <w:p w14:paraId="12E01488">
            <w:pPr>
              <w:widowControl/>
              <w:jc w:val="center"/>
              <w:rPr>
                <w:rFonts w:hint="eastAsia" w:ascii="宋体" w:hAnsi="宋体" w:cs="宋体"/>
                <w:color w:val="auto"/>
                <w:kern w:val="0"/>
                <w:szCs w:val="21"/>
                <w:highlight w:val="none"/>
              </w:rPr>
            </w:pPr>
          </w:p>
          <w:p w14:paraId="398062C6">
            <w:pPr>
              <w:widowControl/>
              <w:jc w:val="center"/>
              <w:rPr>
                <w:rFonts w:hint="eastAsia" w:ascii="宋体" w:hAnsi="宋体" w:cs="宋体"/>
                <w:color w:val="auto"/>
                <w:kern w:val="0"/>
                <w:szCs w:val="21"/>
                <w:highlight w:val="none"/>
              </w:rPr>
            </w:pPr>
          </w:p>
          <w:p w14:paraId="0D5A16B5">
            <w:pPr>
              <w:widowControl/>
              <w:jc w:val="center"/>
              <w:rPr>
                <w:rFonts w:hint="eastAsia" w:ascii="宋体" w:hAnsi="宋体" w:cs="宋体"/>
                <w:color w:val="auto"/>
                <w:kern w:val="0"/>
                <w:szCs w:val="21"/>
                <w:highlight w:val="none"/>
              </w:rPr>
            </w:pPr>
          </w:p>
          <w:p w14:paraId="5425C9E3">
            <w:pPr>
              <w:widowControl/>
              <w:jc w:val="center"/>
              <w:rPr>
                <w:rFonts w:hint="eastAsia" w:ascii="宋体" w:hAnsi="宋体" w:cs="宋体"/>
                <w:color w:val="auto"/>
                <w:kern w:val="0"/>
                <w:szCs w:val="21"/>
                <w:highlight w:val="none"/>
              </w:rPr>
            </w:pPr>
          </w:p>
          <w:p w14:paraId="48BEE2C7">
            <w:pPr>
              <w:widowControl/>
              <w:jc w:val="center"/>
              <w:rPr>
                <w:rFonts w:hint="eastAsia" w:ascii="宋体" w:hAnsi="宋体" w:cs="宋体"/>
                <w:color w:val="auto"/>
                <w:kern w:val="0"/>
                <w:szCs w:val="21"/>
                <w:highlight w:val="none"/>
              </w:rPr>
            </w:pPr>
          </w:p>
          <w:p w14:paraId="5E0ED9E9">
            <w:pPr>
              <w:widowControl/>
              <w:jc w:val="center"/>
              <w:rPr>
                <w:rFonts w:hint="eastAsia" w:ascii="宋体" w:hAnsi="宋体" w:cs="宋体"/>
                <w:color w:val="auto"/>
                <w:kern w:val="0"/>
                <w:szCs w:val="21"/>
                <w:highlight w:val="none"/>
              </w:rPr>
            </w:pPr>
          </w:p>
          <w:p w14:paraId="7ACAB5E1">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商务部分</w:t>
            </w:r>
          </w:p>
          <w:p w14:paraId="4DB06AB4">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30</w:t>
            </w:r>
            <w:r>
              <w:rPr>
                <w:rFonts w:hint="eastAsia" w:ascii="宋体" w:hAnsi="宋体" w:cs="宋体"/>
                <w:color w:val="auto"/>
                <w:kern w:val="0"/>
                <w:szCs w:val="21"/>
                <w:highlight w:val="none"/>
              </w:rPr>
              <w:t>分）</w:t>
            </w: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2DB742B9">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项目负责人</w:t>
            </w:r>
          </w:p>
          <w:p w14:paraId="440AA778">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5分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2B1B6BFC">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拟派项目负责人具有环境或水工环类相关专业正高级职称的得5分，副高级职称的得3分，中级职称的得1分；没有不得分。</w:t>
            </w:r>
          </w:p>
          <w:p w14:paraId="1E9F6EE0">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eastAsia="en-US"/>
              </w:rPr>
              <w:t>注：投标文件中附相关证书的原件扫描件和近3个月中任意1个月由本单位为其缴纳的社保证明，以社会保障部门出具的社保证明或网页查询截图为准，没有不得分。</w:t>
            </w:r>
          </w:p>
        </w:tc>
      </w:tr>
      <w:tr w14:paraId="79FD76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21"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1C330DA2">
            <w:pPr>
              <w:widowControl/>
              <w:jc w:val="left"/>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577DC485">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服务团队</w:t>
            </w:r>
          </w:p>
          <w:p w14:paraId="500A56EC">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10分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44B1E33D">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1、拟派项目团队（项目负责人除外）中具有环境或水工环类相关专业副高级及以上职称的每人得2分，本项最多得4分；</w:t>
            </w:r>
          </w:p>
          <w:p w14:paraId="01395B4A">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2、除以上人员拟派项目团队中（项目负责人除外）具有环境或水工环类相关专业中级职称的每人得1分，本项最多得6分。</w:t>
            </w:r>
          </w:p>
          <w:p w14:paraId="2991DFA1">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eastAsia="en-US"/>
              </w:rPr>
              <w:t>注：以上同一人员不得重复计分，投标文件中附相关专业证书的原件扫描件和近3个月中任意1个月由本单位为其缴纳的社保证明，以社会保障部门出具的社保证明或网页查询截图为准，没有不得分。</w:t>
            </w:r>
          </w:p>
        </w:tc>
      </w:tr>
      <w:tr w14:paraId="0945B6C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21"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4EB404E2">
            <w:pPr>
              <w:widowControl/>
              <w:spacing w:line="360" w:lineRule="auto"/>
            </w:pP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5223F4C3">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服务承诺</w:t>
            </w:r>
          </w:p>
          <w:p w14:paraId="7E7A3D0A">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3分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6BAFA1BC">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对本项目拟提供增值化服务，计划详细、合理；响应速度快、专业化的后续服务等内容进行评审，服务承诺细致全面，详实具体，能够有效地为采购人排忧解难，妥善处理好本项目后期可能出现的问题的得3分；</w:t>
            </w:r>
          </w:p>
          <w:p w14:paraId="54FCD527">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服务承诺较全面，基本全面，能处理好本项目后期可能出现的问题的得2分；</w:t>
            </w:r>
          </w:p>
          <w:p w14:paraId="23CC1945">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服务体系粗略、笼统，难以保障能处理好本项目后期可能出现的问题的得1分；</w:t>
            </w:r>
          </w:p>
          <w:p w14:paraId="6DB61BB1">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eastAsia="en-US"/>
              </w:rPr>
              <w:t>没有不得分。</w:t>
            </w:r>
          </w:p>
        </w:tc>
      </w:tr>
      <w:tr w14:paraId="458EAA1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21"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680774D1">
            <w:pPr>
              <w:widowControl/>
              <w:spacing w:line="360" w:lineRule="auto"/>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5885755B">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企业业绩</w:t>
            </w:r>
          </w:p>
          <w:p w14:paraId="2C9A0E42">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9分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6A76EFE6">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投标人在2023年1月1日以来（以合同签订时间为准）承担过土壤、地下水、生态环境类监测项目或调查类项目业绩的，每有一份得1.5分，最高得9分。</w:t>
            </w:r>
          </w:p>
          <w:p w14:paraId="6B1F50FB">
            <w:pPr>
              <w:spacing w:line="360" w:lineRule="auto"/>
              <w:jc w:val="left"/>
              <w:rPr>
                <w:rFonts w:hint="eastAsia" w:ascii="宋体" w:hAnsi="宋体" w:cs="宋体"/>
                <w:color w:val="auto"/>
                <w:kern w:val="0"/>
                <w:szCs w:val="21"/>
                <w:highlight w:val="none"/>
              </w:rPr>
            </w:pPr>
            <w:r>
              <w:rPr>
                <w:rFonts w:hint="eastAsia" w:ascii="宋体" w:hAnsi="宋体" w:cs="宋体"/>
                <w:color w:val="auto"/>
                <w:spacing w:val="-2"/>
                <w:kern w:val="0"/>
                <w:szCs w:val="21"/>
                <w:highlight w:val="none"/>
              </w:rPr>
              <w:t>注：相关类似项目业绩为合同</w:t>
            </w:r>
            <w:r>
              <w:rPr>
                <w:rFonts w:hint="eastAsia" w:ascii="宋体" w:hAnsi="宋体" w:cs="宋体"/>
                <w:color w:val="auto"/>
                <w:spacing w:val="-2"/>
                <w:kern w:val="0"/>
                <w:szCs w:val="21"/>
                <w:highlight w:val="none"/>
                <w:lang w:val="en-US" w:eastAsia="zh-CN"/>
              </w:rPr>
              <w:t>内容为</w:t>
            </w:r>
            <w:r>
              <w:rPr>
                <w:rFonts w:hint="eastAsia" w:ascii="宋体" w:hAnsi="宋体" w:eastAsia="宋体" w:cs="宋体"/>
                <w:color w:val="000000"/>
                <w:sz w:val="21"/>
                <w:szCs w:val="21"/>
                <w:highlight w:val="none"/>
                <w:lang w:eastAsia="en-US"/>
              </w:rPr>
              <w:t>土壤、地下水、生态环境类监测项目或调查类项目</w:t>
            </w:r>
            <w:r>
              <w:rPr>
                <w:rFonts w:hint="eastAsia" w:ascii="宋体" w:hAnsi="宋体" w:cs="宋体"/>
                <w:color w:val="auto"/>
                <w:spacing w:val="-2"/>
                <w:kern w:val="0"/>
                <w:szCs w:val="21"/>
                <w:highlight w:val="none"/>
              </w:rPr>
              <w:t>等相关内容业绩均可，须提供业绩合同的扫描件</w:t>
            </w:r>
            <w:r>
              <w:rPr>
                <w:rFonts w:hint="eastAsia" w:ascii="宋体" w:hAnsi="宋体" w:cs="宋体"/>
                <w:color w:val="auto"/>
                <w:spacing w:val="-2"/>
                <w:kern w:val="0"/>
                <w:szCs w:val="21"/>
                <w:highlight w:val="none"/>
                <w:lang w:eastAsia="zh-CN"/>
              </w:rPr>
              <w:t>，</w:t>
            </w:r>
            <w:r>
              <w:rPr>
                <w:rFonts w:hint="eastAsia" w:ascii="宋体" w:hAnsi="宋体" w:cs="宋体"/>
                <w:color w:val="auto"/>
                <w:spacing w:val="-2"/>
                <w:kern w:val="0"/>
                <w:szCs w:val="21"/>
                <w:highlight w:val="none"/>
                <w:lang w:val="en-US" w:eastAsia="zh-CN"/>
              </w:rPr>
              <w:t>否则不得分</w:t>
            </w:r>
            <w:r>
              <w:rPr>
                <w:rFonts w:hint="eastAsia" w:ascii="宋体" w:hAnsi="宋体" w:cs="宋体"/>
                <w:color w:val="auto"/>
                <w:spacing w:val="-2"/>
                <w:kern w:val="0"/>
                <w:szCs w:val="21"/>
                <w:highlight w:val="none"/>
              </w:rPr>
              <w:t>。</w:t>
            </w:r>
          </w:p>
        </w:tc>
      </w:tr>
      <w:tr w14:paraId="6865A1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21" w:hRule="atLeast"/>
          <w:jc w:val="center"/>
        </w:trPr>
        <w:tc>
          <w:tcPr>
            <w:tcW w:w="1079" w:type="dxa"/>
            <w:vMerge w:val="continue"/>
            <w:tcBorders>
              <w:top w:val="single" w:color="auto" w:sz="4" w:space="0"/>
              <w:left w:val="single" w:color="auto" w:sz="4" w:space="0"/>
              <w:bottom w:val="single" w:color="auto" w:sz="4" w:space="0"/>
              <w:right w:val="single" w:color="auto" w:sz="4" w:space="0"/>
            </w:tcBorders>
            <w:vAlign w:val="center"/>
          </w:tcPr>
          <w:p w14:paraId="311ACCA4">
            <w:pPr>
              <w:widowControl/>
              <w:spacing w:line="360" w:lineRule="auto"/>
              <w:rPr>
                <w:rFonts w:hint="eastAsia" w:ascii="宋体" w:hAnsi="宋体" w:cs="宋体"/>
                <w:color w:val="auto"/>
                <w:kern w:val="0"/>
                <w:szCs w:val="21"/>
                <w:highlight w:val="none"/>
              </w:rPr>
            </w:pPr>
          </w:p>
        </w:tc>
        <w:tc>
          <w:tcPr>
            <w:tcW w:w="1066" w:type="dxa"/>
            <w:tcBorders>
              <w:top w:val="single" w:color="auto" w:sz="4" w:space="0"/>
              <w:left w:val="single" w:color="auto" w:sz="4" w:space="0"/>
              <w:bottom w:val="single" w:color="000000" w:sz="4" w:space="0"/>
              <w:right w:val="single" w:color="auto" w:sz="4" w:space="0"/>
            </w:tcBorders>
            <w:shd w:val="clear" w:color="auto" w:fill="auto"/>
            <w:vAlign w:val="center"/>
          </w:tcPr>
          <w:p w14:paraId="765F81F0">
            <w:pPr>
              <w:spacing w:line="360" w:lineRule="auto"/>
              <w:jc w:val="center"/>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体系认证</w:t>
            </w:r>
          </w:p>
          <w:p w14:paraId="264CFD0F">
            <w:pPr>
              <w:spacing w:line="360" w:lineRule="auto"/>
              <w:jc w:val="center"/>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val="en-US" w:eastAsia="zh-CN"/>
              </w:rPr>
              <w:t>3分</w:t>
            </w:r>
          </w:p>
        </w:tc>
        <w:tc>
          <w:tcPr>
            <w:tcW w:w="7358" w:type="dxa"/>
            <w:gridSpan w:val="3"/>
            <w:tcBorders>
              <w:top w:val="single" w:color="auto" w:sz="4" w:space="0"/>
              <w:left w:val="nil"/>
              <w:bottom w:val="single" w:color="auto" w:sz="4" w:space="0"/>
              <w:right w:val="single" w:color="000000" w:sz="4" w:space="0"/>
            </w:tcBorders>
            <w:shd w:val="clear" w:color="auto" w:fill="auto"/>
            <w:vAlign w:val="center"/>
          </w:tcPr>
          <w:p w14:paraId="533A2C68">
            <w:pPr>
              <w:spacing w:line="360" w:lineRule="auto"/>
              <w:jc w:val="left"/>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投标人具有有效期内质量管理体系认证证书、环境管理体系认证证书、职业健康安全管理体系认证证书的，每提供一个得1分，满分3分。</w:t>
            </w:r>
          </w:p>
          <w:p w14:paraId="0FF8E1FD">
            <w:pPr>
              <w:spacing w:line="360" w:lineRule="auto"/>
              <w:jc w:val="left"/>
              <w:rPr>
                <w:rFonts w:hint="eastAsia" w:ascii="宋体" w:hAnsi="宋体" w:cs="宋体"/>
                <w:color w:val="auto"/>
                <w:kern w:val="0"/>
                <w:szCs w:val="21"/>
                <w:highlight w:val="none"/>
              </w:rPr>
            </w:pPr>
            <w:r>
              <w:rPr>
                <w:rFonts w:hint="eastAsia" w:ascii="宋体" w:hAnsi="宋体" w:eastAsia="宋体" w:cs="宋体"/>
                <w:color w:val="000000"/>
                <w:sz w:val="21"/>
                <w:szCs w:val="21"/>
                <w:highlight w:val="none"/>
                <w:lang w:eastAsia="en-US"/>
              </w:rPr>
              <w:t>注：提供证书扫描件及全国认证认可网站截图，否则不得分。</w:t>
            </w:r>
          </w:p>
        </w:tc>
      </w:tr>
    </w:tbl>
    <w:p w14:paraId="0BB15A59">
      <w:pPr>
        <w:spacing w:line="400" w:lineRule="exact"/>
        <w:rPr>
          <w:rFonts w:hint="eastAsia" w:ascii="宋体" w:hAnsi="宋体"/>
          <w:b/>
          <w:color w:val="auto"/>
          <w:sz w:val="28"/>
          <w:szCs w:val="28"/>
          <w:highlight w:val="none"/>
        </w:rPr>
      </w:pPr>
      <w:r>
        <w:rPr>
          <w:rFonts w:hint="eastAsia" w:ascii="宋体" w:hAnsi="宋体"/>
          <w:b/>
          <w:color w:val="auto"/>
          <w:sz w:val="28"/>
          <w:szCs w:val="28"/>
          <w:highlight w:val="none"/>
        </w:rPr>
        <w:t>1. 评标方法</w:t>
      </w:r>
    </w:p>
    <w:p w14:paraId="2DE3B61D">
      <w:pPr>
        <w:spacing w:line="400" w:lineRule="exact"/>
        <w:ind w:firstLine="420" w:firstLineChars="200"/>
        <w:rPr>
          <w:rFonts w:hint="eastAsia" w:ascii="宋体" w:hAnsi="宋体"/>
          <w:color w:val="auto"/>
          <w:highlight w:val="none"/>
        </w:rPr>
      </w:pPr>
      <w:bookmarkStart w:id="322" w:name="_Toc402979501"/>
      <w:bookmarkStart w:id="323" w:name="_Toc342587594"/>
      <w:bookmarkStart w:id="324" w:name="_Toc384119144"/>
      <w:r>
        <w:rPr>
          <w:rFonts w:hint="eastAsia" w:ascii="宋体" w:hAnsi="宋体"/>
          <w:color w:val="auto"/>
          <w:highlight w:val="none"/>
        </w:rPr>
        <w:t>本次评标采用综合评分法。评标委员会对满足招标文件实质性要求的投标文件，按照本章第2.2 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13CE4FB4">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2. 评审标准</w:t>
      </w:r>
      <w:bookmarkEnd w:id="322"/>
      <w:bookmarkEnd w:id="323"/>
      <w:bookmarkEnd w:id="324"/>
    </w:p>
    <w:p w14:paraId="6CD465B5">
      <w:pPr>
        <w:spacing w:line="460" w:lineRule="exact"/>
        <w:rPr>
          <w:rFonts w:hint="eastAsia" w:ascii="宋体" w:hAnsi="宋体"/>
          <w:b/>
          <w:color w:val="auto"/>
          <w:sz w:val="28"/>
          <w:szCs w:val="28"/>
          <w:highlight w:val="none"/>
        </w:rPr>
      </w:pPr>
      <w:bookmarkStart w:id="325" w:name="_Toc144974569"/>
      <w:bookmarkStart w:id="326" w:name="_Toc152045602"/>
      <w:bookmarkStart w:id="327" w:name="_Toc152042379"/>
      <w:bookmarkStart w:id="328" w:name="_Toc342587595"/>
      <w:r>
        <w:rPr>
          <w:rFonts w:hint="eastAsia" w:ascii="宋体" w:hAnsi="宋体"/>
          <w:b/>
          <w:color w:val="auto"/>
          <w:sz w:val="28"/>
          <w:szCs w:val="28"/>
          <w:highlight w:val="none"/>
        </w:rPr>
        <w:t>2.1  初步评审标准</w:t>
      </w:r>
      <w:bookmarkEnd w:id="325"/>
      <w:bookmarkEnd w:id="326"/>
      <w:bookmarkEnd w:id="327"/>
      <w:bookmarkEnd w:id="328"/>
    </w:p>
    <w:p w14:paraId="2B4ECF3C">
      <w:pPr>
        <w:spacing w:line="460" w:lineRule="exact"/>
        <w:ind w:firstLine="420" w:firstLineChars="200"/>
        <w:rPr>
          <w:rFonts w:hint="eastAsia" w:ascii="宋体" w:hAnsi="宋体"/>
          <w:color w:val="auto"/>
          <w:highlight w:val="none"/>
        </w:rPr>
      </w:pPr>
      <w:r>
        <w:rPr>
          <w:rFonts w:hint="eastAsia" w:ascii="宋体" w:hAnsi="宋体"/>
          <w:color w:val="auto"/>
          <w:highlight w:val="none"/>
        </w:rPr>
        <w:t>2.1.1  资格评审标准：见评标办法前附表2.1.1。</w:t>
      </w:r>
    </w:p>
    <w:p w14:paraId="0970FBA7">
      <w:pPr>
        <w:spacing w:line="460" w:lineRule="exact"/>
        <w:ind w:firstLine="420" w:firstLineChars="200"/>
        <w:rPr>
          <w:rFonts w:hint="eastAsia" w:ascii="宋体" w:hAnsi="宋体"/>
          <w:color w:val="auto"/>
          <w:highlight w:val="none"/>
        </w:rPr>
      </w:pPr>
      <w:r>
        <w:rPr>
          <w:rFonts w:hint="eastAsia" w:ascii="宋体" w:hAnsi="宋体"/>
          <w:color w:val="auto"/>
          <w:highlight w:val="none"/>
        </w:rPr>
        <w:t>2.1.2  符合性评审标准：见评标办法前附表2.1.2。</w:t>
      </w:r>
    </w:p>
    <w:p w14:paraId="4E72FAC0">
      <w:pPr>
        <w:spacing w:line="460" w:lineRule="exact"/>
        <w:rPr>
          <w:rFonts w:hint="eastAsia" w:ascii="宋体" w:hAnsi="宋体"/>
          <w:b/>
          <w:color w:val="auto"/>
          <w:sz w:val="28"/>
          <w:szCs w:val="28"/>
          <w:highlight w:val="none"/>
        </w:rPr>
      </w:pPr>
      <w:bookmarkStart w:id="329" w:name="_Toc152045604"/>
      <w:bookmarkStart w:id="330" w:name="_Toc342587597"/>
      <w:bookmarkStart w:id="331" w:name="_Toc384119145"/>
      <w:bookmarkStart w:id="332" w:name="_Toc402979502"/>
      <w:bookmarkStart w:id="333" w:name="_Toc144974571"/>
      <w:bookmarkStart w:id="334" w:name="_Toc152042381"/>
      <w:r>
        <w:rPr>
          <w:rFonts w:hint="eastAsia" w:ascii="宋体" w:hAnsi="宋体"/>
          <w:b/>
          <w:color w:val="auto"/>
          <w:sz w:val="28"/>
          <w:szCs w:val="28"/>
          <w:highlight w:val="none"/>
        </w:rPr>
        <w:t>2.2 分值构成与评分标准</w:t>
      </w:r>
    </w:p>
    <w:p w14:paraId="2C0A83B9">
      <w:pPr>
        <w:spacing w:line="460" w:lineRule="exact"/>
        <w:ind w:firstLine="420" w:firstLineChars="200"/>
        <w:rPr>
          <w:rFonts w:hint="eastAsia" w:ascii="宋体" w:hAnsi="宋体"/>
          <w:color w:val="auto"/>
          <w:highlight w:val="none"/>
        </w:rPr>
      </w:pPr>
      <w:r>
        <w:rPr>
          <w:rFonts w:hint="eastAsia" w:ascii="宋体" w:hAnsi="宋体"/>
          <w:color w:val="auto"/>
          <w:highlight w:val="none"/>
        </w:rPr>
        <w:t>2.2.1分值构成</w:t>
      </w:r>
    </w:p>
    <w:p w14:paraId="2A6C203B">
      <w:pPr>
        <w:spacing w:line="460" w:lineRule="exact"/>
        <w:ind w:firstLine="420" w:firstLineChars="200"/>
        <w:rPr>
          <w:rFonts w:hint="eastAsia" w:ascii="宋体" w:hAnsi="宋体"/>
          <w:color w:val="auto"/>
          <w:highlight w:val="none"/>
        </w:rPr>
      </w:pPr>
      <w:r>
        <w:rPr>
          <w:rFonts w:hint="eastAsia" w:ascii="宋体" w:hAnsi="宋体"/>
          <w:color w:val="auto"/>
          <w:highlight w:val="none"/>
        </w:rPr>
        <w:t>(l）</w:t>
      </w:r>
      <w:r>
        <w:rPr>
          <w:rFonts w:hint="eastAsia"/>
          <w:color w:val="auto"/>
          <w:highlight w:val="none"/>
        </w:rPr>
        <w:t>报价部分</w:t>
      </w:r>
      <w:r>
        <w:rPr>
          <w:rFonts w:hint="eastAsia" w:ascii="宋体" w:hAnsi="宋体"/>
          <w:color w:val="auto"/>
          <w:highlight w:val="none"/>
        </w:rPr>
        <w:t>：见评标办法前附表；</w:t>
      </w:r>
    </w:p>
    <w:p w14:paraId="111D50FA">
      <w:pPr>
        <w:spacing w:line="460" w:lineRule="exact"/>
        <w:ind w:firstLine="420" w:firstLineChars="200"/>
        <w:rPr>
          <w:rFonts w:hint="eastAsia" w:ascii="宋体" w:hAnsi="宋体"/>
          <w:color w:val="auto"/>
          <w:highlight w:val="none"/>
        </w:rPr>
      </w:pPr>
      <w:r>
        <w:rPr>
          <w:rFonts w:hint="eastAsia" w:ascii="宋体" w:hAnsi="宋体"/>
          <w:color w:val="auto"/>
          <w:highlight w:val="none"/>
        </w:rPr>
        <w:t>(2）技术部分：见评标办法前附表；</w:t>
      </w:r>
    </w:p>
    <w:p w14:paraId="2CB83C9F">
      <w:pPr>
        <w:spacing w:line="460" w:lineRule="exact"/>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s="宋体"/>
          <w:color w:val="auto"/>
          <w:kern w:val="0"/>
          <w:szCs w:val="21"/>
          <w:highlight w:val="none"/>
        </w:rPr>
        <w:t>商务</w:t>
      </w:r>
      <w:r>
        <w:rPr>
          <w:rFonts w:hint="eastAsia" w:ascii="宋体" w:hAnsi="宋体"/>
          <w:color w:val="auto"/>
          <w:highlight w:val="none"/>
        </w:rPr>
        <w:t>部分：见评标办法前附表；</w:t>
      </w:r>
    </w:p>
    <w:p w14:paraId="32FA6346">
      <w:pPr>
        <w:spacing w:line="460" w:lineRule="exact"/>
        <w:ind w:firstLine="420" w:firstLineChars="200"/>
        <w:rPr>
          <w:rFonts w:hint="eastAsia" w:ascii="宋体" w:hAnsi="宋体"/>
          <w:color w:val="auto"/>
          <w:highlight w:val="none"/>
        </w:rPr>
      </w:pPr>
      <w:r>
        <w:rPr>
          <w:rFonts w:hint="eastAsia" w:ascii="宋体" w:hAnsi="宋体"/>
          <w:color w:val="auto"/>
          <w:highlight w:val="none"/>
        </w:rPr>
        <w:t>2.2.2 评标基准值计算</w:t>
      </w:r>
    </w:p>
    <w:p w14:paraId="4ABF4128">
      <w:pPr>
        <w:spacing w:line="460" w:lineRule="exact"/>
        <w:ind w:firstLine="420" w:firstLineChars="200"/>
        <w:rPr>
          <w:rFonts w:hint="eastAsia" w:ascii="宋体" w:hAnsi="宋体"/>
          <w:color w:val="auto"/>
          <w:highlight w:val="none"/>
        </w:rPr>
      </w:pPr>
      <w:r>
        <w:rPr>
          <w:rFonts w:hint="eastAsia" w:ascii="宋体" w:hAnsi="宋体"/>
          <w:color w:val="auto"/>
          <w:highlight w:val="none"/>
        </w:rPr>
        <w:t>评标基准值计算方法：见评标办法前附表。</w:t>
      </w:r>
    </w:p>
    <w:p w14:paraId="2633755F">
      <w:pPr>
        <w:tabs>
          <w:tab w:val="left" w:pos="5565"/>
        </w:tabs>
        <w:spacing w:line="460" w:lineRule="exact"/>
        <w:ind w:firstLine="420" w:firstLineChars="200"/>
        <w:rPr>
          <w:rFonts w:hint="eastAsia" w:ascii="宋体" w:hAnsi="宋体"/>
          <w:color w:val="auto"/>
          <w:highlight w:val="none"/>
        </w:rPr>
      </w:pPr>
      <w:r>
        <w:rPr>
          <w:rFonts w:hint="eastAsia" w:ascii="宋体" w:hAnsi="宋体"/>
          <w:color w:val="auto"/>
          <w:highlight w:val="none"/>
        </w:rPr>
        <w:t>2.2.2评分标准</w:t>
      </w:r>
      <w:r>
        <w:rPr>
          <w:rFonts w:ascii="宋体" w:hAnsi="宋体"/>
          <w:color w:val="auto"/>
          <w:highlight w:val="none"/>
        </w:rPr>
        <w:tab/>
      </w:r>
    </w:p>
    <w:p w14:paraId="1F2A8F30">
      <w:pPr>
        <w:spacing w:line="460" w:lineRule="exact"/>
        <w:ind w:firstLine="420" w:firstLineChars="200"/>
        <w:rPr>
          <w:rFonts w:hint="eastAsia" w:ascii="宋体" w:hAnsi="宋体"/>
          <w:color w:val="auto"/>
          <w:highlight w:val="none"/>
        </w:rPr>
      </w:pPr>
      <w:r>
        <w:rPr>
          <w:rFonts w:hint="eastAsia" w:ascii="宋体" w:hAnsi="宋体"/>
          <w:color w:val="auto"/>
          <w:highlight w:val="none"/>
        </w:rPr>
        <w:t>(l）</w:t>
      </w:r>
      <w:r>
        <w:rPr>
          <w:rFonts w:hint="eastAsia"/>
          <w:color w:val="auto"/>
          <w:highlight w:val="none"/>
        </w:rPr>
        <w:t>报价部分</w:t>
      </w:r>
      <w:r>
        <w:rPr>
          <w:rFonts w:hint="eastAsia" w:ascii="宋体" w:hAnsi="宋体"/>
          <w:color w:val="auto"/>
          <w:highlight w:val="none"/>
        </w:rPr>
        <w:t>：见评标办法前附表；</w:t>
      </w:r>
    </w:p>
    <w:p w14:paraId="3EC3D777">
      <w:pPr>
        <w:spacing w:line="460" w:lineRule="exact"/>
        <w:ind w:firstLine="420" w:firstLineChars="200"/>
        <w:rPr>
          <w:rFonts w:hint="eastAsia" w:ascii="宋体" w:hAnsi="宋体"/>
          <w:color w:val="auto"/>
          <w:highlight w:val="none"/>
        </w:rPr>
      </w:pPr>
      <w:r>
        <w:rPr>
          <w:rFonts w:hint="eastAsia" w:ascii="宋体" w:hAnsi="宋体"/>
          <w:color w:val="auto"/>
          <w:highlight w:val="none"/>
        </w:rPr>
        <w:t>(2）技术部分：见评标办法前附表；</w:t>
      </w:r>
    </w:p>
    <w:p w14:paraId="7A2DBE74">
      <w:pPr>
        <w:spacing w:line="460" w:lineRule="exact"/>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s="宋体"/>
          <w:color w:val="auto"/>
          <w:kern w:val="0"/>
          <w:szCs w:val="21"/>
          <w:highlight w:val="none"/>
        </w:rPr>
        <w:t>商务</w:t>
      </w:r>
      <w:r>
        <w:rPr>
          <w:rFonts w:hint="eastAsia" w:ascii="宋体" w:hAnsi="宋体"/>
          <w:color w:val="auto"/>
          <w:highlight w:val="none"/>
        </w:rPr>
        <w:t>部分：见评标办法前附表；</w:t>
      </w:r>
    </w:p>
    <w:p w14:paraId="47F05A42">
      <w:pPr>
        <w:pStyle w:val="47"/>
        <w:spacing w:before="0" w:line="460" w:lineRule="exact"/>
        <w:rPr>
          <w:rFonts w:ascii="宋体"/>
          <w:color w:val="auto"/>
          <w:highlight w:val="none"/>
        </w:rPr>
      </w:pPr>
      <w:bookmarkStart w:id="335" w:name="_Toc377"/>
      <w:r>
        <w:rPr>
          <w:rFonts w:hint="eastAsia" w:ascii="宋体" w:hAnsi="宋体"/>
          <w:color w:val="auto"/>
          <w:highlight w:val="none"/>
        </w:rPr>
        <w:t>3. 评标程序</w:t>
      </w:r>
      <w:bookmarkEnd w:id="329"/>
      <w:bookmarkEnd w:id="330"/>
      <w:bookmarkEnd w:id="331"/>
      <w:bookmarkEnd w:id="332"/>
      <w:bookmarkEnd w:id="333"/>
      <w:bookmarkEnd w:id="334"/>
      <w:bookmarkEnd w:id="335"/>
    </w:p>
    <w:p w14:paraId="6AC36207">
      <w:pPr>
        <w:pStyle w:val="43"/>
        <w:spacing w:line="460" w:lineRule="exact"/>
        <w:outlineLvl w:val="9"/>
        <w:rPr>
          <w:rFonts w:hint="eastAsia" w:hAnsi="宋体" w:eastAsia="宋体"/>
          <w:color w:val="auto"/>
          <w:highlight w:val="none"/>
        </w:rPr>
      </w:pPr>
      <w:bookmarkStart w:id="336" w:name="_Toc342587598"/>
      <w:bookmarkStart w:id="337" w:name="_Toc152042382"/>
      <w:bookmarkStart w:id="338" w:name="_Toc24154"/>
      <w:bookmarkStart w:id="339" w:name="_Toc152045605"/>
      <w:bookmarkStart w:id="340" w:name="_Toc144974572"/>
      <w:r>
        <w:rPr>
          <w:rFonts w:hint="eastAsia" w:hAnsi="宋体" w:eastAsia="宋体"/>
          <w:color w:val="auto"/>
          <w:highlight w:val="none"/>
        </w:rPr>
        <w:t>3.1  初步评审</w:t>
      </w:r>
      <w:bookmarkEnd w:id="336"/>
      <w:bookmarkEnd w:id="337"/>
      <w:bookmarkEnd w:id="338"/>
      <w:bookmarkEnd w:id="339"/>
      <w:bookmarkEnd w:id="340"/>
    </w:p>
    <w:p w14:paraId="64948E64">
      <w:pPr>
        <w:spacing w:line="460" w:lineRule="exact"/>
        <w:ind w:firstLine="420" w:firstLineChars="200"/>
        <w:rPr>
          <w:rFonts w:hint="eastAsia" w:ascii="宋体" w:hAnsi="宋体"/>
          <w:color w:val="auto"/>
          <w:highlight w:val="none"/>
        </w:rPr>
      </w:pPr>
      <w:bookmarkStart w:id="341" w:name="_Toc144974573"/>
      <w:bookmarkStart w:id="342" w:name="_Toc152042384"/>
      <w:bookmarkStart w:id="343" w:name="_Toc152045606"/>
      <w:bookmarkStart w:id="344" w:name="_Toc342587599"/>
      <w:r>
        <w:rPr>
          <w:rFonts w:hint="eastAsia" w:ascii="宋体" w:hAnsi="宋体"/>
          <w:color w:val="auto"/>
          <w:highlight w:val="none"/>
        </w:rPr>
        <w:t>3.1.1 评标委员会依据本章第2.1 款规定的标准对投标文件进行初步评审。有一项不符合评审标准的，作废标处理。</w:t>
      </w:r>
    </w:p>
    <w:p w14:paraId="32278917">
      <w:pPr>
        <w:spacing w:line="460" w:lineRule="exact"/>
        <w:ind w:firstLine="420" w:firstLineChars="200"/>
        <w:rPr>
          <w:rFonts w:hint="eastAsia" w:ascii="宋体" w:hAnsi="宋体"/>
          <w:color w:val="auto"/>
          <w:highlight w:val="none"/>
        </w:rPr>
      </w:pPr>
      <w:r>
        <w:rPr>
          <w:rFonts w:hint="eastAsia" w:ascii="宋体" w:hAnsi="宋体"/>
          <w:color w:val="auto"/>
          <w:highlight w:val="none"/>
        </w:rPr>
        <w:t>3.1.2 投标人有以下情形之一的，其投标作废标处理：</w:t>
      </w:r>
    </w:p>
    <w:p w14:paraId="31C30D60">
      <w:pPr>
        <w:spacing w:line="460" w:lineRule="exact"/>
        <w:ind w:firstLine="420" w:firstLineChars="200"/>
        <w:rPr>
          <w:rFonts w:hint="eastAsia" w:ascii="宋体" w:hAnsi="宋体"/>
          <w:color w:val="auto"/>
          <w:highlight w:val="none"/>
        </w:rPr>
      </w:pPr>
      <w:r>
        <w:rPr>
          <w:rFonts w:hint="eastAsia" w:ascii="宋体" w:hAnsi="宋体"/>
          <w:color w:val="auto"/>
          <w:highlight w:val="none"/>
        </w:rPr>
        <w:t>(l）第二章“投标人须知”第</w:t>
      </w:r>
      <w:r>
        <w:rPr>
          <w:rFonts w:hint="eastAsia" w:ascii="宋体" w:hAnsi="宋体" w:cs="仿宋_GB2312"/>
          <w:color w:val="auto"/>
          <w:kern w:val="0"/>
          <w:szCs w:val="21"/>
          <w:highlight w:val="none"/>
        </w:rPr>
        <w:t>1.2.2</w:t>
      </w:r>
      <w:r>
        <w:rPr>
          <w:rFonts w:hint="eastAsia" w:ascii="宋体" w:hAnsi="宋体"/>
          <w:color w:val="auto"/>
          <w:highlight w:val="none"/>
        </w:rPr>
        <w:t>项规定的任何一种情形的：</w:t>
      </w:r>
    </w:p>
    <w:p w14:paraId="22E4E36F">
      <w:pPr>
        <w:spacing w:line="460" w:lineRule="exact"/>
        <w:ind w:firstLine="420" w:firstLineChars="200"/>
        <w:rPr>
          <w:rFonts w:hint="eastAsia" w:ascii="宋体" w:hAnsi="宋体"/>
          <w:color w:val="auto"/>
          <w:highlight w:val="none"/>
        </w:rPr>
      </w:pPr>
      <w:r>
        <w:rPr>
          <w:rFonts w:hint="eastAsia" w:ascii="宋体" w:hAnsi="宋体"/>
          <w:color w:val="auto"/>
          <w:highlight w:val="none"/>
        </w:rPr>
        <w:t>(2）串通投标或弄虚作假或有其他违法行为的；</w:t>
      </w:r>
    </w:p>
    <w:p w14:paraId="41F5DEB5">
      <w:pPr>
        <w:spacing w:line="460" w:lineRule="exact"/>
        <w:ind w:firstLine="420" w:firstLineChars="200"/>
        <w:rPr>
          <w:rFonts w:hint="eastAsia" w:ascii="宋体" w:hAnsi="宋体"/>
          <w:color w:val="auto"/>
          <w:highlight w:val="none"/>
        </w:rPr>
      </w:pPr>
      <w:r>
        <w:rPr>
          <w:rFonts w:hint="eastAsia" w:ascii="宋体" w:hAnsi="宋体"/>
          <w:color w:val="auto"/>
          <w:highlight w:val="none"/>
        </w:rPr>
        <w:t>(3）不按评标委员会要求澄清、说明或补正的；</w:t>
      </w:r>
    </w:p>
    <w:p w14:paraId="106DA73D">
      <w:pPr>
        <w:spacing w:line="460" w:lineRule="exact"/>
        <w:ind w:firstLine="420" w:firstLineChars="200"/>
        <w:rPr>
          <w:rFonts w:hint="eastAsia" w:ascii="宋体" w:hAnsi="宋体"/>
          <w:color w:val="auto"/>
          <w:highlight w:val="none"/>
        </w:rPr>
      </w:pPr>
      <w:r>
        <w:rPr>
          <w:rFonts w:hint="eastAsia" w:ascii="宋体" w:hAnsi="宋体"/>
          <w:color w:val="auto"/>
          <w:highlight w:val="none"/>
        </w:rPr>
        <w:t>3.1.3投标报价有算术错误的，评标委员会按以下原则对投标报价进行修正，修正的价格经投标人书面确认后具有约束力。投标人不接受修正价格的，其投标作废标处理。</w:t>
      </w:r>
    </w:p>
    <w:p w14:paraId="59B58EB3">
      <w:pPr>
        <w:spacing w:line="460" w:lineRule="exact"/>
        <w:ind w:firstLine="420" w:firstLineChars="200"/>
        <w:rPr>
          <w:rFonts w:hint="eastAsia" w:ascii="宋体" w:hAnsi="宋体"/>
          <w:color w:val="auto"/>
          <w:highlight w:val="none"/>
        </w:rPr>
      </w:pPr>
      <w:r>
        <w:rPr>
          <w:rFonts w:hint="eastAsia" w:ascii="宋体" w:hAnsi="宋体"/>
          <w:color w:val="auto"/>
          <w:highlight w:val="none"/>
        </w:rPr>
        <w:t>(1）投标文件中的大写金额与小写金额不一致的，以大写金额为准；</w:t>
      </w:r>
    </w:p>
    <w:p w14:paraId="25304411">
      <w:pPr>
        <w:spacing w:line="460" w:lineRule="exact"/>
        <w:ind w:firstLine="420" w:firstLineChars="200"/>
        <w:rPr>
          <w:rFonts w:hint="eastAsia" w:ascii="宋体" w:hAnsi="宋体"/>
          <w:color w:val="auto"/>
          <w:highlight w:val="none"/>
        </w:rPr>
      </w:pPr>
      <w:r>
        <w:rPr>
          <w:rFonts w:hint="eastAsia" w:ascii="宋体" w:hAnsi="宋体"/>
          <w:color w:val="auto"/>
          <w:highlight w:val="none"/>
        </w:rPr>
        <w:t>(2）总价金额与依据单价计算出的结果不一致的，以单价金额为准修正总价，但单价金额小数点有明显错误的除外。</w:t>
      </w:r>
    </w:p>
    <w:p w14:paraId="47B00E40">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3.2  </w:t>
      </w:r>
      <w:bookmarkEnd w:id="341"/>
      <w:bookmarkEnd w:id="342"/>
      <w:bookmarkEnd w:id="343"/>
      <w:r>
        <w:rPr>
          <w:rFonts w:hint="eastAsia" w:ascii="宋体" w:hAnsi="宋体"/>
          <w:b/>
          <w:color w:val="auto"/>
          <w:sz w:val="28"/>
          <w:szCs w:val="28"/>
          <w:highlight w:val="none"/>
        </w:rPr>
        <w:t>详细评审</w:t>
      </w:r>
      <w:bookmarkEnd w:id="344"/>
    </w:p>
    <w:p w14:paraId="481F916E">
      <w:pPr>
        <w:spacing w:line="460" w:lineRule="exact"/>
        <w:ind w:firstLine="420" w:firstLineChars="200"/>
        <w:rPr>
          <w:color w:val="auto"/>
          <w:highlight w:val="none"/>
        </w:rPr>
      </w:pPr>
      <w:r>
        <w:rPr>
          <w:rFonts w:hint="eastAsia"/>
          <w:color w:val="auto"/>
          <w:highlight w:val="none"/>
        </w:rPr>
        <w:t>3.2.1 评标委员会按本章第2.2.1款规定的量化因素和分值进行打分，并计算出综合评估得分。</w:t>
      </w:r>
    </w:p>
    <w:p w14:paraId="7E1AFD2D">
      <w:pPr>
        <w:spacing w:line="460" w:lineRule="exact"/>
        <w:ind w:firstLine="718" w:firstLineChars="342"/>
        <w:rPr>
          <w:color w:val="auto"/>
          <w:highlight w:val="none"/>
        </w:rPr>
      </w:pPr>
      <w:r>
        <w:rPr>
          <w:rFonts w:hint="eastAsia"/>
          <w:color w:val="auto"/>
          <w:highlight w:val="none"/>
        </w:rPr>
        <w:t>（1）按本章第2.2.3款规定的评审因素和分值对投标报价计算出得分A；</w:t>
      </w:r>
    </w:p>
    <w:p w14:paraId="6C6FADD7">
      <w:pPr>
        <w:spacing w:line="460" w:lineRule="exact"/>
        <w:ind w:firstLine="718" w:firstLineChars="342"/>
        <w:rPr>
          <w:color w:val="auto"/>
          <w:highlight w:val="none"/>
        </w:rPr>
      </w:pPr>
      <w:r>
        <w:rPr>
          <w:rFonts w:hint="eastAsia"/>
          <w:color w:val="auto"/>
          <w:highlight w:val="none"/>
        </w:rPr>
        <w:t>（2）按本章第2.2.4款规定的评审因素和分值对</w:t>
      </w:r>
      <w:r>
        <w:rPr>
          <w:rFonts w:hint="eastAsia" w:ascii="宋体" w:hAnsi="宋体" w:cs="宋体"/>
          <w:color w:val="auto"/>
          <w:kern w:val="0"/>
          <w:szCs w:val="21"/>
          <w:highlight w:val="none"/>
        </w:rPr>
        <w:t>商务</w:t>
      </w:r>
      <w:r>
        <w:rPr>
          <w:rFonts w:hint="eastAsia" w:ascii="宋体" w:hAnsi="宋体"/>
          <w:color w:val="auto"/>
          <w:highlight w:val="none"/>
        </w:rPr>
        <w:t>部分</w:t>
      </w:r>
      <w:r>
        <w:rPr>
          <w:rFonts w:hint="eastAsia"/>
          <w:color w:val="auto"/>
          <w:highlight w:val="none"/>
        </w:rPr>
        <w:t>计算出得分B；</w:t>
      </w:r>
    </w:p>
    <w:p w14:paraId="136D131C">
      <w:pPr>
        <w:spacing w:line="460" w:lineRule="exact"/>
        <w:ind w:firstLine="718" w:firstLineChars="342"/>
        <w:rPr>
          <w:color w:val="auto"/>
          <w:highlight w:val="none"/>
        </w:rPr>
      </w:pPr>
      <w:r>
        <w:rPr>
          <w:rFonts w:hint="eastAsia"/>
          <w:color w:val="auto"/>
          <w:highlight w:val="none"/>
        </w:rPr>
        <w:t>（3）按本章第2.2.5款规定的评审因素和分值对技术</w:t>
      </w:r>
      <w:r>
        <w:rPr>
          <w:rFonts w:hint="eastAsia" w:ascii="宋体" w:hAnsi="宋体"/>
          <w:color w:val="auto"/>
          <w:highlight w:val="none"/>
        </w:rPr>
        <w:t>部分</w:t>
      </w:r>
      <w:r>
        <w:rPr>
          <w:rFonts w:hint="eastAsia"/>
          <w:color w:val="auto"/>
          <w:highlight w:val="none"/>
        </w:rPr>
        <w:t>计算出得分C；</w:t>
      </w:r>
    </w:p>
    <w:p w14:paraId="5A82D257">
      <w:pPr>
        <w:spacing w:line="460" w:lineRule="exact"/>
        <w:ind w:firstLine="420" w:firstLineChars="200"/>
        <w:rPr>
          <w:color w:val="auto"/>
          <w:highlight w:val="none"/>
        </w:rPr>
      </w:pPr>
      <w:r>
        <w:rPr>
          <w:rFonts w:hint="eastAsia"/>
          <w:color w:val="auto"/>
          <w:highlight w:val="none"/>
        </w:rPr>
        <w:t>3.2.2 评分分值计算保留小数点后两位，小数点后第三位“四舍五入”。</w:t>
      </w:r>
    </w:p>
    <w:p w14:paraId="67CC4425">
      <w:pPr>
        <w:spacing w:line="460" w:lineRule="exact"/>
        <w:ind w:firstLine="420" w:firstLineChars="200"/>
        <w:rPr>
          <w:color w:val="auto"/>
          <w:highlight w:val="none"/>
        </w:rPr>
      </w:pPr>
      <w:r>
        <w:rPr>
          <w:rFonts w:hint="eastAsia"/>
          <w:color w:val="auto"/>
          <w:highlight w:val="none"/>
        </w:rPr>
        <w:t>3.2.3 投标人得分=A+B+C。</w:t>
      </w:r>
    </w:p>
    <w:p w14:paraId="225F38E7">
      <w:pPr>
        <w:spacing w:line="460" w:lineRule="exact"/>
        <w:ind w:firstLine="420" w:firstLineChars="200"/>
        <w:rPr>
          <w:color w:val="auto"/>
          <w:highlight w:val="none"/>
        </w:rPr>
      </w:pPr>
      <w:r>
        <w:rPr>
          <w:rFonts w:hint="eastAsia"/>
          <w:color w:val="auto"/>
          <w:highlight w:val="none"/>
        </w:rPr>
        <w:t>评标委员会完成对投标报价、</w:t>
      </w:r>
      <w:r>
        <w:rPr>
          <w:rFonts w:hint="eastAsia" w:ascii="宋体" w:hAnsi="宋体" w:cs="宋体"/>
          <w:color w:val="auto"/>
          <w:kern w:val="0"/>
          <w:szCs w:val="21"/>
          <w:highlight w:val="none"/>
        </w:rPr>
        <w:t>商务</w:t>
      </w:r>
      <w:r>
        <w:rPr>
          <w:rFonts w:hint="eastAsia"/>
          <w:color w:val="auto"/>
          <w:highlight w:val="none"/>
        </w:rPr>
        <w:t>标和技术标的汇总后，取平均值作为该投标人的最终得分。</w:t>
      </w:r>
    </w:p>
    <w:p w14:paraId="3A16BA41">
      <w:pPr>
        <w:spacing w:line="460" w:lineRule="exact"/>
        <w:ind w:firstLine="420" w:firstLineChars="200"/>
        <w:rPr>
          <w:color w:val="auto"/>
          <w:highlight w:val="none"/>
        </w:rPr>
      </w:pPr>
      <w:r>
        <w:rPr>
          <w:rFonts w:hint="eastAsia"/>
          <w:color w:val="auto"/>
          <w:highlight w:val="none"/>
        </w:rPr>
        <w:t>3.2.4 评标委员会发现投标人的报价明显低于其他投标报价，或者在设有</w:t>
      </w:r>
      <w:r>
        <w:rPr>
          <w:rFonts w:hint="eastAsia" w:ascii="宋体" w:hAnsi="宋体"/>
          <w:color w:val="auto"/>
          <w:szCs w:val="21"/>
          <w:highlight w:val="none"/>
        </w:rPr>
        <w:t>最高投标限价</w:t>
      </w:r>
      <w:r>
        <w:rPr>
          <w:rFonts w:hint="eastAsia"/>
          <w:color w:val="auto"/>
          <w:highlight w:val="none"/>
        </w:rPr>
        <w:t>时明显低于</w:t>
      </w:r>
      <w:r>
        <w:rPr>
          <w:rFonts w:hint="eastAsia" w:ascii="宋体" w:hAnsi="宋体"/>
          <w:color w:val="auto"/>
          <w:szCs w:val="21"/>
          <w:highlight w:val="none"/>
        </w:rPr>
        <w:t>最高投标限价</w:t>
      </w:r>
      <w:r>
        <w:rPr>
          <w:rFonts w:hint="eastAsia"/>
          <w:color w:val="auto"/>
          <w:highlight w:val="none"/>
        </w:rPr>
        <w:t>，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14:paraId="14F41C45">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3.3 投标文件的澄清和补正</w:t>
      </w:r>
    </w:p>
    <w:p w14:paraId="73ED2F92">
      <w:pPr>
        <w:spacing w:line="460" w:lineRule="exact"/>
        <w:ind w:firstLine="420" w:firstLineChars="200"/>
        <w:rPr>
          <w:rFonts w:hint="eastAsia" w:ascii="宋体" w:hAnsi="宋体"/>
          <w:color w:val="auto"/>
          <w:highlight w:val="none"/>
        </w:rPr>
      </w:pPr>
      <w:r>
        <w:rPr>
          <w:rFonts w:hint="eastAsia" w:ascii="宋体" w:hAnsi="宋体"/>
          <w:color w:val="auto"/>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6D46F031">
      <w:pPr>
        <w:spacing w:line="460" w:lineRule="exact"/>
        <w:ind w:firstLine="420" w:firstLineChars="200"/>
        <w:rPr>
          <w:rFonts w:hint="eastAsia" w:ascii="宋体" w:hAnsi="宋体"/>
          <w:color w:val="auto"/>
          <w:highlight w:val="none"/>
        </w:rPr>
      </w:pPr>
      <w:r>
        <w:rPr>
          <w:rFonts w:hint="eastAsia" w:ascii="宋体" w:hAnsi="宋体"/>
          <w:color w:val="auto"/>
          <w:highlight w:val="none"/>
        </w:rPr>
        <w:t>3.3.2 澄清、说明和补正不得改变投标文件的实质性内容（算术性错误修正的除外）。投标人的书面澄清、说明和补正属于投标文件的组成部分。</w:t>
      </w:r>
    </w:p>
    <w:p w14:paraId="55798741">
      <w:pPr>
        <w:spacing w:line="460" w:lineRule="exact"/>
        <w:ind w:firstLine="420" w:firstLineChars="200"/>
        <w:rPr>
          <w:rFonts w:hint="eastAsia" w:ascii="宋体" w:hAnsi="宋体"/>
          <w:color w:val="auto"/>
          <w:highlight w:val="none"/>
        </w:rPr>
      </w:pPr>
      <w:r>
        <w:rPr>
          <w:rFonts w:hint="eastAsia" w:ascii="宋体" w:hAnsi="宋体"/>
          <w:color w:val="auto"/>
          <w:highlight w:val="none"/>
        </w:rPr>
        <w:t>3.3.3 评标委员会对投标人提交的澄清、说明或补正有疑问的，可以要求投标人进一步澄清、说明或补正，直至满足评标委员会的要求。</w:t>
      </w:r>
    </w:p>
    <w:p w14:paraId="3246A168">
      <w:pPr>
        <w:spacing w:line="460" w:lineRule="exact"/>
        <w:rPr>
          <w:rFonts w:hint="eastAsia" w:ascii="宋体" w:hAnsi="宋体"/>
          <w:b/>
          <w:color w:val="auto"/>
          <w:sz w:val="28"/>
          <w:szCs w:val="28"/>
          <w:highlight w:val="none"/>
        </w:rPr>
      </w:pPr>
      <w:r>
        <w:rPr>
          <w:rFonts w:hint="eastAsia" w:ascii="宋体" w:hAnsi="宋体"/>
          <w:b/>
          <w:color w:val="auto"/>
          <w:sz w:val="28"/>
          <w:szCs w:val="28"/>
          <w:highlight w:val="none"/>
        </w:rPr>
        <w:t>3.4 评标结果</w:t>
      </w:r>
    </w:p>
    <w:p w14:paraId="5AAACF9F">
      <w:pPr>
        <w:spacing w:line="460" w:lineRule="exact"/>
        <w:ind w:firstLine="420" w:firstLineChars="200"/>
        <w:rPr>
          <w:rFonts w:hint="eastAsia" w:ascii="宋体" w:hAnsi="宋体"/>
          <w:color w:val="auto"/>
          <w:highlight w:val="none"/>
        </w:rPr>
      </w:pPr>
      <w:r>
        <w:rPr>
          <w:rFonts w:hint="eastAsia" w:ascii="宋体" w:hAnsi="宋体"/>
          <w:color w:val="auto"/>
          <w:highlight w:val="none"/>
        </w:rPr>
        <w:t>3.4.1 除第二章“投标人须知”前附表授权直接确定中标人外，评标委员会按照得分高到低的顺序推荐中标候选人。</w:t>
      </w:r>
    </w:p>
    <w:p w14:paraId="65EBF37B">
      <w:pPr>
        <w:spacing w:line="460" w:lineRule="exact"/>
        <w:ind w:firstLine="420" w:firstLineChars="200"/>
        <w:rPr>
          <w:rFonts w:hint="eastAsia" w:ascii="宋体" w:hAnsi="宋体"/>
          <w:color w:val="auto"/>
          <w:highlight w:val="none"/>
        </w:rPr>
      </w:pPr>
      <w:r>
        <w:rPr>
          <w:rFonts w:hint="eastAsia" w:ascii="宋体" w:hAnsi="宋体"/>
          <w:color w:val="auto"/>
          <w:highlight w:val="none"/>
        </w:rPr>
        <w:t>3.4.2 评标委员会完成评标后，由应当向招标人提交书面评标报告。</w:t>
      </w:r>
    </w:p>
    <w:p w14:paraId="27E8A507">
      <w:pPr>
        <w:rPr>
          <w:rFonts w:hint="eastAsia" w:ascii="宋体" w:hAnsi="宋体" w:cs="宋体"/>
          <w:color w:val="auto"/>
          <w:sz w:val="52"/>
          <w:szCs w:val="52"/>
          <w:highlight w:val="none"/>
        </w:rPr>
      </w:pPr>
      <w:r>
        <w:rPr>
          <w:rFonts w:hint="eastAsia" w:ascii="宋体" w:hAnsi="宋体" w:cs="宋体"/>
          <w:color w:val="auto"/>
          <w:sz w:val="52"/>
          <w:szCs w:val="52"/>
          <w:highlight w:val="none"/>
        </w:rPr>
        <w:br w:type="page"/>
      </w:r>
    </w:p>
    <w:p w14:paraId="230FD43D">
      <w:pPr>
        <w:pStyle w:val="4"/>
        <w:widowControl/>
        <w:spacing w:line="240" w:lineRule="auto"/>
        <w:jc w:val="center"/>
        <w:rPr>
          <w:rFonts w:hint="eastAsia" w:ascii="宋体" w:hAnsi="宋体" w:cs="宋体"/>
          <w:color w:val="auto"/>
          <w:sz w:val="52"/>
          <w:szCs w:val="52"/>
          <w:highlight w:val="none"/>
        </w:rPr>
      </w:pPr>
      <w:bookmarkStart w:id="345" w:name="_Toc4850"/>
      <w:bookmarkStart w:id="346" w:name="_Toc28799"/>
      <w:r>
        <w:rPr>
          <w:rFonts w:hint="eastAsia" w:ascii="宋体" w:hAnsi="宋体" w:cs="宋体"/>
          <w:color w:val="auto"/>
          <w:sz w:val="52"/>
          <w:szCs w:val="52"/>
          <w:highlight w:val="none"/>
        </w:rPr>
        <w:t>第四章  合     同</w:t>
      </w:r>
      <w:bookmarkEnd w:id="321"/>
      <w:bookmarkEnd w:id="345"/>
      <w:bookmarkEnd w:id="346"/>
    </w:p>
    <w:p w14:paraId="314DE1B5">
      <w:pPr>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合同格式仅供参考，以双方签订的合同为准</w:t>
      </w:r>
    </w:p>
    <w:p w14:paraId="13D8A36A">
      <w:pPr>
        <w:pStyle w:val="37"/>
        <w:rPr>
          <w:color w:val="auto"/>
          <w:highlight w:val="none"/>
        </w:rPr>
      </w:pPr>
    </w:p>
    <w:p w14:paraId="7901D7FF">
      <w:pPr>
        <w:jc w:val="center"/>
        <w:rPr>
          <w:rFonts w:hint="eastAsia" w:ascii="宋体" w:hAnsi="宋体" w:cs="宋体"/>
          <w:color w:val="auto"/>
          <w:szCs w:val="21"/>
          <w:highlight w:val="none"/>
        </w:rPr>
      </w:pPr>
      <w:bookmarkStart w:id="347" w:name="_Toc445450473"/>
      <w:r>
        <w:rPr>
          <w:rFonts w:hint="eastAsia" w:ascii="宋体" w:hAnsi="宋体" w:cs="宋体"/>
          <w:color w:val="auto"/>
          <w:szCs w:val="21"/>
          <w:highlight w:val="none"/>
        </w:rPr>
        <w:t>（仅供参考）</w:t>
      </w:r>
    </w:p>
    <w:p w14:paraId="56C83E35">
      <w:pPr>
        <w:spacing w:line="480" w:lineRule="auto"/>
        <w:ind w:firstLine="420" w:firstLineChars="200"/>
        <w:jc w:val="center"/>
        <w:rPr>
          <w:rFonts w:hint="eastAsia" w:ascii="宋体" w:hAnsi="宋体" w:cs="宋体"/>
          <w:bCs/>
          <w:color w:val="auto"/>
          <w:kern w:val="0"/>
          <w:szCs w:val="21"/>
          <w:highlight w:val="none"/>
        </w:rPr>
      </w:pPr>
      <w:bookmarkStart w:id="348" w:name="_Toc247085853"/>
      <w:bookmarkStart w:id="349" w:name="_Toc179632787"/>
      <w:bookmarkStart w:id="350" w:name="_Toc246997081"/>
      <w:bookmarkStart w:id="351" w:name="_Toc246996338"/>
      <w:bookmarkStart w:id="352" w:name="_Toc152042551"/>
      <w:bookmarkStart w:id="353" w:name="_Toc144974831"/>
      <w:bookmarkStart w:id="354" w:name="_Toc152045769"/>
      <w:r>
        <w:rPr>
          <w:rFonts w:hint="eastAsia" w:ascii="宋体" w:hAnsi="宋体" w:cs="宋体"/>
          <w:bCs/>
          <w:color w:val="auto"/>
          <w:kern w:val="0"/>
          <w:szCs w:val="21"/>
          <w:highlight w:val="none"/>
        </w:rPr>
        <w:t>合同协议书</w:t>
      </w:r>
    </w:p>
    <w:tbl>
      <w:tblPr>
        <w:tblStyle w:val="27"/>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9606"/>
      </w:tblGrid>
      <w:tr w14:paraId="1E682191">
        <w:tblPrEx>
          <w:tblCellMar>
            <w:top w:w="0" w:type="dxa"/>
            <w:left w:w="108" w:type="dxa"/>
            <w:bottom w:w="0" w:type="dxa"/>
            <w:right w:w="108" w:type="dxa"/>
          </w:tblCellMar>
        </w:tblPrEx>
        <w:trPr>
          <w:trHeight w:val="1080" w:hRule="atLeast"/>
        </w:trPr>
        <w:tc>
          <w:tcPr>
            <w:tcW w:w="9606" w:type="dxa"/>
            <w:tcBorders>
              <w:top w:val="single" w:color="000000" w:sz="4" w:space="0"/>
              <w:left w:val="single" w:color="000000" w:sz="4" w:space="0"/>
              <w:bottom w:val="single" w:color="000000" w:sz="4" w:space="0"/>
              <w:right w:val="single" w:color="000000" w:sz="4" w:space="0"/>
            </w:tcBorders>
          </w:tcPr>
          <w:p w14:paraId="5B0758BC">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注释： 本合同协议书格式条款作为双方签订合同的参考。双方为阐明各方的权利和义务，经协商可增加或减少条款。 但不得与招标文件、投标文件的实质性内容相背离。</w:t>
            </w:r>
          </w:p>
          <w:p w14:paraId="43E40A33">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中标人与采购人签订合同时需提供评标办法中所要求的证书原件供采购人查验，如发现提供虚假材料，则取消其中标资格。</w:t>
            </w:r>
          </w:p>
        </w:tc>
      </w:tr>
    </w:tbl>
    <w:p w14:paraId="1BDC85C1">
      <w:pPr>
        <w:spacing w:line="480" w:lineRule="exact"/>
        <w:ind w:firstLine="480" w:firstLineChars="200"/>
        <w:rPr>
          <w:rFonts w:hint="eastAsia" w:ascii="宋体" w:hAnsi="宋体" w:cs="宋体"/>
          <w:bCs/>
          <w:color w:val="auto"/>
          <w:kern w:val="0"/>
          <w:sz w:val="24"/>
          <w:highlight w:val="none"/>
        </w:rPr>
      </w:pPr>
    </w:p>
    <w:p w14:paraId="7603FAED">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甲方(采购人)：                   住所地：                                             </w:t>
      </w:r>
    </w:p>
    <w:p w14:paraId="11BE50AF">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乙方（中标人）：                 住所地：</w:t>
      </w:r>
    </w:p>
    <w:p w14:paraId="4D2A0358">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合同签订地点：　　　　　签订日期：    年   月   日</w:t>
      </w:r>
    </w:p>
    <w:p w14:paraId="5FCF2288">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 根据《中华人民共和国政府采购法》、《民法典》等法律法规的规定，甲乙双方按照开封市公共资源交易中心网站公布的招标结果（项目名称：</w:t>
      </w:r>
      <w:r>
        <w:rPr>
          <w:rFonts w:hint="eastAsia" w:ascii="宋体" w:hAnsi="宋体" w:cs="宋体"/>
          <w:bCs/>
          <w:color w:val="auto"/>
          <w:kern w:val="0"/>
          <w:szCs w:val="21"/>
          <w:highlight w:val="none"/>
          <w:u w:val="single"/>
        </w:rPr>
        <w:t xml:space="preserve">      </w:t>
      </w:r>
      <w:r>
        <w:rPr>
          <w:rFonts w:hint="eastAsia" w:ascii="宋体" w:hAnsi="宋体" w:cs="宋体"/>
          <w:bCs/>
          <w:color w:val="auto"/>
          <w:kern w:val="0"/>
          <w:szCs w:val="21"/>
          <w:highlight w:val="none"/>
        </w:rPr>
        <w:t>，项目编号：</w:t>
      </w:r>
      <w:r>
        <w:rPr>
          <w:rFonts w:hint="eastAsia" w:ascii="宋体" w:hAnsi="宋体" w:cs="宋体"/>
          <w:bCs/>
          <w:color w:val="auto"/>
          <w:kern w:val="0"/>
          <w:szCs w:val="21"/>
          <w:highlight w:val="none"/>
          <w:u w:val="single"/>
        </w:rPr>
        <w:t>　　　</w:t>
      </w:r>
      <w:r>
        <w:rPr>
          <w:rFonts w:hint="eastAsia" w:ascii="宋体" w:hAnsi="宋体" w:cs="宋体"/>
          <w:bCs/>
          <w:color w:val="auto"/>
          <w:kern w:val="0"/>
          <w:szCs w:val="21"/>
          <w:highlight w:val="none"/>
        </w:rPr>
        <w:t xml:space="preserve"> ）签订本合同。</w:t>
      </w:r>
    </w:p>
    <w:p w14:paraId="286C93E6">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甲方（采购人）：</w:t>
      </w:r>
    </w:p>
    <w:p w14:paraId="6872A5E2">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乙方（中标人）：</w:t>
      </w:r>
    </w:p>
    <w:p w14:paraId="1152CC4F">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根据《中华人民共和国政府采购法》、《中华人民共和国合同法》等相关法律，甲、乙双方就</w:t>
      </w:r>
      <w:r>
        <w:rPr>
          <w:rFonts w:hint="eastAsia" w:ascii="宋体" w:hAnsi="宋体" w:cs="宋体"/>
          <w:b/>
          <w:bCs/>
          <w:color w:val="auto"/>
          <w:kern w:val="0"/>
          <w:szCs w:val="21"/>
          <w:highlight w:val="none"/>
          <w:u w:val="single"/>
        </w:rPr>
        <w:t xml:space="preserve">        </w:t>
      </w:r>
      <w:r>
        <w:rPr>
          <w:rFonts w:hint="eastAsia" w:ascii="宋体" w:hAnsi="宋体" w:cs="宋体"/>
          <w:bCs/>
          <w:color w:val="auto"/>
          <w:kern w:val="0"/>
          <w:szCs w:val="21"/>
          <w:highlight w:val="none"/>
        </w:rPr>
        <w:t>，经平等协商达成合同如下：</w:t>
      </w:r>
    </w:p>
    <w:p w14:paraId="3074BA2F">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一、合同文件</w:t>
      </w:r>
    </w:p>
    <w:p w14:paraId="09175B7E">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本合同所附下列文件是构成本合同不可分割的部分，组成合同的各项文件应互相解释，互为说明，解释合同文件的优先顺序如下：</w:t>
      </w:r>
    </w:p>
    <w:p w14:paraId="601DB003">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（一）合同格式以及合同条款</w:t>
      </w:r>
    </w:p>
    <w:p w14:paraId="6DF6489D">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（二）中标通知书</w:t>
      </w:r>
    </w:p>
    <w:p w14:paraId="1C4CB3F6">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（三）中标人在评标过程中做出的有关澄清、说明、承诺或者补正文件</w:t>
      </w:r>
    </w:p>
    <w:p w14:paraId="45A0A0D6">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（四）中标人投标文件</w:t>
      </w:r>
    </w:p>
    <w:p w14:paraId="3E46FB9F">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（五）招标文件</w:t>
      </w:r>
    </w:p>
    <w:p w14:paraId="442FE059">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（六）本合同附件</w:t>
      </w:r>
    </w:p>
    <w:p w14:paraId="7BBE8B26">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同一层次的合同文件规定有矛盾的以较后时间制定的为准。</w:t>
      </w:r>
    </w:p>
    <w:p w14:paraId="57ED2252">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二、合同的范围和条件</w:t>
      </w:r>
    </w:p>
    <w:p w14:paraId="3F4A84D2">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本合同的范围和条件应与上述合同文件的规定相一致。</w:t>
      </w:r>
    </w:p>
    <w:p w14:paraId="28D64EBF">
      <w:pPr>
        <w:ind w:firstLine="420" w:firstLineChars="200"/>
        <w:rPr>
          <w:rFonts w:hint="eastAsia" w:ascii="宋体" w:hAnsi="宋体" w:cs="宋体"/>
          <w:bCs/>
          <w:color w:val="auto"/>
          <w:kern w:val="0"/>
          <w:szCs w:val="21"/>
          <w:highlight w:val="none"/>
          <w:lang w:val="zh-CN"/>
        </w:rPr>
      </w:pPr>
      <w:r>
        <w:rPr>
          <w:rFonts w:hint="eastAsia" w:ascii="宋体" w:hAnsi="宋体" w:cs="宋体"/>
          <w:bCs/>
          <w:color w:val="auto"/>
          <w:kern w:val="0"/>
          <w:szCs w:val="21"/>
          <w:highlight w:val="none"/>
        </w:rPr>
        <w:t>三、服务项目：</w:t>
      </w:r>
    </w:p>
    <w:p w14:paraId="4097C2CA">
      <w:pPr>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四、合同金额</w:t>
      </w:r>
    </w:p>
    <w:p w14:paraId="19188B37">
      <w:pPr>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合同金额为   人民币           万元，小写：       。</w:t>
      </w:r>
    </w:p>
    <w:p w14:paraId="5DA16990">
      <w:pPr>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五、付款途径:甲方支付 </w:t>
      </w:r>
    </w:p>
    <w:p w14:paraId="145B9614">
      <w:pPr>
        <w:ind w:firstLine="420" w:firstLineChars="200"/>
        <w:rPr>
          <w:rFonts w:hint="eastAsia" w:ascii="宋体" w:hAnsi="宋体" w:cs="宋体"/>
          <w:color w:val="auto"/>
          <w:szCs w:val="21"/>
          <w:highlight w:val="none"/>
          <w:u w:val="single"/>
        </w:rPr>
      </w:pPr>
      <w:r>
        <w:rPr>
          <w:rFonts w:hint="eastAsia" w:ascii="宋体" w:hAnsi="宋体" w:cs="宋体"/>
          <w:bCs/>
          <w:color w:val="auto"/>
          <w:kern w:val="0"/>
          <w:szCs w:val="21"/>
          <w:highlight w:val="none"/>
        </w:rPr>
        <w:t>六、付款方式: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992BCD">
      <w:pPr>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七、服务期限限、地点</w:t>
      </w:r>
      <w:r>
        <w:rPr>
          <w:rFonts w:hint="eastAsia" w:ascii="宋体" w:hAnsi="宋体" w:cs="宋体"/>
          <w:bCs/>
          <w:color w:val="auto"/>
          <w:kern w:val="0"/>
          <w:szCs w:val="21"/>
          <w:highlight w:val="none"/>
        </w:rPr>
        <w:tab/>
      </w:r>
    </w:p>
    <w:p w14:paraId="4732033B">
      <w:pPr>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1、服务期限限：</w:t>
      </w:r>
    </w:p>
    <w:p w14:paraId="64B2CB45">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2、服务地点： 甲方指定地点。</w:t>
      </w:r>
    </w:p>
    <w:p w14:paraId="3A2CF1EE">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八、服务质量</w:t>
      </w:r>
    </w:p>
    <w:p w14:paraId="694A0576">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乙方提供的服务应符合国家（或行业）规定标准。</w:t>
      </w:r>
    </w:p>
    <w:p w14:paraId="57C05D14">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九、知识产权</w:t>
      </w:r>
    </w:p>
    <w:p w14:paraId="09BFA09C">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乙方应保证甲方所使用的服务成果免受第三方提出的侵犯其知识产权的诉讼。</w:t>
      </w:r>
    </w:p>
    <w:p w14:paraId="17813A12">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十、违约条款</w:t>
      </w:r>
    </w:p>
    <w:p w14:paraId="539D7D42">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1、乙方延迟提供服务，每延迟1日，按合同金额的</w:t>
      </w:r>
      <w:r>
        <w:rPr>
          <w:rFonts w:hint="eastAsia" w:ascii="宋体" w:hAnsi="宋体" w:cs="宋体"/>
          <w:bCs/>
          <w:color w:val="auto"/>
          <w:kern w:val="0"/>
          <w:szCs w:val="21"/>
          <w:highlight w:val="none"/>
          <w:lang w:val="en-US" w:eastAsia="zh-CN"/>
        </w:rPr>
        <w:t>0.1%</w:t>
      </w:r>
      <w:r>
        <w:rPr>
          <w:rFonts w:hint="eastAsia" w:ascii="宋体" w:hAnsi="宋体" w:cs="宋体"/>
          <w:bCs/>
          <w:color w:val="auto"/>
          <w:kern w:val="0"/>
          <w:szCs w:val="21"/>
          <w:highlight w:val="none"/>
        </w:rPr>
        <w:t>支付违约金。</w:t>
      </w:r>
    </w:p>
    <w:p w14:paraId="5BDB3A12">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2、一方不按期履行合同，并经另一方提示后3日内仍不履行合同的，守约方有权解除合同，违约方要承担相应的法律责任。</w:t>
      </w:r>
    </w:p>
    <w:p w14:paraId="044FB05D">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3、如因一方违约，双方未能就赔偿损失达成协议，引起诉讼或仲裁时，违约方除应赔偿对方经济损失外，还应承担因诉讼或仲裁所支付的律师代理费等相关费用。</w:t>
      </w:r>
    </w:p>
    <w:p w14:paraId="002DA1E0">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4、其它应承担的违约责任，以《中华人民共和国合同法》和其它有关法律、法规规定为准，无相关规定的，双方协商解决。</w:t>
      </w:r>
    </w:p>
    <w:p w14:paraId="71A7C9CA">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5、按照本合同规定应该偿付的违约金、赔偿金等，应当在明确责任后5日内，按银行规定或双方商定的结算办法付清，否则按逾期付款处理。</w:t>
      </w:r>
    </w:p>
    <w:p w14:paraId="4CF54C29">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第十二条 合同的变更补充，终止及转让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797799D5">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第十三条 　不可抗力　　</w:t>
      </w:r>
    </w:p>
    <w:p w14:paraId="7C557184">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因不可抗力造成违约的，遭受不可抗力一方应及时向对方通报不能履行或不能完全履行的理由，并在随后取得有关主管机关证明后的29日内向另一方提供不可抗力发生以及持续期间的充分证据，根据情况可部分或全部免于承担违约责任。</w:t>
      </w:r>
    </w:p>
    <w:p w14:paraId="74F0DFF1">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2、不可抗力是指承包人和发包人在订立合同时不可预见，在履行合同过程中不可避免发生并不能克服的自然灾害和社会性突发事件，如地震、台风、海啸、瘟疫、水灾、火灾、骚乱、暴动、战争等情形。</w:t>
      </w:r>
    </w:p>
    <w:p w14:paraId="57CC1EA7">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第十四条  争议的解决</w:t>
      </w:r>
    </w:p>
    <w:p w14:paraId="4CC0E17B">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因履行本合同引起的或与本合同有关的争议，甲、乙双方应首先通过友好协商解决，如果协商不能解决争议，任何一方均可以向甲方所在地有管辖权的人民法院提起诉讼。</w:t>
      </w:r>
    </w:p>
    <w:p w14:paraId="1E970C58">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第十五条   合同生效及其他</w:t>
      </w:r>
    </w:p>
    <w:p w14:paraId="23C14B96">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1、本合同未尽事宜，双方另行补充（补充内容不得改变或违背招标文件和中标人投标文件中的实质性内容）。</w:t>
      </w:r>
    </w:p>
    <w:p w14:paraId="497D7523">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2、本合同一式叁份，甲、乙双方授权代表签字并盖单位公章后生效，均具有同等法律效力。</w:t>
      </w:r>
    </w:p>
    <w:p w14:paraId="6D0389AB">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甲    方：                　　　　　　 　乙    方：</w:t>
      </w:r>
    </w:p>
    <w:p w14:paraId="3BC549AD">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法定代表人或委托代理人：              　 法定代表人或委托代理人：</w:t>
      </w:r>
    </w:p>
    <w:p w14:paraId="1AA842B3">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单位地址：                 　　　　　　  单位地址：</w:t>
      </w:r>
    </w:p>
    <w:p w14:paraId="44138021">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电    话：                  　　　　　　 电    话：</w:t>
      </w:r>
    </w:p>
    <w:p w14:paraId="3B27472F">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开户银行：                   　　　　　　开户银行：</w:t>
      </w:r>
    </w:p>
    <w:p w14:paraId="6CE29DB4">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账    号：                 　　　　　　  账    号：</w:t>
      </w:r>
    </w:p>
    <w:p w14:paraId="4CC8F51B">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年  月  日              　　　　　　　　 年</w:t>
      </w:r>
      <w:bookmarkEnd w:id="348"/>
      <w:bookmarkEnd w:id="349"/>
      <w:bookmarkEnd w:id="350"/>
      <w:bookmarkEnd w:id="351"/>
      <w:bookmarkEnd w:id="352"/>
      <w:bookmarkEnd w:id="353"/>
      <w:bookmarkEnd w:id="354"/>
      <w:r>
        <w:rPr>
          <w:rFonts w:hint="eastAsia" w:ascii="宋体" w:hAnsi="宋体" w:cs="宋体"/>
          <w:bCs/>
          <w:color w:val="auto"/>
          <w:kern w:val="0"/>
          <w:szCs w:val="21"/>
          <w:highlight w:val="none"/>
        </w:rPr>
        <w:t xml:space="preserve">月  日 </w:t>
      </w:r>
    </w:p>
    <w:p w14:paraId="546FEA3E">
      <w:pPr>
        <w:spacing w:line="480" w:lineRule="exact"/>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注：本合同仅供参考，具体内容以实际签订合同为准。</w:t>
      </w:r>
    </w:p>
    <w:p w14:paraId="647A39C4">
      <w:pPr>
        <w:pStyle w:val="23"/>
        <w:wordWrap w:val="0"/>
        <w:rPr>
          <w:color w:val="auto"/>
          <w:highlight w:val="none"/>
        </w:rPr>
      </w:pPr>
      <w:r>
        <w:rPr>
          <w:rFonts w:hint="eastAsia" w:ascii="仿宋_GB2312" w:hAnsi="仿宋_GB2312" w:eastAsia="仿宋_GB2312" w:cs="仿宋_GB2312"/>
          <w:color w:val="auto"/>
          <w:sz w:val="28"/>
          <w:szCs w:val="28"/>
          <w:highlight w:val="none"/>
        </w:rPr>
        <w:t xml:space="preserve">                           </w:t>
      </w:r>
    </w:p>
    <w:p w14:paraId="40070DF6">
      <w:pPr>
        <w:jc w:val="left"/>
        <w:rPr>
          <w:rFonts w:hint="eastAsia" w:ascii="宋体" w:hAnsi="宋体" w:cs="宋体"/>
          <w:color w:val="auto"/>
          <w:highlight w:val="none"/>
        </w:rPr>
      </w:pPr>
    </w:p>
    <w:p w14:paraId="69AF7693">
      <w:pPr>
        <w:pStyle w:val="4"/>
        <w:widowControl/>
        <w:spacing w:line="240" w:lineRule="auto"/>
        <w:ind w:right="-22"/>
        <w:jc w:val="center"/>
        <w:rPr>
          <w:rFonts w:hint="eastAsia" w:ascii="宋体" w:hAnsi="宋体" w:cs="宋体"/>
          <w:color w:val="auto"/>
          <w:sz w:val="52"/>
          <w:szCs w:val="52"/>
          <w:highlight w:val="none"/>
        </w:rPr>
      </w:pPr>
    </w:p>
    <w:p w14:paraId="0B64C7F0">
      <w:pPr>
        <w:rPr>
          <w:rFonts w:hint="eastAsia" w:ascii="宋体" w:hAnsi="宋体" w:cs="宋体"/>
          <w:color w:val="auto"/>
          <w:sz w:val="52"/>
          <w:szCs w:val="52"/>
          <w:highlight w:val="none"/>
        </w:rPr>
      </w:pPr>
      <w:r>
        <w:rPr>
          <w:rFonts w:hint="eastAsia" w:ascii="宋体" w:hAnsi="宋体" w:cs="宋体"/>
          <w:color w:val="auto"/>
          <w:sz w:val="52"/>
          <w:szCs w:val="52"/>
          <w:highlight w:val="none"/>
        </w:rPr>
        <w:br w:type="page"/>
      </w:r>
    </w:p>
    <w:p w14:paraId="3456F032">
      <w:pPr>
        <w:pStyle w:val="4"/>
        <w:widowControl/>
        <w:spacing w:line="240" w:lineRule="auto"/>
        <w:ind w:right="-22"/>
        <w:jc w:val="center"/>
        <w:rPr>
          <w:rFonts w:hint="eastAsia" w:ascii="宋体" w:hAnsi="宋体" w:cs="宋体"/>
          <w:color w:val="auto"/>
          <w:sz w:val="52"/>
          <w:szCs w:val="52"/>
          <w:highlight w:val="none"/>
        </w:rPr>
      </w:pPr>
      <w:bookmarkStart w:id="355" w:name="_Toc4355"/>
      <w:bookmarkStart w:id="356" w:name="_Toc5797"/>
      <w:r>
        <w:rPr>
          <w:rFonts w:hint="eastAsia" w:ascii="宋体" w:hAnsi="宋体" w:cs="宋体"/>
          <w:color w:val="auto"/>
          <w:sz w:val="52"/>
          <w:szCs w:val="52"/>
          <w:highlight w:val="none"/>
        </w:rPr>
        <w:t>第五章  投标文件格式</w:t>
      </w:r>
      <w:bookmarkEnd w:id="347"/>
      <w:bookmarkEnd w:id="355"/>
      <w:bookmarkEnd w:id="356"/>
    </w:p>
    <w:p w14:paraId="064975E0">
      <w:pPr>
        <w:outlineLvl w:val="0"/>
        <w:rPr>
          <w:rFonts w:hint="eastAsia" w:ascii="宋体" w:hAnsi="宋体" w:cs="宋体"/>
          <w:color w:val="auto"/>
          <w:sz w:val="52"/>
          <w:szCs w:val="52"/>
          <w:highlight w:val="none"/>
        </w:rPr>
      </w:pPr>
    </w:p>
    <w:p w14:paraId="4B3BBF55">
      <w:pPr>
        <w:pStyle w:val="37"/>
        <w:rPr>
          <w:color w:val="auto"/>
          <w:highlight w:val="none"/>
        </w:rPr>
        <w:sectPr>
          <w:headerReference r:id="rId4" w:type="default"/>
          <w:footerReference r:id="rId5" w:type="default"/>
          <w:pgSz w:w="11906" w:h="16838"/>
          <w:pgMar w:top="1440" w:right="1080" w:bottom="1440" w:left="1080" w:header="850" w:footer="964" w:gutter="0"/>
          <w:cols w:space="720" w:num="1"/>
          <w:docGrid w:type="lines" w:linePitch="312" w:charSpace="0"/>
        </w:sectPr>
      </w:pPr>
    </w:p>
    <w:p w14:paraId="4E27F91E">
      <w:pPr>
        <w:jc w:val="center"/>
        <w:rPr>
          <w:rFonts w:hint="eastAsia" w:ascii="宋体" w:hAnsi="宋体" w:eastAsia="宋体" w:cs="宋体"/>
          <w:b/>
          <w:color w:val="auto"/>
          <w:kern w:val="0"/>
          <w:sz w:val="56"/>
          <w:szCs w:val="28"/>
          <w:highlight w:val="none"/>
          <w:lang w:eastAsia="zh-CN"/>
        </w:rPr>
      </w:pPr>
      <w:r>
        <w:rPr>
          <w:rFonts w:hint="eastAsia" w:ascii="宋体" w:hAnsi="宋体" w:cs="宋体"/>
          <w:b/>
          <w:color w:val="auto"/>
          <w:sz w:val="40"/>
          <w:szCs w:val="20"/>
          <w:highlight w:val="none"/>
          <w:lang w:eastAsia="zh-CN"/>
        </w:rPr>
        <w:t>开封市生态环境局开封市污水集中处理设施及固体废物设施周边土壤污染状况监测项目</w:t>
      </w:r>
    </w:p>
    <w:p w14:paraId="3AC39D09">
      <w:pPr>
        <w:jc w:val="center"/>
        <w:rPr>
          <w:rFonts w:hint="eastAsia" w:ascii="宋体" w:hAnsi="宋体" w:cs="宋体"/>
          <w:b/>
          <w:color w:val="auto"/>
          <w:kern w:val="0"/>
          <w:sz w:val="48"/>
          <w:szCs w:val="22"/>
          <w:highlight w:val="none"/>
        </w:rPr>
      </w:pPr>
    </w:p>
    <w:p w14:paraId="6E8CDA8C">
      <w:pPr>
        <w:jc w:val="center"/>
        <w:rPr>
          <w:rFonts w:hint="eastAsia" w:ascii="宋体" w:hAnsi="宋体" w:cs="宋体"/>
          <w:b/>
          <w:color w:val="auto"/>
          <w:kern w:val="0"/>
          <w:sz w:val="48"/>
          <w:szCs w:val="22"/>
          <w:highlight w:val="none"/>
        </w:rPr>
      </w:pPr>
      <w:r>
        <w:rPr>
          <w:rFonts w:hint="eastAsia" w:ascii="宋体" w:hAnsi="宋体" w:cs="宋体"/>
          <w:b/>
          <w:color w:val="auto"/>
          <w:kern w:val="0"/>
          <w:sz w:val="48"/>
          <w:szCs w:val="22"/>
          <w:highlight w:val="none"/>
        </w:rPr>
        <w:t>投标文件</w:t>
      </w:r>
    </w:p>
    <w:p w14:paraId="2CA92738">
      <w:pPr>
        <w:jc w:val="center"/>
        <w:rPr>
          <w:rFonts w:hint="eastAsia" w:ascii="宋体" w:hAnsi="宋体" w:cs="宋体"/>
          <w:bCs/>
          <w:color w:val="auto"/>
          <w:kern w:val="0"/>
          <w:sz w:val="24"/>
          <w:highlight w:val="none"/>
        </w:rPr>
      </w:pPr>
    </w:p>
    <w:p w14:paraId="70525AA5">
      <w:pPr>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项目编号：</w:t>
      </w:r>
    </w:p>
    <w:p w14:paraId="226C5AD6">
      <w:pPr>
        <w:ind w:firstLine="420" w:firstLineChars="200"/>
        <w:jc w:val="left"/>
        <w:rPr>
          <w:rFonts w:hint="eastAsia" w:ascii="宋体" w:hAnsi="宋体" w:cs="宋体"/>
          <w:color w:val="auto"/>
          <w:highlight w:val="none"/>
        </w:rPr>
      </w:pPr>
    </w:p>
    <w:p w14:paraId="31E596FD">
      <w:pPr>
        <w:ind w:firstLine="420" w:firstLineChars="200"/>
        <w:jc w:val="left"/>
        <w:rPr>
          <w:rFonts w:hint="eastAsia" w:ascii="宋体" w:hAnsi="宋体" w:cs="宋体"/>
          <w:color w:val="auto"/>
          <w:highlight w:val="none"/>
        </w:rPr>
      </w:pPr>
    </w:p>
    <w:p w14:paraId="4FDE3A2E">
      <w:pPr>
        <w:ind w:firstLine="420" w:firstLineChars="200"/>
        <w:jc w:val="left"/>
        <w:rPr>
          <w:rFonts w:hint="eastAsia" w:ascii="宋体" w:hAnsi="宋体" w:cs="宋体"/>
          <w:color w:val="auto"/>
          <w:highlight w:val="none"/>
        </w:rPr>
      </w:pPr>
    </w:p>
    <w:p w14:paraId="1B6AE17C">
      <w:pPr>
        <w:ind w:firstLine="420" w:firstLineChars="200"/>
        <w:jc w:val="left"/>
        <w:rPr>
          <w:rFonts w:hint="eastAsia" w:ascii="宋体" w:hAnsi="宋体" w:cs="宋体"/>
          <w:color w:val="auto"/>
          <w:highlight w:val="none"/>
        </w:rPr>
      </w:pPr>
    </w:p>
    <w:p w14:paraId="6E5925AA">
      <w:pPr>
        <w:ind w:firstLine="420" w:firstLineChars="200"/>
        <w:jc w:val="left"/>
        <w:rPr>
          <w:rFonts w:hint="eastAsia" w:ascii="宋体" w:hAnsi="宋体" w:cs="宋体"/>
          <w:color w:val="auto"/>
          <w:highlight w:val="none"/>
        </w:rPr>
      </w:pPr>
    </w:p>
    <w:p w14:paraId="6D06DFDE">
      <w:pPr>
        <w:ind w:firstLine="420" w:firstLineChars="200"/>
        <w:jc w:val="left"/>
        <w:rPr>
          <w:rFonts w:hint="eastAsia" w:ascii="宋体" w:hAnsi="宋体" w:cs="宋体"/>
          <w:color w:val="auto"/>
          <w:highlight w:val="none"/>
        </w:rPr>
      </w:pPr>
    </w:p>
    <w:p w14:paraId="3BC74441">
      <w:pPr>
        <w:jc w:val="left"/>
        <w:rPr>
          <w:rFonts w:hint="eastAsia" w:ascii="宋体" w:hAnsi="宋体" w:cs="宋体"/>
          <w:color w:val="auto"/>
          <w:highlight w:val="none"/>
        </w:rPr>
      </w:pPr>
    </w:p>
    <w:p w14:paraId="66924E26">
      <w:pPr>
        <w:ind w:firstLine="420" w:firstLineChars="200"/>
        <w:jc w:val="left"/>
        <w:rPr>
          <w:rFonts w:hint="eastAsia" w:ascii="宋体" w:hAnsi="宋体" w:cs="宋体"/>
          <w:color w:val="auto"/>
          <w:highlight w:val="none"/>
        </w:rPr>
      </w:pPr>
    </w:p>
    <w:p w14:paraId="15CCEE29">
      <w:pPr>
        <w:pStyle w:val="11"/>
        <w:rPr>
          <w:rFonts w:hint="eastAsia" w:ascii="宋体" w:hAnsi="宋体" w:cs="宋体"/>
          <w:color w:val="auto"/>
          <w:highlight w:val="none"/>
        </w:rPr>
      </w:pPr>
    </w:p>
    <w:p w14:paraId="71D95303">
      <w:pPr>
        <w:pStyle w:val="11"/>
        <w:rPr>
          <w:rFonts w:hint="eastAsia" w:ascii="宋体" w:hAnsi="宋体" w:cs="宋体"/>
          <w:color w:val="auto"/>
          <w:highlight w:val="none"/>
        </w:rPr>
      </w:pPr>
    </w:p>
    <w:p w14:paraId="39529C2B">
      <w:pPr>
        <w:pStyle w:val="11"/>
        <w:rPr>
          <w:rFonts w:hint="eastAsia" w:ascii="宋体" w:hAnsi="宋体" w:cs="宋体"/>
          <w:color w:val="auto"/>
          <w:highlight w:val="none"/>
        </w:rPr>
      </w:pPr>
    </w:p>
    <w:p w14:paraId="313DDDB0">
      <w:pPr>
        <w:pStyle w:val="11"/>
        <w:rPr>
          <w:rFonts w:hint="eastAsia" w:ascii="宋体" w:hAnsi="宋体" w:cs="宋体"/>
          <w:color w:val="auto"/>
          <w:highlight w:val="none"/>
        </w:rPr>
      </w:pPr>
    </w:p>
    <w:p w14:paraId="2D6E6807">
      <w:pPr>
        <w:ind w:firstLine="1687" w:firstLineChars="600"/>
        <w:rPr>
          <w:rFonts w:hint="eastAsia" w:ascii="宋体" w:hAnsi="宋体" w:cs="宋体"/>
          <w:b/>
          <w:color w:val="auto"/>
          <w:kern w:val="0"/>
          <w:sz w:val="28"/>
          <w:szCs w:val="22"/>
          <w:highlight w:val="none"/>
        </w:rPr>
      </w:pPr>
    </w:p>
    <w:p w14:paraId="7F99AC21">
      <w:pPr>
        <w:ind w:firstLine="1687" w:firstLineChars="600"/>
        <w:rPr>
          <w:rFonts w:hint="eastAsia" w:ascii="宋体" w:hAnsi="宋体" w:cs="宋体"/>
          <w:b/>
          <w:color w:val="auto"/>
          <w:kern w:val="0"/>
          <w:sz w:val="28"/>
          <w:szCs w:val="22"/>
          <w:highlight w:val="none"/>
        </w:rPr>
      </w:pPr>
      <w:r>
        <w:rPr>
          <w:rFonts w:hint="eastAsia" w:ascii="宋体" w:hAnsi="宋体" w:cs="宋体"/>
          <w:b/>
          <w:color w:val="auto"/>
          <w:kern w:val="0"/>
          <w:sz w:val="28"/>
          <w:szCs w:val="22"/>
          <w:highlight w:val="none"/>
        </w:rPr>
        <w:t>投标人名称：</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（盖单位电子章）</w:t>
      </w:r>
    </w:p>
    <w:p w14:paraId="456D7B27">
      <w:pPr>
        <w:ind w:firstLine="1687" w:firstLineChars="600"/>
        <w:rPr>
          <w:rFonts w:hint="eastAsia" w:ascii="宋体" w:hAnsi="宋体" w:cs="宋体"/>
          <w:b/>
          <w:color w:val="auto"/>
          <w:kern w:val="0"/>
          <w:sz w:val="28"/>
          <w:szCs w:val="22"/>
          <w:highlight w:val="none"/>
        </w:rPr>
      </w:pPr>
      <w:r>
        <w:rPr>
          <w:rFonts w:hint="eastAsia" w:ascii="宋体" w:hAnsi="宋体" w:cs="宋体"/>
          <w:b/>
          <w:color w:val="auto"/>
          <w:kern w:val="0"/>
          <w:sz w:val="28"/>
          <w:szCs w:val="22"/>
          <w:highlight w:val="none"/>
        </w:rPr>
        <w:t>法定代表人或授权委托人：</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（个人电子签章或签名）</w:t>
      </w:r>
    </w:p>
    <w:p w14:paraId="141A691A">
      <w:pPr>
        <w:ind w:firstLine="1687" w:firstLineChars="600"/>
        <w:rPr>
          <w:rFonts w:hint="eastAsia" w:ascii="宋体" w:hAnsi="宋体" w:cs="宋体"/>
          <w:b/>
          <w:color w:val="auto"/>
          <w:highlight w:val="none"/>
        </w:rPr>
      </w:pPr>
      <w:r>
        <w:rPr>
          <w:rFonts w:hint="eastAsia" w:ascii="宋体" w:hAnsi="宋体" w:cs="宋体"/>
          <w:b/>
          <w:color w:val="auto"/>
          <w:kern w:val="0"/>
          <w:sz w:val="28"/>
          <w:szCs w:val="22"/>
          <w:highlight w:val="none"/>
        </w:rPr>
        <w:t>日      期：</w:t>
      </w:r>
      <w:r>
        <w:rPr>
          <w:rFonts w:hint="eastAsia" w:ascii="宋体" w:hAnsi="宋体" w:cs="宋体"/>
          <w:b/>
          <w:color w:val="auto"/>
          <w:kern w:val="0"/>
          <w:sz w:val="22"/>
          <w:szCs w:val="22"/>
          <w:highlight w:val="none"/>
          <w:u w:val="single"/>
        </w:rPr>
        <w:t xml:space="preserve">          </w:t>
      </w:r>
      <w:r>
        <w:rPr>
          <w:rFonts w:hint="eastAsia" w:ascii="宋体" w:hAnsi="宋体" w:cs="宋体"/>
          <w:b/>
          <w:color w:val="auto"/>
          <w:kern w:val="0"/>
          <w:sz w:val="28"/>
          <w:szCs w:val="22"/>
          <w:highlight w:val="none"/>
        </w:rPr>
        <w:t>年</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月</w:t>
      </w:r>
      <w:r>
        <w:rPr>
          <w:rFonts w:hint="eastAsia" w:ascii="宋体" w:hAnsi="宋体" w:cs="宋体"/>
          <w:b/>
          <w:color w:val="auto"/>
          <w:kern w:val="0"/>
          <w:sz w:val="28"/>
          <w:szCs w:val="22"/>
          <w:highlight w:val="none"/>
          <w:u w:val="single"/>
        </w:rPr>
        <w:t xml:space="preserve">     </w:t>
      </w:r>
      <w:r>
        <w:rPr>
          <w:rFonts w:hint="eastAsia" w:ascii="宋体" w:hAnsi="宋体" w:cs="宋体"/>
          <w:b/>
          <w:color w:val="auto"/>
          <w:kern w:val="0"/>
          <w:sz w:val="28"/>
          <w:szCs w:val="22"/>
          <w:highlight w:val="none"/>
        </w:rPr>
        <w:t>日</w:t>
      </w:r>
    </w:p>
    <w:p w14:paraId="543ECD6E">
      <w:pPr>
        <w:rPr>
          <w:rFonts w:hint="eastAsia" w:ascii="宋体" w:hAnsi="宋体" w:cs="宋体"/>
          <w:b/>
          <w:color w:val="auto"/>
          <w:sz w:val="22"/>
          <w:szCs w:val="22"/>
          <w:highlight w:val="none"/>
        </w:rPr>
        <w:sectPr>
          <w:type w:val="continuous"/>
          <w:pgSz w:w="11906" w:h="16838"/>
          <w:pgMar w:top="1440" w:right="1080" w:bottom="1440" w:left="1080" w:header="851" w:footer="992" w:gutter="0"/>
          <w:cols w:space="720" w:num="1"/>
          <w:docGrid w:type="lines" w:linePitch="312" w:charSpace="0"/>
        </w:sectPr>
      </w:pPr>
    </w:p>
    <w:p w14:paraId="085BDDA4">
      <w:pPr>
        <w:pStyle w:val="6"/>
        <w:widowControl/>
        <w:spacing w:line="240" w:lineRule="auto"/>
        <w:jc w:val="center"/>
        <w:rPr>
          <w:rFonts w:hint="eastAsia" w:ascii="宋体" w:hAnsi="宋体" w:cs="宋体"/>
          <w:color w:val="auto"/>
          <w:sz w:val="36"/>
          <w:szCs w:val="40"/>
          <w:highlight w:val="none"/>
        </w:rPr>
      </w:pPr>
      <w:bookmarkStart w:id="357" w:name="_Toc184635137"/>
      <w:bookmarkStart w:id="358" w:name="_Toc2388"/>
      <w:bookmarkStart w:id="359" w:name="_Toc18853"/>
      <w:bookmarkStart w:id="360" w:name="_Toc10404"/>
      <w:bookmarkStart w:id="361" w:name="_Toc10498"/>
      <w:bookmarkStart w:id="362" w:name="_Toc499815663"/>
      <w:r>
        <w:rPr>
          <w:rFonts w:hint="eastAsia" w:ascii="宋体" w:hAnsi="宋体" w:cs="宋体"/>
          <w:color w:val="auto"/>
          <w:sz w:val="36"/>
          <w:szCs w:val="40"/>
          <w:highlight w:val="none"/>
        </w:rPr>
        <w:t>目  录</w:t>
      </w:r>
      <w:bookmarkEnd w:id="357"/>
      <w:bookmarkEnd w:id="358"/>
      <w:bookmarkEnd w:id="359"/>
      <w:bookmarkEnd w:id="360"/>
      <w:bookmarkEnd w:id="361"/>
      <w:bookmarkEnd w:id="362"/>
    </w:p>
    <w:p w14:paraId="4752868A">
      <w:pPr>
        <w:pStyle w:val="11"/>
        <w:widowControl/>
        <w:spacing w:after="0" w:line="360" w:lineRule="auto"/>
        <w:rPr>
          <w:rFonts w:hint="eastAsia" w:ascii="宋体" w:hAnsi="宋体" w:cs="宋体"/>
          <w:color w:val="auto"/>
          <w:highlight w:val="none"/>
        </w:rPr>
      </w:pPr>
      <w:bookmarkStart w:id="363" w:name="_Toc457735665"/>
      <w:bookmarkStart w:id="364" w:name="_Toc457735303"/>
      <w:bookmarkStart w:id="365" w:name="_Toc457761161"/>
      <w:bookmarkStart w:id="366" w:name="_Toc445450474"/>
      <w:r>
        <w:rPr>
          <w:rFonts w:hint="eastAsia"/>
          <w:color w:val="auto"/>
          <w:highlight w:val="none"/>
        </w:rPr>
        <w:fldChar w:fldCharType="begin"/>
      </w:r>
      <w:r>
        <w:rPr>
          <w:color w:val="auto"/>
          <w:highlight w:val="none"/>
        </w:rPr>
        <w:instrText xml:space="preserve"> HYPERLINK \l "_Toc32513" </w:instrText>
      </w:r>
      <w:r>
        <w:rPr>
          <w:rFonts w:hint="eastAsia"/>
          <w:color w:val="auto"/>
          <w:highlight w:val="none"/>
        </w:rPr>
        <w:fldChar w:fldCharType="separate"/>
      </w:r>
      <w:r>
        <w:rPr>
          <w:rFonts w:hint="eastAsia" w:ascii="宋体" w:hAnsi="宋体" w:cs="宋体"/>
          <w:color w:val="auto"/>
          <w:highlight w:val="none"/>
        </w:rPr>
        <w:t>一、投标函</w:t>
      </w:r>
      <w:r>
        <w:rPr>
          <w:rFonts w:hint="eastAsia" w:ascii="宋体" w:hAnsi="宋体" w:cs="宋体"/>
          <w:color w:val="auto"/>
          <w:highlight w:val="none"/>
        </w:rPr>
        <w:tab/>
      </w:r>
      <w:r>
        <w:rPr>
          <w:rFonts w:hint="eastAsia" w:ascii="宋体" w:hAnsi="宋体" w:cs="宋体"/>
          <w:color w:val="auto"/>
          <w:highlight w:val="none"/>
        </w:rPr>
        <w:fldChar w:fldCharType="end"/>
      </w:r>
    </w:p>
    <w:p w14:paraId="44002B2F">
      <w:pPr>
        <w:pStyle w:val="11"/>
        <w:widowControl/>
        <w:spacing w:after="0" w:line="360" w:lineRule="auto"/>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"_Toc3998" </w:instrText>
      </w:r>
      <w:r>
        <w:rPr>
          <w:color w:val="auto"/>
          <w:highlight w:val="none"/>
        </w:rPr>
        <w:fldChar w:fldCharType="separate"/>
      </w:r>
      <w:r>
        <w:rPr>
          <w:rFonts w:hint="eastAsia" w:ascii="宋体" w:hAnsi="宋体" w:cs="宋体"/>
          <w:color w:val="auto"/>
          <w:highlight w:val="none"/>
        </w:rPr>
        <w:t>二、投标函附录</w:t>
      </w:r>
      <w:r>
        <w:rPr>
          <w:rFonts w:hint="eastAsia" w:ascii="宋体" w:hAnsi="宋体" w:cs="宋体"/>
          <w:color w:val="auto"/>
          <w:highlight w:val="none"/>
        </w:rPr>
        <w:tab/>
      </w:r>
      <w:r>
        <w:rPr>
          <w:rFonts w:hint="eastAsia" w:ascii="宋体" w:hAnsi="宋体" w:cs="宋体"/>
          <w:color w:val="auto"/>
          <w:highlight w:val="none"/>
        </w:rPr>
        <w:fldChar w:fldCharType="end"/>
      </w:r>
    </w:p>
    <w:p w14:paraId="558575C0">
      <w:pPr>
        <w:pStyle w:val="11"/>
        <w:widowControl/>
        <w:spacing w:after="0" w:line="360" w:lineRule="auto"/>
        <w:rPr>
          <w:rFonts w:hint="eastAsia" w:ascii="宋体" w:hAnsi="宋体" w:cs="宋体"/>
          <w:color w:val="auto"/>
          <w:highlight w:val="none"/>
        </w:rPr>
      </w:pPr>
      <w:r>
        <w:rPr>
          <w:rFonts w:hint="eastAsia"/>
          <w:color w:val="auto"/>
          <w:highlight w:val="none"/>
        </w:rPr>
        <w:t>三、</w:t>
      </w:r>
      <w:r>
        <w:rPr>
          <w:color w:val="auto"/>
          <w:highlight w:val="none"/>
        </w:rPr>
        <w:fldChar w:fldCharType="begin"/>
      </w:r>
      <w:r>
        <w:rPr>
          <w:color w:val="auto"/>
          <w:highlight w:val="none"/>
        </w:rPr>
        <w:instrText xml:space="preserve"> HYPERLINK \l "_Toc24941" </w:instrText>
      </w:r>
      <w:r>
        <w:rPr>
          <w:color w:val="auto"/>
          <w:highlight w:val="none"/>
        </w:rPr>
        <w:fldChar w:fldCharType="separate"/>
      </w:r>
      <w:r>
        <w:rPr>
          <w:rFonts w:hint="eastAsia" w:ascii="宋体" w:hAnsi="宋体" w:cs="宋体"/>
          <w:color w:val="auto"/>
          <w:highlight w:val="none"/>
        </w:rPr>
        <w:t>法定代表人身份证明</w:t>
      </w:r>
      <w:r>
        <w:rPr>
          <w:rFonts w:hint="eastAsia" w:ascii="宋体" w:hAnsi="宋体" w:cs="宋体"/>
          <w:color w:val="auto"/>
          <w:highlight w:val="none"/>
        </w:rPr>
        <w:tab/>
      </w:r>
      <w:r>
        <w:rPr>
          <w:rFonts w:hint="eastAsia" w:ascii="宋体" w:hAnsi="宋体" w:cs="宋体"/>
          <w:color w:val="auto"/>
          <w:highlight w:val="none"/>
        </w:rPr>
        <w:fldChar w:fldCharType="end"/>
      </w:r>
    </w:p>
    <w:p w14:paraId="7C03321E">
      <w:pPr>
        <w:pStyle w:val="11"/>
        <w:widowControl/>
        <w:spacing w:after="0" w:line="360" w:lineRule="auto"/>
        <w:rPr>
          <w:rFonts w:hint="eastAsia" w:ascii="宋体" w:hAnsi="宋体" w:cs="宋体"/>
          <w:color w:val="auto"/>
          <w:highlight w:val="none"/>
        </w:rPr>
      </w:pPr>
      <w:r>
        <w:rPr>
          <w:rFonts w:hint="eastAsia"/>
          <w:color w:val="auto"/>
          <w:highlight w:val="none"/>
        </w:rPr>
        <w:t>四、</w:t>
      </w:r>
      <w:r>
        <w:rPr>
          <w:color w:val="auto"/>
          <w:highlight w:val="none"/>
        </w:rPr>
        <w:fldChar w:fldCharType="begin"/>
      </w:r>
      <w:r>
        <w:rPr>
          <w:color w:val="auto"/>
          <w:highlight w:val="none"/>
        </w:rPr>
        <w:instrText xml:space="preserve"> HYPERLINK \l "_Toc28345" </w:instrText>
      </w:r>
      <w:r>
        <w:rPr>
          <w:color w:val="auto"/>
          <w:highlight w:val="none"/>
        </w:rPr>
        <w:fldChar w:fldCharType="separate"/>
      </w:r>
      <w:r>
        <w:rPr>
          <w:rFonts w:hint="eastAsia" w:ascii="宋体" w:hAnsi="宋体" w:cs="宋体"/>
          <w:color w:val="auto"/>
          <w:highlight w:val="none"/>
        </w:rPr>
        <w:t>法定代表人授权书</w:t>
      </w:r>
      <w:r>
        <w:rPr>
          <w:rFonts w:hint="eastAsia" w:ascii="宋体" w:hAnsi="宋体" w:cs="宋体"/>
          <w:color w:val="auto"/>
          <w:highlight w:val="none"/>
        </w:rPr>
        <w:tab/>
      </w:r>
      <w:r>
        <w:rPr>
          <w:rFonts w:hint="eastAsia" w:ascii="宋体" w:hAnsi="宋体" w:cs="宋体"/>
          <w:color w:val="auto"/>
          <w:highlight w:val="none"/>
        </w:rPr>
        <w:fldChar w:fldCharType="end"/>
      </w:r>
    </w:p>
    <w:p w14:paraId="21A6B444">
      <w:pPr>
        <w:pStyle w:val="11"/>
        <w:widowControl/>
        <w:spacing w:after="0" w:line="360" w:lineRule="auto"/>
        <w:rPr>
          <w:rFonts w:hint="eastAsia" w:ascii="宋体" w:hAnsi="宋体" w:cs="宋体"/>
          <w:color w:val="auto"/>
          <w:highlight w:val="none"/>
        </w:rPr>
      </w:pPr>
      <w:r>
        <w:rPr>
          <w:rFonts w:hint="eastAsia"/>
          <w:color w:val="auto"/>
          <w:highlight w:val="none"/>
        </w:rPr>
        <w:t>五、</w:t>
      </w:r>
      <w:r>
        <w:rPr>
          <w:color w:val="auto"/>
          <w:highlight w:val="none"/>
        </w:rPr>
        <w:fldChar w:fldCharType="begin"/>
      </w:r>
      <w:r>
        <w:rPr>
          <w:color w:val="auto"/>
          <w:highlight w:val="none"/>
        </w:rPr>
        <w:instrText xml:space="preserve"> HYPERLINK \l "_Toc21914" </w:instrText>
      </w:r>
      <w:r>
        <w:rPr>
          <w:color w:val="auto"/>
          <w:highlight w:val="none"/>
        </w:rPr>
        <w:fldChar w:fldCharType="separate"/>
      </w:r>
      <w:r>
        <w:rPr>
          <w:rFonts w:hint="eastAsia" w:ascii="宋体" w:hAnsi="宋体" w:cs="宋体"/>
          <w:color w:val="auto"/>
          <w:highlight w:val="none"/>
        </w:rPr>
        <w:t>投标人资格证明文件</w:t>
      </w:r>
      <w:r>
        <w:rPr>
          <w:rFonts w:hint="eastAsia" w:ascii="宋体" w:hAnsi="宋体" w:cs="宋体"/>
          <w:color w:val="auto"/>
          <w:highlight w:val="none"/>
        </w:rPr>
        <w:tab/>
      </w:r>
      <w:r>
        <w:rPr>
          <w:rFonts w:hint="eastAsia" w:ascii="宋体" w:hAnsi="宋体" w:cs="宋体"/>
          <w:color w:val="auto"/>
          <w:highlight w:val="none"/>
        </w:rPr>
        <w:fldChar w:fldCharType="end"/>
      </w:r>
    </w:p>
    <w:p w14:paraId="135E68DA">
      <w:pPr>
        <w:spacing w:line="360" w:lineRule="auto"/>
        <w:rPr>
          <w:color w:val="auto"/>
          <w:highlight w:val="none"/>
        </w:rPr>
      </w:pPr>
      <w:r>
        <w:rPr>
          <w:rFonts w:hint="eastAsia"/>
          <w:color w:val="auto"/>
          <w:highlight w:val="none"/>
        </w:rPr>
        <w:t>六、反商业贿赂承诺书</w:t>
      </w:r>
    </w:p>
    <w:p w14:paraId="27E92600">
      <w:pPr>
        <w:spacing w:line="360" w:lineRule="auto"/>
        <w:rPr>
          <w:color w:val="auto"/>
          <w:highlight w:val="none"/>
        </w:rPr>
      </w:pPr>
      <w:r>
        <w:rPr>
          <w:rFonts w:hint="eastAsia"/>
          <w:color w:val="auto"/>
          <w:highlight w:val="none"/>
        </w:rPr>
        <w:t>七、技术部分</w:t>
      </w:r>
    </w:p>
    <w:p w14:paraId="36638752">
      <w:pPr>
        <w:pStyle w:val="37"/>
        <w:spacing w:line="360" w:lineRule="auto"/>
        <w:rPr>
          <w:rFonts w:ascii="Times New Roman" w:cs="Times New Roman"/>
          <w:color w:val="auto"/>
          <w:sz w:val="21"/>
          <w:highlight w:val="none"/>
        </w:rPr>
      </w:pPr>
      <w:r>
        <w:rPr>
          <w:rFonts w:hint="eastAsia" w:ascii="Times New Roman" w:cs="Times New Roman"/>
          <w:color w:val="auto"/>
          <w:sz w:val="21"/>
          <w:highlight w:val="none"/>
        </w:rPr>
        <w:t>八、商务部分</w:t>
      </w:r>
    </w:p>
    <w:p w14:paraId="234B2CE8">
      <w:pPr>
        <w:pStyle w:val="11"/>
        <w:widowControl/>
        <w:spacing w:after="0" w:line="360" w:lineRule="auto"/>
        <w:rPr>
          <w:color w:val="auto"/>
          <w:highlight w:val="none"/>
        </w:rPr>
      </w:pPr>
      <w:r>
        <w:rPr>
          <w:rFonts w:hint="eastAsia"/>
          <w:color w:val="auto"/>
          <w:highlight w:val="none"/>
        </w:rPr>
        <w:t>九、招标文件要求的其他材料及投标人认为有必要提供的材料</w:t>
      </w:r>
    </w:p>
    <w:p w14:paraId="16068B23">
      <w:pPr>
        <w:spacing w:line="360" w:lineRule="auto"/>
        <w:rPr>
          <w:color w:val="auto"/>
          <w:highlight w:val="none"/>
        </w:rPr>
      </w:pPr>
      <w:r>
        <w:rPr>
          <w:rFonts w:hint="eastAsia"/>
          <w:color w:val="auto"/>
          <w:highlight w:val="none"/>
        </w:rPr>
        <w:t>十、政府采购政策</w:t>
      </w:r>
    </w:p>
    <w:p w14:paraId="141482CD">
      <w:pPr>
        <w:pStyle w:val="5"/>
        <w:widowControl/>
        <w:spacing w:line="240" w:lineRule="auto"/>
        <w:jc w:val="center"/>
        <w:rPr>
          <w:rFonts w:hint="eastAsia" w:ascii="宋体" w:hAnsi="宋体" w:eastAsia="宋体" w:cs="宋体"/>
          <w:color w:val="auto"/>
          <w:sz w:val="28"/>
          <w:szCs w:val="28"/>
          <w:highlight w:val="none"/>
        </w:rPr>
      </w:pPr>
    </w:p>
    <w:p w14:paraId="71EAB814">
      <w:pPr>
        <w:pStyle w:val="5"/>
        <w:widowControl/>
        <w:spacing w:line="240" w:lineRule="auto"/>
        <w:jc w:val="center"/>
        <w:rPr>
          <w:rFonts w:hint="eastAsia" w:ascii="宋体" w:hAnsi="宋体" w:eastAsia="宋体" w:cs="宋体"/>
          <w:color w:val="auto"/>
          <w:sz w:val="28"/>
          <w:szCs w:val="28"/>
          <w:highlight w:val="none"/>
        </w:rPr>
      </w:pPr>
    </w:p>
    <w:p w14:paraId="54A4CDA7">
      <w:pPr>
        <w:pStyle w:val="5"/>
        <w:widowControl/>
        <w:spacing w:line="240" w:lineRule="auto"/>
        <w:jc w:val="center"/>
        <w:rPr>
          <w:rFonts w:hint="eastAsia" w:ascii="宋体" w:hAnsi="宋体" w:eastAsia="宋体" w:cs="宋体"/>
          <w:color w:val="auto"/>
          <w:sz w:val="28"/>
          <w:szCs w:val="28"/>
          <w:highlight w:val="none"/>
        </w:rPr>
      </w:pPr>
    </w:p>
    <w:p w14:paraId="51725935">
      <w:pPr>
        <w:pStyle w:val="5"/>
        <w:widowControl/>
        <w:spacing w:line="24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2AD5226B">
      <w:pPr>
        <w:pStyle w:val="5"/>
        <w:widowControl/>
        <w:spacing w:line="240" w:lineRule="auto"/>
        <w:ind w:firstLine="420"/>
        <w:jc w:val="center"/>
        <w:rPr>
          <w:rFonts w:hint="eastAsia" w:ascii="宋体" w:hAnsi="宋体" w:eastAsia="宋体" w:cs="宋体"/>
          <w:color w:val="auto"/>
          <w:sz w:val="28"/>
          <w:szCs w:val="28"/>
          <w:highlight w:val="none"/>
        </w:rPr>
      </w:pPr>
      <w:bookmarkStart w:id="367" w:name="_Toc32725"/>
      <w:bookmarkStart w:id="368" w:name="_Toc20162"/>
      <w:r>
        <w:rPr>
          <w:rFonts w:hint="eastAsia" w:ascii="宋体" w:hAnsi="宋体" w:eastAsia="宋体" w:cs="宋体"/>
          <w:color w:val="auto"/>
          <w:sz w:val="28"/>
          <w:szCs w:val="28"/>
          <w:highlight w:val="none"/>
        </w:rPr>
        <w:t>一、</w:t>
      </w:r>
      <w:bookmarkEnd w:id="363"/>
      <w:bookmarkEnd w:id="364"/>
      <w:bookmarkEnd w:id="365"/>
      <w:bookmarkEnd w:id="366"/>
      <w:bookmarkEnd w:id="367"/>
      <w:r>
        <w:rPr>
          <w:rFonts w:hint="eastAsia" w:ascii="宋体" w:hAnsi="宋体" w:eastAsia="宋体" w:cs="宋体"/>
          <w:color w:val="auto"/>
          <w:sz w:val="28"/>
          <w:szCs w:val="28"/>
          <w:highlight w:val="none"/>
        </w:rPr>
        <w:t>投标函</w:t>
      </w:r>
      <w:bookmarkEnd w:id="368"/>
    </w:p>
    <w:p w14:paraId="4D962662">
      <w:pPr>
        <w:pStyle w:val="11"/>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（招标人） </w:t>
      </w:r>
    </w:p>
    <w:p w14:paraId="144B4A55">
      <w:pPr>
        <w:spacing w:line="360" w:lineRule="auto"/>
        <w:ind w:left="42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我方已仔细阅读并研究了</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（项目名称）招标文件的全部内容（包含本项目的所有补遗、澄清和变更资料），我们完全熟悉其中的要求、条款和条件。愿意以人民币（大写）：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，小写：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元的报价，</w:t>
      </w:r>
      <w:r>
        <w:rPr>
          <w:rFonts w:hint="eastAsia" w:ascii="宋体" w:hAnsi="宋体" w:cs="Arial"/>
          <w:color w:val="auto"/>
          <w:kern w:val="0"/>
          <w:szCs w:val="21"/>
          <w:highlight w:val="none"/>
        </w:rPr>
        <w:t>服务期限</w:t>
      </w:r>
      <w:r>
        <w:rPr>
          <w:rFonts w:hint="eastAsia" w:ascii="宋体" w:hAnsi="宋体" w:cs="宋体"/>
          <w:color w:val="auto"/>
          <w:kern w:val="0"/>
          <w:szCs w:val="21"/>
          <w:highlight w:val="none"/>
        </w:rPr>
        <w:t>：</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，质量要求：</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，按招标文件要求对完成本项目全生命周期内的相应工作。</w:t>
      </w:r>
    </w:p>
    <w:p w14:paraId="276F525B">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同时做出以下声明：</w:t>
      </w:r>
    </w:p>
    <w:p w14:paraId="74B73EBA">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1.我方按招标文件的要求编制投标文件。</w:t>
      </w:r>
    </w:p>
    <w:p w14:paraId="34EE6553">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2.我方投标有效期为：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38B1EF74">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3.我方承诺与招标人聘请的为此项目提供咨询服务的公司及任何附属机构均无关联，我方不是招标人的附属机构。</w:t>
      </w:r>
    </w:p>
    <w:p w14:paraId="1D3C07DD">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4.我方将按招标文件的规定履行合同责任和义务。</w:t>
      </w:r>
    </w:p>
    <w:p w14:paraId="23067125">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5.我方同意提供贵方可能要求的与其投标有关的一切数据或资料。</w:t>
      </w:r>
    </w:p>
    <w:p w14:paraId="492F5356">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6.我方完全理解贵方不一定接受最低价的响应或收到的任何响应。</w:t>
      </w:r>
    </w:p>
    <w:p w14:paraId="379CDB3E">
      <w:pPr>
        <w:spacing w:line="360" w:lineRule="auto"/>
        <w:ind w:left="420"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7.我方承诺不泄露投标活动中获取的项目信息、商业秘密。</w:t>
      </w:r>
    </w:p>
    <w:p w14:paraId="17939A90">
      <w:pPr>
        <w:spacing w:line="360" w:lineRule="auto"/>
        <w:ind w:left="420"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8.我方在此声明，所递交的投标文件及有关资料内容完整、真实和准确。</w:t>
      </w:r>
    </w:p>
    <w:p w14:paraId="149D5344">
      <w:pPr>
        <w:spacing w:line="360" w:lineRule="auto"/>
        <w:ind w:left="420"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w:t>
      </w:r>
      <w:r>
        <w:rPr>
          <w:rFonts w:hint="eastAsia" w:ascii="宋体" w:hAnsi="宋体" w:cs="宋体"/>
          <w:color w:val="auto"/>
          <w:szCs w:val="21"/>
          <w:highlight w:val="none"/>
        </w:rPr>
        <w:t xml:space="preserve">我公司如果中标，保证按招标文件要求向招标代理机构全额缴纳招标代理服务费。 </w:t>
      </w:r>
    </w:p>
    <w:p w14:paraId="72902015">
      <w:pPr>
        <w:pStyle w:val="11"/>
        <w:widowControl/>
        <w:tabs>
          <w:tab w:val="left" w:pos="4475"/>
          <w:tab w:val="left" w:pos="4706"/>
          <w:tab w:val="left" w:pos="5392"/>
          <w:tab w:val="left" w:pos="8498"/>
        </w:tabs>
        <w:spacing w:before="26" w:line="360" w:lineRule="auto"/>
        <w:ind w:left="562" w:right="507" w:firstLine="419"/>
        <w:rPr>
          <w:rFonts w:hint="eastAsia" w:ascii="宋体" w:hAnsi="宋体" w:cs="宋体"/>
          <w:color w:val="auto"/>
          <w:szCs w:val="21"/>
          <w:highlight w:val="none"/>
        </w:rPr>
      </w:pPr>
    </w:p>
    <w:p w14:paraId="1E2BB14E">
      <w:pPr>
        <w:spacing w:line="360" w:lineRule="auto"/>
        <w:ind w:firstLine="420"/>
        <w:jc w:val="left"/>
        <w:rPr>
          <w:rFonts w:hint="eastAsia" w:ascii="宋体" w:hAnsi="宋体" w:cs="宋体"/>
          <w:color w:val="auto"/>
          <w:sz w:val="20"/>
          <w:szCs w:val="20"/>
          <w:highlight w:val="none"/>
        </w:rPr>
      </w:pPr>
    </w:p>
    <w:p w14:paraId="0D3DB190">
      <w:pPr>
        <w:spacing w:line="360" w:lineRule="auto"/>
        <w:ind w:firstLine="420"/>
        <w:jc w:val="left"/>
        <w:rPr>
          <w:rFonts w:hint="eastAsia" w:ascii="宋体" w:hAnsi="宋体" w:cs="宋体"/>
          <w:color w:val="auto"/>
          <w:sz w:val="20"/>
          <w:szCs w:val="20"/>
          <w:highlight w:val="none"/>
        </w:rPr>
      </w:pPr>
    </w:p>
    <w:p w14:paraId="12D1ABF2">
      <w:pPr>
        <w:spacing w:line="360" w:lineRule="auto"/>
        <w:ind w:firstLine="420"/>
        <w:jc w:val="left"/>
        <w:rPr>
          <w:rFonts w:hint="eastAsia" w:ascii="宋体" w:hAnsi="宋体" w:cs="宋体"/>
          <w:color w:val="auto"/>
          <w:sz w:val="20"/>
          <w:szCs w:val="20"/>
          <w:highlight w:val="none"/>
        </w:rPr>
      </w:pPr>
    </w:p>
    <w:p w14:paraId="10BE1319">
      <w:pPr>
        <w:tabs>
          <w:tab w:val="left" w:pos="1155"/>
        </w:tabs>
        <w:spacing w:line="360" w:lineRule="auto"/>
        <w:ind w:right="440" w:firstLine="3154" w:firstLineChars="1502"/>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66EF51B0">
      <w:pPr>
        <w:spacing w:line="360" w:lineRule="auto"/>
        <w:ind w:firstLine="3154" w:firstLineChars="1502"/>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061DC234">
      <w:pPr>
        <w:spacing w:line="360" w:lineRule="auto"/>
        <w:ind w:right="860" w:firstLine="3154" w:firstLineChars="1502"/>
        <w:jc w:val="right"/>
        <w:rPr>
          <w:rFonts w:ascii="宋体"/>
          <w:color w:val="auto"/>
          <w:szCs w:val="21"/>
          <w:highlight w:val="none"/>
        </w:rPr>
      </w:pPr>
      <w:r>
        <w:rPr>
          <w:rFonts w:hint="eastAsia" w:ascii="宋体" w:hAnsi="宋体"/>
          <w:color w:val="auto"/>
          <w:szCs w:val="21"/>
          <w:highlight w:val="none"/>
        </w:rPr>
        <w:t>年    月    日</w:t>
      </w:r>
    </w:p>
    <w:p w14:paraId="3EB002A2">
      <w:pPr>
        <w:pStyle w:val="12"/>
        <w:ind w:left="0" w:leftChars="0" w:firstLine="420" w:firstLineChars="200"/>
        <w:jc w:val="left"/>
        <w:rPr>
          <w:rFonts w:hint="eastAsia" w:ascii="宋体" w:hAnsi="宋体" w:cs="宋体"/>
          <w:color w:val="auto"/>
          <w:szCs w:val="21"/>
          <w:highlight w:val="none"/>
        </w:rPr>
      </w:pPr>
    </w:p>
    <w:p w14:paraId="0161CE1B">
      <w:pPr>
        <w:pStyle w:val="11"/>
        <w:widowControl/>
        <w:jc w:val="center"/>
        <w:outlineLvl w:val="1"/>
        <w:rPr>
          <w:rFonts w:hint="eastAsia" w:ascii="宋体" w:hAnsi="宋体" w:cs="宋体"/>
          <w:b/>
          <w:bCs/>
          <w:color w:val="auto"/>
          <w:sz w:val="28"/>
          <w:szCs w:val="28"/>
          <w:highlight w:val="none"/>
        </w:rPr>
      </w:pPr>
      <w:r>
        <w:rPr>
          <w:rFonts w:hint="eastAsia" w:ascii="宋体" w:hAnsi="宋体" w:cs="宋体"/>
          <w:color w:val="auto"/>
          <w:highlight w:val="none"/>
        </w:rPr>
        <w:br w:type="page"/>
      </w:r>
      <w:bookmarkStart w:id="369" w:name="_Toc26261"/>
      <w:bookmarkStart w:id="370" w:name="_Toc457735666"/>
      <w:bookmarkStart w:id="371" w:name="_Toc31171"/>
      <w:bookmarkStart w:id="372" w:name="_Toc457761162"/>
      <w:bookmarkStart w:id="373" w:name="_Toc457735304"/>
      <w:bookmarkStart w:id="374" w:name="_Toc445450475"/>
      <w:r>
        <w:rPr>
          <w:rFonts w:hint="eastAsia" w:ascii="宋体" w:hAnsi="宋体" w:cs="宋体"/>
          <w:b/>
          <w:bCs/>
          <w:color w:val="auto"/>
          <w:sz w:val="28"/>
          <w:szCs w:val="28"/>
          <w:highlight w:val="none"/>
        </w:rPr>
        <w:t>二、投标函附录</w:t>
      </w:r>
      <w:bookmarkEnd w:id="369"/>
      <w:bookmarkEnd w:id="370"/>
      <w:bookmarkEnd w:id="371"/>
      <w:bookmarkEnd w:id="372"/>
      <w:bookmarkEnd w:id="373"/>
      <w:bookmarkEnd w:id="374"/>
    </w:p>
    <w:tbl>
      <w:tblPr>
        <w:tblStyle w:val="27"/>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5"/>
        <w:gridCol w:w="1281"/>
        <w:gridCol w:w="4624"/>
      </w:tblGrid>
      <w:tr w14:paraId="31BF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202C9FB4">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6AF77137">
            <w:pPr>
              <w:jc w:val="center"/>
              <w:rPr>
                <w:rFonts w:hint="eastAsia" w:ascii="宋体" w:hAnsi="宋体" w:cs="宋体"/>
                <w:color w:val="auto"/>
                <w:szCs w:val="21"/>
                <w:highlight w:val="none"/>
              </w:rPr>
            </w:pPr>
          </w:p>
        </w:tc>
      </w:tr>
      <w:tr w14:paraId="25CD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0F00F666">
            <w:pPr>
              <w:jc w:val="center"/>
              <w:rPr>
                <w:rFonts w:hint="eastAsia" w:ascii="宋体" w:hAnsi="宋体" w:cs="宋体"/>
                <w:color w:val="auto"/>
                <w:szCs w:val="21"/>
                <w:highlight w:val="none"/>
              </w:rPr>
            </w:pPr>
            <w:r>
              <w:rPr>
                <w:rFonts w:hint="eastAsia" w:ascii="宋体" w:hAnsi="宋体" w:cs="宋体"/>
                <w:color w:val="auto"/>
                <w:szCs w:val="21"/>
                <w:highlight w:val="none"/>
              </w:rPr>
              <w:t>采购范围</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32F96CBD">
            <w:pPr>
              <w:jc w:val="center"/>
              <w:rPr>
                <w:rFonts w:hint="eastAsia" w:ascii="宋体" w:hAnsi="宋体" w:cs="宋体"/>
                <w:color w:val="auto"/>
                <w:szCs w:val="21"/>
                <w:highlight w:val="none"/>
              </w:rPr>
            </w:pPr>
          </w:p>
        </w:tc>
      </w:tr>
      <w:tr w14:paraId="4735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195" w:type="dxa"/>
            <w:vMerge w:val="restart"/>
            <w:tcBorders>
              <w:top w:val="single" w:color="auto" w:sz="4" w:space="0"/>
              <w:left w:val="single" w:color="auto" w:sz="4" w:space="0"/>
              <w:right w:val="single" w:color="auto" w:sz="4" w:space="0"/>
            </w:tcBorders>
            <w:vAlign w:val="center"/>
          </w:tcPr>
          <w:p w14:paraId="53C18D16">
            <w:pPr>
              <w:jc w:val="center"/>
              <w:rPr>
                <w:rFonts w:hint="eastAsia" w:ascii="宋体" w:hAnsi="宋体" w:cs="宋体"/>
                <w:color w:val="auto"/>
                <w:szCs w:val="21"/>
                <w:highlight w:val="none"/>
              </w:rPr>
            </w:pPr>
            <w:r>
              <w:rPr>
                <w:rFonts w:hint="eastAsia" w:ascii="宋体" w:hAnsi="宋体" w:cs="宋体"/>
                <w:color w:val="auto"/>
                <w:kern w:val="0"/>
                <w:szCs w:val="21"/>
                <w:highlight w:val="none"/>
              </w:rPr>
              <w:t>投标报价</w:t>
            </w:r>
          </w:p>
        </w:tc>
        <w:tc>
          <w:tcPr>
            <w:tcW w:w="1281" w:type="dxa"/>
            <w:tcBorders>
              <w:top w:val="single" w:color="auto" w:sz="4" w:space="0"/>
              <w:left w:val="single" w:color="auto" w:sz="4" w:space="0"/>
              <w:bottom w:val="single" w:color="auto" w:sz="4" w:space="0"/>
              <w:right w:val="single" w:color="auto" w:sz="4" w:space="0"/>
            </w:tcBorders>
            <w:vAlign w:val="center"/>
          </w:tcPr>
          <w:p w14:paraId="434E6187">
            <w:pPr>
              <w:rPr>
                <w:rFonts w:hint="eastAsia" w:ascii="宋体" w:hAnsi="宋体" w:cs="宋体"/>
                <w:color w:val="auto"/>
                <w:szCs w:val="21"/>
                <w:highlight w:val="none"/>
              </w:rPr>
            </w:pPr>
            <w:r>
              <w:rPr>
                <w:rFonts w:hint="eastAsia" w:ascii="宋体" w:hAnsi="宋体" w:cs="宋体"/>
                <w:color w:val="auto"/>
                <w:kern w:val="0"/>
                <w:szCs w:val="21"/>
                <w:highlight w:val="none"/>
              </w:rPr>
              <w:t xml:space="preserve">           </w:t>
            </w:r>
          </w:p>
          <w:p w14:paraId="31005E65">
            <w:pPr>
              <w:jc w:val="center"/>
              <w:rPr>
                <w:rFonts w:hint="eastAsia" w:ascii="宋体" w:hAnsi="宋体" w:cs="宋体"/>
                <w:color w:val="auto"/>
                <w:szCs w:val="21"/>
                <w:highlight w:val="none"/>
              </w:rPr>
            </w:pPr>
            <w:r>
              <w:rPr>
                <w:rFonts w:hint="eastAsia" w:ascii="宋体" w:hAnsi="宋体" w:cs="宋体"/>
                <w:color w:val="auto"/>
                <w:kern w:val="0"/>
                <w:szCs w:val="21"/>
                <w:highlight w:val="none"/>
              </w:rPr>
              <w:t>（大写）</w:t>
            </w:r>
          </w:p>
          <w:p w14:paraId="7632272C">
            <w:pPr>
              <w:jc w:val="center"/>
              <w:rPr>
                <w:rFonts w:hint="eastAsia" w:ascii="宋体" w:hAnsi="宋体" w:cs="宋体"/>
                <w:color w:val="auto"/>
                <w:szCs w:val="21"/>
                <w:highlight w:val="none"/>
              </w:rPr>
            </w:pPr>
          </w:p>
        </w:tc>
        <w:tc>
          <w:tcPr>
            <w:tcW w:w="4624" w:type="dxa"/>
            <w:tcBorders>
              <w:top w:val="single" w:color="auto" w:sz="4" w:space="0"/>
              <w:left w:val="single" w:color="auto" w:sz="4" w:space="0"/>
              <w:bottom w:val="single" w:color="auto" w:sz="4" w:space="0"/>
              <w:right w:val="single" w:color="auto" w:sz="4" w:space="0"/>
            </w:tcBorders>
            <w:vAlign w:val="center"/>
          </w:tcPr>
          <w:p w14:paraId="7D15C50E">
            <w:pPr>
              <w:jc w:val="center"/>
              <w:rPr>
                <w:rFonts w:hint="eastAsia" w:ascii="宋体" w:hAnsi="宋体" w:cs="宋体"/>
                <w:color w:val="auto"/>
                <w:szCs w:val="21"/>
                <w:highlight w:val="none"/>
              </w:rPr>
            </w:pPr>
            <w:r>
              <w:rPr>
                <w:rFonts w:hint="eastAsia" w:ascii="宋体" w:hAnsi="宋体" w:cs="宋体"/>
                <w:color w:val="auto"/>
                <w:kern w:val="0"/>
                <w:szCs w:val="21"/>
                <w:highlight w:val="none"/>
              </w:rPr>
              <w:t xml:space="preserve">                 </w:t>
            </w:r>
          </w:p>
        </w:tc>
      </w:tr>
      <w:tr w14:paraId="15C7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195" w:type="dxa"/>
            <w:vMerge w:val="continue"/>
            <w:tcBorders>
              <w:left w:val="single" w:color="auto" w:sz="4" w:space="0"/>
              <w:bottom w:val="single" w:color="auto" w:sz="4" w:space="0"/>
              <w:right w:val="single" w:color="auto" w:sz="4" w:space="0"/>
            </w:tcBorders>
            <w:vAlign w:val="center"/>
          </w:tcPr>
          <w:p w14:paraId="72B594E6">
            <w:pPr>
              <w:jc w:val="center"/>
              <w:rPr>
                <w:rFonts w:hint="eastAsia" w:ascii="宋体" w:hAnsi="宋体" w:cs="宋体"/>
                <w:color w:val="auto"/>
                <w:kern w:val="0"/>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3B1E407A">
            <w:pPr>
              <w:jc w:val="center"/>
              <w:rPr>
                <w:rFonts w:hint="eastAsia" w:ascii="宋体" w:hAnsi="宋体" w:cs="宋体"/>
                <w:color w:val="auto"/>
                <w:szCs w:val="21"/>
                <w:highlight w:val="none"/>
              </w:rPr>
            </w:pPr>
            <w:r>
              <w:rPr>
                <w:rFonts w:hint="eastAsia" w:ascii="宋体" w:hAnsi="宋体" w:cs="宋体"/>
                <w:color w:val="auto"/>
                <w:kern w:val="0"/>
                <w:szCs w:val="21"/>
                <w:highlight w:val="none"/>
              </w:rPr>
              <w:t>（小写）</w:t>
            </w:r>
          </w:p>
        </w:tc>
        <w:tc>
          <w:tcPr>
            <w:tcW w:w="4624" w:type="dxa"/>
            <w:tcBorders>
              <w:top w:val="single" w:color="auto" w:sz="4" w:space="0"/>
              <w:left w:val="single" w:color="auto" w:sz="4" w:space="0"/>
              <w:bottom w:val="single" w:color="auto" w:sz="4" w:space="0"/>
              <w:right w:val="single" w:color="auto" w:sz="4" w:space="0"/>
            </w:tcBorders>
            <w:vAlign w:val="center"/>
          </w:tcPr>
          <w:p w14:paraId="129C6B27">
            <w:pPr>
              <w:jc w:val="center"/>
              <w:rPr>
                <w:rFonts w:hint="eastAsia" w:ascii="宋体" w:hAnsi="宋体" w:cs="宋体"/>
                <w:color w:val="auto"/>
                <w:kern w:val="0"/>
                <w:szCs w:val="21"/>
                <w:highlight w:val="none"/>
              </w:rPr>
            </w:pPr>
          </w:p>
        </w:tc>
      </w:tr>
      <w:tr w14:paraId="0A83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21AE86F2">
            <w:pPr>
              <w:pStyle w:val="8"/>
              <w:widowControl/>
              <w:ind w:firstLine="0" w:firstLineChars="0"/>
              <w:jc w:val="center"/>
              <w:rPr>
                <w:rFonts w:hint="eastAsia" w:ascii="宋体" w:hAnsi="宋体" w:cs="宋体"/>
                <w:color w:val="auto"/>
                <w:szCs w:val="21"/>
                <w:highlight w:val="none"/>
              </w:rPr>
            </w:pPr>
            <w:r>
              <w:rPr>
                <w:rFonts w:hint="eastAsia" w:ascii="宋体" w:hAnsi="宋体" w:cs="Arial"/>
                <w:color w:val="auto"/>
                <w:kern w:val="0"/>
                <w:szCs w:val="21"/>
                <w:highlight w:val="none"/>
              </w:rPr>
              <w:t>服务期限</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3F7BC6BC">
            <w:pPr>
              <w:jc w:val="left"/>
              <w:rPr>
                <w:rFonts w:hint="eastAsia" w:ascii="宋体" w:hAnsi="宋体" w:cs="宋体"/>
                <w:color w:val="auto"/>
                <w:szCs w:val="21"/>
                <w:highlight w:val="none"/>
              </w:rPr>
            </w:pPr>
          </w:p>
        </w:tc>
      </w:tr>
      <w:tr w14:paraId="77E7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01064DBD">
            <w:pPr>
              <w:pStyle w:val="8"/>
              <w:widowControl/>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质量要求</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69E100C8">
            <w:pPr>
              <w:jc w:val="left"/>
              <w:rPr>
                <w:rFonts w:hint="eastAsia" w:ascii="宋体" w:hAnsi="宋体" w:cs="宋体"/>
                <w:color w:val="auto"/>
                <w:szCs w:val="21"/>
                <w:highlight w:val="none"/>
              </w:rPr>
            </w:pPr>
          </w:p>
        </w:tc>
      </w:tr>
      <w:tr w14:paraId="4F73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1803DB6A">
            <w:pPr>
              <w:pStyle w:val="8"/>
              <w:widowControl/>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67053FF5">
            <w:pPr>
              <w:jc w:val="left"/>
              <w:rPr>
                <w:rFonts w:hint="eastAsia" w:ascii="宋体" w:hAnsi="宋体" w:cs="宋体"/>
                <w:color w:val="auto"/>
                <w:szCs w:val="21"/>
                <w:highlight w:val="none"/>
              </w:rPr>
            </w:pPr>
          </w:p>
        </w:tc>
      </w:tr>
      <w:tr w14:paraId="5D17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195" w:type="dxa"/>
            <w:tcBorders>
              <w:top w:val="single" w:color="auto" w:sz="4" w:space="0"/>
              <w:left w:val="single" w:color="auto" w:sz="4" w:space="0"/>
              <w:bottom w:val="single" w:color="auto" w:sz="4" w:space="0"/>
              <w:right w:val="single" w:color="auto" w:sz="4" w:space="0"/>
            </w:tcBorders>
            <w:vAlign w:val="center"/>
          </w:tcPr>
          <w:p w14:paraId="1C358B60">
            <w:pPr>
              <w:pStyle w:val="8"/>
              <w:widowControl/>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其他补充说明</w:t>
            </w:r>
          </w:p>
        </w:tc>
        <w:tc>
          <w:tcPr>
            <w:tcW w:w="5905" w:type="dxa"/>
            <w:gridSpan w:val="2"/>
            <w:tcBorders>
              <w:top w:val="single" w:color="auto" w:sz="4" w:space="0"/>
              <w:left w:val="single" w:color="auto" w:sz="4" w:space="0"/>
              <w:bottom w:val="single" w:color="auto" w:sz="4" w:space="0"/>
              <w:right w:val="single" w:color="auto" w:sz="4" w:space="0"/>
            </w:tcBorders>
            <w:vAlign w:val="center"/>
          </w:tcPr>
          <w:p w14:paraId="4D309D84">
            <w:pPr>
              <w:jc w:val="left"/>
              <w:rPr>
                <w:rFonts w:hint="eastAsia" w:ascii="宋体" w:hAnsi="宋体" w:cs="宋体"/>
                <w:color w:val="auto"/>
                <w:szCs w:val="21"/>
                <w:highlight w:val="none"/>
              </w:rPr>
            </w:pPr>
          </w:p>
        </w:tc>
      </w:tr>
    </w:tbl>
    <w:p w14:paraId="735E589E">
      <w:pPr>
        <w:tabs>
          <w:tab w:val="left" w:pos="3584"/>
        </w:tabs>
        <w:ind w:left="2" w:leftChars="1" w:firstLine="420" w:firstLineChars="200"/>
        <w:jc w:val="left"/>
        <w:rPr>
          <w:rFonts w:hint="eastAsia" w:ascii="宋体" w:hAnsi="宋体" w:cs="宋体"/>
          <w:color w:val="auto"/>
          <w:highlight w:val="none"/>
        </w:rPr>
      </w:pPr>
    </w:p>
    <w:p w14:paraId="057A9C77">
      <w:pPr>
        <w:pStyle w:val="11"/>
        <w:widowControl/>
        <w:rPr>
          <w:rFonts w:hint="eastAsia" w:ascii="宋体" w:hAnsi="宋体" w:cs="宋体"/>
          <w:color w:val="auto"/>
          <w:highlight w:val="none"/>
        </w:rPr>
      </w:pPr>
    </w:p>
    <w:p w14:paraId="4BD12678">
      <w:pPr>
        <w:pStyle w:val="11"/>
        <w:widowControl/>
        <w:rPr>
          <w:rFonts w:hint="eastAsia" w:ascii="宋体" w:hAnsi="宋体" w:cs="宋体"/>
          <w:color w:val="auto"/>
          <w:highlight w:val="none"/>
        </w:rPr>
      </w:pPr>
    </w:p>
    <w:p w14:paraId="31BDAE00">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54C8F8C3">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3CFC249C">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3015515C">
      <w:pPr>
        <w:rPr>
          <w:rFonts w:hint="eastAsia" w:ascii="宋体" w:hAnsi="宋体" w:cs="宋体"/>
          <w:color w:val="auto"/>
          <w:highlight w:val="none"/>
        </w:rPr>
      </w:pPr>
      <w:bookmarkStart w:id="375" w:name="_Toc19368"/>
      <w:bookmarkStart w:id="376" w:name="_Toc30335"/>
      <w:bookmarkStart w:id="377" w:name="_Toc144974860"/>
      <w:bookmarkStart w:id="378" w:name="_Toc152045791"/>
      <w:bookmarkStart w:id="379" w:name="_Toc152042580"/>
      <w:bookmarkStart w:id="380" w:name="_Toc499815666"/>
      <w:bookmarkStart w:id="381" w:name="_Toc179632811"/>
      <w:r>
        <w:rPr>
          <w:rFonts w:hint="eastAsia" w:ascii="宋体" w:hAnsi="宋体" w:cs="宋体"/>
          <w:color w:val="auto"/>
          <w:highlight w:val="none"/>
        </w:rPr>
        <w:br w:type="page"/>
      </w:r>
    </w:p>
    <w:p w14:paraId="3CDF0459">
      <w:pPr>
        <w:pStyle w:val="47"/>
        <w:widowControl/>
        <w:spacing w:line="240" w:lineRule="auto"/>
        <w:jc w:val="center"/>
        <w:rPr>
          <w:rFonts w:hint="eastAsia" w:ascii="宋体" w:hAnsi="宋体" w:eastAsia="宋体" w:cs="宋体"/>
          <w:color w:val="auto"/>
          <w:szCs w:val="28"/>
          <w:highlight w:val="none"/>
        </w:rPr>
      </w:pPr>
      <w:r>
        <w:rPr>
          <w:rFonts w:hint="eastAsia" w:ascii="宋体" w:hAnsi="宋体" w:eastAsia="宋体" w:cs="宋体"/>
          <w:color w:val="auto"/>
          <w:highlight w:val="none"/>
        </w:rPr>
        <w:t>三、</w:t>
      </w:r>
      <w:r>
        <w:rPr>
          <w:rFonts w:hint="eastAsia" w:ascii="宋体" w:hAnsi="宋体" w:eastAsia="宋体" w:cs="宋体"/>
          <w:color w:val="auto"/>
          <w:szCs w:val="28"/>
          <w:highlight w:val="none"/>
        </w:rPr>
        <w:t>法定代表人身份证明</w:t>
      </w:r>
      <w:bookmarkEnd w:id="375"/>
      <w:bookmarkEnd w:id="376"/>
    </w:p>
    <w:bookmarkEnd w:id="377"/>
    <w:bookmarkEnd w:id="378"/>
    <w:bookmarkEnd w:id="379"/>
    <w:bookmarkEnd w:id="380"/>
    <w:bookmarkEnd w:id="381"/>
    <w:p w14:paraId="52B6A093">
      <w:pPr>
        <w:tabs>
          <w:tab w:val="left" w:pos="5460"/>
        </w:tabs>
        <w:spacing w:line="360" w:lineRule="auto"/>
        <w:jc w:val="left"/>
        <w:rPr>
          <w:rFonts w:hint="eastAsia" w:ascii="宋体" w:hAnsi="宋体" w:cs="宋体"/>
          <w:color w:val="auto"/>
          <w:szCs w:val="21"/>
          <w:highlight w:val="none"/>
        </w:rPr>
      </w:pPr>
      <w:r>
        <w:rPr>
          <w:rFonts w:ascii="宋体" w:hAnsi="宋体" w:cs="宋体"/>
          <w:color w:val="auto"/>
          <w:szCs w:val="21"/>
          <w:highlight w:val="none"/>
        </w:rPr>
        <w:tab/>
      </w:r>
    </w:p>
    <w:p w14:paraId="433B03DD">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4A1014AB">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单位性质：</w:t>
      </w:r>
      <w:r>
        <w:rPr>
          <w:rFonts w:hint="eastAsia" w:ascii="宋体" w:hAnsi="宋体" w:cs="宋体"/>
          <w:color w:val="auto"/>
          <w:kern w:val="0"/>
          <w:szCs w:val="21"/>
          <w:highlight w:val="none"/>
          <w:u w:val="single"/>
        </w:rPr>
        <w:t xml:space="preserve">                               </w:t>
      </w:r>
    </w:p>
    <w:p w14:paraId="65F5C6BA">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地址：</w:t>
      </w:r>
      <w:r>
        <w:rPr>
          <w:rFonts w:hint="eastAsia" w:ascii="宋体" w:hAnsi="宋体" w:cs="宋体"/>
          <w:color w:val="auto"/>
          <w:kern w:val="0"/>
          <w:szCs w:val="21"/>
          <w:highlight w:val="none"/>
          <w:u w:val="single"/>
        </w:rPr>
        <w:t xml:space="preserve">                                   </w:t>
      </w:r>
    </w:p>
    <w:p w14:paraId="20D5A8E9">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成立时间：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日</w:t>
      </w:r>
    </w:p>
    <w:p w14:paraId="3FBDB63B">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经营期限：</w:t>
      </w:r>
      <w:r>
        <w:rPr>
          <w:rFonts w:hint="eastAsia" w:ascii="宋体" w:hAnsi="宋体" w:cs="宋体"/>
          <w:color w:val="auto"/>
          <w:kern w:val="0"/>
          <w:szCs w:val="21"/>
          <w:highlight w:val="none"/>
          <w:u w:val="single"/>
        </w:rPr>
        <w:t xml:space="preserve">                               </w:t>
      </w:r>
    </w:p>
    <w:p w14:paraId="6C04C920">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姓名：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性别：</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职务：</w:t>
      </w:r>
      <w:r>
        <w:rPr>
          <w:rFonts w:hint="eastAsia" w:ascii="宋体" w:hAnsi="宋体" w:cs="宋体"/>
          <w:color w:val="auto"/>
          <w:kern w:val="0"/>
          <w:szCs w:val="21"/>
          <w:highlight w:val="none"/>
          <w:u w:val="single"/>
        </w:rPr>
        <w:t xml:space="preserve">        </w:t>
      </w:r>
    </w:p>
    <w:p w14:paraId="0EA4CCB6">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（投标人名称）的法定代表人。</w:t>
      </w:r>
    </w:p>
    <w:p w14:paraId="634E0DC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特此证明。</w:t>
      </w:r>
    </w:p>
    <w:p w14:paraId="44744757">
      <w:pPr>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附法定代表人身份证扫描件</w:t>
      </w:r>
    </w:p>
    <w:p w14:paraId="3BE1B497">
      <w:pPr>
        <w:spacing w:line="360" w:lineRule="auto"/>
        <w:jc w:val="left"/>
        <w:rPr>
          <w:rFonts w:hint="eastAsia" w:ascii="宋体" w:hAnsi="宋体" w:cs="宋体"/>
          <w:color w:val="auto"/>
          <w:szCs w:val="21"/>
          <w:highlight w:val="none"/>
        </w:rPr>
      </w:pPr>
    </w:p>
    <w:p w14:paraId="5CD9D27B">
      <w:pPr>
        <w:spacing w:line="360" w:lineRule="auto"/>
        <w:ind w:firstLine="4620" w:firstLineChars="2200"/>
        <w:jc w:val="left"/>
        <w:rPr>
          <w:rFonts w:hint="eastAsia" w:ascii="宋体" w:hAnsi="宋体" w:cs="宋体"/>
          <w:color w:val="auto"/>
          <w:szCs w:val="21"/>
          <w:highlight w:val="none"/>
        </w:rPr>
      </w:pPr>
    </w:p>
    <w:p w14:paraId="2B6C996B">
      <w:pPr>
        <w:spacing w:line="360" w:lineRule="auto"/>
        <w:ind w:firstLine="4620" w:firstLineChars="2200"/>
        <w:jc w:val="left"/>
        <w:rPr>
          <w:rFonts w:hint="eastAsia" w:ascii="宋体" w:hAnsi="宋体" w:cs="宋体"/>
          <w:color w:val="auto"/>
          <w:szCs w:val="21"/>
          <w:highlight w:val="none"/>
        </w:rPr>
      </w:pPr>
    </w:p>
    <w:p w14:paraId="00466475">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27889407">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3DA39AE0">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48794C6E">
      <w:pPr>
        <w:tabs>
          <w:tab w:val="left" w:pos="310"/>
        </w:tabs>
        <w:spacing w:line="360" w:lineRule="auto"/>
        <w:ind w:firstLine="4200" w:firstLineChars="2000"/>
        <w:jc w:val="left"/>
        <w:rPr>
          <w:rFonts w:hint="eastAsia" w:ascii="宋体" w:hAnsi="宋体" w:cs="宋体"/>
          <w:color w:val="auto"/>
          <w:szCs w:val="21"/>
          <w:highlight w:val="none"/>
        </w:rPr>
      </w:pPr>
    </w:p>
    <w:p w14:paraId="7075F59E">
      <w:pPr>
        <w:topLinePunct/>
        <w:ind w:firstLine="440" w:firstLineChars="200"/>
        <w:jc w:val="left"/>
        <w:rPr>
          <w:rFonts w:hint="eastAsia" w:ascii="宋体" w:hAnsi="宋体" w:cs="宋体"/>
          <w:color w:val="auto"/>
          <w:szCs w:val="21"/>
          <w:highlight w:val="none"/>
        </w:rPr>
      </w:pPr>
      <w:r>
        <w:rPr>
          <w:rFonts w:hint="eastAsia" w:ascii="宋体" w:hAnsi="宋体" w:cs="宋体"/>
          <w:color w:val="auto"/>
          <w:kern w:val="0"/>
          <w:sz w:val="22"/>
          <w:szCs w:val="21"/>
          <w:highlight w:val="none"/>
        </w:rPr>
        <w:t xml:space="preserve">  </w:t>
      </w:r>
    </w:p>
    <w:p w14:paraId="785CB08C">
      <w:pPr>
        <w:topLinePunct/>
        <w:ind w:firstLine="440" w:firstLineChars="200"/>
        <w:jc w:val="left"/>
        <w:rPr>
          <w:rFonts w:hint="eastAsia" w:ascii="宋体" w:hAnsi="宋体" w:cs="宋体"/>
          <w:color w:val="auto"/>
          <w:szCs w:val="21"/>
          <w:highlight w:val="none"/>
        </w:rPr>
      </w:pPr>
      <w:r>
        <w:rPr>
          <w:rFonts w:hint="eastAsia" w:ascii="宋体" w:hAnsi="宋体" w:cs="宋体"/>
          <w:color w:val="auto"/>
          <w:kern w:val="0"/>
          <w:sz w:val="22"/>
          <w:szCs w:val="21"/>
          <w:highlight w:val="none"/>
        </w:rPr>
        <w:t xml:space="preserve">                   </w:t>
      </w:r>
    </w:p>
    <w:p w14:paraId="16EDD855">
      <w:pPr>
        <w:pStyle w:val="5"/>
        <w:widowControl/>
        <w:spacing w:line="240" w:lineRule="auto"/>
        <w:jc w:val="center"/>
        <w:rPr>
          <w:rFonts w:hint="eastAsia" w:ascii="宋体" w:hAnsi="宋体" w:eastAsia="宋体" w:cs="宋体"/>
          <w:color w:val="auto"/>
          <w:sz w:val="28"/>
          <w:szCs w:val="28"/>
          <w:highlight w:val="none"/>
        </w:rPr>
      </w:pPr>
      <w:bookmarkStart w:id="382" w:name="_Toc457735305"/>
      <w:bookmarkStart w:id="383" w:name="_Toc445450478"/>
      <w:bookmarkStart w:id="384" w:name="_Toc457761163"/>
      <w:bookmarkStart w:id="385" w:name="_Toc457735667"/>
    </w:p>
    <w:p w14:paraId="3D90F6E4">
      <w:pPr>
        <w:pStyle w:val="5"/>
        <w:widowControl/>
        <w:spacing w:line="240" w:lineRule="auto"/>
        <w:jc w:val="center"/>
        <w:rPr>
          <w:rFonts w:hint="eastAsia" w:ascii="宋体" w:hAnsi="宋体" w:eastAsia="宋体" w:cs="宋体"/>
          <w:color w:val="auto"/>
          <w:sz w:val="28"/>
          <w:szCs w:val="28"/>
          <w:highlight w:val="none"/>
        </w:rPr>
      </w:pPr>
    </w:p>
    <w:p w14:paraId="7D5C63A3">
      <w:pPr>
        <w:pStyle w:val="5"/>
        <w:widowControl/>
        <w:spacing w:line="240" w:lineRule="auto"/>
        <w:jc w:val="center"/>
        <w:rPr>
          <w:rFonts w:hint="eastAsia" w:ascii="宋体" w:hAnsi="宋体" w:eastAsia="宋体" w:cs="宋体"/>
          <w:color w:val="auto"/>
          <w:sz w:val="28"/>
          <w:szCs w:val="28"/>
          <w:highlight w:val="none"/>
        </w:rPr>
      </w:pPr>
    </w:p>
    <w:p w14:paraId="5C676A1C">
      <w:pPr>
        <w:pStyle w:val="5"/>
        <w:widowControl/>
        <w:spacing w:line="240" w:lineRule="auto"/>
        <w:jc w:val="center"/>
        <w:rPr>
          <w:rFonts w:hint="eastAsia" w:ascii="宋体" w:hAnsi="宋体" w:eastAsia="宋体" w:cs="宋体"/>
          <w:color w:val="auto"/>
          <w:sz w:val="28"/>
          <w:szCs w:val="28"/>
          <w:highlight w:val="none"/>
        </w:rPr>
      </w:pPr>
    </w:p>
    <w:p w14:paraId="065EA4CB">
      <w:pPr>
        <w:pStyle w:val="5"/>
        <w:widowControl/>
        <w:spacing w:line="24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bookmarkStart w:id="386" w:name="_Toc20756"/>
      <w:bookmarkStart w:id="387" w:name="_Toc5998"/>
      <w:r>
        <w:rPr>
          <w:rFonts w:hint="eastAsia" w:ascii="宋体" w:hAnsi="宋体" w:eastAsia="宋体" w:cs="宋体"/>
          <w:color w:val="auto"/>
          <w:kern w:val="0"/>
          <w:sz w:val="28"/>
          <w:szCs w:val="28"/>
          <w:highlight w:val="none"/>
        </w:rPr>
        <w:t>四、法定代表人授权书</w:t>
      </w:r>
      <w:bookmarkEnd w:id="382"/>
      <w:bookmarkEnd w:id="383"/>
      <w:bookmarkEnd w:id="384"/>
      <w:bookmarkEnd w:id="385"/>
      <w:bookmarkEnd w:id="386"/>
      <w:bookmarkEnd w:id="387"/>
    </w:p>
    <w:p w14:paraId="77E4B372">
      <w:pPr>
        <w:topLinePunct/>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（投标人名称）的法定代表人，现委托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（姓名）为我方授权代表。授权代表根据授权，以我方名义签署、澄清、说明、补正、递交、撤回、修改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（项目名称）投标文件、签订合同和处理有关事宜，其法律后果由我方承担。</w:t>
      </w:r>
    </w:p>
    <w:p w14:paraId="1BC502FE">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 xml:space="preserve">    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7010975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授权代表无转委托权。</w:t>
      </w:r>
    </w:p>
    <w:p w14:paraId="478C143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附：法定代表人身份证及</w:t>
      </w:r>
      <w:r>
        <w:rPr>
          <w:rFonts w:hint="eastAsia" w:ascii="宋体" w:hAnsi="宋体" w:cs="宋体"/>
          <w:color w:val="auto"/>
          <w:spacing w:val="-1"/>
          <w:kern w:val="0"/>
          <w:szCs w:val="21"/>
          <w:highlight w:val="none"/>
        </w:rPr>
        <w:t>投标人授权代表</w:t>
      </w:r>
      <w:r>
        <w:rPr>
          <w:rFonts w:hint="eastAsia" w:ascii="宋体" w:hAnsi="宋体" w:cs="宋体"/>
          <w:color w:val="auto"/>
          <w:kern w:val="0"/>
          <w:szCs w:val="21"/>
          <w:highlight w:val="none"/>
        </w:rPr>
        <w:t>身份证扫描件</w:t>
      </w:r>
    </w:p>
    <w:p w14:paraId="63EF7F3B">
      <w:pPr>
        <w:spacing w:line="360" w:lineRule="auto"/>
        <w:ind w:firstLine="420" w:firstLineChars="200"/>
        <w:jc w:val="left"/>
        <w:rPr>
          <w:rFonts w:hint="eastAsia" w:ascii="宋体" w:hAnsi="宋体" w:cs="宋体"/>
          <w:color w:val="auto"/>
          <w:szCs w:val="21"/>
          <w:highlight w:val="none"/>
        </w:rPr>
      </w:pPr>
    </w:p>
    <w:p w14:paraId="75F0D5B1">
      <w:pPr>
        <w:spacing w:line="360" w:lineRule="auto"/>
        <w:ind w:firstLine="420" w:firstLineChars="200"/>
        <w:jc w:val="left"/>
        <w:rPr>
          <w:rFonts w:hint="eastAsia" w:ascii="宋体" w:hAnsi="宋体" w:cs="宋体"/>
          <w:color w:val="auto"/>
          <w:szCs w:val="21"/>
          <w:highlight w:val="none"/>
        </w:rPr>
      </w:pPr>
    </w:p>
    <w:p w14:paraId="3342F0A5">
      <w:pPr>
        <w:spacing w:line="360" w:lineRule="auto"/>
        <w:jc w:val="left"/>
        <w:rPr>
          <w:rFonts w:hint="eastAsia" w:ascii="宋体" w:hAnsi="宋体" w:cs="宋体"/>
          <w:color w:val="auto"/>
          <w:szCs w:val="21"/>
          <w:highlight w:val="none"/>
        </w:rPr>
      </w:pPr>
    </w:p>
    <w:p w14:paraId="2A16C1D5">
      <w:pPr>
        <w:spacing w:line="360" w:lineRule="auto"/>
        <w:jc w:val="left"/>
        <w:rPr>
          <w:rFonts w:hint="eastAsia" w:ascii="宋体" w:hAnsi="宋体" w:cs="宋体"/>
          <w:color w:val="auto"/>
          <w:szCs w:val="21"/>
          <w:highlight w:val="none"/>
        </w:rPr>
      </w:pPr>
    </w:p>
    <w:p w14:paraId="4616E4B1">
      <w:pPr>
        <w:spacing w:line="360" w:lineRule="auto"/>
        <w:jc w:val="left"/>
        <w:rPr>
          <w:rFonts w:hint="eastAsia" w:ascii="宋体" w:hAnsi="宋体" w:cs="宋体"/>
          <w:color w:val="auto"/>
          <w:szCs w:val="21"/>
          <w:highlight w:val="none"/>
        </w:rPr>
      </w:pPr>
    </w:p>
    <w:p w14:paraId="77502BBF">
      <w:pPr>
        <w:spacing w:line="360" w:lineRule="auto"/>
        <w:jc w:val="left"/>
        <w:rPr>
          <w:rFonts w:hint="eastAsia" w:ascii="宋体" w:hAnsi="宋体" w:cs="宋体"/>
          <w:color w:val="auto"/>
          <w:szCs w:val="21"/>
          <w:highlight w:val="none"/>
        </w:rPr>
      </w:pPr>
    </w:p>
    <w:p w14:paraId="59AB293C">
      <w:pPr>
        <w:spacing w:line="360" w:lineRule="auto"/>
        <w:jc w:val="left"/>
        <w:rPr>
          <w:rFonts w:hint="eastAsia" w:ascii="宋体" w:hAnsi="宋体" w:cs="宋体"/>
          <w:color w:val="auto"/>
          <w:szCs w:val="21"/>
          <w:highlight w:val="none"/>
        </w:rPr>
      </w:pPr>
    </w:p>
    <w:p w14:paraId="1659BD8A">
      <w:pPr>
        <w:spacing w:line="360" w:lineRule="auto"/>
        <w:jc w:val="left"/>
        <w:rPr>
          <w:rFonts w:hint="eastAsia" w:ascii="宋体" w:hAnsi="宋体" w:cs="宋体"/>
          <w:color w:val="auto"/>
          <w:szCs w:val="21"/>
          <w:highlight w:val="none"/>
        </w:rPr>
      </w:pPr>
    </w:p>
    <w:p w14:paraId="0BC90957">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3A77F68B">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273A0538">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77E6FD32">
      <w:pPr>
        <w:spacing w:line="360" w:lineRule="auto"/>
        <w:ind w:firstLine="5040" w:firstLineChars="2400"/>
        <w:jc w:val="left"/>
        <w:rPr>
          <w:rFonts w:hint="eastAsia" w:ascii="宋体" w:hAnsi="宋体" w:cs="宋体"/>
          <w:color w:val="auto"/>
          <w:szCs w:val="21"/>
          <w:highlight w:val="none"/>
        </w:rPr>
      </w:pPr>
    </w:p>
    <w:p w14:paraId="738C6EC8">
      <w:pPr>
        <w:spacing w:line="360" w:lineRule="auto"/>
        <w:jc w:val="center"/>
        <w:outlineLvl w:val="1"/>
        <w:rPr>
          <w:rFonts w:hint="eastAsia" w:ascii="宋体" w:hAnsi="宋体" w:cs="宋体"/>
          <w:color w:val="auto"/>
          <w:szCs w:val="21"/>
          <w:highlight w:val="none"/>
        </w:rPr>
      </w:pPr>
      <w:r>
        <w:rPr>
          <w:rFonts w:hint="eastAsia" w:ascii="宋体" w:hAnsi="宋体" w:cs="宋体"/>
          <w:color w:val="auto"/>
          <w:sz w:val="20"/>
          <w:szCs w:val="20"/>
          <w:highlight w:val="none"/>
        </w:rPr>
        <w:br w:type="page"/>
      </w:r>
      <w:bookmarkStart w:id="388" w:name="_Toc445450481"/>
      <w:bookmarkStart w:id="389" w:name="_Toc15240"/>
      <w:bookmarkStart w:id="390" w:name="_Toc457735307"/>
      <w:bookmarkStart w:id="391" w:name="_Toc457735669"/>
      <w:bookmarkStart w:id="392" w:name="_Toc300"/>
      <w:bookmarkStart w:id="393" w:name="_Toc457761165"/>
      <w:r>
        <w:rPr>
          <w:rFonts w:hint="eastAsia" w:ascii="宋体" w:hAnsi="宋体" w:cs="宋体"/>
          <w:b/>
          <w:bCs/>
          <w:color w:val="auto"/>
          <w:kern w:val="0"/>
          <w:sz w:val="28"/>
          <w:szCs w:val="28"/>
          <w:highlight w:val="none"/>
        </w:rPr>
        <w:t>五、投标人资格证明文件</w:t>
      </w:r>
      <w:bookmarkEnd w:id="388"/>
      <w:bookmarkEnd w:id="389"/>
      <w:bookmarkEnd w:id="390"/>
      <w:bookmarkEnd w:id="391"/>
      <w:bookmarkEnd w:id="392"/>
      <w:bookmarkEnd w:id="393"/>
    </w:p>
    <w:p w14:paraId="6D82E62A">
      <w:pPr>
        <w:pStyle w:val="11"/>
        <w:widowControl/>
        <w:spacing w:line="360" w:lineRule="auto"/>
        <w:jc w:val="center"/>
        <w:rPr>
          <w:rFonts w:hint="eastAsia" w:ascii="宋体" w:hAnsi="宋体" w:cs="宋体"/>
          <w:color w:val="auto"/>
          <w:szCs w:val="21"/>
          <w:highlight w:val="none"/>
        </w:rPr>
      </w:pPr>
      <w:r>
        <w:rPr>
          <w:rFonts w:hint="eastAsia"/>
          <w:b/>
          <w:bCs/>
          <w:color w:val="auto"/>
          <w:highlight w:val="none"/>
        </w:rPr>
        <w:t>投标人资格条件要求的资料</w:t>
      </w:r>
    </w:p>
    <w:p w14:paraId="51C4CEAB">
      <w:pPr>
        <w:rPr>
          <w:rFonts w:hint="eastAsia" w:ascii="宋体" w:hAnsi="宋体" w:cs="宋体"/>
          <w:b/>
          <w:bCs/>
          <w:color w:val="auto"/>
          <w:kern w:val="0"/>
          <w:sz w:val="28"/>
          <w:szCs w:val="28"/>
          <w:highlight w:val="none"/>
        </w:rPr>
      </w:pPr>
      <w:bookmarkStart w:id="394" w:name="_Toc445450485"/>
      <w:bookmarkStart w:id="395" w:name="_Toc457735308"/>
      <w:bookmarkStart w:id="396" w:name="_Toc457735670"/>
      <w:bookmarkStart w:id="397" w:name="_Toc457761166"/>
      <w:r>
        <w:rPr>
          <w:rFonts w:hint="eastAsia" w:ascii="宋体" w:hAnsi="宋体" w:cs="宋体"/>
          <w:b/>
          <w:bCs/>
          <w:color w:val="auto"/>
          <w:kern w:val="0"/>
          <w:sz w:val="28"/>
          <w:szCs w:val="28"/>
          <w:highlight w:val="none"/>
        </w:rPr>
        <w:br w:type="page"/>
      </w:r>
    </w:p>
    <w:p w14:paraId="0639683E">
      <w:pPr>
        <w:tabs>
          <w:tab w:val="left" w:pos="2878"/>
          <w:tab w:val="center" w:pos="4846"/>
        </w:tabs>
        <w:ind w:firstLine="2880" w:firstLineChars="900"/>
        <w:rPr>
          <w:rFonts w:hint="eastAsia" w:ascii="宋体" w:hAnsi="宋体"/>
          <w:b/>
          <w:color w:val="auto"/>
          <w:sz w:val="32"/>
          <w:szCs w:val="32"/>
          <w:highlight w:val="none"/>
        </w:rPr>
      </w:pPr>
      <w:bookmarkStart w:id="398" w:name="_Toc517"/>
      <w:r>
        <w:rPr>
          <w:rFonts w:hint="eastAsia" w:ascii="宋体" w:hAnsi="宋体" w:cs="宋体"/>
          <w:color w:val="auto"/>
          <w:kern w:val="0"/>
          <w:sz w:val="32"/>
          <w:szCs w:val="32"/>
          <w:highlight w:val="none"/>
        </w:rPr>
        <w:t>六、</w:t>
      </w:r>
      <w:bookmarkEnd w:id="398"/>
      <w:r>
        <w:rPr>
          <w:rFonts w:hint="eastAsia" w:ascii="宋体" w:hAnsi="宋体"/>
          <w:b/>
          <w:color w:val="auto"/>
          <w:sz w:val="32"/>
          <w:szCs w:val="32"/>
          <w:highlight w:val="none"/>
        </w:rPr>
        <w:t>反商业贿赂承诺书</w:t>
      </w:r>
    </w:p>
    <w:p w14:paraId="6360B823">
      <w:pPr>
        <w:rPr>
          <w:rFonts w:hint="eastAsia" w:ascii="宋体" w:hAnsi="宋体"/>
          <w:b/>
          <w:color w:val="auto"/>
          <w:szCs w:val="21"/>
          <w:highlight w:val="none"/>
        </w:rPr>
      </w:pPr>
    </w:p>
    <w:p w14:paraId="1084F79A">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我公司承诺：</w:t>
      </w:r>
    </w:p>
    <w:p w14:paraId="581B7D1A">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 xml:space="preserve">在 </w:t>
      </w:r>
      <w:r>
        <w:rPr>
          <w:rFonts w:hint="eastAsia" w:ascii="宋体" w:hAnsi="宋体" w:eastAsia="宋体"/>
          <w:color w:val="auto"/>
          <w:kern w:val="2"/>
          <w:sz w:val="21"/>
          <w:szCs w:val="21"/>
          <w:highlight w:val="none"/>
          <w:u w:val="single"/>
        </w:rPr>
        <w:t>　　　　　　　　　</w:t>
      </w:r>
      <w:r>
        <w:rPr>
          <w:rFonts w:hint="eastAsia" w:ascii="宋体" w:hAnsi="宋体" w:eastAsia="宋体"/>
          <w:color w:val="auto"/>
          <w:kern w:val="2"/>
          <w:sz w:val="21"/>
          <w:szCs w:val="21"/>
          <w:highlight w:val="none"/>
        </w:rPr>
        <w:t>（投标项目名称）招标活动中，我公司保证做到：</w:t>
      </w:r>
    </w:p>
    <w:p w14:paraId="319B2417">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一、公平竞争参加本次招标活动。</w:t>
      </w:r>
    </w:p>
    <w:p w14:paraId="27C4516F">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174E950">
      <w:pPr>
        <w:pStyle w:val="52"/>
        <w:spacing w:line="360" w:lineRule="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三、若出现上述行为，我公司及参与投标的工作人员愿意接受按照国家法律法规等有关规定给予的处罚。</w:t>
      </w:r>
    </w:p>
    <w:p w14:paraId="6D2781AB">
      <w:pPr>
        <w:pStyle w:val="52"/>
        <w:spacing w:line="360" w:lineRule="auto"/>
        <w:rPr>
          <w:rFonts w:hint="eastAsia" w:ascii="宋体" w:hAnsi="宋体" w:eastAsia="宋体"/>
          <w:color w:val="auto"/>
          <w:kern w:val="2"/>
          <w:sz w:val="21"/>
          <w:szCs w:val="21"/>
          <w:highlight w:val="none"/>
        </w:rPr>
      </w:pPr>
    </w:p>
    <w:p w14:paraId="1FA674A2">
      <w:pPr>
        <w:pStyle w:val="52"/>
        <w:spacing w:line="360" w:lineRule="auto"/>
        <w:rPr>
          <w:rFonts w:hint="eastAsia" w:ascii="宋体" w:hAnsi="宋体" w:eastAsia="宋体"/>
          <w:color w:val="auto"/>
          <w:kern w:val="2"/>
          <w:sz w:val="21"/>
          <w:szCs w:val="21"/>
          <w:highlight w:val="none"/>
        </w:rPr>
      </w:pPr>
    </w:p>
    <w:p w14:paraId="4FD539E6">
      <w:pPr>
        <w:pStyle w:val="52"/>
        <w:spacing w:line="360" w:lineRule="auto"/>
        <w:rPr>
          <w:rFonts w:hint="eastAsia" w:ascii="宋体" w:hAnsi="宋体" w:eastAsia="宋体"/>
          <w:color w:val="auto"/>
          <w:kern w:val="2"/>
          <w:sz w:val="21"/>
          <w:szCs w:val="21"/>
          <w:highlight w:val="none"/>
        </w:rPr>
      </w:pPr>
    </w:p>
    <w:p w14:paraId="421B1E99">
      <w:pPr>
        <w:tabs>
          <w:tab w:val="left" w:pos="1155"/>
        </w:tabs>
        <w:spacing w:line="360" w:lineRule="auto"/>
        <w:ind w:right="440" w:firstLine="2738" w:firstLineChars="1304"/>
        <w:jc w:val="right"/>
        <w:rPr>
          <w:rFonts w:asci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（盖单位电子章）</w:t>
      </w:r>
    </w:p>
    <w:p w14:paraId="25719898">
      <w:pPr>
        <w:spacing w:line="360" w:lineRule="auto"/>
        <w:ind w:firstLine="2738" w:firstLineChars="1304"/>
        <w:jc w:val="right"/>
        <w:rPr>
          <w:rFonts w:ascii="宋体"/>
          <w:color w:val="auto"/>
          <w:szCs w:val="21"/>
          <w:highlight w:val="none"/>
        </w:rPr>
      </w:pPr>
      <w:r>
        <w:rPr>
          <w:rFonts w:hint="eastAsia" w:ascii="宋体" w:hAnsi="宋体"/>
          <w:color w:val="auto"/>
          <w:szCs w:val="21"/>
          <w:highlight w:val="none"/>
        </w:rPr>
        <w:t>法定代表人或授权委托人：</w:t>
      </w:r>
      <w:r>
        <w:rPr>
          <w:rFonts w:hint="eastAsia" w:ascii="宋体" w:hAnsi="宋体"/>
          <w:color w:val="auto"/>
          <w:szCs w:val="21"/>
          <w:highlight w:val="none"/>
          <w:u w:val="single"/>
        </w:rPr>
        <w:t xml:space="preserve">     </w:t>
      </w:r>
      <w:r>
        <w:rPr>
          <w:rFonts w:hint="eastAsia" w:ascii="宋体" w:hAnsi="宋体"/>
          <w:color w:val="auto"/>
          <w:szCs w:val="21"/>
          <w:highlight w:val="none"/>
        </w:rPr>
        <w:t>（个人电子签章或签名）</w:t>
      </w:r>
    </w:p>
    <w:p w14:paraId="11F7BDDD">
      <w:pPr>
        <w:spacing w:line="360" w:lineRule="auto"/>
        <w:ind w:right="860" w:firstLine="2738" w:firstLineChars="1304"/>
        <w:jc w:val="right"/>
        <w:rPr>
          <w:rFonts w:ascii="宋体"/>
          <w:color w:val="auto"/>
          <w:szCs w:val="21"/>
          <w:highlight w:val="none"/>
        </w:rPr>
      </w:pPr>
      <w:r>
        <w:rPr>
          <w:rFonts w:hint="eastAsia" w:ascii="宋体" w:hAnsi="宋体"/>
          <w:color w:val="auto"/>
          <w:szCs w:val="21"/>
          <w:highlight w:val="none"/>
        </w:rPr>
        <w:t>年    月    日</w:t>
      </w:r>
    </w:p>
    <w:p w14:paraId="683B7510">
      <w:pPr>
        <w:spacing w:line="360" w:lineRule="auto"/>
        <w:ind w:firstLine="546" w:firstLineChars="195"/>
        <w:jc w:val="right"/>
        <w:rPr>
          <w:rFonts w:hint="eastAsia" w:ascii="宋体" w:hAnsi="宋体" w:cs="宋体"/>
          <w:color w:val="auto"/>
          <w:sz w:val="28"/>
          <w:szCs w:val="28"/>
          <w:highlight w:val="none"/>
        </w:rPr>
      </w:pPr>
    </w:p>
    <w:p w14:paraId="4C06E657">
      <w:pPr>
        <w:jc w:val="left"/>
        <w:rPr>
          <w:rFonts w:hint="eastAsia" w:ascii="宋体" w:hAnsi="宋体" w:cs="宋体"/>
          <w:color w:val="auto"/>
          <w:sz w:val="28"/>
          <w:szCs w:val="28"/>
          <w:highlight w:val="none"/>
        </w:rPr>
      </w:pPr>
    </w:p>
    <w:p w14:paraId="3FBF774A">
      <w:pPr>
        <w:jc w:val="left"/>
        <w:rPr>
          <w:rFonts w:hint="eastAsia" w:ascii="宋体" w:hAnsi="宋体" w:cs="宋体"/>
          <w:color w:val="auto"/>
          <w:sz w:val="28"/>
          <w:szCs w:val="28"/>
          <w:highlight w:val="none"/>
        </w:rPr>
      </w:pPr>
    </w:p>
    <w:p w14:paraId="2F502A00">
      <w:pPr>
        <w:jc w:val="left"/>
        <w:rPr>
          <w:rFonts w:hint="eastAsia" w:ascii="宋体" w:hAnsi="宋体" w:cs="宋体"/>
          <w:color w:val="auto"/>
          <w:sz w:val="28"/>
          <w:szCs w:val="28"/>
          <w:highlight w:val="none"/>
        </w:rPr>
      </w:pPr>
    </w:p>
    <w:p w14:paraId="31680CDB">
      <w:pPr>
        <w:jc w:val="left"/>
        <w:rPr>
          <w:rFonts w:hint="eastAsia" w:ascii="宋体" w:hAnsi="宋体" w:cs="宋体"/>
          <w:color w:val="auto"/>
          <w:sz w:val="28"/>
          <w:szCs w:val="28"/>
          <w:highlight w:val="none"/>
        </w:rPr>
      </w:pPr>
    </w:p>
    <w:p w14:paraId="7FC1F2A4">
      <w:pPr>
        <w:jc w:val="left"/>
        <w:rPr>
          <w:rFonts w:hint="eastAsia" w:ascii="宋体" w:hAnsi="宋体" w:cs="宋体"/>
          <w:color w:val="auto"/>
          <w:sz w:val="28"/>
          <w:szCs w:val="28"/>
          <w:highlight w:val="none"/>
        </w:rPr>
      </w:pPr>
    </w:p>
    <w:p w14:paraId="4E86698D">
      <w:pPr>
        <w:jc w:val="left"/>
        <w:rPr>
          <w:rFonts w:hint="eastAsia" w:ascii="宋体" w:hAnsi="宋体" w:cs="宋体"/>
          <w:color w:val="auto"/>
          <w:sz w:val="28"/>
          <w:szCs w:val="28"/>
          <w:highlight w:val="none"/>
        </w:rPr>
      </w:pPr>
    </w:p>
    <w:p w14:paraId="158C1653">
      <w:pPr>
        <w:jc w:val="left"/>
        <w:rPr>
          <w:rFonts w:hint="eastAsia" w:ascii="宋体" w:hAnsi="宋体" w:cs="宋体"/>
          <w:color w:val="auto"/>
          <w:sz w:val="28"/>
          <w:szCs w:val="28"/>
          <w:highlight w:val="none"/>
        </w:rPr>
      </w:pPr>
    </w:p>
    <w:p w14:paraId="3A41284C">
      <w:pPr>
        <w:jc w:val="left"/>
        <w:rPr>
          <w:rFonts w:hint="eastAsia" w:ascii="宋体" w:hAnsi="宋体" w:cs="宋体"/>
          <w:color w:val="auto"/>
          <w:sz w:val="28"/>
          <w:szCs w:val="28"/>
          <w:highlight w:val="none"/>
        </w:rPr>
      </w:pPr>
    </w:p>
    <w:bookmarkEnd w:id="394"/>
    <w:p w14:paraId="70B3C3A6">
      <w:pPr>
        <w:rPr>
          <w:rFonts w:hint="eastAsia" w:ascii="宋体" w:hAnsi="宋体" w:cs="宋体"/>
          <w:b/>
          <w:bCs/>
          <w:color w:val="auto"/>
          <w:sz w:val="28"/>
          <w:szCs w:val="28"/>
          <w:highlight w:val="none"/>
        </w:rPr>
      </w:pPr>
    </w:p>
    <w:bookmarkEnd w:id="395"/>
    <w:bookmarkEnd w:id="396"/>
    <w:bookmarkEnd w:id="397"/>
    <w:p w14:paraId="3B65A18E">
      <w:pPr>
        <w:pStyle w:val="37"/>
        <w:jc w:val="center"/>
        <w:rPr>
          <w:rFonts w:hint="eastAsia" w:hAnsi="宋体" w:cs="Times New Roman"/>
          <w:b/>
          <w:color w:val="auto"/>
          <w:sz w:val="32"/>
          <w:szCs w:val="32"/>
          <w:highlight w:val="none"/>
        </w:rPr>
      </w:pPr>
      <w:r>
        <w:rPr>
          <w:rFonts w:hint="eastAsia" w:hAnsi="宋体" w:cs="Times New Roman"/>
          <w:b/>
          <w:color w:val="auto"/>
          <w:sz w:val="32"/>
          <w:szCs w:val="32"/>
          <w:highlight w:val="none"/>
        </w:rPr>
        <w:t>七、技术部分</w:t>
      </w:r>
    </w:p>
    <w:p w14:paraId="44F38DF1">
      <w:pPr>
        <w:pStyle w:val="37"/>
        <w:rPr>
          <w:color w:val="auto"/>
          <w:highlight w:val="none"/>
        </w:rPr>
      </w:pPr>
    </w:p>
    <w:p w14:paraId="4E9929B8">
      <w:pPr>
        <w:pStyle w:val="37"/>
        <w:jc w:val="center"/>
        <w:rPr>
          <w:color w:val="auto"/>
          <w:highlight w:val="none"/>
        </w:rPr>
      </w:pPr>
      <w:r>
        <w:rPr>
          <w:rFonts w:hint="eastAsia"/>
          <w:color w:val="auto"/>
          <w:highlight w:val="none"/>
        </w:rPr>
        <w:t>（格式自拟）</w:t>
      </w:r>
    </w:p>
    <w:p w14:paraId="64E26982">
      <w:pPr>
        <w:pStyle w:val="37"/>
        <w:jc w:val="center"/>
        <w:rPr>
          <w:color w:val="auto"/>
          <w:highlight w:val="none"/>
        </w:rPr>
      </w:pPr>
    </w:p>
    <w:p w14:paraId="5CF68F1E">
      <w:pPr>
        <w:pStyle w:val="37"/>
        <w:jc w:val="center"/>
        <w:rPr>
          <w:color w:val="auto"/>
          <w:highlight w:val="none"/>
        </w:rPr>
      </w:pPr>
    </w:p>
    <w:p w14:paraId="79DD6B81">
      <w:pPr>
        <w:pStyle w:val="37"/>
        <w:jc w:val="center"/>
        <w:rPr>
          <w:color w:val="auto"/>
          <w:highlight w:val="none"/>
        </w:rPr>
      </w:pPr>
    </w:p>
    <w:p w14:paraId="3E722C80">
      <w:pPr>
        <w:pStyle w:val="37"/>
        <w:jc w:val="center"/>
        <w:rPr>
          <w:color w:val="auto"/>
          <w:highlight w:val="none"/>
        </w:rPr>
      </w:pPr>
    </w:p>
    <w:p w14:paraId="3D21EF0F">
      <w:pPr>
        <w:pStyle w:val="37"/>
        <w:jc w:val="center"/>
        <w:rPr>
          <w:color w:val="auto"/>
          <w:highlight w:val="none"/>
        </w:rPr>
      </w:pPr>
    </w:p>
    <w:p w14:paraId="59DCF401">
      <w:pPr>
        <w:pStyle w:val="37"/>
        <w:jc w:val="center"/>
        <w:rPr>
          <w:color w:val="auto"/>
          <w:highlight w:val="none"/>
        </w:rPr>
      </w:pPr>
    </w:p>
    <w:p w14:paraId="0C89B73D">
      <w:pPr>
        <w:pStyle w:val="37"/>
        <w:jc w:val="center"/>
        <w:rPr>
          <w:color w:val="auto"/>
          <w:highlight w:val="none"/>
        </w:rPr>
      </w:pPr>
    </w:p>
    <w:p w14:paraId="1A474FB7">
      <w:pPr>
        <w:pStyle w:val="37"/>
        <w:jc w:val="center"/>
        <w:rPr>
          <w:color w:val="auto"/>
          <w:highlight w:val="none"/>
        </w:rPr>
      </w:pPr>
    </w:p>
    <w:p w14:paraId="3CC9EDEE">
      <w:pPr>
        <w:pStyle w:val="37"/>
        <w:jc w:val="center"/>
        <w:rPr>
          <w:color w:val="auto"/>
          <w:highlight w:val="none"/>
        </w:rPr>
      </w:pPr>
    </w:p>
    <w:p w14:paraId="29B9A41F">
      <w:pPr>
        <w:pStyle w:val="37"/>
        <w:jc w:val="center"/>
        <w:rPr>
          <w:color w:val="auto"/>
          <w:highlight w:val="none"/>
        </w:rPr>
      </w:pPr>
    </w:p>
    <w:p w14:paraId="51D9F8E0">
      <w:pPr>
        <w:pStyle w:val="37"/>
        <w:jc w:val="center"/>
        <w:rPr>
          <w:color w:val="auto"/>
          <w:highlight w:val="none"/>
        </w:rPr>
      </w:pPr>
    </w:p>
    <w:p w14:paraId="322D8B62">
      <w:pPr>
        <w:pStyle w:val="37"/>
        <w:jc w:val="center"/>
        <w:rPr>
          <w:color w:val="auto"/>
          <w:highlight w:val="none"/>
        </w:rPr>
      </w:pPr>
    </w:p>
    <w:p w14:paraId="1848F88F">
      <w:pPr>
        <w:pStyle w:val="37"/>
        <w:jc w:val="center"/>
        <w:rPr>
          <w:color w:val="auto"/>
          <w:highlight w:val="none"/>
        </w:rPr>
      </w:pPr>
    </w:p>
    <w:p w14:paraId="42744424">
      <w:pPr>
        <w:pStyle w:val="37"/>
        <w:jc w:val="center"/>
        <w:rPr>
          <w:color w:val="auto"/>
          <w:highlight w:val="none"/>
        </w:rPr>
      </w:pPr>
    </w:p>
    <w:p w14:paraId="0166E9C8">
      <w:pPr>
        <w:pStyle w:val="37"/>
        <w:jc w:val="center"/>
        <w:rPr>
          <w:color w:val="auto"/>
          <w:highlight w:val="none"/>
        </w:rPr>
      </w:pPr>
    </w:p>
    <w:p w14:paraId="642342D2">
      <w:pPr>
        <w:pStyle w:val="37"/>
        <w:jc w:val="center"/>
        <w:rPr>
          <w:color w:val="auto"/>
          <w:highlight w:val="none"/>
        </w:rPr>
      </w:pPr>
    </w:p>
    <w:p w14:paraId="37C74FBA">
      <w:pPr>
        <w:pStyle w:val="37"/>
        <w:jc w:val="center"/>
        <w:rPr>
          <w:color w:val="auto"/>
          <w:highlight w:val="none"/>
        </w:rPr>
      </w:pPr>
    </w:p>
    <w:p w14:paraId="744A64EA">
      <w:pPr>
        <w:pStyle w:val="37"/>
        <w:jc w:val="center"/>
        <w:rPr>
          <w:color w:val="auto"/>
          <w:highlight w:val="none"/>
        </w:rPr>
      </w:pPr>
    </w:p>
    <w:p w14:paraId="650E56BF">
      <w:pPr>
        <w:pStyle w:val="37"/>
        <w:jc w:val="center"/>
        <w:rPr>
          <w:color w:val="auto"/>
          <w:highlight w:val="none"/>
        </w:rPr>
      </w:pPr>
    </w:p>
    <w:p w14:paraId="7222D365">
      <w:pPr>
        <w:pStyle w:val="37"/>
        <w:jc w:val="center"/>
        <w:rPr>
          <w:color w:val="auto"/>
          <w:highlight w:val="none"/>
        </w:rPr>
      </w:pPr>
    </w:p>
    <w:p w14:paraId="3D14CD1E">
      <w:pPr>
        <w:pStyle w:val="37"/>
        <w:jc w:val="center"/>
        <w:rPr>
          <w:color w:val="auto"/>
          <w:highlight w:val="none"/>
        </w:rPr>
      </w:pPr>
    </w:p>
    <w:p w14:paraId="620DC273">
      <w:pPr>
        <w:pStyle w:val="37"/>
        <w:jc w:val="center"/>
        <w:rPr>
          <w:color w:val="auto"/>
          <w:highlight w:val="none"/>
        </w:rPr>
      </w:pPr>
    </w:p>
    <w:p w14:paraId="44E9ABB7">
      <w:pPr>
        <w:pStyle w:val="37"/>
        <w:jc w:val="center"/>
        <w:rPr>
          <w:color w:val="auto"/>
          <w:highlight w:val="none"/>
        </w:rPr>
      </w:pPr>
    </w:p>
    <w:p w14:paraId="536D6192">
      <w:pPr>
        <w:pStyle w:val="37"/>
        <w:jc w:val="center"/>
        <w:rPr>
          <w:color w:val="auto"/>
          <w:highlight w:val="none"/>
        </w:rPr>
      </w:pPr>
    </w:p>
    <w:p w14:paraId="264512EE">
      <w:pPr>
        <w:pStyle w:val="37"/>
        <w:jc w:val="center"/>
        <w:rPr>
          <w:color w:val="auto"/>
          <w:highlight w:val="none"/>
        </w:rPr>
      </w:pPr>
    </w:p>
    <w:p w14:paraId="42F3F5B9">
      <w:pPr>
        <w:pStyle w:val="38"/>
        <w:rPr>
          <w:color w:val="auto"/>
          <w:highlight w:val="none"/>
        </w:rPr>
      </w:pPr>
    </w:p>
    <w:p w14:paraId="24269C11">
      <w:pPr>
        <w:pStyle w:val="37"/>
        <w:jc w:val="center"/>
        <w:rPr>
          <w:color w:val="auto"/>
          <w:highlight w:val="none"/>
        </w:rPr>
      </w:pPr>
    </w:p>
    <w:p w14:paraId="783DF431">
      <w:pPr>
        <w:pStyle w:val="37"/>
        <w:jc w:val="center"/>
        <w:rPr>
          <w:color w:val="auto"/>
          <w:highlight w:val="none"/>
        </w:rPr>
      </w:pPr>
    </w:p>
    <w:p w14:paraId="7BCDE898">
      <w:pPr>
        <w:pStyle w:val="37"/>
        <w:jc w:val="center"/>
        <w:rPr>
          <w:color w:val="auto"/>
          <w:highlight w:val="none"/>
        </w:rPr>
      </w:pPr>
    </w:p>
    <w:p w14:paraId="25610588">
      <w:pPr>
        <w:pStyle w:val="37"/>
        <w:jc w:val="center"/>
        <w:rPr>
          <w:color w:val="auto"/>
          <w:highlight w:val="none"/>
        </w:rPr>
      </w:pPr>
    </w:p>
    <w:p w14:paraId="161E050E">
      <w:pPr>
        <w:pStyle w:val="37"/>
        <w:jc w:val="center"/>
        <w:rPr>
          <w:color w:val="auto"/>
          <w:highlight w:val="none"/>
        </w:rPr>
      </w:pPr>
    </w:p>
    <w:p w14:paraId="18B4AAFA">
      <w:pPr>
        <w:pStyle w:val="37"/>
        <w:jc w:val="center"/>
        <w:rPr>
          <w:color w:val="auto"/>
          <w:highlight w:val="none"/>
        </w:rPr>
      </w:pPr>
    </w:p>
    <w:p w14:paraId="660FF7D5">
      <w:pPr>
        <w:pStyle w:val="37"/>
        <w:jc w:val="center"/>
        <w:rPr>
          <w:color w:val="auto"/>
          <w:highlight w:val="none"/>
        </w:rPr>
      </w:pPr>
    </w:p>
    <w:p w14:paraId="0DA39D5E">
      <w:pPr>
        <w:pStyle w:val="37"/>
        <w:jc w:val="center"/>
        <w:rPr>
          <w:color w:val="auto"/>
          <w:highlight w:val="none"/>
        </w:rPr>
      </w:pPr>
    </w:p>
    <w:p w14:paraId="58D8E3B5">
      <w:pPr>
        <w:pStyle w:val="37"/>
        <w:jc w:val="center"/>
        <w:rPr>
          <w:color w:val="auto"/>
          <w:highlight w:val="none"/>
        </w:rPr>
      </w:pPr>
    </w:p>
    <w:p w14:paraId="13A47850">
      <w:pPr>
        <w:pStyle w:val="37"/>
        <w:jc w:val="center"/>
        <w:rPr>
          <w:color w:val="auto"/>
          <w:highlight w:val="none"/>
        </w:rPr>
      </w:pPr>
    </w:p>
    <w:p w14:paraId="27A85B92">
      <w:pPr>
        <w:pStyle w:val="37"/>
        <w:jc w:val="center"/>
        <w:rPr>
          <w:color w:val="auto"/>
          <w:highlight w:val="none"/>
        </w:rPr>
      </w:pPr>
    </w:p>
    <w:p w14:paraId="00CDC6F6">
      <w:pPr>
        <w:pStyle w:val="37"/>
        <w:jc w:val="center"/>
        <w:rPr>
          <w:color w:val="auto"/>
          <w:highlight w:val="none"/>
        </w:rPr>
      </w:pPr>
    </w:p>
    <w:p w14:paraId="71567373">
      <w:pPr>
        <w:pStyle w:val="37"/>
        <w:jc w:val="center"/>
        <w:rPr>
          <w:color w:val="auto"/>
          <w:highlight w:val="none"/>
        </w:rPr>
      </w:pPr>
    </w:p>
    <w:p w14:paraId="1C9809CD">
      <w:pPr>
        <w:pStyle w:val="37"/>
        <w:jc w:val="center"/>
        <w:rPr>
          <w:color w:val="auto"/>
          <w:highlight w:val="none"/>
        </w:rPr>
      </w:pPr>
    </w:p>
    <w:p w14:paraId="0FBCC8A1">
      <w:pPr>
        <w:pStyle w:val="37"/>
        <w:jc w:val="center"/>
        <w:rPr>
          <w:rFonts w:hint="eastAsia" w:hAnsi="宋体" w:cs="Times New Roman"/>
          <w:b/>
          <w:color w:val="auto"/>
          <w:sz w:val="32"/>
          <w:szCs w:val="32"/>
          <w:highlight w:val="none"/>
        </w:rPr>
      </w:pPr>
      <w:r>
        <w:rPr>
          <w:rFonts w:hint="eastAsia" w:hAnsi="宋体" w:cs="Times New Roman"/>
          <w:b/>
          <w:color w:val="auto"/>
          <w:sz w:val="32"/>
          <w:szCs w:val="32"/>
          <w:highlight w:val="none"/>
        </w:rPr>
        <w:t>八、商务部分</w:t>
      </w:r>
    </w:p>
    <w:p w14:paraId="58698315">
      <w:pPr>
        <w:pStyle w:val="37"/>
        <w:jc w:val="center"/>
        <w:rPr>
          <w:color w:val="auto"/>
          <w:highlight w:val="none"/>
        </w:rPr>
      </w:pPr>
    </w:p>
    <w:p w14:paraId="62D6981D">
      <w:pPr>
        <w:pStyle w:val="37"/>
        <w:jc w:val="center"/>
        <w:rPr>
          <w:color w:val="auto"/>
          <w:highlight w:val="none"/>
        </w:rPr>
      </w:pPr>
      <w:r>
        <w:rPr>
          <w:rFonts w:hint="eastAsia"/>
          <w:color w:val="auto"/>
          <w:highlight w:val="none"/>
        </w:rPr>
        <w:t>格式自拟</w:t>
      </w:r>
    </w:p>
    <w:p w14:paraId="5D96886B">
      <w:pPr>
        <w:spacing w:line="400" w:lineRule="exact"/>
        <w:jc w:val="center"/>
        <w:outlineLvl w:val="1"/>
        <w:rPr>
          <w:rFonts w:hint="eastAsia" w:ascii="宋体" w:hAnsi="宋体" w:cs="宋体"/>
          <w:b/>
          <w:bCs/>
          <w:color w:val="auto"/>
          <w:sz w:val="28"/>
          <w:szCs w:val="28"/>
          <w:highlight w:val="none"/>
        </w:rPr>
      </w:pPr>
      <w:bookmarkStart w:id="399" w:name="_Toc32691"/>
    </w:p>
    <w:p w14:paraId="72FC62AF">
      <w:pPr>
        <w:spacing w:line="400" w:lineRule="exact"/>
        <w:jc w:val="center"/>
        <w:outlineLvl w:val="1"/>
        <w:rPr>
          <w:rFonts w:hint="eastAsia" w:ascii="宋体" w:hAnsi="宋体" w:cs="宋体"/>
          <w:b/>
          <w:bCs/>
          <w:color w:val="auto"/>
          <w:sz w:val="28"/>
          <w:szCs w:val="28"/>
          <w:highlight w:val="none"/>
        </w:rPr>
      </w:pPr>
    </w:p>
    <w:p w14:paraId="5762D067">
      <w:pPr>
        <w:spacing w:line="400" w:lineRule="exact"/>
        <w:jc w:val="center"/>
        <w:outlineLvl w:val="1"/>
        <w:rPr>
          <w:rFonts w:hint="eastAsia" w:ascii="宋体" w:hAnsi="宋体" w:cs="宋体"/>
          <w:b/>
          <w:bCs/>
          <w:color w:val="auto"/>
          <w:sz w:val="28"/>
          <w:szCs w:val="28"/>
          <w:highlight w:val="none"/>
        </w:rPr>
      </w:pPr>
    </w:p>
    <w:p w14:paraId="04E1F0F0">
      <w:pPr>
        <w:spacing w:line="400" w:lineRule="exact"/>
        <w:jc w:val="center"/>
        <w:outlineLvl w:val="1"/>
        <w:rPr>
          <w:rFonts w:hint="eastAsia" w:ascii="宋体" w:hAnsi="宋体" w:cs="宋体"/>
          <w:b/>
          <w:bCs/>
          <w:color w:val="auto"/>
          <w:sz w:val="28"/>
          <w:szCs w:val="28"/>
          <w:highlight w:val="none"/>
        </w:rPr>
      </w:pPr>
    </w:p>
    <w:p w14:paraId="6AE4E1C7">
      <w:pPr>
        <w:spacing w:line="400" w:lineRule="exact"/>
        <w:jc w:val="center"/>
        <w:outlineLvl w:val="1"/>
        <w:rPr>
          <w:rFonts w:hint="eastAsia" w:ascii="宋体" w:hAnsi="宋体" w:cs="宋体"/>
          <w:b/>
          <w:bCs/>
          <w:color w:val="auto"/>
          <w:sz w:val="28"/>
          <w:szCs w:val="28"/>
          <w:highlight w:val="none"/>
        </w:rPr>
      </w:pPr>
    </w:p>
    <w:p w14:paraId="69B69124">
      <w:pPr>
        <w:spacing w:line="400" w:lineRule="exact"/>
        <w:jc w:val="center"/>
        <w:outlineLvl w:val="1"/>
        <w:rPr>
          <w:rFonts w:hint="eastAsia" w:ascii="宋体" w:hAnsi="宋体" w:cs="宋体"/>
          <w:b/>
          <w:bCs/>
          <w:color w:val="auto"/>
          <w:sz w:val="28"/>
          <w:szCs w:val="28"/>
          <w:highlight w:val="none"/>
        </w:rPr>
      </w:pPr>
    </w:p>
    <w:p w14:paraId="1BEB0A0A">
      <w:pPr>
        <w:spacing w:line="400" w:lineRule="exact"/>
        <w:jc w:val="center"/>
        <w:outlineLvl w:val="1"/>
        <w:rPr>
          <w:rFonts w:hint="eastAsia" w:ascii="宋体" w:hAnsi="宋体" w:cs="宋体"/>
          <w:b/>
          <w:bCs/>
          <w:color w:val="auto"/>
          <w:sz w:val="28"/>
          <w:szCs w:val="28"/>
          <w:highlight w:val="none"/>
        </w:rPr>
      </w:pPr>
    </w:p>
    <w:p w14:paraId="22ECF40E">
      <w:pPr>
        <w:spacing w:line="400" w:lineRule="exact"/>
        <w:jc w:val="center"/>
        <w:outlineLvl w:val="1"/>
        <w:rPr>
          <w:rFonts w:hint="eastAsia" w:ascii="宋体" w:hAnsi="宋体" w:cs="宋体"/>
          <w:b/>
          <w:bCs/>
          <w:color w:val="auto"/>
          <w:sz w:val="28"/>
          <w:szCs w:val="28"/>
          <w:highlight w:val="none"/>
        </w:rPr>
      </w:pPr>
    </w:p>
    <w:p w14:paraId="775B8F6E">
      <w:pPr>
        <w:spacing w:line="400" w:lineRule="exact"/>
        <w:jc w:val="center"/>
        <w:outlineLvl w:val="1"/>
        <w:rPr>
          <w:rFonts w:hint="eastAsia" w:ascii="宋体" w:hAnsi="宋体" w:cs="宋体"/>
          <w:b/>
          <w:bCs/>
          <w:color w:val="auto"/>
          <w:sz w:val="28"/>
          <w:szCs w:val="28"/>
          <w:highlight w:val="none"/>
        </w:rPr>
      </w:pPr>
    </w:p>
    <w:p w14:paraId="0E9A60B5">
      <w:pPr>
        <w:spacing w:line="400" w:lineRule="exact"/>
        <w:jc w:val="center"/>
        <w:outlineLvl w:val="1"/>
        <w:rPr>
          <w:rFonts w:hint="eastAsia" w:ascii="宋体" w:hAnsi="宋体" w:cs="宋体"/>
          <w:b/>
          <w:bCs/>
          <w:color w:val="auto"/>
          <w:sz w:val="28"/>
          <w:szCs w:val="28"/>
          <w:highlight w:val="none"/>
        </w:rPr>
      </w:pPr>
    </w:p>
    <w:p w14:paraId="537CA90A">
      <w:pPr>
        <w:spacing w:line="400" w:lineRule="exact"/>
        <w:jc w:val="center"/>
        <w:outlineLvl w:val="1"/>
        <w:rPr>
          <w:rFonts w:hint="eastAsia" w:ascii="宋体" w:hAnsi="宋体" w:cs="宋体"/>
          <w:b/>
          <w:bCs/>
          <w:color w:val="auto"/>
          <w:sz w:val="28"/>
          <w:szCs w:val="28"/>
          <w:highlight w:val="none"/>
        </w:rPr>
      </w:pPr>
    </w:p>
    <w:p w14:paraId="706DC1B1">
      <w:pPr>
        <w:spacing w:line="400" w:lineRule="exact"/>
        <w:jc w:val="center"/>
        <w:outlineLvl w:val="1"/>
        <w:rPr>
          <w:rFonts w:hint="eastAsia" w:ascii="宋体" w:hAnsi="宋体" w:cs="宋体"/>
          <w:b/>
          <w:bCs/>
          <w:color w:val="auto"/>
          <w:sz w:val="28"/>
          <w:szCs w:val="28"/>
          <w:highlight w:val="none"/>
        </w:rPr>
      </w:pPr>
    </w:p>
    <w:p w14:paraId="3DAC9411">
      <w:pPr>
        <w:spacing w:line="400" w:lineRule="exact"/>
        <w:jc w:val="center"/>
        <w:outlineLvl w:val="1"/>
        <w:rPr>
          <w:rFonts w:hint="eastAsia" w:ascii="宋体" w:hAnsi="宋体" w:cs="宋体"/>
          <w:b/>
          <w:bCs/>
          <w:color w:val="auto"/>
          <w:sz w:val="28"/>
          <w:szCs w:val="28"/>
          <w:highlight w:val="none"/>
        </w:rPr>
      </w:pPr>
    </w:p>
    <w:p w14:paraId="20B93841">
      <w:pPr>
        <w:spacing w:line="400" w:lineRule="exact"/>
        <w:jc w:val="center"/>
        <w:outlineLvl w:val="1"/>
        <w:rPr>
          <w:rFonts w:hint="eastAsia" w:ascii="宋体" w:hAnsi="宋体" w:cs="宋体"/>
          <w:b/>
          <w:bCs/>
          <w:color w:val="auto"/>
          <w:sz w:val="28"/>
          <w:szCs w:val="28"/>
          <w:highlight w:val="none"/>
        </w:rPr>
      </w:pPr>
    </w:p>
    <w:p w14:paraId="7CAFD48D">
      <w:pPr>
        <w:spacing w:line="400" w:lineRule="exact"/>
        <w:jc w:val="center"/>
        <w:outlineLvl w:val="1"/>
        <w:rPr>
          <w:rFonts w:hint="eastAsia" w:ascii="宋体" w:hAnsi="宋体" w:cs="宋体"/>
          <w:b/>
          <w:bCs/>
          <w:color w:val="auto"/>
          <w:sz w:val="28"/>
          <w:szCs w:val="28"/>
          <w:highlight w:val="none"/>
        </w:rPr>
      </w:pPr>
    </w:p>
    <w:p w14:paraId="007A153F">
      <w:pPr>
        <w:spacing w:line="400" w:lineRule="exact"/>
        <w:jc w:val="center"/>
        <w:outlineLvl w:val="1"/>
        <w:rPr>
          <w:rFonts w:hint="eastAsia" w:ascii="宋体" w:hAnsi="宋体" w:cs="宋体"/>
          <w:b/>
          <w:bCs/>
          <w:color w:val="auto"/>
          <w:sz w:val="28"/>
          <w:szCs w:val="28"/>
          <w:highlight w:val="none"/>
        </w:rPr>
      </w:pPr>
    </w:p>
    <w:p w14:paraId="668DB447">
      <w:pPr>
        <w:spacing w:line="400" w:lineRule="exact"/>
        <w:jc w:val="center"/>
        <w:outlineLvl w:val="1"/>
        <w:rPr>
          <w:rFonts w:hint="eastAsia" w:ascii="宋体" w:hAnsi="宋体" w:cs="宋体"/>
          <w:b/>
          <w:bCs/>
          <w:color w:val="auto"/>
          <w:sz w:val="28"/>
          <w:szCs w:val="28"/>
          <w:highlight w:val="none"/>
        </w:rPr>
      </w:pPr>
    </w:p>
    <w:p w14:paraId="6549EFF1">
      <w:pPr>
        <w:spacing w:line="400" w:lineRule="exact"/>
        <w:jc w:val="center"/>
        <w:outlineLvl w:val="1"/>
        <w:rPr>
          <w:rFonts w:hint="eastAsia" w:ascii="宋体" w:hAnsi="宋体" w:cs="宋体"/>
          <w:b/>
          <w:bCs/>
          <w:color w:val="auto"/>
          <w:sz w:val="28"/>
          <w:szCs w:val="28"/>
          <w:highlight w:val="none"/>
        </w:rPr>
      </w:pPr>
    </w:p>
    <w:p w14:paraId="6086E849">
      <w:pPr>
        <w:spacing w:line="400" w:lineRule="exact"/>
        <w:jc w:val="center"/>
        <w:outlineLvl w:val="1"/>
        <w:rPr>
          <w:rFonts w:hint="eastAsia" w:ascii="宋体" w:hAnsi="宋体" w:cs="宋体"/>
          <w:b/>
          <w:bCs/>
          <w:color w:val="auto"/>
          <w:sz w:val="28"/>
          <w:szCs w:val="28"/>
          <w:highlight w:val="none"/>
        </w:rPr>
      </w:pPr>
    </w:p>
    <w:p w14:paraId="328A1C66">
      <w:pPr>
        <w:spacing w:line="400" w:lineRule="exact"/>
        <w:jc w:val="center"/>
        <w:outlineLvl w:val="1"/>
        <w:rPr>
          <w:rFonts w:hint="eastAsia" w:ascii="宋体" w:hAnsi="宋体" w:cs="宋体"/>
          <w:b/>
          <w:bCs/>
          <w:color w:val="auto"/>
          <w:sz w:val="28"/>
          <w:szCs w:val="28"/>
          <w:highlight w:val="none"/>
        </w:rPr>
      </w:pPr>
    </w:p>
    <w:p w14:paraId="777053C3">
      <w:pPr>
        <w:spacing w:line="400" w:lineRule="exact"/>
        <w:jc w:val="center"/>
        <w:outlineLvl w:val="1"/>
        <w:rPr>
          <w:rFonts w:hint="eastAsia" w:ascii="宋体" w:hAnsi="宋体" w:cs="宋体"/>
          <w:b/>
          <w:bCs/>
          <w:color w:val="auto"/>
          <w:sz w:val="28"/>
          <w:szCs w:val="28"/>
          <w:highlight w:val="none"/>
        </w:rPr>
      </w:pPr>
    </w:p>
    <w:p w14:paraId="2B4A5075">
      <w:pPr>
        <w:spacing w:line="400" w:lineRule="exact"/>
        <w:jc w:val="center"/>
        <w:outlineLvl w:val="1"/>
        <w:rPr>
          <w:rFonts w:hint="eastAsia" w:ascii="宋体" w:hAnsi="宋体" w:cs="宋体"/>
          <w:b/>
          <w:bCs/>
          <w:color w:val="auto"/>
          <w:sz w:val="28"/>
          <w:szCs w:val="28"/>
          <w:highlight w:val="none"/>
        </w:rPr>
      </w:pPr>
    </w:p>
    <w:p w14:paraId="5CFD72A4">
      <w:pPr>
        <w:spacing w:line="400" w:lineRule="exact"/>
        <w:jc w:val="center"/>
        <w:outlineLvl w:val="1"/>
        <w:rPr>
          <w:rFonts w:hint="eastAsia" w:ascii="宋体" w:hAnsi="宋体" w:cs="宋体"/>
          <w:b/>
          <w:bCs/>
          <w:color w:val="auto"/>
          <w:sz w:val="28"/>
          <w:szCs w:val="28"/>
          <w:highlight w:val="none"/>
        </w:rPr>
      </w:pPr>
    </w:p>
    <w:p w14:paraId="0223EB21">
      <w:pPr>
        <w:spacing w:line="400" w:lineRule="exact"/>
        <w:jc w:val="center"/>
        <w:outlineLvl w:val="1"/>
        <w:rPr>
          <w:rFonts w:hint="eastAsia" w:ascii="宋体" w:hAnsi="宋体" w:cs="宋体"/>
          <w:b/>
          <w:bCs/>
          <w:color w:val="auto"/>
          <w:sz w:val="28"/>
          <w:szCs w:val="28"/>
          <w:highlight w:val="none"/>
        </w:rPr>
      </w:pPr>
    </w:p>
    <w:p w14:paraId="36FFF388">
      <w:pPr>
        <w:spacing w:line="400" w:lineRule="exact"/>
        <w:jc w:val="center"/>
        <w:outlineLvl w:val="1"/>
        <w:rPr>
          <w:rFonts w:hint="eastAsia" w:ascii="宋体" w:hAnsi="宋体" w:cs="宋体"/>
          <w:b/>
          <w:bCs/>
          <w:color w:val="auto"/>
          <w:sz w:val="28"/>
          <w:szCs w:val="28"/>
          <w:highlight w:val="none"/>
        </w:rPr>
      </w:pPr>
    </w:p>
    <w:p w14:paraId="142E7823">
      <w:pPr>
        <w:spacing w:line="400" w:lineRule="exact"/>
        <w:jc w:val="center"/>
        <w:outlineLvl w:val="1"/>
        <w:rPr>
          <w:rFonts w:hint="eastAsia" w:ascii="宋体" w:hAnsi="宋体" w:cs="宋体"/>
          <w:b/>
          <w:bCs/>
          <w:color w:val="auto"/>
          <w:sz w:val="28"/>
          <w:szCs w:val="28"/>
          <w:highlight w:val="none"/>
        </w:rPr>
      </w:pPr>
    </w:p>
    <w:p w14:paraId="55C38505">
      <w:pPr>
        <w:spacing w:line="400" w:lineRule="exact"/>
        <w:jc w:val="center"/>
        <w:outlineLvl w:val="1"/>
        <w:rPr>
          <w:rFonts w:hint="eastAsia" w:ascii="宋体" w:hAnsi="宋体" w:cs="宋体"/>
          <w:b/>
          <w:bCs/>
          <w:color w:val="auto"/>
          <w:sz w:val="28"/>
          <w:szCs w:val="28"/>
          <w:highlight w:val="none"/>
        </w:rPr>
      </w:pPr>
    </w:p>
    <w:p w14:paraId="48D2F465">
      <w:pPr>
        <w:spacing w:line="400" w:lineRule="exact"/>
        <w:jc w:val="center"/>
        <w:outlineLvl w:val="1"/>
        <w:rPr>
          <w:rFonts w:hint="eastAsia" w:ascii="宋体" w:hAnsi="宋体" w:cs="宋体"/>
          <w:b/>
          <w:bCs/>
          <w:color w:val="auto"/>
          <w:sz w:val="28"/>
          <w:szCs w:val="28"/>
          <w:highlight w:val="none"/>
        </w:rPr>
      </w:pPr>
    </w:p>
    <w:p w14:paraId="5FF6AFE4">
      <w:pPr>
        <w:spacing w:line="400" w:lineRule="exact"/>
        <w:jc w:val="center"/>
        <w:outlineLvl w:val="1"/>
        <w:rPr>
          <w:rFonts w:hint="eastAsia" w:ascii="宋体" w:hAnsi="宋体" w:cs="宋体"/>
          <w:b/>
          <w:bCs/>
          <w:color w:val="auto"/>
          <w:sz w:val="28"/>
          <w:szCs w:val="28"/>
          <w:highlight w:val="none"/>
        </w:rPr>
      </w:pPr>
    </w:p>
    <w:p w14:paraId="15C69892">
      <w:pPr>
        <w:spacing w:line="400" w:lineRule="exact"/>
        <w:jc w:val="center"/>
        <w:outlineLvl w:val="1"/>
        <w:rPr>
          <w:rFonts w:hint="eastAsia" w:ascii="宋体" w:hAnsi="宋体" w:cs="宋体"/>
          <w:b/>
          <w:bCs/>
          <w:color w:val="auto"/>
          <w:sz w:val="28"/>
          <w:szCs w:val="28"/>
          <w:highlight w:val="none"/>
        </w:rPr>
      </w:pPr>
    </w:p>
    <w:p w14:paraId="7ED7CB3D">
      <w:pPr>
        <w:spacing w:line="400" w:lineRule="exact"/>
        <w:jc w:val="center"/>
        <w:outlineLvl w:val="1"/>
        <w:rPr>
          <w:rFonts w:hint="eastAsia" w:ascii="宋体" w:hAnsi="宋体" w:cs="宋体"/>
          <w:b/>
          <w:bCs/>
          <w:color w:val="auto"/>
          <w:sz w:val="28"/>
          <w:szCs w:val="28"/>
          <w:highlight w:val="none"/>
        </w:rPr>
      </w:pPr>
    </w:p>
    <w:p w14:paraId="379CD7D3">
      <w:pPr>
        <w:pStyle w:val="37"/>
        <w:jc w:val="center"/>
        <w:rPr>
          <w:rFonts w:hint="eastAsia" w:hAnsi="宋体" w:cs="Times New Roman"/>
          <w:b/>
          <w:color w:val="auto"/>
          <w:sz w:val="32"/>
          <w:szCs w:val="32"/>
          <w:highlight w:val="none"/>
        </w:rPr>
      </w:pPr>
      <w:r>
        <w:rPr>
          <w:rFonts w:hint="eastAsia" w:hAnsi="宋体" w:cs="Times New Roman"/>
          <w:b/>
          <w:color w:val="auto"/>
          <w:sz w:val="32"/>
          <w:szCs w:val="32"/>
          <w:highlight w:val="none"/>
        </w:rPr>
        <w:t>九、</w:t>
      </w:r>
      <w:bookmarkEnd w:id="399"/>
      <w:r>
        <w:rPr>
          <w:rFonts w:hint="eastAsia" w:hAnsi="宋体" w:cs="Times New Roman"/>
          <w:b/>
          <w:color w:val="auto"/>
          <w:sz w:val="32"/>
          <w:szCs w:val="32"/>
          <w:highlight w:val="none"/>
        </w:rPr>
        <w:t>招标文件要求的其他材料及投标人认为有必要提供的材料</w:t>
      </w:r>
    </w:p>
    <w:p w14:paraId="17108C73">
      <w:pPr>
        <w:spacing w:line="400" w:lineRule="exact"/>
        <w:jc w:val="center"/>
        <w:rPr>
          <w:rFonts w:hint="eastAsia" w:ascii="宋体" w:hAnsi="宋体"/>
          <w:b/>
          <w:bCs/>
          <w:color w:val="auto"/>
          <w:szCs w:val="21"/>
          <w:highlight w:val="none"/>
        </w:rPr>
      </w:pPr>
    </w:p>
    <w:p w14:paraId="70E8E699">
      <w:pPr>
        <w:pStyle w:val="26"/>
        <w:tabs>
          <w:tab w:val="left" w:pos="5250"/>
        </w:tabs>
        <w:ind w:firstLine="211"/>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1. 承 诺 书</w:t>
      </w:r>
    </w:p>
    <w:p w14:paraId="31E37F15">
      <w:pPr>
        <w:autoSpaceDE w:val="0"/>
        <w:autoSpaceDN w:val="0"/>
        <w:adjustRightInd w:val="0"/>
        <w:spacing w:line="360" w:lineRule="auto"/>
        <w:ind w:firstLine="420" w:firstLineChars="200"/>
        <w:rPr>
          <w:color w:val="auto"/>
          <w:szCs w:val="21"/>
          <w:highlight w:val="none"/>
        </w:rPr>
      </w:pPr>
      <w:r>
        <w:rPr>
          <w:rFonts w:hint="eastAsia"/>
          <w:color w:val="auto"/>
          <w:szCs w:val="21"/>
          <w:highlight w:val="none"/>
        </w:rPr>
        <w:t>我公司承诺：我公司独立制作、修改和上传投标文件，并承担因“硬件特征码一致”所造成的不良后果。</w:t>
      </w:r>
    </w:p>
    <w:p w14:paraId="7F8F1A13">
      <w:pPr>
        <w:pStyle w:val="26"/>
        <w:tabs>
          <w:tab w:val="left" w:pos="5250"/>
        </w:tabs>
        <w:ind w:firstLine="0" w:firstLineChars="0"/>
        <w:rPr>
          <w:color w:val="auto"/>
          <w:szCs w:val="21"/>
          <w:highlight w:val="none"/>
        </w:rPr>
      </w:pPr>
    </w:p>
    <w:p w14:paraId="2FE835C0">
      <w:pPr>
        <w:autoSpaceDE w:val="0"/>
        <w:autoSpaceDN w:val="0"/>
        <w:adjustRightInd w:val="0"/>
        <w:spacing w:line="380" w:lineRule="exact"/>
        <w:ind w:firstLine="420"/>
        <w:jc w:val="center"/>
        <w:rPr>
          <w:rFonts w:ascii="宋体" w:cs="宋体"/>
          <w:b/>
          <w:bCs/>
          <w:color w:val="auto"/>
          <w:szCs w:val="21"/>
          <w:highlight w:val="none"/>
          <w:lang w:val="zh-CN"/>
        </w:rPr>
      </w:pPr>
    </w:p>
    <w:p w14:paraId="7A62E17C">
      <w:pPr>
        <w:pStyle w:val="11"/>
        <w:rPr>
          <w:rFonts w:ascii="宋体" w:cs="宋体"/>
          <w:b/>
          <w:bCs/>
          <w:color w:val="auto"/>
          <w:szCs w:val="21"/>
          <w:highlight w:val="none"/>
          <w:lang w:val="zh-CN"/>
        </w:rPr>
      </w:pPr>
    </w:p>
    <w:p w14:paraId="3E7150FA">
      <w:pPr>
        <w:pStyle w:val="23"/>
        <w:rPr>
          <w:rFonts w:ascii="宋体" w:cs="宋体"/>
          <w:b/>
          <w:bCs/>
          <w:color w:val="auto"/>
          <w:szCs w:val="21"/>
          <w:highlight w:val="none"/>
          <w:lang w:val="zh-CN"/>
        </w:rPr>
      </w:pPr>
    </w:p>
    <w:p w14:paraId="1C3C5546">
      <w:pPr>
        <w:pStyle w:val="11"/>
        <w:rPr>
          <w:color w:val="auto"/>
          <w:highlight w:val="none"/>
          <w:lang w:val="zh-CN"/>
        </w:rPr>
      </w:pPr>
    </w:p>
    <w:p w14:paraId="51A018B9">
      <w:pPr>
        <w:spacing w:line="360" w:lineRule="auto"/>
        <w:ind w:firstLine="4620" w:firstLineChars="2200"/>
        <w:jc w:val="right"/>
        <w:rPr>
          <w:rFonts w:hint="eastAsia" w:ascii="宋体" w:hAnsi="宋体" w:cs="宋体"/>
          <w:color w:val="auto"/>
          <w:szCs w:val="21"/>
          <w:highlight w:val="none"/>
        </w:rPr>
      </w:pPr>
      <w:r>
        <w:rPr>
          <w:rFonts w:hint="eastAsia" w:ascii="宋体" w:hAnsi="宋体" w:cs="宋体"/>
          <w:color w:val="auto"/>
          <w:szCs w:val="21"/>
          <w:highlight w:val="none"/>
        </w:rPr>
        <w:t>供  应  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（盖单位电子章）</w:t>
      </w:r>
    </w:p>
    <w:p w14:paraId="05E15730">
      <w:pPr>
        <w:spacing w:line="360" w:lineRule="auto"/>
        <w:ind w:firstLine="409" w:firstLineChars="195"/>
        <w:jc w:val="right"/>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（个人电子签章或签名）</w:t>
      </w:r>
    </w:p>
    <w:p w14:paraId="30DA8815">
      <w:pPr>
        <w:pStyle w:val="55"/>
        <w:rPr>
          <w:color w:val="auto"/>
          <w:sz w:val="21"/>
          <w:szCs w:val="21"/>
          <w:highlight w:val="none"/>
        </w:rPr>
      </w:pPr>
    </w:p>
    <w:p w14:paraId="4AA35795">
      <w:pPr>
        <w:autoSpaceDE w:val="0"/>
        <w:autoSpaceDN w:val="0"/>
        <w:adjustRightInd w:val="0"/>
        <w:spacing w:line="380" w:lineRule="exact"/>
        <w:jc w:val="right"/>
        <w:rPr>
          <w:color w:val="auto"/>
          <w:highlight w:val="none"/>
          <w:lang w:val="zh-CN"/>
        </w:rPr>
      </w:pPr>
      <w:r>
        <w:rPr>
          <w:rFonts w:hint="eastAsia" w:ascii="宋体" w:hAnsi="宋体" w:cs="宋体"/>
          <w:color w:val="auto"/>
          <w:szCs w:val="21"/>
          <w:highlight w:val="none"/>
        </w:rPr>
        <w:t xml:space="preserve"> 日   期： 　年　月　日</w:t>
      </w:r>
    </w:p>
    <w:p w14:paraId="7763D3AE">
      <w:pPr>
        <w:spacing w:line="400" w:lineRule="exact"/>
        <w:jc w:val="center"/>
        <w:rPr>
          <w:rFonts w:hint="eastAsia" w:ascii="宋体" w:hAnsi="宋体"/>
          <w:b/>
          <w:bCs/>
          <w:color w:val="auto"/>
          <w:sz w:val="30"/>
          <w:highlight w:val="none"/>
        </w:rPr>
      </w:pPr>
    </w:p>
    <w:p w14:paraId="4BBCB146">
      <w:pPr>
        <w:spacing w:line="360" w:lineRule="auto"/>
        <w:ind w:left="420"/>
        <w:rPr>
          <w:rFonts w:hint="eastAsia" w:ascii="宋体" w:hAnsi="宋体"/>
          <w:color w:val="auto"/>
          <w:highlight w:val="none"/>
        </w:rPr>
      </w:pPr>
    </w:p>
    <w:p w14:paraId="20E99609">
      <w:pPr>
        <w:spacing w:line="400" w:lineRule="exact"/>
        <w:jc w:val="center"/>
        <w:rPr>
          <w:rFonts w:hint="eastAsia" w:ascii="宋体" w:hAnsi="宋体"/>
          <w:b/>
          <w:bCs/>
          <w:color w:val="auto"/>
          <w:sz w:val="30"/>
          <w:highlight w:val="none"/>
        </w:rPr>
      </w:pPr>
    </w:p>
    <w:p w14:paraId="3C2D9550">
      <w:pPr>
        <w:pStyle w:val="37"/>
        <w:rPr>
          <w:color w:val="auto"/>
          <w:highlight w:val="none"/>
        </w:rPr>
      </w:pPr>
    </w:p>
    <w:p w14:paraId="3BC5E0D3">
      <w:pPr>
        <w:pStyle w:val="37"/>
        <w:rPr>
          <w:color w:val="auto"/>
          <w:highlight w:val="none"/>
        </w:rPr>
      </w:pPr>
    </w:p>
    <w:p w14:paraId="314ED26C">
      <w:pPr>
        <w:pStyle w:val="37"/>
        <w:rPr>
          <w:color w:val="auto"/>
          <w:highlight w:val="none"/>
        </w:rPr>
      </w:pPr>
    </w:p>
    <w:p w14:paraId="37EB55EC">
      <w:pPr>
        <w:jc w:val="center"/>
        <w:outlineLvl w:val="1"/>
        <w:rPr>
          <w:rFonts w:hint="eastAsia" w:ascii="宋体" w:hAnsi="宋体" w:cs="宋体"/>
          <w:color w:val="auto"/>
          <w:sz w:val="28"/>
          <w:szCs w:val="28"/>
          <w:highlight w:val="none"/>
        </w:rPr>
      </w:pPr>
      <w:bookmarkStart w:id="400" w:name="_Toc7442"/>
      <w:r>
        <w:rPr>
          <w:rFonts w:hint="eastAsia" w:ascii="宋体" w:hAnsi="宋体"/>
          <w:b/>
          <w:bCs/>
          <w:color w:val="auto"/>
          <w:szCs w:val="21"/>
          <w:highlight w:val="none"/>
        </w:rPr>
        <w:t>2、投标人认为有必要提供的材料</w:t>
      </w:r>
      <w:bookmarkEnd w:id="400"/>
    </w:p>
    <w:p w14:paraId="5A4C0CA9">
      <w:pPr>
        <w:jc w:val="left"/>
        <w:rPr>
          <w:rFonts w:hint="eastAsia" w:ascii="宋体" w:hAnsi="宋体" w:cs="宋体"/>
          <w:color w:val="auto"/>
          <w:sz w:val="28"/>
          <w:szCs w:val="28"/>
          <w:highlight w:val="none"/>
        </w:rPr>
      </w:pPr>
    </w:p>
    <w:p w14:paraId="328E85A3">
      <w:pPr>
        <w:jc w:val="left"/>
        <w:rPr>
          <w:rFonts w:hint="eastAsia" w:ascii="宋体" w:hAnsi="宋体" w:cs="宋体"/>
          <w:color w:val="auto"/>
          <w:sz w:val="28"/>
          <w:szCs w:val="28"/>
          <w:highlight w:val="none"/>
        </w:rPr>
      </w:pPr>
    </w:p>
    <w:p w14:paraId="20A99AAE">
      <w:pPr>
        <w:jc w:val="left"/>
        <w:rPr>
          <w:rFonts w:hint="eastAsia" w:ascii="宋体" w:hAnsi="宋体" w:cs="宋体"/>
          <w:color w:val="auto"/>
          <w:sz w:val="28"/>
          <w:szCs w:val="28"/>
          <w:highlight w:val="none"/>
        </w:rPr>
      </w:pPr>
    </w:p>
    <w:p w14:paraId="259FBE3C">
      <w:pPr>
        <w:jc w:val="left"/>
        <w:rPr>
          <w:rFonts w:hint="eastAsia" w:ascii="宋体" w:hAnsi="宋体" w:cs="宋体"/>
          <w:color w:val="auto"/>
          <w:sz w:val="28"/>
          <w:szCs w:val="28"/>
          <w:highlight w:val="none"/>
        </w:rPr>
      </w:pPr>
    </w:p>
    <w:p w14:paraId="7C51C009">
      <w:pPr>
        <w:jc w:val="left"/>
        <w:rPr>
          <w:rFonts w:hint="eastAsia" w:ascii="宋体" w:hAnsi="宋体" w:cs="宋体"/>
          <w:color w:val="auto"/>
          <w:sz w:val="28"/>
          <w:szCs w:val="28"/>
          <w:highlight w:val="none"/>
        </w:rPr>
      </w:pPr>
    </w:p>
    <w:p w14:paraId="67411AF8">
      <w:pPr>
        <w:jc w:val="left"/>
        <w:rPr>
          <w:rFonts w:hint="eastAsia" w:ascii="宋体" w:hAnsi="宋体" w:cs="宋体"/>
          <w:color w:val="auto"/>
          <w:sz w:val="28"/>
          <w:szCs w:val="28"/>
          <w:highlight w:val="none"/>
        </w:rPr>
      </w:pPr>
    </w:p>
    <w:p w14:paraId="47B4861E">
      <w:pPr>
        <w:jc w:val="left"/>
        <w:rPr>
          <w:rFonts w:hint="eastAsia" w:ascii="宋体" w:hAnsi="宋体" w:cs="宋体"/>
          <w:color w:val="auto"/>
          <w:sz w:val="28"/>
          <w:szCs w:val="28"/>
          <w:highlight w:val="none"/>
        </w:rPr>
      </w:pPr>
    </w:p>
    <w:p w14:paraId="738A078F">
      <w:pPr>
        <w:jc w:val="left"/>
        <w:rPr>
          <w:rFonts w:hint="eastAsia" w:ascii="宋体" w:hAnsi="宋体" w:cs="宋体"/>
          <w:color w:val="auto"/>
          <w:sz w:val="28"/>
          <w:szCs w:val="28"/>
          <w:highlight w:val="none"/>
        </w:rPr>
      </w:pPr>
    </w:p>
    <w:p w14:paraId="1150F0EA">
      <w:pPr>
        <w:jc w:val="center"/>
        <w:rPr>
          <w:rFonts w:hint="eastAsia" w:hAnsi="宋体"/>
          <w:b/>
          <w:color w:val="auto"/>
          <w:sz w:val="32"/>
          <w:szCs w:val="32"/>
          <w:highlight w:val="none"/>
        </w:rPr>
      </w:pPr>
      <w:bookmarkStart w:id="401" w:name="_Toc11050"/>
      <w:r>
        <w:rPr>
          <w:rFonts w:hint="eastAsia" w:hAnsi="宋体"/>
          <w:b/>
          <w:color w:val="auto"/>
          <w:sz w:val="32"/>
          <w:szCs w:val="32"/>
          <w:highlight w:val="none"/>
        </w:rPr>
        <w:t>十、</w:t>
      </w:r>
      <w:bookmarkEnd w:id="401"/>
      <w:bookmarkStart w:id="402" w:name="_Toc1575"/>
      <w:r>
        <w:rPr>
          <w:rFonts w:hint="eastAsia" w:hAnsi="宋体"/>
          <w:b/>
          <w:color w:val="auto"/>
          <w:sz w:val="32"/>
          <w:szCs w:val="32"/>
          <w:highlight w:val="none"/>
        </w:rPr>
        <w:t>政府采购政策</w:t>
      </w:r>
      <w:bookmarkEnd w:id="402"/>
    </w:p>
    <w:p w14:paraId="6936ED23">
      <w:pPr>
        <w:autoSpaceDE w:val="0"/>
        <w:autoSpaceDN w:val="0"/>
        <w:adjustRightInd w:val="0"/>
        <w:ind w:right="-20"/>
        <w:jc w:val="left"/>
        <w:rPr>
          <w:rFonts w:hint="eastAsia" w:ascii="宋体" w:hAnsi="宋体" w:cs="宋体"/>
          <w:b/>
          <w:bCs/>
          <w:color w:val="auto"/>
          <w:kern w:val="0"/>
          <w:sz w:val="24"/>
          <w:highlight w:val="none"/>
        </w:rPr>
      </w:pPr>
    </w:p>
    <w:p w14:paraId="7B345764">
      <w:pPr>
        <w:autoSpaceDE w:val="0"/>
        <w:autoSpaceDN w:val="0"/>
        <w:adjustRightInd w:val="0"/>
        <w:spacing w:line="400" w:lineRule="exact"/>
        <w:ind w:right="-20"/>
        <w:jc w:val="left"/>
        <w:rPr>
          <w:rFonts w:hint="eastAsia" w:ascii="宋体" w:hAnsi="宋体" w:cs="宋体"/>
          <w:b/>
          <w:bCs/>
          <w:color w:val="auto"/>
          <w:kern w:val="0"/>
          <w:szCs w:val="21"/>
          <w:highlight w:val="none"/>
        </w:rPr>
      </w:pPr>
    </w:p>
    <w:p w14:paraId="220984F3">
      <w:pPr>
        <w:autoSpaceDE w:val="0"/>
        <w:autoSpaceDN w:val="0"/>
        <w:adjustRightInd w:val="0"/>
        <w:spacing w:line="400" w:lineRule="exact"/>
        <w:ind w:right="-20"/>
        <w:jc w:val="lef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w:t>
      </w:r>
      <w:r>
        <w:rPr>
          <w:rFonts w:hint="eastAsia" w:asciiTheme="minorEastAsia" w:hAnsiTheme="minorEastAsia" w:eastAsiaTheme="minorEastAsia" w:cstheme="minorEastAsia"/>
          <w:color w:val="auto"/>
          <w:kern w:val="0"/>
          <w:szCs w:val="21"/>
          <w:highlight w:val="none"/>
        </w:rPr>
        <w:t>1）政府采购政策、采购标的需满足的要求，以及投标人须提供的必要证明材料，否则不予优惠。</w:t>
      </w:r>
    </w:p>
    <w:p w14:paraId="623E2E39">
      <w:pPr>
        <w:pStyle w:val="26"/>
        <w:spacing w:after="0" w:line="400" w:lineRule="exact"/>
        <w:ind w:firstLine="0" w:firstLineChars="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（2）如投标人满足政府采购政策，可按照本章对应格式填写并附相关证明材料。</w:t>
      </w:r>
    </w:p>
    <w:p w14:paraId="068039A5">
      <w:pPr>
        <w:autoSpaceDE w:val="0"/>
        <w:autoSpaceDN w:val="0"/>
        <w:adjustRightInd w:val="0"/>
        <w:spacing w:line="400" w:lineRule="exact"/>
        <w:ind w:right="-2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（3）如果投标人不满足政府采购政策可忽略本章内容。</w:t>
      </w:r>
    </w:p>
    <w:p w14:paraId="003028DD">
      <w:pPr>
        <w:pStyle w:val="5"/>
        <w:numPr>
          <w:ilvl w:val="1"/>
          <w:numId w:val="0"/>
        </w:numPr>
        <w:spacing w:line="240" w:lineRule="auto"/>
        <w:ind w:left="426"/>
        <w:jc w:val="center"/>
        <w:rPr>
          <w:rFonts w:hint="eastAsia" w:ascii="宋体" w:hAnsi="宋体" w:eastAsia="宋体" w:cs="宋体"/>
          <w:color w:val="auto"/>
          <w:sz w:val="24"/>
          <w:szCs w:val="22"/>
          <w:highlight w:val="none"/>
        </w:rPr>
      </w:pPr>
      <w:r>
        <w:rPr>
          <w:rFonts w:hint="eastAsia" w:asciiTheme="minorEastAsia" w:hAnsiTheme="minorEastAsia" w:eastAsiaTheme="minorEastAsia" w:cstheme="minorEastAsia"/>
          <w:color w:val="auto"/>
          <w:sz w:val="21"/>
          <w:szCs w:val="21"/>
          <w:highlight w:val="none"/>
        </w:rPr>
        <w:br w:type="page"/>
      </w:r>
      <w:bookmarkStart w:id="403" w:name="_Toc1057"/>
      <w:bookmarkStart w:id="404" w:name="_Toc29158"/>
      <w:bookmarkStart w:id="405" w:name="_Toc6179"/>
      <w:bookmarkStart w:id="406" w:name="_Toc5710"/>
      <w:bookmarkStart w:id="407" w:name="_Toc2289"/>
      <w:bookmarkStart w:id="408" w:name="_Toc12189"/>
      <w:bookmarkStart w:id="409" w:name="_Toc23719"/>
      <w:bookmarkStart w:id="410" w:name="_Toc5755"/>
      <w:bookmarkStart w:id="411" w:name="_Toc25847"/>
      <w:bookmarkStart w:id="412" w:name="_Toc32024"/>
      <w:bookmarkStart w:id="413" w:name="_Toc1005"/>
      <w:bookmarkStart w:id="414" w:name="_Toc27321"/>
      <w:bookmarkStart w:id="415" w:name="_Toc20664"/>
      <w:r>
        <w:rPr>
          <w:rFonts w:hint="eastAsia" w:asciiTheme="minorEastAsia" w:hAnsiTheme="minorEastAsia" w:eastAsiaTheme="minorEastAsia" w:cstheme="minorEastAsia"/>
          <w:color w:val="auto"/>
          <w:sz w:val="21"/>
          <w:szCs w:val="21"/>
          <w:highlight w:val="none"/>
        </w:rPr>
        <w:t>（</w:t>
      </w:r>
      <w:r>
        <w:rPr>
          <w:rFonts w:hint="eastAsia" w:ascii="宋体" w:hAnsi="宋体" w:eastAsia="宋体" w:cs="宋体"/>
          <w:color w:val="auto"/>
          <w:sz w:val="24"/>
          <w:szCs w:val="22"/>
          <w:highlight w:val="none"/>
        </w:rPr>
        <w:t>一）、关于小、微企业及产品（如有）</w:t>
      </w:r>
      <w:bookmarkEnd w:id="403"/>
      <w:bookmarkEnd w:id="404"/>
      <w:bookmarkEnd w:id="405"/>
      <w:bookmarkEnd w:id="406"/>
      <w:bookmarkEnd w:id="407"/>
      <w:bookmarkEnd w:id="408"/>
      <w:bookmarkEnd w:id="409"/>
      <w:bookmarkEnd w:id="410"/>
      <w:bookmarkEnd w:id="411"/>
      <w:bookmarkEnd w:id="412"/>
      <w:bookmarkEnd w:id="413"/>
      <w:bookmarkEnd w:id="414"/>
      <w:bookmarkEnd w:id="415"/>
    </w:p>
    <w:p w14:paraId="529C696C">
      <w:pPr>
        <w:spacing w:before="156" w:beforeLines="50" w:after="156" w:afterLines="50" w:line="480" w:lineRule="auto"/>
        <w:jc w:val="center"/>
        <w:rPr>
          <w:rFonts w:hint="eastAsia" w:ascii="宋体" w:hAnsi="宋体"/>
          <w:b/>
          <w:color w:val="auto"/>
          <w:sz w:val="22"/>
          <w:szCs w:val="22"/>
          <w:highlight w:val="none"/>
        </w:rPr>
      </w:pPr>
      <w:r>
        <w:rPr>
          <w:rFonts w:hint="eastAsia" w:ascii="宋体" w:hAnsi="宋体"/>
          <w:b/>
          <w:color w:val="auto"/>
          <w:sz w:val="22"/>
          <w:szCs w:val="22"/>
          <w:highlight w:val="none"/>
        </w:rPr>
        <w:t>中小企业声明函</w:t>
      </w:r>
    </w:p>
    <w:p w14:paraId="5585247C">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本公司（联合体）郑重声明，根据《政府采购促进中小企业发展管理办法》（财库﹝2020﹞46 号）的规定，本公司（联合体）参加</w:t>
      </w:r>
      <w:r>
        <w:rPr>
          <w:rFonts w:hint="eastAsia" w:ascii="宋体" w:hAnsi="宋体"/>
          <w:color w:val="auto"/>
          <w:sz w:val="22"/>
          <w:szCs w:val="22"/>
          <w:highlight w:val="none"/>
          <w:u w:val="single"/>
        </w:rPr>
        <w:t xml:space="preserve">  </w:t>
      </w:r>
      <w:r>
        <w:rPr>
          <w:rFonts w:ascii="宋体" w:hAnsi="宋体"/>
          <w:color w:val="auto"/>
          <w:sz w:val="22"/>
          <w:szCs w:val="22"/>
          <w:highlight w:val="none"/>
          <w:u w:val="single"/>
        </w:rPr>
        <w:t xml:space="preserve">  </w:t>
      </w:r>
      <w:r>
        <w:rPr>
          <w:rFonts w:hint="eastAsia" w:ascii="宋体" w:hAnsi="宋体"/>
          <w:color w:val="auto"/>
          <w:sz w:val="22"/>
          <w:szCs w:val="22"/>
          <w:highlight w:val="none"/>
          <w:u w:val="single"/>
        </w:rPr>
        <w:t>（单位名称）</w:t>
      </w:r>
      <w:r>
        <w:rPr>
          <w:rFonts w:hint="eastAsia" w:ascii="宋体" w:hAnsi="宋体"/>
          <w:color w:val="auto"/>
          <w:sz w:val="22"/>
          <w:szCs w:val="22"/>
          <w:highlight w:val="none"/>
        </w:rPr>
        <w:t>的</w:t>
      </w:r>
      <w:r>
        <w:rPr>
          <w:rFonts w:hint="eastAsia" w:ascii="宋体" w:hAnsi="宋体"/>
          <w:color w:val="auto"/>
          <w:sz w:val="22"/>
          <w:szCs w:val="22"/>
          <w:highlight w:val="none"/>
          <w:u w:val="single"/>
        </w:rPr>
        <w:t xml:space="preserve">  </w:t>
      </w:r>
      <w:r>
        <w:rPr>
          <w:rFonts w:ascii="宋体" w:hAnsi="宋体"/>
          <w:color w:val="auto"/>
          <w:sz w:val="22"/>
          <w:szCs w:val="22"/>
          <w:highlight w:val="none"/>
          <w:u w:val="single"/>
        </w:rPr>
        <w:t xml:space="preserve">  </w:t>
      </w:r>
      <w:r>
        <w:rPr>
          <w:rFonts w:hint="eastAsia" w:ascii="宋体" w:hAnsi="宋体"/>
          <w:color w:val="auto"/>
          <w:sz w:val="22"/>
          <w:szCs w:val="22"/>
          <w:highlight w:val="none"/>
          <w:u w:val="single"/>
        </w:rPr>
        <w:t>（项目名称）</w:t>
      </w:r>
      <w:r>
        <w:rPr>
          <w:rFonts w:hint="eastAsia" w:ascii="宋体" w:hAnsi="宋体"/>
          <w:color w:val="auto"/>
          <w:sz w:val="22"/>
          <w:szCs w:val="2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FD57F83">
      <w:pPr>
        <w:spacing w:before="156" w:beforeLines="50" w:after="156" w:afterLines="50" w:line="440" w:lineRule="exact"/>
        <w:ind w:left="239" w:leftChars="114" w:firstLine="220" w:firstLineChars="100"/>
        <w:jc w:val="left"/>
        <w:rPr>
          <w:rFonts w:hint="eastAsia" w:ascii="宋体" w:hAnsi="宋体"/>
          <w:color w:val="auto"/>
          <w:sz w:val="22"/>
          <w:szCs w:val="22"/>
          <w:highlight w:val="none"/>
        </w:rPr>
      </w:pPr>
      <w:r>
        <w:rPr>
          <w:rFonts w:hint="eastAsia" w:ascii="宋体" w:hAnsi="宋体"/>
          <w:color w:val="auto"/>
          <w:sz w:val="22"/>
          <w:szCs w:val="22"/>
          <w:highlight w:val="none"/>
        </w:rPr>
        <w:t>1.</w:t>
      </w:r>
      <w:r>
        <w:rPr>
          <w:rFonts w:hint="eastAsia" w:ascii="宋体" w:hAnsi="宋体"/>
          <w:color w:val="auto"/>
          <w:sz w:val="22"/>
          <w:szCs w:val="22"/>
          <w:highlight w:val="none"/>
          <w:u w:val="single"/>
        </w:rPr>
        <w:t xml:space="preserve">   （标的名称）</w:t>
      </w:r>
      <w:r>
        <w:rPr>
          <w:rFonts w:hint="eastAsia" w:ascii="宋体" w:hAnsi="宋体"/>
          <w:color w:val="auto"/>
          <w:sz w:val="22"/>
          <w:szCs w:val="22"/>
          <w:highlight w:val="none"/>
        </w:rPr>
        <w:t>，属于</w:t>
      </w:r>
      <w:r>
        <w:rPr>
          <w:rFonts w:hint="eastAsia" w:ascii="宋体" w:hAnsi="宋体"/>
          <w:color w:val="auto"/>
          <w:sz w:val="22"/>
          <w:szCs w:val="22"/>
          <w:highlight w:val="none"/>
          <w:u w:val="single"/>
        </w:rPr>
        <w:t xml:space="preserve">   （采购文件中明确的所属行业）</w:t>
      </w:r>
      <w:r>
        <w:rPr>
          <w:rFonts w:hint="eastAsia" w:ascii="宋体" w:hAnsi="宋体"/>
          <w:color w:val="auto"/>
          <w:sz w:val="22"/>
          <w:szCs w:val="22"/>
          <w:highlight w:val="none"/>
        </w:rPr>
        <w:t>；承建（承接）企业为</w:t>
      </w:r>
      <w:r>
        <w:rPr>
          <w:rFonts w:hint="eastAsia" w:ascii="宋体" w:hAnsi="宋体"/>
          <w:color w:val="auto"/>
          <w:sz w:val="22"/>
          <w:szCs w:val="22"/>
          <w:highlight w:val="none"/>
          <w:u w:val="single"/>
        </w:rPr>
        <w:t xml:space="preserve">  （企业名称）</w:t>
      </w:r>
      <w:r>
        <w:rPr>
          <w:rFonts w:hint="eastAsia" w:ascii="宋体" w:hAnsi="宋体"/>
          <w:color w:val="auto"/>
          <w:sz w:val="22"/>
          <w:szCs w:val="22"/>
          <w:highlight w:val="none"/>
        </w:rPr>
        <w:t>，从业人员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万元，属于</w:t>
      </w:r>
      <w:r>
        <w:rPr>
          <w:rFonts w:hint="eastAsia" w:ascii="宋体" w:hAnsi="宋体"/>
          <w:color w:val="auto"/>
          <w:sz w:val="22"/>
          <w:szCs w:val="22"/>
          <w:highlight w:val="none"/>
          <w:u w:val="single"/>
        </w:rPr>
        <w:t xml:space="preserve">       （中型企业、小型企业、微型企业）</w:t>
      </w:r>
      <w:r>
        <w:rPr>
          <w:rFonts w:hint="eastAsia" w:ascii="宋体" w:hAnsi="宋体"/>
          <w:color w:val="auto"/>
          <w:sz w:val="22"/>
          <w:szCs w:val="22"/>
          <w:highlight w:val="none"/>
        </w:rPr>
        <w:t>；</w:t>
      </w:r>
    </w:p>
    <w:p w14:paraId="6C89B5F4">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2.</w:t>
      </w:r>
      <w:r>
        <w:rPr>
          <w:rFonts w:hint="eastAsia" w:ascii="宋体" w:hAnsi="宋体"/>
          <w:color w:val="auto"/>
          <w:sz w:val="22"/>
          <w:szCs w:val="22"/>
          <w:highlight w:val="none"/>
          <w:u w:val="single"/>
        </w:rPr>
        <w:t xml:space="preserve">   （标的名称）</w:t>
      </w:r>
      <w:r>
        <w:rPr>
          <w:rFonts w:hint="eastAsia" w:ascii="宋体" w:hAnsi="宋体"/>
          <w:color w:val="auto"/>
          <w:sz w:val="22"/>
          <w:szCs w:val="22"/>
          <w:highlight w:val="none"/>
        </w:rPr>
        <w:t>，属于</w:t>
      </w:r>
      <w:r>
        <w:rPr>
          <w:rFonts w:hint="eastAsia" w:ascii="宋体" w:hAnsi="宋体"/>
          <w:color w:val="auto"/>
          <w:sz w:val="22"/>
          <w:szCs w:val="22"/>
          <w:highlight w:val="none"/>
          <w:u w:val="single"/>
        </w:rPr>
        <w:t xml:space="preserve">   （采购文件中明确的所属行业）</w:t>
      </w:r>
      <w:r>
        <w:rPr>
          <w:rFonts w:hint="eastAsia" w:ascii="宋体" w:hAnsi="宋体"/>
          <w:color w:val="auto"/>
          <w:sz w:val="22"/>
          <w:szCs w:val="22"/>
          <w:highlight w:val="none"/>
        </w:rPr>
        <w:t>；承建（承接）企业为</w:t>
      </w:r>
      <w:r>
        <w:rPr>
          <w:rFonts w:hint="eastAsia" w:ascii="宋体" w:hAnsi="宋体"/>
          <w:color w:val="auto"/>
          <w:sz w:val="22"/>
          <w:szCs w:val="22"/>
          <w:highlight w:val="none"/>
          <w:u w:val="single"/>
        </w:rPr>
        <w:t xml:space="preserve">  （企业名称）</w:t>
      </w:r>
      <w:r>
        <w:rPr>
          <w:rFonts w:hint="eastAsia" w:ascii="宋体" w:hAnsi="宋体"/>
          <w:color w:val="auto"/>
          <w:sz w:val="22"/>
          <w:szCs w:val="22"/>
          <w:highlight w:val="none"/>
        </w:rPr>
        <w:t>，从业人员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u w:val="single"/>
        </w:rPr>
        <w:tab/>
      </w:r>
      <w:r>
        <w:rPr>
          <w:rFonts w:hint="eastAsia" w:ascii="宋体" w:hAnsi="宋体"/>
          <w:color w:val="auto"/>
          <w:sz w:val="22"/>
          <w:szCs w:val="22"/>
          <w:highlight w:val="none"/>
        </w:rPr>
        <w:t>万元，属于</w:t>
      </w:r>
      <w:r>
        <w:rPr>
          <w:rFonts w:hint="eastAsia" w:ascii="宋体" w:hAnsi="宋体"/>
          <w:color w:val="auto"/>
          <w:sz w:val="22"/>
          <w:szCs w:val="22"/>
          <w:highlight w:val="none"/>
          <w:u w:val="single"/>
        </w:rPr>
        <w:t xml:space="preserve">       （中型企业、小型企业、微型企业）</w:t>
      </w:r>
      <w:r>
        <w:rPr>
          <w:rFonts w:hint="eastAsia" w:ascii="宋体" w:hAnsi="宋体"/>
          <w:color w:val="auto"/>
          <w:sz w:val="22"/>
          <w:szCs w:val="22"/>
          <w:highlight w:val="none"/>
        </w:rPr>
        <w:t>；</w:t>
      </w:r>
    </w:p>
    <w:p w14:paraId="7A164B19">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w:t>
      </w:r>
    </w:p>
    <w:p w14:paraId="444BE8DB">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以上企业，不属于大企业的分支机构，不存在控股股东为大企业的情形，也不存在与大企业的负责人为同一人的情形。</w:t>
      </w:r>
    </w:p>
    <w:p w14:paraId="2F30ED41">
      <w:pPr>
        <w:spacing w:before="156" w:beforeLines="50" w:after="156" w:afterLines="50" w:line="440" w:lineRule="exact"/>
        <w:ind w:firstLine="440" w:firstLineChars="200"/>
        <w:jc w:val="left"/>
        <w:rPr>
          <w:rFonts w:hint="eastAsia" w:ascii="宋体" w:hAnsi="宋体"/>
          <w:color w:val="auto"/>
          <w:sz w:val="22"/>
          <w:szCs w:val="22"/>
          <w:highlight w:val="none"/>
        </w:rPr>
      </w:pPr>
      <w:r>
        <w:rPr>
          <w:rFonts w:hint="eastAsia" w:ascii="宋体" w:hAnsi="宋体"/>
          <w:color w:val="auto"/>
          <w:sz w:val="22"/>
          <w:szCs w:val="22"/>
          <w:highlight w:val="none"/>
        </w:rPr>
        <w:t>本企业对上述声明内容的真实性负责。如有虚假，将依法承担相应责任。</w:t>
      </w:r>
    </w:p>
    <w:p w14:paraId="030AAC56">
      <w:pPr>
        <w:wordWrap w:val="0"/>
        <w:spacing w:line="420" w:lineRule="auto"/>
        <w:ind w:firstLine="3084"/>
        <w:jc w:val="right"/>
        <w:rPr>
          <w:rFonts w:hint="eastAsia" w:ascii="宋体" w:hAnsi="宋体"/>
          <w:color w:val="auto"/>
          <w:sz w:val="22"/>
          <w:szCs w:val="22"/>
          <w:highlight w:val="none"/>
        </w:rPr>
      </w:pPr>
    </w:p>
    <w:p w14:paraId="4B820AED">
      <w:pPr>
        <w:wordWrap w:val="0"/>
        <w:spacing w:line="420" w:lineRule="auto"/>
        <w:ind w:firstLine="3084"/>
        <w:jc w:val="right"/>
        <w:rPr>
          <w:rFonts w:hint="eastAsia" w:ascii="宋体" w:hAnsi="宋体" w:cs="楷体"/>
          <w:color w:val="auto"/>
          <w:sz w:val="22"/>
          <w:szCs w:val="22"/>
          <w:highlight w:val="none"/>
          <w:u w:val="single"/>
        </w:rPr>
      </w:pPr>
      <w:r>
        <w:rPr>
          <w:rFonts w:hint="eastAsia" w:ascii="宋体" w:hAnsi="宋体"/>
          <w:color w:val="auto"/>
          <w:sz w:val="22"/>
          <w:szCs w:val="22"/>
          <w:highlight w:val="none"/>
        </w:rPr>
        <w:t>企业名称（盖单位电子章）</w:t>
      </w:r>
      <w:r>
        <w:rPr>
          <w:rFonts w:hint="eastAsia" w:ascii="宋体" w:hAnsi="宋体"/>
          <w:color w:val="auto"/>
          <w:sz w:val="22"/>
          <w:szCs w:val="22"/>
          <w:highlight w:val="none"/>
          <w:u w:val="single"/>
        </w:rPr>
        <w:t>：</w:t>
      </w:r>
      <w:r>
        <w:rPr>
          <w:rFonts w:hint="eastAsia" w:ascii="宋体" w:hAnsi="宋体" w:cs="楷体"/>
          <w:color w:val="auto"/>
          <w:sz w:val="22"/>
          <w:szCs w:val="22"/>
          <w:highlight w:val="none"/>
          <w:u w:val="single"/>
        </w:rPr>
        <w:t xml:space="preserve">              </w:t>
      </w:r>
    </w:p>
    <w:p w14:paraId="56E9FBF7">
      <w:pPr>
        <w:wordWrap w:val="0"/>
        <w:spacing w:line="420" w:lineRule="auto"/>
        <w:ind w:firstLine="3084"/>
        <w:jc w:val="right"/>
        <w:rPr>
          <w:rFonts w:hint="eastAsia" w:ascii="宋体" w:hAnsi="宋体" w:cs="楷体"/>
          <w:color w:val="auto"/>
          <w:sz w:val="22"/>
          <w:szCs w:val="22"/>
          <w:highlight w:val="none"/>
          <w:u w:val="single"/>
        </w:rPr>
      </w:pPr>
      <w:r>
        <w:rPr>
          <w:rFonts w:hint="eastAsia" w:ascii="宋体" w:hAnsi="宋体"/>
          <w:color w:val="auto"/>
          <w:sz w:val="22"/>
          <w:szCs w:val="22"/>
          <w:highlight w:val="none"/>
        </w:rPr>
        <w:t xml:space="preserve">                日期</w:t>
      </w:r>
      <w:r>
        <w:rPr>
          <w:rFonts w:hint="eastAsia" w:ascii="宋体" w:hAnsi="宋体"/>
          <w:color w:val="auto"/>
          <w:sz w:val="22"/>
          <w:szCs w:val="22"/>
          <w:highlight w:val="none"/>
          <w:u w:val="single"/>
        </w:rPr>
        <w:t>：</w:t>
      </w:r>
      <w:r>
        <w:rPr>
          <w:rFonts w:hint="eastAsia" w:ascii="宋体" w:hAnsi="宋体" w:cs="楷体"/>
          <w:color w:val="auto"/>
          <w:sz w:val="22"/>
          <w:szCs w:val="22"/>
          <w:highlight w:val="none"/>
          <w:u w:val="single"/>
        </w:rPr>
        <w:t xml:space="preserve">     年     月    日</w:t>
      </w:r>
    </w:p>
    <w:p w14:paraId="697429B7">
      <w:pPr>
        <w:spacing w:line="360" w:lineRule="auto"/>
        <w:rPr>
          <w:rFonts w:hint="eastAsia" w:ascii="宋体" w:hAnsi="宋体" w:cs="宋体"/>
          <w:color w:val="auto"/>
          <w:spacing w:val="6"/>
          <w:sz w:val="22"/>
          <w:szCs w:val="22"/>
          <w:highlight w:val="none"/>
        </w:rPr>
      </w:pPr>
    </w:p>
    <w:p w14:paraId="28713C68">
      <w:pPr>
        <w:rPr>
          <w:rFonts w:hint="eastAsia" w:ascii="宋体" w:hAnsi="宋体"/>
          <w:color w:val="auto"/>
          <w:sz w:val="22"/>
          <w:szCs w:val="22"/>
          <w:highlight w:val="none"/>
        </w:rPr>
      </w:pPr>
    </w:p>
    <w:p w14:paraId="1B271CFA">
      <w:pPr>
        <w:rPr>
          <w:rFonts w:hint="eastAsia" w:ascii="宋体" w:hAnsi="宋体"/>
          <w:color w:val="auto"/>
          <w:sz w:val="22"/>
          <w:szCs w:val="22"/>
          <w:highlight w:val="none"/>
        </w:rPr>
      </w:pPr>
    </w:p>
    <w:p w14:paraId="468F6954">
      <w:pPr>
        <w:spacing w:line="400" w:lineRule="exact"/>
        <w:jc w:val="left"/>
        <w:rPr>
          <w:rFonts w:hint="eastAsia" w:ascii="宋体" w:hAnsi="宋体"/>
          <w:b/>
          <w:color w:val="auto"/>
          <w:sz w:val="22"/>
          <w:szCs w:val="22"/>
          <w:highlight w:val="none"/>
        </w:rPr>
      </w:pPr>
      <w:r>
        <w:rPr>
          <w:rFonts w:hint="eastAsia" w:ascii="宋体" w:hAnsi="宋体"/>
          <w:b/>
          <w:color w:val="auto"/>
          <w:sz w:val="22"/>
          <w:szCs w:val="22"/>
          <w:highlight w:val="none"/>
        </w:rPr>
        <w:t>注：1、从业人员、营业收入、资产总额填报上一年度数据，无上一年度数据的新成立企业可不填报。</w:t>
      </w:r>
    </w:p>
    <w:p w14:paraId="06C89270">
      <w:pPr>
        <w:spacing w:line="400" w:lineRule="exact"/>
        <w:jc w:val="left"/>
        <w:rPr>
          <w:rFonts w:hint="eastAsia" w:ascii="宋体" w:hAnsi="宋体"/>
          <w:b/>
          <w:color w:val="auto"/>
          <w:sz w:val="22"/>
          <w:szCs w:val="22"/>
          <w:highlight w:val="none"/>
        </w:rPr>
      </w:pPr>
      <w:r>
        <w:rPr>
          <w:rFonts w:hint="eastAsia" w:ascii="宋体" w:hAnsi="宋体"/>
          <w:b/>
          <w:color w:val="auto"/>
          <w:sz w:val="22"/>
          <w:szCs w:val="22"/>
          <w:highlight w:val="none"/>
        </w:rPr>
        <w:t>2、中标人的本声明函随中标结果同时公布，接受其他投标人和社会监督。</w:t>
      </w:r>
    </w:p>
    <w:p w14:paraId="57A67AC6">
      <w:pPr>
        <w:rPr>
          <w:rFonts w:hint="eastAsia" w:ascii="宋体" w:hAnsi="宋体"/>
          <w:color w:val="auto"/>
          <w:highlight w:val="none"/>
        </w:rPr>
      </w:pPr>
    </w:p>
    <w:p w14:paraId="28C0DE97">
      <w:pPr>
        <w:pStyle w:val="37"/>
        <w:rPr>
          <w:color w:val="auto"/>
          <w:highlight w:val="none"/>
        </w:rPr>
      </w:pPr>
    </w:p>
    <w:p w14:paraId="0A280679">
      <w:pPr>
        <w:pStyle w:val="15"/>
        <w:jc w:val="center"/>
        <w:rPr>
          <w:rFonts w:hint="eastAsia" w:hAnsi="宋体" w:cs="宋体"/>
          <w:b/>
          <w:bCs/>
          <w:color w:val="auto"/>
          <w:sz w:val="24"/>
          <w:szCs w:val="24"/>
          <w:highlight w:val="none"/>
        </w:rPr>
      </w:pPr>
    </w:p>
    <w:p w14:paraId="3C8D0B9A">
      <w:pPr>
        <w:pStyle w:val="15"/>
        <w:jc w:val="center"/>
        <w:rPr>
          <w:rFonts w:hint="eastAsia" w:hAnsi="宋体" w:cs="宋体"/>
          <w:b/>
          <w:bCs/>
          <w:color w:val="auto"/>
          <w:sz w:val="24"/>
          <w:szCs w:val="24"/>
          <w:highlight w:val="none"/>
        </w:rPr>
      </w:pPr>
    </w:p>
    <w:p w14:paraId="0A02DCE7">
      <w:pPr>
        <w:pStyle w:val="15"/>
        <w:jc w:val="center"/>
        <w:rPr>
          <w:rFonts w:hint="eastAsia" w:hAnsi="宋体" w:cs="宋体"/>
          <w:b/>
          <w:bCs/>
          <w:color w:val="auto"/>
          <w:sz w:val="24"/>
          <w:szCs w:val="24"/>
          <w:highlight w:val="none"/>
        </w:rPr>
      </w:pPr>
    </w:p>
    <w:p w14:paraId="2AE1481C">
      <w:pPr>
        <w:pStyle w:val="15"/>
        <w:jc w:val="center"/>
        <w:rPr>
          <w:rFonts w:hint="eastAsia" w:hAnsi="宋体" w:cs="宋体"/>
          <w:color w:val="auto"/>
          <w:sz w:val="24"/>
          <w:szCs w:val="24"/>
          <w:highlight w:val="none"/>
        </w:rPr>
      </w:pPr>
      <w:r>
        <w:rPr>
          <w:rFonts w:hint="eastAsia" w:hAnsi="宋体" w:cs="宋体"/>
          <w:b/>
          <w:bCs/>
          <w:color w:val="auto"/>
          <w:sz w:val="24"/>
          <w:szCs w:val="24"/>
          <w:highlight w:val="none"/>
        </w:rPr>
        <w:t>（二）、关于监狱企业（如有）</w:t>
      </w:r>
    </w:p>
    <w:p w14:paraId="1F982ADF">
      <w:pPr>
        <w:widowControl/>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1、政府采购政策</w:t>
      </w:r>
    </w:p>
    <w:p w14:paraId="2BB178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财政部、司法部关于政府采购支持监狱企业发展有关问题的通知（财库【2014】68号）</w:t>
      </w:r>
    </w:p>
    <w:p w14:paraId="526A23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cs="宋体"/>
          <w:color w:val="auto"/>
          <w:kern w:val="0"/>
          <w:szCs w:val="21"/>
          <w:highlight w:val="none"/>
        </w:rPr>
      </w:pPr>
    </w:p>
    <w:p w14:paraId="4CE35EEC">
      <w:pPr>
        <w:widowControl/>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2、附证明材料</w:t>
      </w:r>
    </w:p>
    <w:p w14:paraId="49BD5721">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提供由省级以上监狱管理局、戒毒管理局（含新疆生产建设兵团）出具的属于监狱企业的证明文件，否则投标报价评审时不予价格扣除优惠。</w:t>
      </w:r>
    </w:p>
    <w:p w14:paraId="7FC46D31">
      <w:pPr>
        <w:pStyle w:val="37"/>
        <w:spacing w:line="360" w:lineRule="auto"/>
        <w:rPr>
          <w:rFonts w:hint="eastAsia" w:hAnsi="宋体"/>
          <w:color w:val="auto"/>
          <w:sz w:val="21"/>
          <w:szCs w:val="21"/>
          <w:highlight w:val="none"/>
        </w:rPr>
      </w:pPr>
    </w:p>
    <w:p w14:paraId="2D9DF9B2">
      <w:pPr>
        <w:pStyle w:val="37"/>
        <w:rPr>
          <w:rFonts w:hint="eastAsia" w:hAnsi="宋体"/>
          <w:color w:val="auto"/>
          <w:szCs w:val="16"/>
          <w:highlight w:val="none"/>
        </w:rPr>
      </w:pPr>
    </w:p>
    <w:p w14:paraId="2080F61C">
      <w:pPr>
        <w:pStyle w:val="37"/>
        <w:rPr>
          <w:rFonts w:hint="eastAsia" w:hAnsi="宋体"/>
          <w:color w:val="auto"/>
          <w:szCs w:val="16"/>
          <w:highlight w:val="none"/>
        </w:rPr>
      </w:pPr>
    </w:p>
    <w:p w14:paraId="0E6E5EDA">
      <w:pPr>
        <w:pStyle w:val="37"/>
        <w:rPr>
          <w:rFonts w:hint="eastAsia" w:hAnsi="宋体"/>
          <w:color w:val="auto"/>
          <w:szCs w:val="16"/>
          <w:highlight w:val="none"/>
        </w:rPr>
      </w:pPr>
    </w:p>
    <w:p w14:paraId="3B397A08">
      <w:pPr>
        <w:pStyle w:val="37"/>
        <w:rPr>
          <w:rFonts w:hint="eastAsia" w:hAnsi="宋体"/>
          <w:color w:val="auto"/>
          <w:szCs w:val="16"/>
          <w:highlight w:val="none"/>
        </w:rPr>
      </w:pPr>
    </w:p>
    <w:p w14:paraId="270B5E86">
      <w:pPr>
        <w:pStyle w:val="37"/>
        <w:rPr>
          <w:rFonts w:hint="eastAsia" w:hAnsi="宋体"/>
          <w:color w:val="auto"/>
          <w:szCs w:val="16"/>
          <w:highlight w:val="none"/>
        </w:rPr>
      </w:pPr>
    </w:p>
    <w:p w14:paraId="7A35F771">
      <w:pPr>
        <w:pStyle w:val="37"/>
        <w:rPr>
          <w:rFonts w:hint="eastAsia" w:hAnsi="宋体"/>
          <w:color w:val="auto"/>
          <w:szCs w:val="16"/>
          <w:highlight w:val="none"/>
        </w:rPr>
      </w:pPr>
    </w:p>
    <w:p w14:paraId="0362B62C">
      <w:pPr>
        <w:pStyle w:val="37"/>
        <w:rPr>
          <w:rFonts w:hint="eastAsia" w:hAnsi="宋体"/>
          <w:color w:val="auto"/>
          <w:szCs w:val="16"/>
          <w:highlight w:val="none"/>
        </w:rPr>
      </w:pPr>
    </w:p>
    <w:p w14:paraId="7CF35CDE">
      <w:pPr>
        <w:pStyle w:val="37"/>
        <w:rPr>
          <w:rFonts w:hint="eastAsia" w:hAnsi="宋体"/>
          <w:color w:val="auto"/>
          <w:szCs w:val="16"/>
          <w:highlight w:val="none"/>
        </w:rPr>
      </w:pPr>
    </w:p>
    <w:p w14:paraId="1F3EBB45">
      <w:pPr>
        <w:pStyle w:val="37"/>
        <w:rPr>
          <w:rFonts w:hint="eastAsia" w:hAnsi="宋体"/>
          <w:color w:val="auto"/>
          <w:szCs w:val="16"/>
          <w:highlight w:val="none"/>
        </w:rPr>
      </w:pPr>
    </w:p>
    <w:p w14:paraId="44A2FB0A">
      <w:pPr>
        <w:pStyle w:val="37"/>
        <w:rPr>
          <w:rFonts w:hint="eastAsia" w:hAnsi="宋体"/>
          <w:color w:val="auto"/>
          <w:szCs w:val="16"/>
          <w:highlight w:val="none"/>
        </w:rPr>
      </w:pPr>
    </w:p>
    <w:p w14:paraId="3B859895">
      <w:pPr>
        <w:pStyle w:val="37"/>
        <w:rPr>
          <w:rFonts w:hint="eastAsia" w:hAnsi="宋体"/>
          <w:color w:val="auto"/>
          <w:szCs w:val="16"/>
          <w:highlight w:val="none"/>
        </w:rPr>
      </w:pPr>
    </w:p>
    <w:p w14:paraId="0F3B5FD4">
      <w:pPr>
        <w:pStyle w:val="37"/>
        <w:rPr>
          <w:rFonts w:hint="eastAsia" w:hAnsi="宋体"/>
          <w:color w:val="auto"/>
          <w:szCs w:val="16"/>
          <w:highlight w:val="none"/>
        </w:rPr>
      </w:pPr>
    </w:p>
    <w:p w14:paraId="73D7F75E">
      <w:pPr>
        <w:pStyle w:val="37"/>
        <w:rPr>
          <w:rFonts w:hint="eastAsia" w:hAnsi="宋体"/>
          <w:color w:val="auto"/>
          <w:szCs w:val="16"/>
          <w:highlight w:val="none"/>
        </w:rPr>
      </w:pPr>
    </w:p>
    <w:p w14:paraId="3F39C98F">
      <w:pPr>
        <w:pStyle w:val="37"/>
        <w:rPr>
          <w:rFonts w:hint="eastAsia" w:hAnsi="宋体"/>
          <w:color w:val="auto"/>
          <w:szCs w:val="16"/>
          <w:highlight w:val="none"/>
        </w:rPr>
      </w:pPr>
    </w:p>
    <w:p w14:paraId="26F648E5">
      <w:pPr>
        <w:pStyle w:val="37"/>
        <w:rPr>
          <w:rFonts w:hint="eastAsia" w:hAnsi="宋体"/>
          <w:color w:val="auto"/>
          <w:szCs w:val="16"/>
          <w:highlight w:val="none"/>
        </w:rPr>
      </w:pPr>
    </w:p>
    <w:p w14:paraId="515739C7">
      <w:pPr>
        <w:pStyle w:val="37"/>
        <w:rPr>
          <w:rFonts w:hint="eastAsia" w:hAnsi="宋体"/>
          <w:color w:val="auto"/>
          <w:szCs w:val="16"/>
          <w:highlight w:val="none"/>
        </w:rPr>
      </w:pPr>
    </w:p>
    <w:p w14:paraId="1A50772A">
      <w:pPr>
        <w:pStyle w:val="37"/>
        <w:rPr>
          <w:rFonts w:hint="eastAsia" w:hAnsi="宋体"/>
          <w:color w:val="auto"/>
          <w:szCs w:val="16"/>
          <w:highlight w:val="none"/>
        </w:rPr>
      </w:pPr>
    </w:p>
    <w:p w14:paraId="1BF84101">
      <w:pPr>
        <w:pStyle w:val="37"/>
        <w:rPr>
          <w:rFonts w:hint="eastAsia" w:hAnsi="宋体"/>
          <w:color w:val="auto"/>
          <w:szCs w:val="16"/>
          <w:highlight w:val="none"/>
        </w:rPr>
      </w:pPr>
    </w:p>
    <w:p w14:paraId="1DE2866D">
      <w:pPr>
        <w:pStyle w:val="37"/>
        <w:rPr>
          <w:rFonts w:hint="eastAsia" w:hAnsi="宋体"/>
          <w:color w:val="auto"/>
          <w:szCs w:val="16"/>
          <w:highlight w:val="none"/>
        </w:rPr>
      </w:pPr>
    </w:p>
    <w:p w14:paraId="164BCCE1">
      <w:pPr>
        <w:pStyle w:val="37"/>
        <w:rPr>
          <w:rFonts w:hint="eastAsia" w:hAnsi="宋体"/>
          <w:color w:val="auto"/>
          <w:szCs w:val="16"/>
          <w:highlight w:val="none"/>
        </w:rPr>
      </w:pPr>
    </w:p>
    <w:p w14:paraId="74FF9FF0">
      <w:pPr>
        <w:pStyle w:val="37"/>
        <w:rPr>
          <w:rFonts w:hint="eastAsia" w:hAnsi="宋体"/>
          <w:color w:val="auto"/>
          <w:szCs w:val="16"/>
          <w:highlight w:val="none"/>
        </w:rPr>
      </w:pPr>
    </w:p>
    <w:p w14:paraId="0DA7AFFA">
      <w:pPr>
        <w:pStyle w:val="37"/>
        <w:rPr>
          <w:rFonts w:hint="eastAsia" w:hAnsi="宋体"/>
          <w:color w:val="auto"/>
          <w:szCs w:val="16"/>
          <w:highlight w:val="none"/>
        </w:rPr>
      </w:pPr>
    </w:p>
    <w:p w14:paraId="7516D1F9">
      <w:pPr>
        <w:pStyle w:val="37"/>
        <w:rPr>
          <w:rFonts w:hint="eastAsia" w:hAnsi="宋体"/>
          <w:color w:val="auto"/>
          <w:szCs w:val="16"/>
          <w:highlight w:val="none"/>
        </w:rPr>
      </w:pPr>
    </w:p>
    <w:p w14:paraId="07823A97">
      <w:pPr>
        <w:pStyle w:val="37"/>
        <w:rPr>
          <w:rFonts w:hint="eastAsia" w:hAnsi="宋体"/>
          <w:color w:val="auto"/>
          <w:szCs w:val="16"/>
          <w:highlight w:val="none"/>
        </w:rPr>
      </w:pPr>
    </w:p>
    <w:p w14:paraId="2A0E7385">
      <w:pPr>
        <w:pStyle w:val="37"/>
        <w:rPr>
          <w:rFonts w:hint="eastAsia" w:hAnsi="宋体"/>
          <w:color w:val="auto"/>
          <w:szCs w:val="16"/>
          <w:highlight w:val="none"/>
        </w:rPr>
      </w:pPr>
    </w:p>
    <w:p w14:paraId="077285CB">
      <w:pPr>
        <w:pStyle w:val="37"/>
        <w:rPr>
          <w:rFonts w:hint="eastAsia" w:hAnsi="宋体"/>
          <w:color w:val="auto"/>
          <w:szCs w:val="16"/>
          <w:highlight w:val="none"/>
        </w:rPr>
      </w:pPr>
    </w:p>
    <w:p w14:paraId="4F83735E">
      <w:pPr>
        <w:pStyle w:val="38"/>
        <w:rPr>
          <w:color w:val="auto"/>
          <w:highlight w:val="none"/>
        </w:rPr>
      </w:pPr>
    </w:p>
    <w:p w14:paraId="00EDC6F4">
      <w:pPr>
        <w:pStyle w:val="37"/>
        <w:rPr>
          <w:rFonts w:hint="eastAsia" w:hAnsi="宋体"/>
          <w:color w:val="auto"/>
          <w:szCs w:val="16"/>
          <w:highlight w:val="none"/>
        </w:rPr>
      </w:pPr>
    </w:p>
    <w:p w14:paraId="3CF61E09">
      <w:pPr>
        <w:pStyle w:val="37"/>
        <w:rPr>
          <w:rFonts w:hint="eastAsia" w:hAnsi="宋体"/>
          <w:color w:val="auto"/>
          <w:szCs w:val="16"/>
          <w:highlight w:val="none"/>
        </w:rPr>
      </w:pPr>
    </w:p>
    <w:p w14:paraId="48EB1D3B">
      <w:pPr>
        <w:pStyle w:val="37"/>
        <w:rPr>
          <w:rFonts w:hint="eastAsia" w:hAnsi="宋体"/>
          <w:color w:val="auto"/>
          <w:szCs w:val="16"/>
          <w:highlight w:val="none"/>
        </w:rPr>
      </w:pPr>
    </w:p>
    <w:p w14:paraId="7ECD3D31">
      <w:pPr>
        <w:pStyle w:val="37"/>
        <w:rPr>
          <w:rFonts w:hint="eastAsia" w:hAnsi="宋体"/>
          <w:color w:val="auto"/>
          <w:szCs w:val="16"/>
          <w:highlight w:val="none"/>
        </w:rPr>
      </w:pPr>
    </w:p>
    <w:p w14:paraId="22B17C0F">
      <w:pPr>
        <w:pStyle w:val="37"/>
        <w:rPr>
          <w:rFonts w:hint="eastAsia" w:hAnsi="宋体"/>
          <w:color w:val="auto"/>
          <w:szCs w:val="16"/>
          <w:highlight w:val="none"/>
        </w:rPr>
      </w:pPr>
    </w:p>
    <w:p w14:paraId="0DF11DA6">
      <w:pPr>
        <w:pStyle w:val="37"/>
        <w:rPr>
          <w:rFonts w:hint="eastAsia" w:hAnsi="宋体"/>
          <w:color w:val="auto"/>
          <w:szCs w:val="16"/>
          <w:highlight w:val="none"/>
        </w:rPr>
      </w:pPr>
    </w:p>
    <w:p w14:paraId="760B26BE">
      <w:pPr>
        <w:widowControl/>
        <w:jc w:val="center"/>
        <w:rPr>
          <w:rFonts w:hint="eastAsia" w:ascii="宋体" w:hAnsi="宋体" w:cs="宋体"/>
          <w:color w:val="auto"/>
          <w:sz w:val="24"/>
          <w:highlight w:val="none"/>
        </w:rPr>
      </w:pPr>
      <w:r>
        <w:rPr>
          <w:rFonts w:hint="eastAsia" w:ascii="宋体" w:hAnsi="宋体" w:cs="宋体"/>
          <w:b/>
          <w:bCs/>
          <w:color w:val="auto"/>
          <w:sz w:val="24"/>
          <w:highlight w:val="none"/>
        </w:rPr>
        <w:t>（三）、关于促进残疾人就业的政府采购政策（如有）</w:t>
      </w:r>
    </w:p>
    <w:p w14:paraId="24DA4521">
      <w:pPr>
        <w:widowControl/>
        <w:jc w:val="center"/>
        <w:rPr>
          <w:rFonts w:hint="eastAsia" w:ascii="宋体" w:hAnsi="宋体" w:cs="宋体"/>
          <w:color w:val="auto"/>
          <w:sz w:val="24"/>
          <w:szCs w:val="16"/>
          <w:highlight w:val="none"/>
        </w:rPr>
      </w:pPr>
      <w:bookmarkStart w:id="416" w:name="sendNo"/>
    </w:p>
    <w:p w14:paraId="649AD170">
      <w:pPr>
        <w:widowControl/>
        <w:numPr>
          <w:ilvl w:val="0"/>
          <w:numId w:val="4"/>
        </w:num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政府采购政策</w:t>
      </w:r>
    </w:p>
    <w:p w14:paraId="22619659">
      <w:pPr>
        <w:widowControl/>
        <w:spacing w:line="360" w:lineRule="auto"/>
        <w:ind w:left="360"/>
        <w:jc w:val="left"/>
        <w:rPr>
          <w:rFonts w:hint="eastAsia" w:ascii="宋体" w:hAnsi="宋体" w:cs="宋体"/>
          <w:color w:val="auto"/>
          <w:szCs w:val="21"/>
          <w:highlight w:val="none"/>
        </w:rPr>
      </w:pPr>
      <w:r>
        <w:rPr>
          <w:rFonts w:hint="eastAsia" w:ascii="宋体" w:hAnsi="宋体" w:cs="宋体"/>
          <w:color w:val="auto"/>
          <w:szCs w:val="21"/>
          <w:highlight w:val="none"/>
        </w:rPr>
        <w:t>关于促进残疾人就业政府采购政策的通知（财库〔2017〕141号）</w:t>
      </w:r>
    </w:p>
    <w:p w14:paraId="14D193F3">
      <w:pPr>
        <w:widowControl/>
        <w:spacing w:line="360" w:lineRule="auto"/>
        <w:jc w:val="left"/>
        <w:rPr>
          <w:rFonts w:hint="eastAsia" w:ascii="宋体" w:hAnsi="宋体" w:cs="宋体"/>
          <w:b/>
          <w:color w:val="auto"/>
          <w:kern w:val="0"/>
          <w:szCs w:val="21"/>
          <w:highlight w:val="none"/>
        </w:rPr>
      </w:pPr>
      <w:bookmarkStart w:id="417" w:name="toDeptId"/>
      <w:r>
        <w:rPr>
          <w:rFonts w:hint="eastAsia" w:ascii="宋体" w:hAnsi="宋体" w:cs="宋体"/>
          <w:b/>
          <w:color w:val="auto"/>
          <w:kern w:val="0"/>
          <w:szCs w:val="21"/>
          <w:highlight w:val="none"/>
        </w:rPr>
        <w:t>2、附声明函（</w:t>
      </w:r>
      <w:r>
        <w:rPr>
          <w:rFonts w:hint="eastAsia" w:ascii="宋体" w:hAnsi="宋体" w:cs="宋体"/>
          <w:color w:val="auto"/>
          <w:szCs w:val="21"/>
          <w:highlight w:val="none"/>
        </w:rPr>
        <w:t>无声明函投标报价评审时不予价格扣除优惠</w:t>
      </w:r>
      <w:r>
        <w:rPr>
          <w:rFonts w:hint="eastAsia" w:ascii="宋体" w:hAnsi="宋体" w:cs="宋体"/>
          <w:b/>
          <w:color w:val="auto"/>
          <w:kern w:val="0"/>
          <w:szCs w:val="21"/>
          <w:highlight w:val="none"/>
        </w:rPr>
        <w:t>）</w:t>
      </w:r>
    </w:p>
    <w:bookmarkEnd w:id="416"/>
    <w:bookmarkEnd w:id="417"/>
    <w:p w14:paraId="47258CEC">
      <w:pPr>
        <w:widowControl/>
        <w:spacing w:line="360" w:lineRule="auto"/>
        <w:jc w:val="left"/>
        <w:rPr>
          <w:rFonts w:hint="eastAsia" w:ascii="宋体" w:hAnsi="宋体" w:cs="宋体"/>
          <w:color w:val="auto"/>
          <w:kern w:val="0"/>
          <w:szCs w:val="21"/>
          <w:highlight w:val="none"/>
        </w:rPr>
      </w:pPr>
    </w:p>
    <w:p w14:paraId="069C03B1">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残疾人福利性单位声明函</w:t>
      </w:r>
    </w:p>
    <w:p w14:paraId="2A465B7E">
      <w:pPr>
        <w:spacing w:line="360" w:lineRule="auto"/>
        <w:rPr>
          <w:rFonts w:hint="eastAsia" w:ascii="宋体" w:hAnsi="宋体" w:cs="宋体"/>
          <w:b/>
          <w:color w:val="auto"/>
          <w:szCs w:val="21"/>
          <w:highlight w:val="none"/>
        </w:rPr>
      </w:pPr>
    </w:p>
    <w:p w14:paraId="6830C17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317B0A7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584E147B">
      <w:pPr>
        <w:tabs>
          <w:tab w:val="left" w:pos="7220"/>
        </w:tabs>
        <w:autoSpaceDE w:val="0"/>
        <w:autoSpaceDN w:val="0"/>
        <w:adjustRightInd w:val="0"/>
        <w:spacing w:line="360" w:lineRule="auto"/>
        <w:ind w:left="2601" w:right="-20"/>
        <w:jc w:val="left"/>
        <w:rPr>
          <w:rFonts w:hint="eastAsia" w:ascii="宋体" w:hAnsi="宋体" w:cs="宋体"/>
          <w:color w:val="auto"/>
          <w:kern w:val="0"/>
          <w:szCs w:val="21"/>
          <w:highlight w:val="none"/>
        </w:rPr>
      </w:pPr>
    </w:p>
    <w:p w14:paraId="46749FEE">
      <w:pPr>
        <w:tabs>
          <w:tab w:val="left" w:pos="7220"/>
        </w:tabs>
        <w:autoSpaceDE w:val="0"/>
        <w:autoSpaceDN w:val="0"/>
        <w:adjustRightInd w:val="0"/>
        <w:spacing w:line="360" w:lineRule="auto"/>
        <w:ind w:left="2601" w:right="-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rPr>
        <w:t>（盖单位电子章）</w:t>
      </w:r>
    </w:p>
    <w:p w14:paraId="032840DC">
      <w:pPr>
        <w:spacing w:line="440" w:lineRule="exact"/>
        <w:ind w:firstLine="5670" w:firstLineChars="2700"/>
        <w:rPr>
          <w:rFonts w:hint="eastAsia" w:ascii="宋体" w:hAnsi="宋体" w:cs="宋体"/>
          <w:color w:val="auto"/>
          <w:kern w:val="0"/>
          <w:szCs w:val="21"/>
          <w:highlight w:val="none"/>
        </w:rPr>
      </w:pPr>
      <w:r>
        <w:rPr>
          <w:rFonts w:ascii="宋体" w:hAnsi="宋体"/>
          <w:bCs/>
          <w:color w:val="auto"/>
          <w:szCs w:val="21"/>
          <w:highlight w:val="none"/>
        </w:rPr>
        <w:t>日期：</w:t>
      </w:r>
      <w:r>
        <w:rPr>
          <w:rFonts w:hint="eastAsia" w:ascii="宋体" w:hAnsi="宋体"/>
          <w:bCs/>
          <w:color w:val="auto"/>
          <w:szCs w:val="21"/>
          <w:highlight w:val="none"/>
          <w:u w:val="single"/>
        </w:rPr>
        <w:t xml:space="preserve">                    </w:t>
      </w:r>
    </w:p>
    <w:p w14:paraId="3A4CF1C4">
      <w:pPr>
        <w:rPr>
          <w:color w:val="auto"/>
          <w:highlight w:val="none"/>
        </w:rPr>
      </w:pPr>
    </w:p>
    <w:p w14:paraId="34E3CEBD">
      <w:pPr>
        <w:pStyle w:val="37"/>
        <w:rPr>
          <w:color w:val="auto"/>
          <w:highlight w:val="none"/>
        </w:rPr>
      </w:pPr>
    </w:p>
    <w:p w14:paraId="227EEDAC">
      <w:pPr>
        <w:pStyle w:val="37"/>
        <w:rPr>
          <w:color w:val="auto"/>
          <w:highlight w:val="none"/>
        </w:rPr>
      </w:pPr>
    </w:p>
    <w:sectPr>
      <w:headerReference r:id="rId7" w:type="first"/>
      <w:footerReference r:id="rId9" w:type="first"/>
      <w:headerReference r:id="rId6" w:type="default"/>
      <w:footerReference r:id="rId8" w:type="default"/>
      <w:pgSz w:w="11907" w:h="16840"/>
      <w:pgMar w:top="1440" w:right="1080" w:bottom="1440" w:left="1080" w:header="850"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
    <w:altName w:val="Courier New"/>
    <w:panose1 w:val="00000000000000000000"/>
    <w:charset w:val="00"/>
    <w:family w:val="auto"/>
    <w:pitch w:val="default"/>
    <w:sig w:usb0="00000000" w:usb1="00000000" w:usb2="00000000" w:usb3="00000000" w:csb0="00000001" w:csb1="00000000"/>
  </w:font>
  <w:font w:name="??????">
    <w:altName w:val="Courier New"/>
    <w:panose1 w:val="00000000000000000000"/>
    <w:charset w:val="00"/>
    <w:family w:val="auto"/>
    <w:pitch w:val="default"/>
    <w:sig w:usb0="00000000" w:usb1="00000000" w:usb2="00000000" w:usb3="00000000" w:csb0="00000001" w:csb1="00000000"/>
  </w:font>
  <w:font w:name="Times New">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_GB2312">
    <w:altName w:val="Lucida Console"/>
    <w:panose1 w:val="00000000000000000000"/>
    <w:charset w:val="00"/>
    <w:family w:val="auto"/>
    <w:pitch w:val="default"/>
    <w:sig w:usb0="00000000" w:usb1="00000000" w:usb2="00000000" w:usb3="00000000" w:csb0="00000001" w:csb1="00000000"/>
  </w:font>
  <w:font w:name="Lucida Console">
    <w:panose1 w:val="020B0609040504020204"/>
    <w:charset w:val="00"/>
    <w:family w:val="auto"/>
    <w:pitch w:val="default"/>
    <w:sig w:usb0="8000028F" w:usb1="00001800" w:usb2="00000000" w:usb3="00000000" w:csb0="0000001F" w:csb1="D7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F9D6A">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7FDC4A">
                          <w:pPr>
                            <w:pStyle w:val="18"/>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2TuusYBAACb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DLZO66xgEAAJsDAAAOAAAAAAAAAAEAIAAAAB4BAABkcnMvZTJvRG9jLnht&#10;bFBLBQYAAAAABgAGAFkBAABWBQAAAAA=&#10;">
              <v:fill on="f" focussize="0,0"/>
              <v:stroke on="f"/>
              <v:imagedata o:title=""/>
              <o:lock v:ext="edit" aspectratio="f"/>
              <v:textbox inset="0mm,0mm,0mm,0mm" style="mso-fit-shape-to-text:t;">
                <w:txbxContent>
                  <w:p w14:paraId="787FDC4A">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239FE">
    <w:pPr>
      <w:pStyle w:val="18"/>
    </w:pPr>
    <w:r>
      <mc:AlternateContent>
        <mc:Choice Requires="wps">
          <w:drawing>
            <wp:anchor distT="0" distB="0" distL="114300" distR="114300" simplePos="0" relativeHeight="251660288" behindDoc="0" locked="0" layoutInCell="1" allowOverlap="1">
              <wp:simplePos x="0" y="0"/>
              <wp:positionH relativeFrom="margin">
                <wp:posOffset>2927350</wp:posOffset>
              </wp:positionH>
              <wp:positionV relativeFrom="paragraph">
                <wp:posOffset>-19685</wp:posOffset>
              </wp:positionV>
              <wp:extent cx="294640" cy="1162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294640" cy="116205"/>
                      </a:xfrm>
                      <a:prstGeom prst="rect">
                        <a:avLst/>
                      </a:prstGeom>
                      <a:noFill/>
                      <a:ln w="6350">
                        <a:noFill/>
                      </a:ln>
                      <a:effectLst/>
                    </wps:spPr>
                    <wps:txbx>
                      <w:txbxContent>
                        <w:p w14:paraId="2CB98CC7">
                          <w:pPr>
                            <w:pStyle w:val="18"/>
                          </w:pPr>
                          <w:r>
                            <w:rPr>
                              <w:rFonts w:hint="eastAsia"/>
                            </w:rPr>
                            <w:t xml:space="preserve"> </w:t>
                          </w:r>
                          <w:r>
                            <w:fldChar w:fldCharType="begin"/>
                          </w:r>
                          <w:r>
                            <w:instrText xml:space="preserve"> PAGE  \* MERGEFORMAT </w:instrText>
                          </w:r>
                          <w:r>
                            <w:fldChar w:fldCharType="separate"/>
                          </w:r>
                          <w:r>
                            <w:t>5</w:t>
                          </w:r>
                          <w:r>
                            <w:fldChar w:fldCharType="end"/>
                          </w:r>
                          <w:r>
                            <w:rPr>
                              <w:rFonts w:hint="eastAsia"/>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0.5pt;margin-top:-1.55pt;height:9.15pt;width:23.2pt;mso-position-horizontal-relative:margin;z-index:251660288;mso-width-relative:page;mso-height-relative:page;" filled="f" stroked="f" coordsize="21600,21600" o:gfxdata="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uiW7z2AAAAAkBAAAPAAAAAAAAAAEAIAAAACIAAABkcnMvZG93bnJl&#10;di54bWxQSwECFAAUAAAACACHTuJAY8f0kDYCAABjBAAADgAAAAAAAAABACAAAAAnAQAAZHJzL2Uy&#10;b0RvYy54bWxQSwUGAAAAAAYABgBZAQAAzwUAAAAA&#10;">
              <v:fill on="f" focussize="0,0"/>
              <v:stroke on="f" weight="0.5pt"/>
              <v:imagedata o:title=""/>
              <o:lock v:ext="edit" aspectratio="f"/>
              <v:textbox inset="0mm,0mm,0mm,0mm">
                <w:txbxContent>
                  <w:p w14:paraId="2CB98CC7">
                    <w:pPr>
                      <w:pStyle w:val="18"/>
                    </w:pPr>
                    <w:r>
                      <w:rPr>
                        <w:rFonts w:hint="eastAsia"/>
                      </w:rPr>
                      <w:t xml:space="preserve"> </w:t>
                    </w:r>
                    <w:r>
                      <w:fldChar w:fldCharType="begin"/>
                    </w:r>
                    <w:r>
                      <w:instrText xml:space="preserve"> PAGE  \* MERGEFORMAT </w:instrText>
                    </w:r>
                    <w:r>
                      <w:fldChar w:fldCharType="separate"/>
                    </w:r>
                    <w:r>
                      <w:t>5</w:t>
                    </w:r>
                    <w:r>
                      <w:fldChar w:fldCharType="end"/>
                    </w:r>
                    <w:r>
                      <w:rPr>
                        <w:rFonts w:hint="eastAsia"/>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5D9D2">
    <w:pPr>
      <w:pStyle w:val="18"/>
      <w:rPr>
        <w:rStyle w:val="30"/>
      </w:rPr>
    </w:pPr>
    <w:r>
      <mc:AlternateContent>
        <mc:Choice Requires="wps">
          <w:drawing>
            <wp:anchor distT="0" distB="0" distL="114300" distR="114300" simplePos="0" relativeHeight="251661312" behindDoc="0" locked="0" layoutInCell="1" allowOverlap="1">
              <wp:simplePos x="0" y="0"/>
              <wp:positionH relativeFrom="margin">
                <wp:posOffset>2821940</wp:posOffset>
              </wp:positionH>
              <wp:positionV relativeFrom="paragraph">
                <wp:posOffset>-31115</wp:posOffset>
              </wp:positionV>
              <wp:extent cx="309880" cy="188595"/>
              <wp:effectExtent l="0" t="0" r="0" b="0"/>
              <wp:wrapNone/>
              <wp:docPr id="7" name="文本框 7"/>
              <wp:cNvGraphicFramePr/>
              <a:graphic xmlns:a="http://schemas.openxmlformats.org/drawingml/2006/main">
                <a:graphicData uri="http://schemas.microsoft.com/office/word/2010/wordprocessingShape">
                  <wps:wsp>
                    <wps:cNvSpPr txBox="1"/>
                    <wps:spPr>
                      <a:xfrm>
                        <a:off x="0" y="0"/>
                        <a:ext cx="309880" cy="188595"/>
                      </a:xfrm>
                      <a:prstGeom prst="rect">
                        <a:avLst/>
                      </a:prstGeom>
                      <a:noFill/>
                      <a:ln w="6350">
                        <a:noFill/>
                      </a:ln>
                      <a:effectLst/>
                    </wps:spPr>
                    <wps:txbx>
                      <w:txbxContent>
                        <w:p w14:paraId="59E69766">
                          <w:pPr>
                            <w:pStyle w:val="18"/>
                            <w:jc w:val="center"/>
                          </w:pPr>
                          <w:r>
                            <w:rPr>
                              <w:rFonts w:hint="eastAsia"/>
                            </w:rPr>
                            <w:t xml:space="preserve"> </w:t>
                          </w:r>
                          <w:r>
                            <w:fldChar w:fldCharType="begin"/>
                          </w:r>
                          <w:r>
                            <w:instrText xml:space="preserve"> PAGE  \* MERGEFORMAT </w:instrText>
                          </w:r>
                          <w:r>
                            <w:fldChar w:fldCharType="separate"/>
                          </w:r>
                          <w:r>
                            <w:t>30</w:t>
                          </w:r>
                          <w:r>
                            <w:fldChar w:fldCharType="end"/>
                          </w:r>
                          <w:r>
                            <w:rPr>
                              <w:rFonts w:hint="eastAsia"/>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2.2pt;margin-top:-2.45pt;height:14.85pt;width:24.4pt;mso-position-horizontal-relative:margin;z-index:251661312;mso-width-relative:page;mso-height-relative:page;" filled="f" stroked="f" coordsize="21600,21600" o:gfxdata="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KLwy4jYAAAACQEAAA8AAAAAAAAAAQAgAAAAIgAAAGRycy9kb3du&#10;cmV2LnhtbFBLAQIUABQAAAAIAIdO4kCdPoLhOAIAAGMEAAAOAAAAAAAAAAEAIAAAACcBAABkcnMv&#10;ZTJvRG9jLnhtbFBLBQYAAAAABgAGAFkBAADRBQAAAAA=&#10;">
              <v:fill on="f" focussize="0,0"/>
              <v:stroke on="f" weight="0.5pt"/>
              <v:imagedata o:title=""/>
              <o:lock v:ext="edit" aspectratio="f"/>
              <v:textbox inset="0mm,0mm,0mm,0mm">
                <w:txbxContent>
                  <w:p w14:paraId="59E69766">
                    <w:pPr>
                      <w:pStyle w:val="18"/>
                      <w:jc w:val="center"/>
                    </w:pPr>
                    <w:r>
                      <w:rPr>
                        <w:rFonts w:hint="eastAsia"/>
                      </w:rPr>
                      <w:t xml:space="preserve"> </w:t>
                    </w:r>
                    <w:r>
                      <w:fldChar w:fldCharType="begin"/>
                    </w:r>
                    <w:r>
                      <w:instrText xml:space="preserve"> PAGE  \* MERGEFORMAT </w:instrText>
                    </w:r>
                    <w:r>
                      <w:fldChar w:fldCharType="separate"/>
                    </w:r>
                    <w:r>
                      <w:t>30</w:t>
                    </w:r>
                    <w:r>
                      <w:fldChar w:fldCharType="end"/>
                    </w:r>
                    <w:r>
                      <w:rPr>
                        <w:rFonts w:hint="eastAsia"/>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92A16">
    <w:pPr>
      <w:pStyle w:val="18"/>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4A76A">
    <w:pPr>
      <w:pStyle w:val="20"/>
      <w:pBdr>
        <w:bottom w:val="none" w:color="auto" w:sz="0" w:space="1"/>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8D970">
    <w:pPr>
      <w:tabs>
        <w:tab w:val="left" w:pos="8788"/>
      </w:tabs>
      <w:spacing w:line="500" w:lineRule="exact"/>
      <w:ind w:right="-32"/>
      <w:rPr>
        <w:rFonts w:hint="eastAsia" w:ascii="宋体" w:hAnsi="宋体"/>
        <w:color w:val="000000"/>
        <w:spacing w:val="-6"/>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C2CD9">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687C84"/>
    <w:multiLevelType w:val="singleLevel"/>
    <w:tmpl w:val="F6687C84"/>
    <w:lvl w:ilvl="0" w:tentative="0">
      <w:start w:val="2"/>
      <w:numFmt w:val="decimal"/>
      <w:suff w:val="nothing"/>
      <w:lvlText w:val="%1、"/>
      <w:lvlJc w:val="left"/>
    </w:lvl>
  </w:abstractNum>
  <w:abstractNum w:abstractNumId="1">
    <w:nsid w:val="0349A3D9"/>
    <w:multiLevelType w:val="singleLevel"/>
    <w:tmpl w:val="0349A3D9"/>
    <w:lvl w:ilvl="0" w:tentative="0">
      <w:start w:val="2"/>
      <w:numFmt w:val="chineseCounting"/>
      <w:suff w:val="space"/>
      <w:lvlText w:val="第%1章"/>
      <w:lvlJc w:val="left"/>
      <w:pPr>
        <w:ind w:left="3240" w:firstLine="0"/>
      </w:pPr>
      <w:rPr>
        <w:rFonts w:hint="eastAsia"/>
      </w:rPr>
    </w:lvl>
  </w:abstractNum>
  <w:abstractNum w:abstractNumId="2">
    <w:nsid w:val="10873D5D"/>
    <w:multiLevelType w:val="multilevel"/>
    <w:tmpl w:val="10873D5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D388B1E"/>
    <w:multiLevelType w:val="singleLevel"/>
    <w:tmpl w:val="1D388B1E"/>
    <w:lvl w:ilvl="0" w:tentative="0">
      <w:start w:val="3"/>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attachedTemplate r:id="rId1"/>
  <w:documentProtection w:enforcement="0"/>
  <w:defaultTabStop w:val="420"/>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lNDIyOGQ4NjI0ZjEyNWQ1MjVhMzRiNzQ3ZGVjYTEifQ=="/>
    <w:docVar w:name="KSO_WPS_MARK_KEY" w:val="2538792b-84c3-4564-a4b0-ccd76bb98c98"/>
  </w:docVars>
  <w:rsids>
    <w:rsidRoot w:val="591D2D5D"/>
    <w:rsid w:val="00002747"/>
    <w:rsid w:val="0000453F"/>
    <w:rsid w:val="00020AE4"/>
    <w:rsid w:val="00022D1C"/>
    <w:rsid w:val="00027230"/>
    <w:rsid w:val="00036153"/>
    <w:rsid w:val="00036556"/>
    <w:rsid w:val="00037FBA"/>
    <w:rsid w:val="00056066"/>
    <w:rsid w:val="00061D06"/>
    <w:rsid w:val="00062462"/>
    <w:rsid w:val="00063154"/>
    <w:rsid w:val="00064D82"/>
    <w:rsid w:val="00070A99"/>
    <w:rsid w:val="00077E46"/>
    <w:rsid w:val="00080F73"/>
    <w:rsid w:val="000934A1"/>
    <w:rsid w:val="000A38F7"/>
    <w:rsid w:val="000B1CB5"/>
    <w:rsid w:val="000B2A72"/>
    <w:rsid w:val="000B2C4D"/>
    <w:rsid w:val="000B6902"/>
    <w:rsid w:val="000C16B6"/>
    <w:rsid w:val="000C3124"/>
    <w:rsid w:val="000D3C0F"/>
    <w:rsid w:val="000D6584"/>
    <w:rsid w:val="000D65C8"/>
    <w:rsid w:val="000E4028"/>
    <w:rsid w:val="001106CF"/>
    <w:rsid w:val="001109B6"/>
    <w:rsid w:val="001115AC"/>
    <w:rsid w:val="001249AA"/>
    <w:rsid w:val="00134724"/>
    <w:rsid w:val="00136979"/>
    <w:rsid w:val="00140C0D"/>
    <w:rsid w:val="00146C72"/>
    <w:rsid w:val="00162BC1"/>
    <w:rsid w:val="0017653B"/>
    <w:rsid w:val="00177947"/>
    <w:rsid w:val="001842E4"/>
    <w:rsid w:val="00186BE3"/>
    <w:rsid w:val="00195F72"/>
    <w:rsid w:val="0019700C"/>
    <w:rsid w:val="001A14CF"/>
    <w:rsid w:val="001A35A9"/>
    <w:rsid w:val="001A3A12"/>
    <w:rsid w:val="001B202B"/>
    <w:rsid w:val="001C27EF"/>
    <w:rsid w:val="001C7824"/>
    <w:rsid w:val="001E0AB2"/>
    <w:rsid w:val="001E0F31"/>
    <w:rsid w:val="001E6233"/>
    <w:rsid w:val="001E69F4"/>
    <w:rsid w:val="001F1086"/>
    <w:rsid w:val="001F188D"/>
    <w:rsid w:val="00203A46"/>
    <w:rsid w:val="00207904"/>
    <w:rsid w:val="00217888"/>
    <w:rsid w:val="00222660"/>
    <w:rsid w:val="00233E93"/>
    <w:rsid w:val="00241F30"/>
    <w:rsid w:val="00244DC0"/>
    <w:rsid w:val="00252E50"/>
    <w:rsid w:val="00256814"/>
    <w:rsid w:val="002A2EDB"/>
    <w:rsid w:val="002A4B3D"/>
    <w:rsid w:val="002A5DB8"/>
    <w:rsid w:val="002A6E5A"/>
    <w:rsid w:val="002C02B1"/>
    <w:rsid w:val="002D0CC3"/>
    <w:rsid w:val="002D0F29"/>
    <w:rsid w:val="002D1BB9"/>
    <w:rsid w:val="002D372A"/>
    <w:rsid w:val="002D5340"/>
    <w:rsid w:val="002D5A53"/>
    <w:rsid w:val="002E1484"/>
    <w:rsid w:val="002F6ECC"/>
    <w:rsid w:val="00306ECD"/>
    <w:rsid w:val="003234A4"/>
    <w:rsid w:val="00324806"/>
    <w:rsid w:val="0034168F"/>
    <w:rsid w:val="00352863"/>
    <w:rsid w:val="0035379C"/>
    <w:rsid w:val="00370FC0"/>
    <w:rsid w:val="00373A02"/>
    <w:rsid w:val="00384C9D"/>
    <w:rsid w:val="00385A51"/>
    <w:rsid w:val="003958D5"/>
    <w:rsid w:val="00396177"/>
    <w:rsid w:val="003A1471"/>
    <w:rsid w:val="003A45A4"/>
    <w:rsid w:val="003B1660"/>
    <w:rsid w:val="003B4C3D"/>
    <w:rsid w:val="003C6997"/>
    <w:rsid w:val="003D43C3"/>
    <w:rsid w:val="003E2310"/>
    <w:rsid w:val="003F7313"/>
    <w:rsid w:val="00402F3F"/>
    <w:rsid w:val="00410190"/>
    <w:rsid w:val="0041203A"/>
    <w:rsid w:val="004144D1"/>
    <w:rsid w:val="0042168B"/>
    <w:rsid w:val="00421EE7"/>
    <w:rsid w:val="00422DBD"/>
    <w:rsid w:val="00435D5F"/>
    <w:rsid w:val="00437008"/>
    <w:rsid w:val="0044494C"/>
    <w:rsid w:val="00453039"/>
    <w:rsid w:val="0046474F"/>
    <w:rsid w:val="00473A2E"/>
    <w:rsid w:val="00486AE7"/>
    <w:rsid w:val="004870CE"/>
    <w:rsid w:val="00491E7E"/>
    <w:rsid w:val="004A611B"/>
    <w:rsid w:val="004C4EAC"/>
    <w:rsid w:val="004D3B06"/>
    <w:rsid w:val="004E76E6"/>
    <w:rsid w:val="004F0596"/>
    <w:rsid w:val="0051123D"/>
    <w:rsid w:val="00512B2A"/>
    <w:rsid w:val="00516135"/>
    <w:rsid w:val="00522AB2"/>
    <w:rsid w:val="005315BB"/>
    <w:rsid w:val="00533083"/>
    <w:rsid w:val="00533C01"/>
    <w:rsid w:val="005340BC"/>
    <w:rsid w:val="00537220"/>
    <w:rsid w:val="00541DB4"/>
    <w:rsid w:val="0054365D"/>
    <w:rsid w:val="005547A5"/>
    <w:rsid w:val="00562C4D"/>
    <w:rsid w:val="00567969"/>
    <w:rsid w:val="00576C7D"/>
    <w:rsid w:val="00577B42"/>
    <w:rsid w:val="00592C63"/>
    <w:rsid w:val="00592D0A"/>
    <w:rsid w:val="00596B28"/>
    <w:rsid w:val="005A6037"/>
    <w:rsid w:val="005D19F3"/>
    <w:rsid w:val="005D7E40"/>
    <w:rsid w:val="005E0EC9"/>
    <w:rsid w:val="005E60E7"/>
    <w:rsid w:val="006056B9"/>
    <w:rsid w:val="0061685D"/>
    <w:rsid w:val="00623500"/>
    <w:rsid w:val="00625F6D"/>
    <w:rsid w:val="00631006"/>
    <w:rsid w:val="00633E6F"/>
    <w:rsid w:val="00635804"/>
    <w:rsid w:val="00640C29"/>
    <w:rsid w:val="00645A89"/>
    <w:rsid w:val="00653FE6"/>
    <w:rsid w:val="00683BA8"/>
    <w:rsid w:val="00686F15"/>
    <w:rsid w:val="00687F10"/>
    <w:rsid w:val="00692525"/>
    <w:rsid w:val="006A2301"/>
    <w:rsid w:val="006B3314"/>
    <w:rsid w:val="006D7922"/>
    <w:rsid w:val="006F19AC"/>
    <w:rsid w:val="006F1B84"/>
    <w:rsid w:val="00701C34"/>
    <w:rsid w:val="0070368C"/>
    <w:rsid w:val="00715325"/>
    <w:rsid w:val="00715772"/>
    <w:rsid w:val="0071638E"/>
    <w:rsid w:val="007171C7"/>
    <w:rsid w:val="00717683"/>
    <w:rsid w:val="00724720"/>
    <w:rsid w:val="00746FA1"/>
    <w:rsid w:val="00757BB6"/>
    <w:rsid w:val="0076019C"/>
    <w:rsid w:val="007639BB"/>
    <w:rsid w:val="00765575"/>
    <w:rsid w:val="00776244"/>
    <w:rsid w:val="00776CE7"/>
    <w:rsid w:val="0078139A"/>
    <w:rsid w:val="00791A0B"/>
    <w:rsid w:val="00796EB6"/>
    <w:rsid w:val="007B36F8"/>
    <w:rsid w:val="007D1C51"/>
    <w:rsid w:val="007E2EC1"/>
    <w:rsid w:val="007E7757"/>
    <w:rsid w:val="007F3501"/>
    <w:rsid w:val="00803172"/>
    <w:rsid w:val="008041E6"/>
    <w:rsid w:val="0081031C"/>
    <w:rsid w:val="008133C5"/>
    <w:rsid w:val="00813E74"/>
    <w:rsid w:val="00814582"/>
    <w:rsid w:val="008159B5"/>
    <w:rsid w:val="00827CB7"/>
    <w:rsid w:val="00851FC9"/>
    <w:rsid w:val="00860A30"/>
    <w:rsid w:val="00861878"/>
    <w:rsid w:val="00864C44"/>
    <w:rsid w:val="00871250"/>
    <w:rsid w:val="00876724"/>
    <w:rsid w:val="00892CFC"/>
    <w:rsid w:val="00896D74"/>
    <w:rsid w:val="008A30B8"/>
    <w:rsid w:val="008A7142"/>
    <w:rsid w:val="008B5EDE"/>
    <w:rsid w:val="008C5263"/>
    <w:rsid w:val="008D11A7"/>
    <w:rsid w:val="008E3718"/>
    <w:rsid w:val="00927A3F"/>
    <w:rsid w:val="00941B80"/>
    <w:rsid w:val="0094291E"/>
    <w:rsid w:val="00945144"/>
    <w:rsid w:val="00967373"/>
    <w:rsid w:val="00970D50"/>
    <w:rsid w:val="009760D3"/>
    <w:rsid w:val="00985D03"/>
    <w:rsid w:val="009871E2"/>
    <w:rsid w:val="00990867"/>
    <w:rsid w:val="009A515B"/>
    <w:rsid w:val="009B08E8"/>
    <w:rsid w:val="009B43AD"/>
    <w:rsid w:val="009B43AE"/>
    <w:rsid w:val="009C6640"/>
    <w:rsid w:val="009D29EC"/>
    <w:rsid w:val="009D40DD"/>
    <w:rsid w:val="009F741C"/>
    <w:rsid w:val="00A03538"/>
    <w:rsid w:val="00A115C5"/>
    <w:rsid w:val="00A2198F"/>
    <w:rsid w:val="00A22DA9"/>
    <w:rsid w:val="00A23C33"/>
    <w:rsid w:val="00A24C4A"/>
    <w:rsid w:val="00A26E3B"/>
    <w:rsid w:val="00A4451B"/>
    <w:rsid w:val="00A55111"/>
    <w:rsid w:val="00A55E5A"/>
    <w:rsid w:val="00A56174"/>
    <w:rsid w:val="00A60F6C"/>
    <w:rsid w:val="00A64715"/>
    <w:rsid w:val="00A717F4"/>
    <w:rsid w:val="00A72C2F"/>
    <w:rsid w:val="00A764B3"/>
    <w:rsid w:val="00A8473C"/>
    <w:rsid w:val="00A903E8"/>
    <w:rsid w:val="00A9438F"/>
    <w:rsid w:val="00A95C60"/>
    <w:rsid w:val="00A97848"/>
    <w:rsid w:val="00A979EA"/>
    <w:rsid w:val="00AA0222"/>
    <w:rsid w:val="00AA0C88"/>
    <w:rsid w:val="00AA78C6"/>
    <w:rsid w:val="00AB12C7"/>
    <w:rsid w:val="00AB3319"/>
    <w:rsid w:val="00AB386E"/>
    <w:rsid w:val="00AD1013"/>
    <w:rsid w:val="00AD1C39"/>
    <w:rsid w:val="00AE4EFF"/>
    <w:rsid w:val="00AE740A"/>
    <w:rsid w:val="00B118AD"/>
    <w:rsid w:val="00B14A4D"/>
    <w:rsid w:val="00B1682F"/>
    <w:rsid w:val="00B20DF2"/>
    <w:rsid w:val="00B25410"/>
    <w:rsid w:val="00B25FE2"/>
    <w:rsid w:val="00B2756D"/>
    <w:rsid w:val="00B3797C"/>
    <w:rsid w:val="00B61D1F"/>
    <w:rsid w:val="00B637EB"/>
    <w:rsid w:val="00B67A98"/>
    <w:rsid w:val="00B7457A"/>
    <w:rsid w:val="00BA386E"/>
    <w:rsid w:val="00BB0F92"/>
    <w:rsid w:val="00BC2ABF"/>
    <w:rsid w:val="00BC532D"/>
    <w:rsid w:val="00BD0078"/>
    <w:rsid w:val="00BD236A"/>
    <w:rsid w:val="00BD6180"/>
    <w:rsid w:val="00BE09AF"/>
    <w:rsid w:val="00BF66E6"/>
    <w:rsid w:val="00C0649C"/>
    <w:rsid w:val="00C072AA"/>
    <w:rsid w:val="00C120D4"/>
    <w:rsid w:val="00C20782"/>
    <w:rsid w:val="00C209B5"/>
    <w:rsid w:val="00C258BD"/>
    <w:rsid w:val="00C25E69"/>
    <w:rsid w:val="00C2604C"/>
    <w:rsid w:val="00C324E0"/>
    <w:rsid w:val="00C347EB"/>
    <w:rsid w:val="00C40F7E"/>
    <w:rsid w:val="00C46A08"/>
    <w:rsid w:val="00C5223C"/>
    <w:rsid w:val="00C66851"/>
    <w:rsid w:val="00C74565"/>
    <w:rsid w:val="00C74D90"/>
    <w:rsid w:val="00CA7EEC"/>
    <w:rsid w:val="00CB4E25"/>
    <w:rsid w:val="00CD2873"/>
    <w:rsid w:val="00CD2A9C"/>
    <w:rsid w:val="00CE4E8D"/>
    <w:rsid w:val="00CF27CC"/>
    <w:rsid w:val="00CF43EA"/>
    <w:rsid w:val="00CF49C7"/>
    <w:rsid w:val="00D01705"/>
    <w:rsid w:val="00D0382A"/>
    <w:rsid w:val="00D03A29"/>
    <w:rsid w:val="00D07C34"/>
    <w:rsid w:val="00D22256"/>
    <w:rsid w:val="00D22640"/>
    <w:rsid w:val="00D34847"/>
    <w:rsid w:val="00D52273"/>
    <w:rsid w:val="00D541FE"/>
    <w:rsid w:val="00D7569D"/>
    <w:rsid w:val="00D906D2"/>
    <w:rsid w:val="00DA2E61"/>
    <w:rsid w:val="00DA5342"/>
    <w:rsid w:val="00DA677A"/>
    <w:rsid w:val="00DA7D62"/>
    <w:rsid w:val="00DB0758"/>
    <w:rsid w:val="00DB2D13"/>
    <w:rsid w:val="00DB6641"/>
    <w:rsid w:val="00DD0C60"/>
    <w:rsid w:val="00DD6D02"/>
    <w:rsid w:val="00DE2CE6"/>
    <w:rsid w:val="00DE4692"/>
    <w:rsid w:val="00DE54E5"/>
    <w:rsid w:val="00DF63BE"/>
    <w:rsid w:val="00E0753F"/>
    <w:rsid w:val="00E07678"/>
    <w:rsid w:val="00E12147"/>
    <w:rsid w:val="00E13FAC"/>
    <w:rsid w:val="00E3127B"/>
    <w:rsid w:val="00E318AE"/>
    <w:rsid w:val="00E420F2"/>
    <w:rsid w:val="00E451F2"/>
    <w:rsid w:val="00E47D46"/>
    <w:rsid w:val="00E6226F"/>
    <w:rsid w:val="00E63623"/>
    <w:rsid w:val="00E64FE2"/>
    <w:rsid w:val="00E74F40"/>
    <w:rsid w:val="00E82318"/>
    <w:rsid w:val="00EA2ECB"/>
    <w:rsid w:val="00EB6596"/>
    <w:rsid w:val="00EC3B9B"/>
    <w:rsid w:val="00EC40A8"/>
    <w:rsid w:val="00EC5698"/>
    <w:rsid w:val="00EC7315"/>
    <w:rsid w:val="00ED3C30"/>
    <w:rsid w:val="00ED5060"/>
    <w:rsid w:val="00ED62A9"/>
    <w:rsid w:val="00EE6114"/>
    <w:rsid w:val="00EE65C6"/>
    <w:rsid w:val="00EF16FF"/>
    <w:rsid w:val="00EF4402"/>
    <w:rsid w:val="00EF59AE"/>
    <w:rsid w:val="00F07123"/>
    <w:rsid w:val="00F14325"/>
    <w:rsid w:val="00F23D68"/>
    <w:rsid w:val="00F25342"/>
    <w:rsid w:val="00F27FED"/>
    <w:rsid w:val="00F35202"/>
    <w:rsid w:val="00F43512"/>
    <w:rsid w:val="00F44207"/>
    <w:rsid w:val="00F53466"/>
    <w:rsid w:val="00F65C50"/>
    <w:rsid w:val="00F67B08"/>
    <w:rsid w:val="00F810C3"/>
    <w:rsid w:val="00F8468B"/>
    <w:rsid w:val="00F8595A"/>
    <w:rsid w:val="00F9023D"/>
    <w:rsid w:val="00F9060A"/>
    <w:rsid w:val="00F943E7"/>
    <w:rsid w:val="00FA3B45"/>
    <w:rsid w:val="00FA6268"/>
    <w:rsid w:val="00FB23D7"/>
    <w:rsid w:val="00FC575B"/>
    <w:rsid w:val="00FC7FF4"/>
    <w:rsid w:val="00FD3497"/>
    <w:rsid w:val="00FE7D98"/>
    <w:rsid w:val="00FF4C7D"/>
    <w:rsid w:val="01352872"/>
    <w:rsid w:val="0157752C"/>
    <w:rsid w:val="016245C6"/>
    <w:rsid w:val="01780E1C"/>
    <w:rsid w:val="01785B98"/>
    <w:rsid w:val="017936BE"/>
    <w:rsid w:val="01A03493"/>
    <w:rsid w:val="01AA2EE4"/>
    <w:rsid w:val="01CB1B5D"/>
    <w:rsid w:val="01F27E78"/>
    <w:rsid w:val="02065212"/>
    <w:rsid w:val="02070CCA"/>
    <w:rsid w:val="020C0A39"/>
    <w:rsid w:val="021C4DD6"/>
    <w:rsid w:val="022A76EB"/>
    <w:rsid w:val="0236335D"/>
    <w:rsid w:val="02410C16"/>
    <w:rsid w:val="025832D3"/>
    <w:rsid w:val="025C796A"/>
    <w:rsid w:val="0274561E"/>
    <w:rsid w:val="028C7EBB"/>
    <w:rsid w:val="02AA3092"/>
    <w:rsid w:val="02E46F10"/>
    <w:rsid w:val="02EA22CA"/>
    <w:rsid w:val="03032159"/>
    <w:rsid w:val="03072CD2"/>
    <w:rsid w:val="030E7F19"/>
    <w:rsid w:val="03135D23"/>
    <w:rsid w:val="033A74D7"/>
    <w:rsid w:val="03426E87"/>
    <w:rsid w:val="034A70C0"/>
    <w:rsid w:val="03597303"/>
    <w:rsid w:val="037800D1"/>
    <w:rsid w:val="038641B4"/>
    <w:rsid w:val="0390173B"/>
    <w:rsid w:val="03960D67"/>
    <w:rsid w:val="03987BAF"/>
    <w:rsid w:val="03AD764F"/>
    <w:rsid w:val="03BA545D"/>
    <w:rsid w:val="03D92B0A"/>
    <w:rsid w:val="03F139E0"/>
    <w:rsid w:val="03F21B81"/>
    <w:rsid w:val="03FC3432"/>
    <w:rsid w:val="04217246"/>
    <w:rsid w:val="0464788E"/>
    <w:rsid w:val="04696755"/>
    <w:rsid w:val="04735A2B"/>
    <w:rsid w:val="048A318B"/>
    <w:rsid w:val="04BC1928"/>
    <w:rsid w:val="04CB4231"/>
    <w:rsid w:val="04D050A3"/>
    <w:rsid w:val="04D16C61"/>
    <w:rsid w:val="04E76C88"/>
    <w:rsid w:val="04ED02B7"/>
    <w:rsid w:val="04F07FC5"/>
    <w:rsid w:val="0500198F"/>
    <w:rsid w:val="05031042"/>
    <w:rsid w:val="051F632A"/>
    <w:rsid w:val="0560706F"/>
    <w:rsid w:val="057F74F5"/>
    <w:rsid w:val="059A3D98"/>
    <w:rsid w:val="05D13618"/>
    <w:rsid w:val="063F2183"/>
    <w:rsid w:val="0644429B"/>
    <w:rsid w:val="064A73D7"/>
    <w:rsid w:val="064E6EC7"/>
    <w:rsid w:val="0696086E"/>
    <w:rsid w:val="06AF0C53"/>
    <w:rsid w:val="06E43B62"/>
    <w:rsid w:val="06FA2BAB"/>
    <w:rsid w:val="0702107C"/>
    <w:rsid w:val="071874D5"/>
    <w:rsid w:val="07245105"/>
    <w:rsid w:val="072651EF"/>
    <w:rsid w:val="072C432C"/>
    <w:rsid w:val="077A1787"/>
    <w:rsid w:val="07AC46D2"/>
    <w:rsid w:val="07C67134"/>
    <w:rsid w:val="07D57406"/>
    <w:rsid w:val="08000695"/>
    <w:rsid w:val="081B154E"/>
    <w:rsid w:val="081E0C5B"/>
    <w:rsid w:val="082751D4"/>
    <w:rsid w:val="089B1E76"/>
    <w:rsid w:val="08A7157D"/>
    <w:rsid w:val="08D147D2"/>
    <w:rsid w:val="08E1129A"/>
    <w:rsid w:val="08E564A6"/>
    <w:rsid w:val="09285B65"/>
    <w:rsid w:val="096133B5"/>
    <w:rsid w:val="0966277A"/>
    <w:rsid w:val="09752120"/>
    <w:rsid w:val="097B2303"/>
    <w:rsid w:val="0996241E"/>
    <w:rsid w:val="09C40184"/>
    <w:rsid w:val="09C47ED7"/>
    <w:rsid w:val="0A1549DF"/>
    <w:rsid w:val="0A2D5046"/>
    <w:rsid w:val="0A5C1147"/>
    <w:rsid w:val="0A8577E8"/>
    <w:rsid w:val="0A963711"/>
    <w:rsid w:val="0AA74DF8"/>
    <w:rsid w:val="0AB42F12"/>
    <w:rsid w:val="0AC8346D"/>
    <w:rsid w:val="0AE4777C"/>
    <w:rsid w:val="0AE82236"/>
    <w:rsid w:val="0B011F9A"/>
    <w:rsid w:val="0B06596C"/>
    <w:rsid w:val="0B0F433A"/>
    <w:rsid w:val="0B375B07"/>
    <w:rsid w:val="0B3F14D4"/>
    <w:rsid w:val="0B505490"/>
    <w:rsid w:val="0B5E2EEA"/>
    <w:rsid w:val="0B64074F"/>
    <w:rsid w:val="0B83012F"/>
    <w:rsid w:val="0BEE5F55"/>
    <w:rsid w:val="0BF16C73"/>
    <w:rsid w:val="0BF95B27"/>
    <w:rsid w:val="0C0D7353"/>
    <w:rsid w:val="0C102A84"/>
    <w:rsid w:val="0C352BF1"/>
    <w:rsid w:val="0C4940EB"/>
    <w:rsid w:val="0C5126CF"/>
    <w:rsid w:val="0C642DA9"/>
    <w:rsid w:val="0C790716"/>
    <w:rsid w:val="0C7E7DDA"/>
    <w:rsid w:val="0C8551E1"/>
    <w:rsid w:val="0CB61994"/>
    <w:rsid w:val="0CBA7011"/>
    <w:rsid w:val="0CD57FAB"/>
    <w:rsid w:val="0CE77D31"/>
    <w:rsid w:val="0CFE2CC9"/>
    <w:rsid w:val="0D156991"/>
    <w:rsid w:val="0D314E4D"/>
    <w:rsid w:val="0D3F3A0E"/>
    <w:rsid w:val="0D6D6E22"/>
    <w:rsid w:val="0D705975"/>
    <w:rsid w:val="0D786F20"/>
    <w:rsid w:val="0DA47D15"/>
    <w:rsid w:val="0DA50C06"/>
    <w:rsid w:val="0DA77B36"/>
    <w:rsid w:val="0DCA40BB"/>
    <w:rsid w:val="0DCB3373"/>
    <w:rsid w:val="0DD25EA4"/>
    <w:rsid w:val="0DE775E3"/>
    <w:rsid w:val="0DFB2B2B"/>
    <w:rsid w:val="0E010F06"/>
    <w:rsid w:val="0E076582"/>
    <w:rsid w:val="0E1053AA"/>
    <w:rsid w:val="0E364A4E"/>
    <w:rsid w:val="0E3E7266"/>
    <w:rsid w:val="0E415099"/>
    <w:rsid w:val="0E5D6215"/>
    <w:rsid w:val="0E617C86"/>
    <w:rsid w:val="0E763F86"/>
    <w:rsid w:val="0E87566C"/>
    <w:rsid w:val="0E8F4618"/>
    <w:rsid w:val="0E9852E6"/>
    <w:rsid w:val="0EA87391"/>
    <w:rsid w:val="0EB126E9"/>
    <w:rsid w:val="0EC60EB9"/>
    <w:rsid w:val="0ECF18FB"/>
    <w:rsid w:val="0ECF2B6F"/>
    <w:rsid w:val="0EE3661B"/>
    <w:rsid w:val="0F115809"/>
    <w:rsid w:val="0F271573"/>
    <w:rsid w:val="0F337FCF"/>
    <w:rsid w:val="0F360E40"/>
    <w:rsid w:val="0F3A7C05"/>
    <w:rsid w:val="0F412916"/>
    <w:rsid w:val="0F520635"/>
    <w:rsid w:val="0F784FB5"/>
    <w:rsid w:val="0FC35DCF"/>
    <w:rsid w:val="0FE95EB3"/>
    <w:rsid w:val="0FF3000F"/>
    <w:rsid w:val="100114B9"/>
    <w:rsid w:val="10052B96"/>
    <w:rsid w:val="10122F56"/>
    <w:rsid w:val="10480D80"/>
    <w:rsid w:val="105C48D7"/>
    <w:rsid w:val="10660230"/>
    <w:rsid w:val="1093534F"/>
    <w:rsid w:val="109B05DF"/>
    <w:rsid w:val="10B01ED0"/>
    <w:rsid w:val="10E072B6"/>
    <w:rsid w:val="10E34F4D"/>
    <w:rsid w:val="10EC5C5A"/>
    <w:rsid w:val="10F93ED3"/>
    <w:rsid w:val="110876FC"/>
    <w:rsid w:val="111B56F4"/>
    <w:rsid w:val="111C25B1"/>
    <w:rsid w:val="11203B56"/>
    <w:rsid w:val="113542C9"/>
    <w:rsid w:val="113D7A9A"/>
    <w:rsid w:val="114E6332"/>
    <w:rsid w:val="1173218F"/>
    <w:rsid w:val="11767517"/>
    <w:rsid w:val="119B4F8B"/>
    <w:rsid w:val="11A0059D"/>
    <w:rsid w:val="11AC4290"/>
    <w:rsid w:val="11C02950"/>
    <w:rsid w:val="11D7384A"/>
    <w:rsid w:val="11ED2E29"/>
    <w:rsid w:val="1206374E"/>
    <w:rsid w:val="1215235A"/>
    <w:rsid w:val="126B2BAF"/>
    <w:rsid w:val="127134B4"/>
    <w:rsid w:val="1293234F"/>
    <w:rsid w:val="129C4C2C"/>
    <w:rsid w:val="12A8322B"/>
    <w:rsid w:val="12B66F38"/>
    <w:rsid w:val="12EC203F"/>
    <w:rsid w:val="1324536A"/>
    <w:rsid w:val="138A52B7"/>
    <w:rsid w:val="139E7E8C"/>
    <w:rsid w:val="13A429E7"/>
    <w:rsid w:val="13AB24EB"/>
    <w:rsid w:val="13B80076"/>
    <w:rsid w:val="13CA6C39"/>
    <w:rsid w:val="13D11138"/>
    <w:rsid w:val="13F75AD6"/>
    <w:rsid w:val="14055672"/>
    <w:rsid w:val="142974EA"/>
    <w:rsid w:val="143778C7"/>
    <w:rsid w:val="143C4803"/>
    <w:rsid w:val="143D585F"/>
    <w:rsid w:val="144933C4"/>
    <w:rsid w:val="145A107D"/>
    <w:rsid w:val="145F06DB"/>
    <w:rsid w:val="146B439E"/>
    <w:rsid w:val="147F6DE6"/>
    <w:rsid w:val="149B12EA"/>
    <w:rsid w:val="14A814E0"/>
    <w:rsid w:val="14B604C5"/>
    <w:rsid w:val="14C5366B"/>
    <w:rsid w:val="14D53BA2"/>
    <w:rsid w:val="14FD2957"/>
    <w:rsid w:val="15194B44"/>
    <w:rsid w:val="155434F7"/>
    <w:rsid w:val="15602FA3"/>
    <w:rsid w:val="15643482"/>
    <w:rsid w:val="15850E30"/>
    <w:rsid w:val="158D108E"/>
    <w:rsid w:val="159B7C4F"/>
    <w:rsid w:val="15B01C1E"/>
    <w:rsid w:val="15B733C2"/>
    <w:rsid w:val="15C2342E"/>
    <w:rsid w:val="1601755D"/>
    <w:rsid w:val="160E3980"/>
    <w:rsid w:val="16413A5D"/>
    <w:rsid w:val="165F6ECF"/>
    <w:rsid w:val="169A39A1"/>
    <w:rsid w:val="169B6AE9"/>
    <w:rsid w:val="16D340EF"/>
    <w:rsid w:val="17041FCF"/>
    <w:rsid w:val="17086345"/>
    <w:rsid w:val="170B17D6"/>
    <w:rsid w:val="171E6442"/>
    <w:rsid w:val="176A0C86"/>
    <w:rsid w:val="17795407"/>
    <w:rsid w:val="179E181F"/>
    <w:rsid w:val="17AA5BEB"/>
    <w:rsid w:val="17C52D61"/>
    <w:rsid w:val="17C95632"/>
    <w:rsid w:val="17DD2DFE"/>
    <w:rsid w:val="17E9368A"/>
    <w:rsid w:val="17F51899"/>
    <w:rsid w:val="17FD1D0E"/>
    <w:rsid w:val="185048DF"/>
    <w:rsid w:val="185A5982"/>
    <w:rsid w:val="18747AA2"/>
    <w:rsid w:val="18851ADB"/>
    <w:rsid w:val="18903EF8"/>
    <w:rsid w:val="18A93681"/>
    <w:rsid w:val="18B55806"/>
    <w:rsid w:val="18B9269D"/>
    <w:rsid w:val="18E664E9"/>
    <w:rsid w:val="18EA6F23"/>
    <w:rsid w:val="190A2AF7"/>
    <w:rsid w:val="192F4E2E"/>
    <w:rsid w:val="19342E2B"/>
    <w:rsid w:val="19414D23"/>
    <w:rsid w:val="1942229C"/>
    <w:rsid w:val="19575C3B"/>
    <w:rsid w:val="195C4443"/>
    <w:rsid w:val="195D0EAA"/>
    <w:rsid w:val="19666BC2"/>
    <w:rsid w:val="19A838B9"/>
    <w:rsid w:val="19C21C4E"/>
    <w:rsid w:val="19CB1914"/>
    <w:rsid w:val="19EF4F8F"/>
    <w:rsid w:val="1A0042F9"/>
    <w:rsid w:val="1A262EF8"/>
    <w:rsid w:val="1A293A7B"/>
    <w:rsid w:val="1A355BFA"/>
    <w:rsid w:val="1A424B3D"/>
    <w:rsid w:val="1A4C44A0"/>
    <w:rsid w:val="1A5C74F2"/>
    <w:rsid w:val="1A6B1AAE"/>
    <w:rsid w:val="1A710F7F"/>
    <w:rsid w:val="1A8769F4"/>
    <w:rsid w:val="1A8E1D01"/>
    <w:rsid w:val="1AD75846"/>
    <w:rsid w:val="1AFF2A2E"/>
    <w:rsid w:val="1B040045"/>
    <w:rsid w:val="1B082132"/>
    <w:rsid w:val="1B10775A"/>
    <w:rsid w:val="1B1E6E4E"/>
    <w:rsid w:val="1B275234"/>
    <w:rsid w:val="1B3274A2"/>
    <w:rsid w:val="1B4F6B39"/>
    <w:rsid w:val="1B544659"/>
    <w:rsid w:val="1B64799F"/>
    <w:rsid w:val="1B6650FA"/>
    <w:rsid w:val="1B8A6FDA"/>
    <w:rsid w:val="1BBB70BE"/>
    <w:rsid w:val="1BCC3FAE"/>
    <w:rsid w:val="1BCD30DB"/>
    <w:rsid w:val="1BE94E95"/>
    <w:rsid w:val="1BF34341"/>
    <w:rsid w:val="1C032365"/>
    <w:rsid w:val="1C1C4F1A"/>
    <w:rsid w:val="1C7E7FDF"/>
    <w:rsid w:val="1C8177E9"/>
    <w:rsid w:val="1C971C5B"/>
    <w:rsid w:val="1C9B49BF"/>
    <w:rsid w:val="1CCD4535"/>
    <w:rsid w:val="1CCE15D5"/>
    <w:rsid w:val="1CD35F20"/>
    <w:rsid w:val="1CDE05F2"/>
    <w:rsid w:val="1CE3025C"/>
    <w:rsid w:val="1CE50312"/>
    <w:rsid w:val="1CEC7F3F"/>
    <w:rsid w:val="1CED4F09"/>
    <w:rsid w:val="1CFA1766"/>
    <w:rsid w:val="1D281EAC"/>
    <w:rsid w:val="1D7D2EAE"/>
    <w:rsid w:val="1D883F36"/>
    <w:rsid w:val="1D8B182D"/>
    <w:rsid w:val="1DA925DA"/>
    <w:rsid w:val="1DD3037F"/>
    <w:rsid w:val="1DDB32DF"/>
    <w:rsid w:val="1DDD09EE"/>
    <w:rsid w:val="1DED6B6E"/>
    <w:rsid w:val="1DEF7B48"/>
    <w:rsid w:val="1E3F7CDF"/>
    <w:rsid w:val="1E537319"/>
    <w:rsid w:val="1E6F330B"/>
    <w:rsid w:val="1E7A6EF7"/>
    <w:rsid w:val="1E8F7791"/>
    <w:rsid w:val="1EB564D4"/>
    <w:rsid w:val="1EDE4F48"/>
    <w:rsid w:val="1EEE2819"/>
    <w:rsid w:val="1F0B3750"/>
    <w:rsid w:val="1F1929A5"/>
    <w:rsid w:val="1F4A6878"/>
    <w:rsid w:val="1F5A78BA"/>
    <w:rsid w:val="1F662CB1"/>
    <w:rsid w:val="1F861028"/>
    <w:rsid w:val="1F8B40AC"/>
    <w:rsid w:val="1F903AD2"/>
    <w:rsid w:val="1FAA0BD0"/>
    <w:rsid w:val="1FB256ED"/>
    <w:rsid w:val="1FBC7140"/>
    <w:rsid w:val="1FBD281E"/>
    <w:rsid w:val="1FE16A4A"/>
    <w:rsid w:val="1FF75113"/>
    <w:rsid w:val="20032ADA"/>
    <w:rsid w:val="200A6274"/>
    <w:rsid w:val="200C49A1"/>
    <w:rsid w:val="205B78A5"/>
    <w:rsid w:val="20664106"/>
    <w:rsid w:val="20A042C4"/>
    <w:rsid w:val="20B3409F"/>
    <w:rsid w:val="20BA01A2"/>
    <w:rsid w:val="20C6324C"/>
    <w:rsid w:val="20CE26CE"/>
    <w:rsid w:val="20DC445F"/>
    <w:rsid w:val="20F63590"/>
    <w:rsid w:val="210963B5"/>
    <w:rsid w:val="214D23A2"/>
    <w:rsid w:val="219F2875"/>
    <w:rsid w:val="21A73454"/>
    <w:rsid w:val="21BE54E6"/>
    <w:rsid w:val="21CD14FF"/>
    <w:rsid w:val="21EA1D42"/>
    <w:rsid w:val="21EC48CE"/>
    <w:rsid w:val="21F50BC9"/>
    <w:rsid w:val="220B1127"/>
    <w:rsid w:val="221072CF"/>
    <w:rsid w:val="22266552"/>
    <w:rsid w:val="22266AF2"/>
    <w:rsid w:val="22394639"/>
    <w:rsid w:val="224872E5"/>
    <w:rsid w:val="22532AEE"/>
    <w:rsid w:val="22573150"/>
    <w:rsid w:val="22627BE7"/>
    <w:rsid w:val="22661207"/>
    <w:rsid w:val="22700273"/>
    <w:rsid w:val="229E48DB"/>
    <w:rsid w:val="22B57C66"/>
    <w:rsid w:val="22B727F6"/>
    <w:rsid w:val="22B97967"/>
    <w:rsid w:val="22CE384A"/>
    <w:rsid w:val="22CF2295"/>
    <w:rsid w:val="22E0566B"/>
    <w:rsid w:val="22F04783"/>
    <w:rsid w:val="22F913FB"/>
    <w:rsid w:val="234D3738"/>
    <w:rsid w:val="236B231D"/>
    <w:rsid w:val="237355B1"/>
    <w:rsid w:val="238670C8"/>
    <w:rsid w:val="239D4B92"/>
    <w:rsid w:val="23B45E9D"/>
    <w:rsid w:val="23D12A2F"/>
    <w:rsid w:val="23EA3ADF"/>
    <w:rsid w:val="23EA77CA"/>
    <w:rsid w:val="23F46EA8"/>
    <w:rsid w:val="24547947"/>
    <w:rsid w:val="24570F67"/>
    <w:rsid w:val="249073D6"/>
    <w:rsid w:val="24CA3815"/>
    <w:rsid w:val="24D942F0"/>
    <w:rsid w:val="24DE2055"/>
    <w:rsid w:val="24E87456"/>
    <w:rsid w:val="24F11E83"/>
    <w:rsid w:val="250B47F3"/>
    <w:rsid w:val="25290DD3"/>
    <w:rsid w:val="254A0D4A"/>
    <w:rsid w:val="254D7446"/>
    <w:rsid w:val="255A72E3"/>
    <w:rsid w:val="256C4082"/>
    <w:rsid w:val="257B622C"/>
    <w:rsid w:val="25B11B92"/>
    <w:rsid w:val="25BC242D"/>
    <w:rsid w:val="25BF4783"/>
    <w:rsid w:val="25CE7B47"/>
    <w:rsid w:val="25DA3E7C"/>
    <w:rsid w:val="25E60F52"/>
    <w:rsid w:val="26017E16"/>
    <w:rsid w:val="261B18AE"/>
    <w:rsid w:val="261E7F0C"/>
    <w:rsid w:val="263018F0"/>
    <w:rsid w:val="2647340C"/>
    <w:rsid w:val="268C5A9B"/>
    <w:rsid w:val="269417D9"/>
    <w:rsid w:val="26A23E50"/>
    <w:rsid w:val="26A5448A"/>
    <w:rsid w:val="26DD00C8"/>
    <w:rsid w:val="27082C6B"/>
    <w:rsid w:val="2713603C"/>
    <w:rsid w:val="27327D7E"/>
    <w:rsid w:val="275B0FEC"/>
    <w:rsid w:val="275F2683"/>
    <w:rsid w:val="276D6196"/>
    <w:rsid w:val="27830C51"/>
    <w:rsid w:val="278903FC"/>
    <w:rsid w:val="278F6EED"/>
    <w:rsid w:val="279C3CF7"/>
    <w:rsid w:val="27B27BF3"/>
    <w:rsid w:val="27B568E6"/>
    <w:rsid w:val="27BC5F2F"/>
    <w:rsid w:val="27BD1A14"/>
    <w:rsid w:val="27CE5C62"/>
    <w:rsid w:val="27D001FB"/>
    <w:rsid w:val="27E2526A"/>
    <w:rsid w:val="27F60D15"/>
    <w:rsid w:val="28040A8A"/>
    <w:rsid w:val="281A2C55"/>
    <w:rsid w:val="2829733C"/>
    <w:rsid w:val="284339E3"/>
    <w:rsid w:val="28437BCE"/>
    <w:rsid w:val="28605C78"/>
    <w:rsid w:val="286B5C1F"/>
    <w:rsid w:val="2881593B"/>
    <w:rsid w:val="288448DC"/>
    <w:rsid w:val="28933C97"/>
    <w:rsid w:val="289E3886"/>
    <w:rsid w:val="28B92525"/>
    <w:rsid w:val="28CD1A76"/>
    <w:rsid w:val="28E474D1"/>
    <w:rsid w:val="29531CFB"/>
    <w:rsid w:val="295F5454"/>
    <w:rsid w:val="29606D8E"/>
    <w:rsid w:val="296248B4"/>
    <w:rsid w:val="299753D5"/>
    <w:rsid w:val="29B65F53"/>
    <w:rsid w:val="29F04FFF"/>
    <w:rsid w:val="29F2697D"/>
    <w:rsid w:val="29FD45DD"/>
    <w:rsid w:val="2A0C49FC"/>
    <w:rsid w:val="2A250ADB"/>
    <w:rsid w:val="2A447628"/>
    <w:rsid w:val="2A7A0CEB"/>
    <w:rsid w:val="2A9F38E6"/>
    <w:rsid w:val="2AAC1D3B"/>
    <w:rsid w:val="2AC901B1"/>
    <w:rsid w:val="2ACE16B2"/>
    <w:rsid w:val="2AD91375"/>
    <w:rsid w:val="2AF754D0"/>
    <w:rsid w:val="2B0E4604"/>
    <w:rsid w:val="2B114EE9"/>
    <w:rsid w:val="2B274C59"/>
    <w:rsid w:val="2B486A6D"/>
    <w:rsid w:val="2B4D50F0"/>
    <w:rsid w:val="2B6D28C9"/>
    <w:rsid w:val="2B91392E"/>
    <w:rsid w:val="2BAD5C08"/>
    <w:rsid w:val="2BD24CFE"/>
    <w:rsid w:val="2BD84244"/>
    <w:rsid w:val="2BED788C"/>
    <w:rsid w:val="2C0E5270"/>
    <w:rsid w:val="2C247F18"/>
    <w:rsid w:val="2C26473B"/>
    <w:rsid w:val="2C4209CD"/>
    <w:rsid w:val="2C4468CE"/>
    <w:rsid w:val="2C465D5F"/>
    <w:rsid w:val="2C4D33CF"/>
    <w:rsid w:val="2C6D77BD"/>
    <w:rsid w:val="2C8E73DC"/>
    <w:rsid w:val="2CD107F3"/>
    <w:rsid w:val="2CD168AA"/>
    <w:rsid w:val="2CE73CA3"/>
    <w:rsid w:val="2D260298"/>
    <w:rsid w:val="2D493232"/>
    <w:rsid w:val="2D575AEB"/>
    <w:rsid w:val="2D597FB3"/>
    <w:rsid w:val="2D8C0FAC"/>
    <w:rsid w:val="2DB94D8F"/>
    <w:rsid w:val="2DB94F78"/>
    <w:rsid w:val="2DCB3767"/>
    <w:rsid w:val="2DF3744C"/>
    <w:rsid w:val="2E031289"/>
    <w:rsid w:val="2E190834"/>
    <w:rsid w:val="2E3F5343"/>
    <w:rsid w:val="2E450300"/>
    <w:rsid w:val="2E453790"/>
    <w:rsid w:val="2E4A5917"/>
    <w:rsid w:val="2E6C551C"/>
    <w:rsid w:val="2E732971"/>
    <w:rsid w:val="2E7967FF"/>
    <w:rsid w:val="2E9C4AA6"/>
    <w:rsid w:val="2EAC037F"/>
    <w:rsid w:val="2EB21E3A"/>
    <w:rsid w:val="2EC1611A"/>
    <w:rsid w:val="2F065CE2"/>
    <w:rsid w:val="2F0873B9"/>
    <w:rsid w:val="2F220384"/>
    <w:rsid w:val="2F2E21A1"/>
    <w:rsid w:val="2F5A04C3"/>
    <w:rsid w:val="2F6D5D61"/>
    <w:rsid w:val="2F944B24"/>
    <w:rsid w:val="2FAF6379"/>
    <w:rsid w:val="2FB1517C"/>
    <w:rsid w:val="2FC67A85"/>
    <w:rsid w:val="2FD113DA"/>
    <w:rsid w:val="30004E27"/>
    <w:rsid w:val="3027082A"/>
    <w:rsid w:val="30295D48"/>
    <w:rsid w:val="302F2ACC"/>
    <w:rsid w:val="30460EB8"/>
    <w:rsid w:val="304844CB"/>
    <w:rsid w:val="307B152E"/>
    <w:rsid w:val="3089305D"/>
    <w:rsid w:val="309457EF"/>
    <w:rsid w:val="309B4007"/>
    <w:rsid w:val="309C6B5A"/>
    <w:rsid w:val="309E03A3"/>
    <w:rsid w:val="30A16B37"/>
    <w:rsid w:val="30B6368E"/>
    <w:rsid w:val="30C301B1"/>
    <w:rsid w:val="30DD36DD"/>
    <w:rsid w:val="30DE0EA6"/>
    <w:rsid w:val="30E3452C"/>
    <w:rsid w:val="30E71708"/>
    <w:rsid w:val="310B7735"/>
    <w:rsid w:val="313E1763"/>
    <w:rsid w:val="31C373C7"/>
    <w:rsid w:val="31E247E4"/>
    <w:rsid w:val="31E935DD"/>
    <w:rsid w:val="31EC01FF"/>
    <w:rsid w:val="323D5EBE"/>
    <w:rsid w:val="325B4E5A"/>
    <w:rsid w:val="32607DFF"/>
    <w:rsid w:val="3274558C"/>
    <w:rsid w:val="328F7539"/>
    <w:rsid w:val="32A93554"/>
    <w:rsid w:val="32C635D3"/>
    <w:rsid w:val="33045CC3"/>
    <w:rsid w:val="33077B96"/>
    <w:rsid w:val="33255A6A"/>
    <w:rsid w:val="335C6818"/>
    <w:rsid w:val="337F74F6"/>
    <w:rsid w:val="338A5DAD"/>
    <w:rsid w:val="33C2512E"/>
    <w:rsid w:val="33FB26D9"/>
    <w:rsid w:val="342019D6"/>
    <w:rsid w:val="342A6B27"/>
    <w:rsid w:val="342F05E5"/>
    <w:rsid w:val="34330FA8"/>
    <w:rsid w:val="343751D9"/>
    <w:rsid w:val="34451C83"/>
    <w:rsid w:val="345B1602"/>
    <w:rsid w:val="346B4741"/>
    <w:rsid w:val="349C037B"/>
    <w:rsid w:val="349C63DF"/>
    <w:rsid w:val="349E2D09"/>
    <w:rsid w:val="34BC4C43"/>
    <w:rsid w:val="34C816C9"/>
    <w:rsid w:val="34DD5737"/>
    <w:rsid w:val="35150821"/>
    <w:rsid w:val="354E2E3F"/>
    <w:rsid w:val="35515B68"/>
    <w:rsid w:val="35561B0D"/>
    <w:rsid w:val="356D6ABA"/>
    <w:rsid w:val="35732682"/>
    <w:rsid w:val="35861A58"/>
    <w:rsid w:val="359E5F75"/>
    <w:rsid w:val="35A95619"/>
    <w:rsid w:val="35B926F1"/>
    <w:rsid w:val="35BF6BEA"/>
    <w:rsid w:val="35D86ACE"/>
    <w:rsid w:val="35DA1C76"/>
    <w:rsid w:val="35E96EE5"/>
    <w:rsid w:val="35FD0E9C"/>
    <w:rsid w:val="360F53AF"/>
    <w:rsid w:val="361E0577"/>
    <w:rsid w:val="36351095"/>
    <w:rsid w:val="36672AFA"/>
    <w:rsid w:val="3679148F"/>
    <w:rsid w:val="36832E12"/>
    <w:rsid w:val="36A56D6E"/>
    <w:rsid w:val="36AC53C0"/>
    <w:rsid w:val="36B204FD"/>
    <w:rsid w:val="36C97333"/>
    <w:rsid w:val="36D668E1"/>
    <w:rsid w:val="36E82D4C"/>
    <w:rsid w:val="37117919"/>
    <w:rsid w:val="37253BAF"/>
    <w:rsid w:val="37393CB6"/>
    <w:rsid w:val="373B161D"/>
    <w:rsid w:val="375C0B95"/>
    <w:rsid w:val="37640F43"/>
    <w:rsid w:val="376860E2"/>
    <w:rsid w:val="378073BA"/>
    <w:rsid w:val="37907FDB"/>
    <w:rsid w:val="37911E53"/>
    <w:rsid w:val="37CF1DD8"/>
    <w:rsid w:val="37DD081D"/>
    <w:rsid w:val="38007FE8"/>
    <w:rsid w:val="380135CA"/>
    <w:rsid w:val="38056CCF"/>
    <w:rsid w:val="380E04C6"/>
    <w:rsid w:val="38110C23"/>
    <w:rsid w:val="381946EE"/>
    <w:rsid w:val="38194CD8"/>
    <w:rsid w:val="383737E0"/>
    <w:rsid w:val="384229F7"/>
    <w:rsid w:val="38601AF9"/>
    <w:rsid w:val="38643BCD"/>
    <w:rsid w:val="38673CD8"/>
    <w:rsid w:val="387B504A"/>
    <w:rsid w:val="388332A6"/>
    <w:rsid w:val="388C7258"/>
    <w:rsid w:val="38966328"/>
    <w:rsid w:val="38B95B73"/>
    <w:rsid w:val="38D66F26"/>
    <w:rsid w:val="392020E5"/>
    <w:rsid w:val="39260C0B"/>
    <w:rsid w:val="39266647"/>
    <w:rsid w:val="39345C80"/>
    <w:rsid w:val="39472B87"/>
    <w:rsid w:val="394915ED"/>
    <w:rsid w:val="395F2BBE"/>
    <w:rsid w:val="396764B9"/>
    <w:rsid w:val="39A62826"/>
    <w:rsid w:val="39A84565"/>
    <w:rsid w:val="39DB4D59"/>
    <w:rsid w:val="39E84962"/>
    <w:rsid w:val="3A4678DA"/>
    <w:rsid w:val="3A560ED9"/>
    <w:rsid w:val="3A5F2AD5"/>
    <w:rsid w:val="3A723DFD"/>
    <w:rsid w:val="3ADF400E"/>
    <w:rsid w:val="3AEC57EE"/>
    <w:rsid w:val="3AF56EF0"/>
    <w:rsid w:val="3B293484"/>
    <w:rsid w:val="3B3E6803"/>
    <w:rsid w:val="3B483EC7"/>
    <w:rsid w:val="3BAD46C6"/>
    <w:rsid w:val="3BC8415F"/>
    <w:rsid w:val="3BDD11D6"/>
    <w:rsid w:val="3C0A6A0D"/>
    <w:rsid w:val="3C2B7D42"/>
    <w:rsid w:val="3C2D0D52"/>
    <w:rsid w:val="3C33120E"/>
    <w:rsid w:val="3C497957"/>
    <w:rsid w:val="3C4D13F4"/>
    <w:rsid w:val="3C8A3691"/>
    <w:rsid w:val="3C95402D"/>
    <w:rsid w:val="3C9962E1"/>
    <w:rsid w:val="3CEF24AB"/>
    <w:rsid w:val="3D0F66A9"/>
    <w:rsid w:val="3D4F478D"/>
    <w:rsid w:val="3D5C2616"/>
    <w:rsid w:val="3D640E3F"/>
    <w:rsid w:val="3D7D2D33"/>
    <w:rsid w:val="3D891623"/>
    <w:rsid w:val="3DB07BC0"/>
    <w:rsid w:val="3DCA7510"/>
    <w:rsid w:val="3DDC4187"/>
    <w:rsid w:val="3DDC47DD"/>
    <w:rsid w:val="3E052E8F"/>
    <w:rsid w:val="3E0572CB"/>
    <w:rsid w:val="3E0755D2"/>
    <w:rsid w:val="3E2540C3"/>
    <w:rsid w:val="3E2951A4"/>
    <w:rsid w:val="3E3F71F8"/>
    <w:rsid w:val="3E595E2E"/>
    <w:rsid w:val="3E8377B3"/>
    <w:rsid w:val="3E8E35FE"/>
    <w:rsid w:val="3EBC460F"/>
    <w:rsid w:val="3ED123BC"/>
    <w:rsid w:val="3EE5368C"/>
    <w:rsid w:val="3F00274D"/>
    <w:rsid w:val="3F020776"/>
    <w:rsid w:val="3F0263E0"/>
    <w:rsid w:val="3F047DE6"/>
    <w:rsid w:val="3F163D1F"/>
    <w:rsid w:val="3F1E4982"/>
    <w:rsid w:val="3F253B64"/>
    <w:rsid w:val="3F2B4B01"/>
    <w:rsid w:val="3F314B61"/>
    <w:rsid w:val="3F3379F0"/>
    <w:rsid w:val="3F8904C0"/>
    <w:rsid w:val="3F8B4416"/>
    <w:rsid w:val="3F981AC7"/>
    <w:rsid w:val="3FA92B6B"/>
    <w:rsid w:val="3FB452E6"/>
    <w:rsid w:val="3FBB2BF6"/>
    <w:rsid w:val="3FC0128D"/>
    <w:rsid w:val="3FF678FA"/>
    <w:rsid w:val="4001612E"/>
    <w:rsid w:val="402A1D1D"/>
    <w:rsid w:val="404843AC"/>
    <w:rsid w:val="40503261"/>
    <w:rsid w:val="4065487F"/>
    <w:rsid w:val="40833636"/>
    <w:rsid w:val="4093314D"/>
    <w:rsid w:val="40963B96"/>
    <w:rsid w:val="40C01233"/>
    <w:rsid w:val="40CA4471"/>
    <w:rsid w:val="40D03395"/>
    <w:rsid w:val="40E679AE"/>
    <w:rsid w:val="40E92112"/>
    <w:rsid w:val="41344930"/>
    <w:rsid w:val="41405083"/>
    <w:rsid w:val="41945DFD"/>
    <w:rsid w:val="41AC2719"/>
    <w:rsid w:val="41B453F2"/>
    <w:rsid w:val="41C65BE8"/>
    <w:rsid w:val="41C81630"/>
    <w:rsid w:val="41CF2D27"/>
    <w:rsid w:val="41CF6CC5"/>
    <w:rsid w:val="41E35238"/>
    <w:rsid w:val="420024FA"/>
    <w:rsid w:val="42010F19"/>
    <w:rsid w:val="42044568"/>
    <w:rsid w:val="42155F9A"/>
    <w:rsid w:val="421B4CDC"/>
    <w:rsid w:val="421E71BF"/>
    <w:rsid w:val="424524FA"/>
    <w:rsid w:val="42641E27"/>
    <w:rsid w:val="42675052"/>
    <w:rsid w:val="427D107A"/>
    <w:rsid w:val="427E64BE"/>
    <w:rsid w:val="42C5104B"/>
    <w:rsid w:val="43002ED1"/>
    <w:rsid w:val="43195901"/>
    <w:rsid w:val="43217136"/>
    <w:rsid w:val="43343DC8"/>
    <w:rsid w:val="43450475"/>
    <w:rsid w:val="435B357D"/>
    <w:rsid w:val="43A062AD"/>
    <w:rsid w:val="44035A09"/>
    <w:rsid w:val="44327309"/>
    <w:rsid w:val="4433634D"/>
    <w:rsid w:val="443F27A9"/>
    <w:rsid w:val="4444781F"/>
    <w:rsid w:val="44465A14"/>
    <w:rsid w:val="446438B1"/>
    <w:rsid w:val="447D3F45"/>
    <w:rsid w:val="4498797D"/>
    <w:rsid w:val="44A43B7B"/>
    <w:rsid w:val="44B972F0"/>
    <w:rsid w:val="44EA7FA2"/>
    <w:rsid w:val="44F75984"/>
    <w:rsid w:val="450D1720"/>
    <w:rsid w:val="4547041C"/>
    <w:rsid w:val="454964D0"/>
    <w:rsid w:val="454D637B"/>
    <w:rsid w:val="457334D9"/>
    <w:rsid w:val="4581498B"/>
    <w:rsid w:val="45A277D5"/>
    <w:rsid w:val="45AB56C7"/>
    <w:rsid w:val="45DC10F2"/>
    <w:rsid w:val="45FB3C6E"/>
    <w:rsid w:val="46134973"/>
    <w:rsid w:val="462036D5"/>
    <w:rsid w:val="462E1A2E"/>
    <w:rsid w:val="464153A3"/>
    <w:rsid w:val="46506E39"/>
    <w:rsid w:val="465A0995"/>
    <w:rsid w:val="467058B1"/>
    <w:rsid w:val="46732AA8"/>
    <w:rsid w:val="4677165F"/>
    <w:rsid w:val="467F664E"/>
    <w:rsid w:val="46823EF6"/>
    <w:rsid w:val="468477C0"/>
    <w:rsid w:val="4693034E"/>
    <w:rsid w:val="46A55988"/>
    <w:rsid w:val="46D07953"/>
    <w:rsid w:val="46F579A4"/>
    <w:rsid w:val="46FD7572"/>
    <w:rsid w:val="4717028C"/>
    <w:rsid w:val="472E6B9D"/>
    <w:rsid w:val="473B735A"/>
    <w:rsid w:val="47523D62"/>
    <w:rsid w:val="47A13338"/>
    <w:rsid w:val="47A3396B"/>
    <w:rsid w:val="47B9793D"/>
    <w:rsid w:val="47BE7F72"/>
    <w:rsid w:val="47D00D68"/>
    <w:rsid w:val="47FD3D6B"/>
    <w:rsid w:val="48096DEF"/>
    <w:rsid w:val="48200C00"/>
    <w:rsid w:val="482C010F"/>
    <w:rsid w:val="48336B73"/>
    <w:rsid w:val="4838131C"/>
    <w:rsid w:val="486F624E"/>
    <w:rsid w:val="48872930"/>
    <w:rsid w:val="489152DF"/>
    <w:rsid w:val="48947178"/>
    <w:rsid w:val="48AF489B"/>
    <w:rsid w:val="48B2768D"/>
    <w:rsid w:val="48C84043"/>
    <w:rsid w:val="48E07F64"/>
    <w:rsid w:val="48F17AC0"/>
    <w:rsid w:val="48F350D1"/>
    <w:rsid w:val="48F97312"/>
    <w:rsid w:val="49055CDE"/>
    <w:rsid w:val="49301E81"/>
    <w:rsid w:val="49314C7A"/>
    <w:rsid w:val="493213A4"/>
    <w:rsid w:val="49425710"/>
    <w:rsid w:val="49793828"/>
    <w:rsid w:val="49A67591"/>
    <w:rsid w:val="49B30787"/>
    <w:rsid w:val="49D4261E"/>
    <w:rsid w:val="49EB7F15"/>
    <w:rsid w:val="49F121CF"/>
    <w:rsid w:val="49F82B23"/>
    <w:rsid w:val="49FB248F"/>
    <w:rsid w:val="4A2500A6"/>
    <w:rsid w:val="4A563C9A"/>
    <w:rsid w:val="4A684F71"/>
    <w:rsid w:val="4A861503"/>
    <w:rsid w:val="4AE36F1F"/>
    <w:rsid w:val="4B0B04B0"/>
    <w:rsid w:val="4B6D62F0"/>
    <w:rsid w:val="4B717E33"/>
    <w:rsid w:val="4B910A7E"/>
    <w:rsid w:val="4B9D2E43"/>
    <w:rsid w:val="4BDF049E"/>
    <w:rsid w:val="4BFC6F56"/>
    <w:rsid w:val="4C107D48"/>
    <w:rsid w:val="4C487881"/>
    <w:rsid w:val="4C5C4D3B"/>
    <w:rsid w:val="4C646F30"/>
    <w:rsid w:val="4C71246E"/>
    <w:rsid w:val="4C802FA0"/>
    <w:rsid w:val="4CA706AC"/>
    <w:rsid w:val="4CAF1562"/>
    <w:rsid w:val="4CB84667"/>
    <w:rsid w:val="4CD94BBC"/>
    <w:rsid w:val="4D0645F9"/>
    <w:rsid w:val="4D160839"/>
    <w:rsid w:val="4D2F0B58"/>
    <w:rsid w:val="4D371A30"/>
    <w:rsid w:val="4D733638"/>
    <w:rsid w:val="4D8E669C"/>
    <w:rsid w:val="4DC01745"/>
    <w:rsid w:val="4DD424E8"/>
    <w:rsid w:val="4DD47FD6"/>
    <w:rsid w:val="4DFA5ACA"/>
    <w:rsid w:val="4E1160F1"/>
    <w:rsid w:val="4E296052"/>
    <w:rsid w:val="4E381F9E"/>
    <w:rsid w:val="4E3A5D0E"/>
    <w:rsid w:val="4E52057F"/>
    <w:rsid w:val="4E7068AF"/>
    <w:rsid w:val="4E7C1358"/>
    <w:rsid w:val="4EBF3EEB"/>
    <w:rsid w:val="4EDF198A"/>
    <w:rsid w:val="4F0F58E3"/>
    <w:rsid w:val="4F144957"/>
    <w:rsid w:val="4F1E3411"/>
    <w:rsid w:val="4F2E3A17"/>
    <w:rsid w:val="4F3778AA"/>
    <w:rsid w:val="4F634F72"/>
    <w:rsid w:val="4F756840"/>
    <w:rsid w:val="4F7B197C"/>
    <w:rsid w:val="4F8A58A6"/>
    <w:rsid w:val="4FAD6A0E"/>
    <w:rsid w:val="4FAF3C00"/>
    <w:rsid w:val="4FB51868"/>
    <w:rsid w:val="4FC71A10"/>
    <w:rsid w:val="4FCC40BB"/>
    <w:rsid w:val="4FE95390"/>
    <w:rsid w:val="500F2E37"/>
    <w:rsid w:val="50305002"/>
    <w:rsid w:val="503638A8"/>
    <w:rsid w:val="50595C18"/>
    <w:rsid w:val="505D0936"/>
    <w:rsid w:val="505E71AE"/>
    <w:rsid w:val="50655C0C"/>
    <w:rsid w:val="509240DF"/>
    <w:rsid w:val="509C7502"/>
    <w:rsid w:val="50A075E8"/>
    <w:rsid w:val="50B6165D"/>
    <w:rsid w:val="50D17611"/>
    <w:rsid w:val="50D44082"/>
    <w:rsid w:val="50F94906"/>
    <w:rsid w:val="51103AD6"/>
    <w:rsid w:val="51273B6A"/>
    <w:rsid w:val="514A5F52"/>
    <w:rsid w:val="514C7376"/>
    <w:rsid w:val="515B7A1D"/>
    <w:rsid w:val="516267E6"/>
    <w:rsid w:val="516C77CE"/>
    <w:rsid w:val="517C2410"/>
    <w:rsid w:val="519B14BE"/>
    <w:rsid w:val="51CA32E3"/>
    <w:rsid w:val="51DC4954"/>
    <w:rsid w:val="51DC6B91"/>
    <w:rsid w:val="51EF6EEF"/>
    <w:rsid w:val="522307D5"/>
    <w:rsid w:val="52262073"/>
    <w:rsid w:val="525B41E5"/>
    <w:rsid w:val="52613415"/>
    <w:rsid w:val="526606C2"/>
    <w:rsid w:val="526D1A50"/>
    <w:rsid w:val="527B54B4"/>
    <w:rsid w:val="52956AD4"/>
    <w:rsid w:val="52A4188E"/>
    <w:rsid w:val="52A57C86"/>
    <w:rsid w:val="52C04276"/>
    <w:rsid w:val="52C34C47"/>
    <w:rsid w:val="52E15F9A"/>
    <w:rsid w:val="52EC3697"/>
    <w:rsid w:val="52F1442F"/>
    <w:rsid w:val="531A29C7"/>
    <w:rsid w:val="53246291"/>
    <w:rsid w:val="53442347"/>
    <w:rsid w:val="535A7CEA"/>
    <w:rsid w:val="53623CDA"/>
    <w:rsid w:val="5373753A"/>
    <w:rsid w:val="5374598A"/>
    <w:rsid w:val="538208AF"/>
    <w:rsid w:val="53C90155"/>
    <w:rsid w:val="53D86E0B"/>
    <w:rsid w:val="53DB4FD4"/>
    <w:rsid w:val="53F16810"/>
    <w:rsid w:val="53F177BB"/>
    <w:rsid w:val="53FC752F"/>
    <w:rsid w:val="53FD32A8"/>
    <w:rsid w:val="54065CB8"/>
    <w:rsid w:val="54370568"/>
    <w:rsid w:val="543E30AE"/>
    <w:rsid w:val="546B6463"/>
    <w:rsid w:val="54A51C9E"/>
    <w:rsid w:val="54A648A3"/>
    <w:rsid w:val="54CB6F02"/>
    <w:rsid w:val="54D1276A"/>
    <w:rsid w:val="54D44008"/>
    <w:rsid w:val="54E81862"/>
    <w:rsid w:val="551D5480"/>
    <w:rsid w:val="554D7917"/>
    <w:rsid w:val="55521BC9"/>
    <w:rsid w:val="5562256D"/>
    <w:rsid w:val="556C484B"/>
    <w:rsid w:val="55A4007F"/>
    <w:rsid w:val="55F33E8B"/>
    <w:rsid w:val="560421A1"/>
    <w:rsid w:val="561A52C9"/>
    <w:rsid w:val="562408B1"/>
    <w:rsid w:val="56517561"/>
    <w:rsid w:val="565804FA"/>
    <w:rsid w:val="567323A2"/>
    <w:rsid w:val="56755722"/>
    <w:rsid w:val="568E136C"/>
    <w:rsid w:val="569C0506"/>
    <w:rsid w:val="56BE4164"/>
    <w:rsid w:val="56CE2338"/>
    <w:rsid w:val="56D20788"/>
    <w:rsid w:val="56D33994"/>
    <w:rsid w:val="56E16F8B"/>
    <w:rsid w:val="56E62BE6"/>
    <w:rsid w:val="56ED5254"/>
    <w:rsid w:val="570D735E"/>
    <w:rsid w:val="5727547F"/>
    <w:rsid w:val="573C40E7"/>
    <w:rsid w:val="573E12D6"/>
    <w:rsid w:val="57415259"/>
    <w:rsid w:val="57472E20"/>
    <w:rsid w:val="57664A1C"/>
    <w:rsid w:val="57722648"/>
    <w:rsid w:val="57740A14"/>
    <w:rsid w:val="577A6D3A"/>
    <w:rsid w:val="57885248"/>
    <w:rsid w:val="57AA2DFF"/>
    <w:rsid w:val="57BB3492"/>
    <w:rsid w:val="57CD1C5D"/>
    <w:rsid w:val="57DB474F"/>
    <w:rsid w:val="57DF519E"/>
    <w:rsid w:val="57E13AC7"/>
    <w:rsid w:val="580B63A1"/>
    <w:rsid w:val="5824611D"/>
    <w:rsid w:val="58262129"/>
    <w:rsid w:val="5838665C"/>
    <w:rsid w:val="58530F60"/>
    <w:rsid w:val="587C0C3F"/>
    <w:rsid w:val="58A037E3"/>
    <w:rsid w:val="58A106A5"/>
    <w:rsid w:val="58AC2BA6"/>
    <w:rsid w:val="58B61482"/>
    <w:rsid w:val="58C16BF8"/>
    <w:rsid w:val="58D8106F"/>
    <w:rsid w:val="58FF53CC"/>
    <w:rsid w:val="59004098"/>
    <w:rsid w:val="590D5D3B"/>
    <w:rsid w:val="591D2D5D"/>
    <w:rsid w:val="595C6BA8"/>
    <w:rsid w:val="595E71E6"/>
    <w:rsid w:val="596029D6"/>
    <w:rsid w:val="59646CF7"/>
    <w:rsid w:val="59772FAE"/>
    <w:rsid w:val="59856687"/>
    <w:rsid w:val="5988716F"/>
    <w:rsid w:val="59E3042D"/>
    <w:rsid w:val="59E331A8"/>
    <w:rsid w:val="5A4B6B1B"/>
    <w:rsid w:val="5A517EA9"/>
    <w:rsid w:val="5A520CA7"/>
    <w:rsid w:val="5A59716E"/>
    <w:rsid w:val="5A77590E"/>
    <w:rsid w:val="5A7B4AD5"/>
    <w:rsid w:val="5A7B6C10"/>
    <w:rsid w:val="5A8D7133"/>
    <w:rsid w:val="5A9A0C31"/>
    <w:rsid w:val="5AB046B9"/>
    <w:rsid w:val="5ACD5F86"/>
    <w:rsid w:val="5B045B2D"/>
    <w:rsid w:val="5B43614A"/>
    <w:rsid w:val="5B636D24"/>
    <w:rsid w:val="5B6854AA"/>
    <w:rsid w:val="5B7E5D6E"/>
    <w:rsid w:val="5BB939E9"/>
    <w:rsid w:val="5BCA3CDF"/>
    <w:rsid w:val="5BEA2363"/>
    <w:rsid w:val="5C081A68"/>
    <w:rsid w:val="5C2F7D76"/>
    <w:rsid w:val="5C3921D3"/>
    <w:rsid w:val="5C677510"/>
    <w:rsid w:val="5C851C2A"/>
    <w:rsid w:val="5CA23AD9"/>
    <w:rsid w:val="5CA249EC"/>
    <w:rsid w:val="5CEA667B"/>
    <w:rsid w:val="5D16080B"/>
    <w:rsid w:val="5D213B63"/>
    <w:rsid w:val="5D301CA3"/>
    <w:rsid w:val="5D341A46"/>
    <w:rsid w:val="5D454CC3"/>
    <w:rsid w:val="5D4613CB"/>
    <w:rsid w:val="5D4A13E8"/>
    <w:rsid w:val="5D4A6D64"/>
    <w:rsid w:val="5D5B5747"/>
    <w:rsid w:val="5D8177AC"/>
    <w:rsid w:val="5D99194B"/>
    <w:rsid w:val="5DA640CB"/>
    <w:rsid w:val="5DAE00A2"/>
    <w:rsid w:val="5DB06557"/>
    <w:rsid w:val="5DCD43AB"/>
    <w:rsid w:val="5DDF7A60"/>
    <w:rsid w:val="5DED037F"/>
    <w:rsid w:val="5DFB0858"/>
    <w:rsid w:val="5E1E1E07"/>
    <w:rsid w:val="5E205B08"/>
    <w:rsid w:val="5E385567"/>
    <w:rsid w:val="5E615505"/>
    <w:rsid w:val="5E673C65"/>
    <w:rsid w:val="5E6A778C"/>
    <w:rsid w:val="5E7B5BBF"/>
    <w:rsid w:val="5E865AD5"/>
    <w:rsid w:val="5EB22A2A"/>
    <w:rsid w:val="5EC72A14"/>
    <w:rsid w:val="5ECE7D1A"/>
    <w:rsid w:val="5ED0043C"/>
    <w:rsid w:val="5ED706FA"/>
    <w:rsid w:val="5F090D52"/>
    <w:rsid w:val="5F157E5B"/>
    <w:rsid w:val="5F2D60B8"/>
    <w:rsid w:val="5F2E6A0B"/>
    <w:rsid w:val="5F3759A0"/>
    <w:rsid w:val="5F467D0B"/>
    <w:rsid w:val="5F4F557A"/>
    <w:rsid w:val="5F5B5EBE"/>
    <w:rsid w:val="5FA0033E"/>
    <w:rsid w:val="5FA44924"/>
    <w:rsid w:val="5FDC7576"/>
    <w:rsid w:val="60335F4C"/>
    <w:rsid w:val="60466FCE"/>
    <w:rsid w:val="605C6513"/>
    <w:rsid w:val="606C1B82"/>
    <w:rsid w:val="60770C84"/>
    <w:rsid w:val="60C2243D"/>
    <w:rsid w:val="60D809DC"/>
    <w:rsid w:val="60DA6D4B"/>
    <w:rsid w:val="60DA793B"/>
    <w:rsid w:val="60E76F28"/>
    <w:rsid w:val="6155202D"/>
    <w:rsid w:val="617613AF"/>
    <w:rsid w:val="6189617B"/>
    <w:rsid w:val="618C17C7"/>
    <w:rsid w:val="61930DA7"/>
    <w:rsid w:val="619C19CF"/>
    <w:rsid w:val="61B36D25"/>
    <w:rsid w:val="61C5270B"/>
    <w:rsid w:val="61E73A27"/>
    <w:rsid w:val="61E86705"/>
    <w:rsid w:val="62187CA6"/>
    <w:rsid w:val="6229463E"/>
    <w:rsid w:val="62444710"/>
    <w:rsid w:val="6262573D"/>
    <w:rsid w:val="628D3A49"/>
    <w:rsid w:val="62916153"/>
    <w:rsid w:val="62DD0876"/>
    <w:rsid w:val="62DE42A4"/>
    <w:rsid w:val="62DF6945"/>
    <w:rsid w:val="62E84D6B"/>
    <w:rsid w:val="6304250C"/>
    <w:rsid w:val="631D301E"/>
    <w:rsid w:val="633A3EB9"/>
    <w:rsid w:val="633F1BC7"/>
    <w:rsid w:val="6355471F"/>
    <w:rsid w:val="635B004C"/>
    <w:rsid w:val="635B1021"/>
    <w:rsid w:val="635D7D81"/>
    <w:rsid w:val="635F53E5"/>
    <w:rsid w:val="63893AD3"/>
    <w:rsid w:val="639975BA"/>
    <w:rsid w:val="63B3069F"/>
    <w:rsid w:val="63BA3FE7"/>
    <w:rsid w:val="63C65E85"/>
    <w:rsid w:val="63CC1D0C"/>
    <w:rsid w:val="63E1229E"/>
    <w:rsid w:val="63E4413C"/>
    <w:rsid w:val="63F4655B"/>
    <w:rsid w:val="64175CC0"/>
    <w:rsid w:val="643178DC"/>
    <w:rsid w:val="64344084"/>
    <w:rsid w:val="6443151A"/>
    <w:rsid w:val="64435F8E"/>
    <w:rsid w:val="644C3BBB"/>
    <w:rsid w:val="646E29E0"/>
    <w:rsid w:val="646F4877"/>
    <w:rsid w:val="64A80FC2"/>
    <w:rsid w:val="64A84B6A"/>
    <w:rsid w:val="64AB72F7"/>
    <w:rsid w:val="64CE5C72"/>
    <w:rsid w:val="64D06AA2"/>
    <w:rsid w:val="64D57F57"/>
    <w:rsid w:val="650717B3"/>
    <w:rsid w:val="65102E3B"/>
    <w:rsid w:val="651B7747"/>
    <w:rsid w:val="651E3CBD"/>
    <w:rsid w:val="651F4E36"/>
    <w:rsid w:val="654C7BEB"/>
    <w:rsid w:val="65563146"/>
    <w:rsid w:val="656F15CC"/>
    <w:rsid w:val="65815AE7"/>
    <w:rsid w:val="658C3A4D"/>
    <w:rsid w:val="658D1477"/>
    <w:rsid w:val="658F3948"/>
    <w:rsid w:val="65A3544F"/>
    <w:rsid w:val="65B202BD"/>
    <w:rsid w:val="65BD5F3A"/>
    <w:rsid w:val="65C46A14"/>
    <w:rsid w:val="65CB1873"/>
    <w:rsid w:val="65E47E23"/>
    <w:rsid w:val="660C7CFF"/>
    <w:rsid w:val="663200B6"/>
    <w:rsid w:val="6638278E"/>
    <w:rsid w:val="664310C5"/>
    <w:rsid w:val="66503748"/>
    <w:rsid w:val="665A5642"/>
    <w:rsid w:val="66660B1E"/>
    <w:rsid w:val="6686016D"/>
    <w:rsid w:val="66976C44"/>
    <w:rsid w:val="66E6359D"/>
    <w:rsid w:val="670342D9"/>
    <w:rsid w:val="671019D1"/>
    <w:rsid w:val="673C7152"/>
    <w:rsid w:val="67416140"/>
    <w:rsid w:val="675F2D38"/>
    <w:rsid w:val="677807FE"/>
    <w:rsid w:val="67AE1A3B"/>
    <w:rsid w:val="67AF4FEA"/>
    <w:rsid w:val="67DC208F"/>
    <w:rsid w:val="67E35121"/>
    <w:rsid w:val="685206AF"/>
    <w:rsid w:val="68831087"/>
    <w:rsid w:val="689F7A51"/>
    <w:rsid w:val="68A21B66"/>
    <w:rsid w:val="68A344A5"/>
    <w:rsid w:val="68AB69D7"/>
    <w:rsid w:val="68BD756B"/>
    <w:rsid w:val="68C64BD7"/>
    <w:rsid w:val="69010033"/>
    <w:rsid w:val="691952F4"/>
    <w:rsid w:val="692C53C1"/>
    <w:rsid w:val="693251D3"/>
    <w:rsid w:val="694C5D2B"/>
    <w:rsid w:val="69623A87"/>
    <w:rsid w:val="69735746"/>
    <w:rsid w:val="697F12FB"/>
    <w:rsid w:val="697F2E44"/>
    <w:rsid w:val="699B487D"/>
    <w:rsid w:val="69BE2739"/>
    <w:rsid w:val="69C25A59"/>
    <w:rsid w:val="69CE32D0"/>
    <w:rsid w:val="69DC1DC2"/>
    <w:rsid w:val="69E0370C"/>
    <w:rsid w:val="69F31571"/>
    <w:rsid w:val="69FA755A"/>
    <w:rsid w:val="6A2D7FEB"/>
    <w:rsid w:val="6A441EA6"/>
    <w:rsid w:val="6A490C4B"/>
    <w:rsid w:val="6A4D269B"/>
    <w:rsid w:val="6A503ED1"/>
    <w:rsid w:val="6A9E7C48"/>
    <w:rsid w:val="6AA62616"/>
    <w:rsid w:val="6AAA3CF0"/>
    <w:rsid w:val="6ABB6531"/>
    <w:rsid w:val="6ACF4DB3"/>
    <w:rsid w:val="6B2A452A"/>
    <w:rsid w:val="6B2E6722"/>
    <w:rsid w:val="6B382743"/>
    <w:rsid w:val="6B4E0D76"/>
    <w:rsid w:val="6B514C91"/>
    <w:rsid w:val="6B5E41D4"/>
    <w:rsid w:val="6B6E3640"/>
    <w:rsid w:val="6B961BC0"/>
    <w:rsid w:val="6B985938"/>
    <w:rsid w:val="6BBE04ED"/>
    <w:rsid w:val="6BC02799"/>
    <w:rsid w:val="6C047635"/>
    <w:rsid w:val="6C132292"/>
    <w:rsid w:val="6C2C7242"/>
    <w:rsid w:val="6C486CD0"/>
    <w:rsid w:val="6C5D0160"/>
    <w:rsid w:val="6CDC7AA6"/>
    <w:rsid w:val="6D2E2136"/>
    <w:rsid w:val="6D48562C"/>
    <w:rsid w:val="6D535020"/>
    <w:rsid w:val="6D5528F2"/>
    <w:rsid w:val="6D6F0736"/>
    <w:rsid w:val="6D723F67"/>
    <w:rsid w:val="6D852358"/>
    <w:rsid w:val="6DBB337C"/>
    <w:rsid w:val="6DCC7B1B"/>
    <w:rsid w:val="6DEA61F3"/>
    <w:rsid w:val="6E0734C3"/>
    <w:rsid w:val="6E146DCC"/>
    <w:rsid w:val="6E2B7D4C"/>
    <w:rsid w:val="6E537FA9"/>
    <w:rsid w:val="6E5673E4"/>
    <w:rsid w:val="6E781A51"/>
    <w:rsid w:val="6EA36399"/>
    <w:rsid w:val="6ED02820"/>
    <w:rsid w:val="6EF2710D"/>
    <w:rsid w:val="6EFC40AD"/>
    <w:rsid w:val="6F4831D1"/>
    <w:rsid w:val="6FAA68CC"/>
    <w:rsid w:val="6FAD572A"/>
    <w:rsid w:val="700B6F04"/>
    <w:rsid w:val="70194B6E"/>
    <w:rsid w:val="701D12CF"/>
    <w:rsid w:val="701E7C08"/>
    <w:rsid w:val="70382221"/>
    <w:rsid w:val="705F71BF"/>
    <w:rsid w:val="708F3903"/>
    <w:rsid w:val="70BE1611"/>
    <w:rsid w:val="70C61DF0"/>
    <w:rsid w:val="70D9342B"/>
    <w:rsid w:val="70E8645E"/>
    <w:rsid w:val="711321BC"/>
    <w:rsid w:val="712D0787"/>
    <w:rsid w:val="712E5E16"/>
    <w:rsid w:val="71327C95"/>
    <w:rsid w:val="71331E53"/>
    <w:rsid w:val="71553EE3"/>
    <w:rsid w:val="715C0ADC"/>
    <w:rsid w:val="7170412F"/>
    <w:rsid w:val="71706A0F"/>
    <w:rsid w:val="71806376"/>
    <w:rsid w:val="719A5E92"/>
    <w:rsid w:val="71B608C6"/>
    <w:rsid w:val="71C832D5"/>
    <w:rsid w:val="71D64AC4"/>
    <w:rsid w:val="72121D7C"/>
    <w:rsid w:val="72127AC6"/>
    <w:rsid w:val="72226908"/>
    <w:rsid w:val="724C5252"/>
    <w:rsid w:val="72562570"/>
    <w:rsid w:val="726D7BC5"/>
    <w:rsid w:val="726F6344"/>
    <w:rsid w:val="72730565"/>
    <w:rsid w:val="728A2691"/>
    <w:rsid w:val="72A51661"/>
    <w:rsid w:val="72B352CD"/>
    <w:rsid w:val="732B5337"/>
    <w:rsid w:val="736443A1"/>
    <w:rsid w:val="73A6630C"/>
    <w:rsid w:val="73AA7753"/>
    <w:rsid w:val="73AB59C1"/>
    <w:rsid w:val="73B2612A"/>
    <w:rsid w:val="73BC6D60"/>
    <w:rsid w:val="73D01950"/>
    <w:rsid w:val="73EB05CF"/>
    <w:rsid w:val="73F456D6"/>
    <w:rsid w:val="74052C97"/>
    <w:rsid w:val="7406374F"/>
    <w:rsid w:val="745A625F"/>
    <w:rsid w:val="746A1E3C"/>
    <w:rsid w:val="746D7C40"/>
    <w:rsid w:val="74E27C24"/>
    <w:rsid w:val="74F45108"/>
    <w:rsid w:val="74FB3256"/>
    <w:rsid w:val="75081CB4"/>
    <w:rsid w:val="751C3DA7"/>
    <w:rsid w:val="75210917"/>
    <w:rsid w:val="75395D82"/>
    <w:rsid w:val="754824FF"/>
    <w:rsid w:val="75683CD2"/>
    <w:rsid w:val="75B36FAB"/>
    <w:rsid w:val="75BA38C1"/>
    <w:rsid w:val="75BB5396"/>
    <w:rsid w:val="75EB641E"/>
    <w:rsid w:val="75FB71EF"/>
    <w:rsid w:val="76057031"/>
    <w:rsid w:val="761E390B"/>
    <w:rsid w:val="7624775D"/>
    <w:rsid w:val="762B4319"/>
    <w:rsid w:val="762D25F0"/>
    <w:rsid w:val="764E54A2"/>
    <w:rsid w:val="767F437E"/>
    <w:rsid w:val="76853D2B"/>
    <w:rsid w:val="76BF0E5C"/>
    <w:rsid w:val="76E068BE"/>
    <w:rsid w:val="76FE59D9"/>
    <w:rsid w:val="770519A8"/>
    <w:rsid w:val="77195203"/>
    <w:rsid w:val="771D1364"/>
    <w:rsid w:val="7724396F"/>
    <w:rsid w:val="772B1EBA"/>
    <w:rsid w:val="77375538"/>
    <w:rsid w:val="774140FD"/>
    <w:rsid w:val="77664B3C"/>
    <w:rsid w:val="777D03A5"/>
    <w:rsid w:val="777D1E86"/>
    <w:rsid w:val="778C3111"/>
    <w:rsid w:val="77902907"/>
    <w:rsid w:val="7798242E"/>
    <w:rsid w:val="77A515AD"/>
    <w:rsid w:val="77C40974"/>
    <w:rsid w:val="77DC6BAC"/>
    <w:rsid w:val="77FF7EB5"/>
    <w:rsid w:val="78034139"/>
    <w:rsid w:val="78151675"/>
    <w:rsid w:val="781C3E8F"/>
    <w:rsid w:val="782D7408"/>
    <w:rsid w:val="78362761"/>
    <w:rsid w:val="784D106E"/>
    <w:rsid w:val="785602F1"/>
    <w:rsid w:val="78871387"/>
    <w:rsid w:val="788B2A45"/>
    <w:rsid w:val="789313C7"/>
    <w:rsid w:val="78981D74"/>
    <w:rsid w:val="78E24281"/>
    <w:rsid w:val="79074AB5"/>
    <w:rsid w:val="790D2B21"/>
    <w:rsid w:val="79116D2A"/>
    <w:rsid w:val="7918142C"/>
    <w:rsid w:val="791A15BB"/>
    <w:rsid w:val="791C7835"/>
    <w:rsid w:val="79297BCF"/>
    <w:rsid w:val="792E4B0A"/>
    <w:rsid w:val="793A6280"/>
    <w:rsid w:val="793B1B85"/>
    <w:rsid w:val="796279C5"/>
    <w:rsid w:val="79714F0C"/>
    <w:rsid w:val="79743D21"/>
    <w:rsid w:val="798925CC"/>
    <w:rsid w:val="798B18F2"/>
    <w:rsid w:val="7994614D"/>
    <w:rsid w:val="79997AC2"/>
    <w:rsid w:val="79A13C0A"/>
    <w:rsid w:val="79C36B41"/>
    <w:rsid w:val="79C8563A"/>
    <w:rsid w:val="79CF5B4B"/>
    <w:rsid w:val="79ED6E4F"/>
    <w:rsid w:val="79F939AB"/>
    <w:rsid w:val="7A013016"/>
    <w:rsid w:val="7A0F1A8E"/>
    <w:rsid w:val="7A372D9C"/>
    <w:rsid w:val="7A4020AC"/>
    <w:rsid w:val="7A53759E"/>
    <w:rsid w:val="7A6423E0"/>
    <w:rsid w:val="7A927D22"/>
    <w:rsid w:val="7A9B3A11"/>
    <w:rsid w:val="7A9F566D"/>
    <w:rsid w:val="7AA75778"/>
    <w:rsid w:val="7AAF10AD"/>
    <w:rsid w:val="7AB750E0"/>
    <w:rsid w:val="7AE14686"/>
    <w:rsid w:val="7AE40E52"/>
    <w:rsid w:val="7AF95CC7"/>
    <w:rsid w:val="7B0E70B6"/>
    <w:rsid w:val="7B3B008E"/>
    <w:rsid w:val="7B3D282F"/>
    <w:rsid w:val="7B51340D"/>
    <w:rsid w:val="7B5761A4"/>
    <w:rsid w:val="7B6D60C5"/>
    <w:rsid w:val="7B7315D6"/>
    <w:rsid w:val="7B853268"/>
    <w:rsid w:val="7B9A10BA"/>
    <w:rsid w:val="7B9E134C"/>
    <w:rsid w:val="7BBC33D9"/>
    <w:rsid w:val="7BBF7CFF"/>
    <w:rsid w:val="7BC706E6"/>
    <w:rsid w:val="7BDA1655"/>
    <w:rsid w:val="7BDF6C6B"/>
    <w:rsid w:val="7BEE727C"/>
    <w:rsid w:val="7C012117"/>
    <w:rsid w:val="7C180F26"/>
    <w:rsid w:val="7C694787"/>
    <w:rsid w:val="7C7541BA"/>
    <w:rsid w:val="7C8C0FE1"/>
    <w:rsid w:val="7CDF64B4"/>
    <w:rsid w:val="7CE20F6D"/>
    <w:rsid w:val="7CE4046F"/>
    <w:rsid w:val="7D0F17D2"/>
    <w:rsid w:val="7D332376"/>
    <w:rsid w:val="7D335DFE"/>
    <w:rsid w:val="7D3954DE"/>
    <w:rsid w:val="7D4D4C67"/>
    <w:rsid w:val="7D670130"/>
    <w:rsid w:val="7D7C6016"/>
    <w:rsid w:val="7D965C61"/>
    <w:rsid w:val="7DB163E5"/>
    <w:rsid w:val="7DFA7D8C"/>
    <w:rsid w:val="7E01736D"/>
    <w:rsid w:val="7E097784"/>
    <w:rsid w:val="7E171402"/>
    <w:rsid w:val="7E1F3C97"/>
    <w:rsid w:val="7E1F6898"/>
    <w:rsid w:val="7E340E8C"/>
    <w:rsid w:val="7E531E44"/>
    <w:rsid w:val="7E6A026C"/>
    <w:rsid w:val="7E6B0287"/>
    <w:rsid w:val="7E7538B7"/>
    <w:rsid w:val="7E881667"/>
    <w:rsid w:val="7E971905"/>
    <w:rsid w:val="7EB3766C"/>
    <w:rsid w:val="7EC20AE4"/>
    <w:rsid w:val="7ECC4CB6"/>
    <w:rsid w:val="7EE87368"/>
    <w:rsid w:val="7EF46511"/>
    <w:rsid w:val="7EF70770"/>
    <w:rsid w:val="7F054C3B"/>
    <w:rsid w:val="7F1D01D6"/>
    <w:rsid w:val="7F304634"/>
    <w:rsid w:val="7F460177"/>
    <w:rsid w:val="7F5C155D"/>
    <w:rsid w:val="7F5D4A77"/>
    <w:rsid w:val="7F5F2928"/>
    <w:rsid w:val="7F7023B0"/>
    <w:rsid w:val="7F745137"/>
    <w:rsid w:val="7F785D4D"/>
    <w:rsid w:val="7F7B070E"/>
    <w:rsid w:val="7F7D6EC7"/>
    <w:rsid w:val="7FBA5A25"/>
    <w:rsid w:val="7FC503E3"/>
    <w:rsid w:val="7FD63815"/>
    <w:rsid w:val="7FDA60C7"/>
    <w:rsid w:val="7FEA72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5"/>
    <w:link w:val="35"/>
    <w:autoRedefine/>
    <w:qFormat/>
    <w:uiPriority w:val="0"/>
    <w:pPr>
      <w:keepNext/>
      <w:keepLines/>
      <w:spacing w:line="360" w:lineRule="auto"/>
      <w:outlineLvl w:val="0"/>
    </w:pPr>
    <w:rPr>
      <w:b/>
      <w:bCs/>
      <w:kern w:val="44"/>
      <w:sz w:val="32"/>
      <w:szCs w:val="44"/>
    </w:rPr>
  </w:style>
  <w:style w:type="paragraph" w:styleId="5">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autoRedefine/>
    <w:qFormat/>
    <w:uiPriority w:val="0"/>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line="360" w:lineRule="auto"/>
      <w:outlineLvl w:val="3"/>
    </w:pPr>
    <w:rPr>
      <w:rFonts w:ascii="Arial" w:hAnsi="Arial"/>
      <w:b/>
      <w:bCs/>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unhideWhenUsed/>
    <w:qFormat/>
    <w:uiPriority w:val="99"/>
    <w:pPr>
      <w:ind w:firstLine="420" w:firstLineChars="200"/>
    </w:pPr>
  </w:style>
  <w:style w:type="paragraph" w:styleId="3">
    <w:name w:val="Body Text Indent"/>
    <w:basedOn w:val="1"/>
    <w:autoRedefine/>
    <w:qFormat/>
    <w:uiPriority w:val="0"/>
    <w:pPr>
      <w:spacing w:after="120"/>
      <w:ind w:left="420" w:leftChars="200"/>
      <w:jc w:val="left"/>
    </w:pPr>
    <w:rPr>
      <w:rFonts w:ascii="Calibri" w:hAnsi="Calibri" w:eastAsia="Times New Roman"/>
      <w:kern w:val="0"/>
      <w:sz w:val="22"/>
      <w:szCs w:val="20"/>
    </w:rPr>
  </w:style>
  <w:style w:type="paragraph" w:styleId="8">
    <w:name w:val="Normal Indent"/>
    <w:basedOn w:val="1"/>
    <w:next w:val="1"/>
    <w:autoRedefine/>
    <w:qFormat/>
    <w:uiPriority w:val="99"/>
    <w:pPr>
      <w:ind w:firstLine="420" w:firstLineChars="200"/>
    </w:pPr>
    <w:rPr>
      <w:szCs w:val="20"/>
    </w:rPr>
  </w:style>
  <w:style w:type="paragraph" w:styleId="9">
    <w:name w:val="caption"/>
    <w:basedOn w:val="1"/>
    <w:next w:val="1"/>
    <w:autoRedefine/>
    <w:qFormat/>
    <w:uiPriority w:val="0"/>
    <w:rPr>
      <w:rFonts w:ascii="Cambria" w:hAnsi="Cambria" w:eastAsia="黑体"/>
      <w:sz w:val="20"/>
      <w:szCs w:val="20"/>
    </w:rPr>
  </w:style>
  <w:style w:type="paragraph" w:styleId="10">
    <w:name w:val="annotation text"/>
    <w:basedOn w:val="1"/>
    <w:autoRedefine/>
    <w:qFormat/>
    <w:uiPriority w:val="0"/>
    <w:pPr>
      <w:jc w:val="left"/>
    </w:pPr>
    <w:rPr>
      <w:rFonts w:ascii="Calibri" w:hAnsi="Calibri"/>
      <w:kern w:val="0"/>
      <w:sz w:val="22"/>
      <w:szCs w:val="22"/>
    </w:rPr>
  </w:style>
  <w:style w:type="paragraph" w:styleId="11">
    <w:name w:val="Body Text"/>
    <w:basedOn w:val="1"/>
    <w:next w:val="1"/>
    <w:autoRedefine/>
    <w:qFormat/>
    <w:uiPriority w:val="0"/>
    <w:pPr>
      <w:spacing w:after="120"/>
    </w:pPr>
  </w:style>
  <w:style w:type="paragraph" w:styleId="12">
    <w:name w:val="List 2"/>
    <w:basedOn w:val="1"/>
    <w:autoRedefine/>
    <w:qFormat/>
    <w:uiPriority w:val="0"/>
    <w:pPr>
      <w:ind w:left="100" w:leftChars="200" w:hanging="200" w:hangingChars="200"/>
    </w:pPr>
  </w:style>
  <w:style w:type="paragraph" w:styleId="13">
    <w:name w:val="index 4"/>
    <w:basedOn w:val="1"/>
    <w:next w:val="1"/>
    <w:autoRedefine/>
    <w:qFormat/>
    <w:uiPriority w:val="0"/>
    <w:pPr>
      <w:ind w:left="600" w:leftChars="600"/>
    </w:pPr>
  </w:style>
  <w:style w:type="paragraph" w:styleId="14">
    <w:name w:val="toc 3"/>
    <w:basedOn w:val="1"/>
    <w:next w:val="1"/>
    <w:autoRedefine/>
    <w:qFormat/>
    <w:uiPriority w:val="0"/>
    <w:pPr>
      <w:ind w:left="840" w:leftChars="400"/>
    </w:pPr>
  </w:style>
  <w:style w:type="paragraph" w:styleId="15">
    <w:name w:val="Plain Text"/>
    <w:basedOn w:val="1"/>
    <w:autoRedefine/>
    <w:qFormat/>
    <w:uiPriority w:val="0"/>
    <w:rPr>
      <w:rFonts w:ascii="宋体" w:hAnsi="Courier New" w:cs="Courier New"/>
      <w:szCs w:val="21"/>
    </w:rPr>
  </w:style>
  <w:style w:type="paragraph" w:styleId="16">
    <w:name w:val="Date"/>
    <w:basedOn w:val="1"/>
    <w:next w:val="1"/>
    <w:autoRedefine/>
    <w:qFormat/>
    <w:uiPriority w:val="0"/>
    <w:pPr>
      <w:ind w:left="100" w:leftChars="2500"/>
    </w:pPr>
  </w:style>
  <w:style w:type="paragraph" w:styleId="17">
    <w:name w:val="Balloon Text"/>
    <w:basedOn w:val="1"/>
    <w:link w:val="54"/>
    <w:autoRedefine/>
    <w:qFormat/>
    <w:uiPriority w:val="0"/>
    <w:rPr>
      <w:sz w:val="18"/>
      <w:szCs w:val="18"/>
    </w:rPr>
  </w:style>
  <w:style w:type="paragraph" w:styleId="18">
    <w:name w:val="footer"/>
    <w:basedOn w:val="1"/>
    <w:autoRedefine/>
    <w:qFormat/>
    <w:uiPriority w:val="0"/>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style>
  <w:style w:type="paragraph" w:styleId="22">
    <w:name w:val="toc 2"/>
    <w:basedOn w:val="1"/>
    <w:next w:val="1"/>
    <w:autoRedefine/>
    <w:qFormat/>
    <w:uiPriority w:val="39"/>
    <w:pPr>
      <w:tabs>
        <w:tab w:val="left" w:pos="840"/>
        <w:tab w:val="right" w:leader="dot" w:pos="9061"/>
      </w:tabs>
      <w:ind w:left="420" w:leftChars="200"/>
    </w:pPr>
  </w:style>
  <w:style w:type="paragraph" w:styleId="23">
    <w:name w:val="Body Text 2"/>
    <w:basedOn w:val="1"/>
    <w:next w:val="11"/>
    <w:autoRedefine/>
    <w:qFormat/>
    <w:uiPriority w:val="0"/>
    <w:pPr>
      <w:spacing w:after="120" w:line="480" w:lineRule="auto"/>
    </w:pPr>
  </w:style>
  <w:style w:type="paragraph" w:styleId="24">
    <w:name w:val="Normal (Web)"/>
    <w:basedOn w:val="1"/>
    <w:autoRedefine/>
    <w:qFormat/>
    <w:uiPriority w:val="0"/>
    <w:pPr>
      <w:widowControl/>
      <w:spacing w:before="100" w:beforeAutospacing="1" w:after="100" w:afterAutospacing="1" w:line="320" w:lineRule="atLeast"/>
      <w:jc w:val="left"/>
    </w:pPr>
    <w:rPr>
      <w:rFonts w:ascii="宋体" w:hAnsi="宋体"/>
      <w:kern w:val="0"/>
      <w:sz w:val="18"/>
      <w:szCs w:val="18"/>
    </w:rPr>
  </w:style>
  <w:style w:type="paragraph" w:styleId="25">
    <w:name w:val="Title"/>
    <w:basedOn w:val="1"/>
    <w:next w:val="1"/>
    <w:autoRedefine/>
    <w:qFormat/>
    <w:uiPriority w:val="0"/>
    <w:pPr>
      <w:spacing w:before="240" w:after="60"/>
      <w:jc w:val="center"/>
      <w:outlineLvl w:val="0"/>
    </w:pPr>
    <w:rPr>
      <w:rFonts w:ascii="Cambria" w:hAnsi="Cambria" w:eastAsia="Times New Roman"/>
      <w:b/>
      <w:kern w:val="0"/>
      <w:sz w:val="32"/>
      <w:szCs w:val="32"/>
    </w:rPr>
  </w:style>
  <w:style w:type="paragraph" w:styleId="26">
    <w:name w:val="Body Text First Indent"/>
    <w:basedOn w:val="11"/>
    <w:next w:val="2"/>
    <w:autoRedefine/>
    <w:qFormat/>
    <w:uiPriority w:val="0"/>
    <w:pPr>
      <w:ind w:firstLine="420" w:firstLineChars="100"/>
    </w:pPr>
    <w:rPr>
      <w:rFonts w:eastAsia="楷体_GB2312"/>
    </w:rPr>
  </w:style>
  <w:style w:type="table" w:styleId="28">
    <w:name w:val="Table Grid"/>
    <w:basedOn w:val="2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autoRedefine/>
    <w:qFormat/>
    <w:uiPriority w:val="0"/>
  </w:style>
  <w:style w:type="character" w:styleId="31">
    <w:name w:val="FollowedHyperlink"/>
    <w:basedOn w:val="29"/>
    <w:autoRedefine/>
    <w:qFormat/>
    <w:uiPriority w:val="0"/>
    <w:rPr>
      <w:color w:val="333333"/>
      <w:u w:val="none"/>
    </w:rPr>
  </w:style>
  <w:style w:type="character" w:styleId="32">
    <w:name w:val="Emphasis"/>
    <w:basedOn w:val="29"/>
    <w:autoRedefine/>
    <w:qFormat/>
    <w:uiPriority w:val="0"/>
  </w:style>
  <w:style w:type="character" w:styleId="33">
    <w:name w:val="Hyperlink"/>
    <w:basedOn w:val="29"/>
    <w:autoRedefine/>
    <w:qFormat/>
    <w:uiPriority w:val="99"/>
    <w:rPr>
      <w:color w:val="0000FF"/>
      <w:u w:val="single"/>
    </w:rPr>
  </w:style>
  <w:style w:type="paragraph" w:customStyle="1" w:styleId="34">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35">
    <w:name w:val="标题 1 字符"/>
    <w:basedOn w:val="29"/>
    <w:link w:val="4"/>
    <w:autoRedefine/>
    <w:qFormat/>
    <w:uiPriority w:val="0"/>
    <w:rPr>
      <w:rFonts w:ascii="Times New Roman" w:hAnsi="Times New Roman"/>
      <w:b/>
      <w:bCs/>
      <w:kern w:val="44"/>
      <w:sz w:val="32"/>
      <w:szCs w:val="44"/>
    </w:rPr>
  </w:style>
  <w:style w:type="paragraph" w:customStyle="1" w:styleId="36">
    <w:name w:val="正文（缩进）"/>
    <w:basedOn w:val="1"/>
    <w:autoRedefine/>
    <w:qFormat/>
    <w:uiPriority w:val="0"/>
    <w:pPr>
      <w:ind w:firstLine="480" w:firstLineChars="200"/>
    </w:pPr>
  </w:style>
  <w:style w:type="paragraph" w:customStyle="1" w:styleId="37">
    <w:name w:val="Default"/>
    <w:basedOn w:val="15"/>
    <w:next w:val="38"/>
    <w:autoRedefine/>
    <w:qFormat/>
    <w:uiPriority w:val="0"/>
    <w:pPr>
      <w:autoSpaceDE w:val="0"/>
      <w:autoSpaceDN w:val="0"/>
      <w:adjustRightInd w:val="0"/>
    </w:pPr>
    <w:rPr>
      <w:rFonts w:hAnsi="Times New Roman" w:cs="宋体"/>
      <w:color w:val="000000"/>
      <w:sz w:val="24"/>
      <w:szCs w:val="24"/>
    </w:rPr>
  </w:style>
  <w:style w:type="paragraph" w:customStyle="1" w:styleId="38">
    <w:name w:val="大标题"/>
    <w:basedOn w:val="1"/>
    <w:next w:val="2"/>
    <w:autoRedefine/>
    <w:qFormat/>
    <w:uiPriority w:val="0"/>
    <w:pPr>
      <w:jc w:val="center"/>
    </w:pPr>
    <w:rPr>
      <w:rFonts w:ascii="Arial" w:hAnsi="Arial"/>
      <w:b/>
      <w:sz w:val="28"/>
    </w:rPr>
  </w:style>
  <w:style w:type="character" w:customStyle="1" w:styleId="39">
    <w:name w:val="CharAttribute17"/>
    <w:autoRedefine/>
    <w:qFormat/>
    <w:uiPriority w:val="99"/>
    <w:rPr>
      <w:rFonts w:ascii="¨¦?????" w:hAnsi="¨¦?????" w:cs="¨¦?????"/>
      <w:b/>
      <w:bCs/>
      <w:sz w:val="31"/>
      <w:szCs w:val="31"/>
    </w:rPr>
  </w:style>
  <w:style w:type="character" w:customStyle="1" w:styleId="40">
    <w:name w:val="CharAttribute11"/>
    <w:autoRedefine/>
    <w:qFormat/>
    <w:uiPriority w:val="0"/>
    <w:rPr>
      <w:rFonts w:ascii="??????" w:hAnsi="??????" w:cs="??????"/>
      <w:sz w:val="21"/>
      <w:szCs w:val="21"/>
    </w:rPr>
  </w:style>
  <w:style w:type="paragraph" w:customStyle="1" w:styleId="41">
    <w:name w:val="ParaAttribute12"/>
    <w:autoRedefine/>
    <w:qFormat/>
    <w:uiPriority w:val="99"/>
    <w:pPr>
      <w:widowControl w:val="0"/>
      <w:wordWrap w:val="0"/>
      <w:spacing w:line="240" w:lineRule="exact"/>
    </w:pPr>
    <w:rPr>
      <w:rFonts w:ascii="Times New Roman" w:hAnsi="Times New Roman" w:eastAsia="宋体" w:cs="Times New Roman"/>
      <w:sz w:val="21"/>
      <w:szCs w:val="22"/>
      <w:lang w:val="en-US" w:eastAsia="zh-CN" w:bidi="ar-SA"/>
    </w:rPr>
  </w:style>
  <w:style w:type="character" w:customStyle="1" w:styleId="42">
    <w:name w:val="CharAttribute13"/>
    <w:autoRedefine/>
    <w:qFormat/>
    <w:uiPriority w:val="0"/>
    <w:rPr>
      <w:rFonts w:ascii="Times New" w:hAnsi="Times New" w:cs="Times New"/>
      <w:sz w:val="21"/>
      <w:szCs w:val="21"/>
    </w:rPr>
  </w:style>
  <w:style w:type="paragraph" w:customStyle="1" w:styleId="43">
    <w:name w:val="样式 标题 3 + (中文) 黑体 小四 非加粗 段前: 7.8 磅 段后: 0 磅 行距: 固定值 20 磅"/>
    <w:basedOn w:val="6"/>
    <w:autoRedefine/>
    <w:qFormat/>
    <w:uiPriority w:val="0"/>
    <w:pPr>
      <w:spacing w:before="0" w:after="0" w:line="400" w:lineRule="exact"/>
    </w:pPr>
    <w:rPr>
      <w:rFonts w:eastAsia="黑体"/>
      <w:sz w:val="24"/>
      <w:szCs w:val="20"/>
    </w:rPr>
  </w:style>
  <w:style w:type="character" w:customStyle="1" w:styleId="44">
    <w:name w:val="apple-converted-space"/>
    <w:basedOn w:val="29"/>
    <w:autoRedefine/>
    <w:qFormat/>
    <w:uiPriority w:val="0"/>
  </w:style>
  <w:style w:type="paragraph" w:customStyle="1" w:styleId="45">
    <w:name w:val="style11"/>
    <w:basedOn w:val="1"/>
    <w:autoRedefine/>
    <w:qFormat/>
    <w:uiPriority w:val="0"/>
    <w:pPr>
      <w:widowControl/>
      <w:spacing w:before="100" w:beforeAutospacing="1" w:after="100" w:afterAutospacing="1"/>
      <w:jc w:val="left"/>
    </w:pPr>
    <w:rPr>
      <w:rFonts w:hint="eastAsia" w:ascii="宋体" w:hAnsi="宋体"/>
      <w:kern w:val="0"/>
      <w:sz w:val="24"/>
      <w:szCs w:val="22"/>
    </w:rPr>
  </w:style>
  <w:style w:type="paragraph" w:customStyle="1" w:styleId="46">
    <w:name w:val="无间隔1"/>
    <w:basedOn w:val="1"/>
    <w:next w:val="9"/>
    <w:autoRedefine/>
    <w:qFormat/>
    <w:uiPriority w:val="0"/>
    <w:pPr>
      <w:widowControl/>
      <w:adjustRightInd w:val="0"/>
      <w:snapToGrid w:val="0"/>
      <w:jc w:val="left"/>
    </w:pPr>
    <w:rPr>
      <w:rFonts w:ascii="Tahoma" w:hAnsi="Tahoma" w:eastAsia="微软雅黑"/>
      <w:kern w:val="0"/>
      <w:sz w:val="22"/>
      <w:szCs w:val="22"/>
    </w:rPr>
  </w:style>
  <w:style w:type="paragraph" w:customStyle="1" w:styleId="47">
    <w:name w:val="样式 标题 2 + Times New Roman 四号 非加粗 段前: 5 磅 段后: 0 磅 行距: 固定值 20..."/>
    <w:basedOn w:val="5"/>
    <w:autoRedefine/>
    <w:qFormat/>
    <w:uiPriority w:val="0"/>
    <w:pPr>
      <w:keepNext w:val="0"/>
      <w:keepLines w:val="0"/>
      <w:spacing w:before="100" w:after="0" w:line="400" w:lineRule="exact"/>
      <w:jc w:val="left"/>
    </w:pPr>
    <w:rPr>
      <w:rFonts w:ascii="Times New Roman" w:hAnsi="Times New Roman"/>
      <w:kern w:val="0"/>
      <w:sz w:val="28"/>
      <w:szCs w:val="44"/>
    </w:rPr>
  </w:style>
  <w:style w:type="character" w:customStyle="1" w:styleId="48">
    <w:name w:val="font41"/>
    <w:basedOn w:val="29"/>
    <w:autoRedefine/>
    <w:qFormat/>
    <w:uiPriority w:val="0"/>
    <w:rPr>
      <w:rFonts w:hint="eastAsia" w:ascii="宋体" w:hAnsi="宋体" w:eastAsia="宋体" w:cs="宋体"/>
      <w:color w:val="000000"/>
      <w:sz w:val="24"/>
      <w:szCs w:val="24"/>
      <w:u w:val="none"/>
    </w:rPr>
  </w:style>
  <w:style w:type="character" w:customStyle="1" w:styleId="49">
    <w:name w:val="font11"/>
    <w:basedOn w:val="29"/>
    <w:autoRedefine/>
    <w:qFormat/>
    <w:uiPriority w:val="0"/>
    <w:rPr>
      <w:rFonts w:ascii="宋体" w:hAnsi="宋体" w:eastAsia="宋体" w:cs="宋体"/>
      <w:color w:val="000000"/>
      <w:sz w:val="24"/>
      <w:szCs w:val="24"/>
      <w:u w:val="none"/>
    </w:rPr>
  </w:style>
  <w:style w:type="paragraph" w:customStyle="1" w:styleId="50">
    <w:name w:val="ParaAttribute109"/>
    <w:autoRedefine/>
    <w:qFormat/>
    <w:uiPriority w:val="99"/>
    <w:pPr>
      <w:widowControl w:val="0"/>
      <w:wordWrap w:val="0"/>
      <w:spacing w:line="163" w:lineRule="exact"/>
    </w:pPr>
    <w:rPr>
      <w:rFonts w:ascii="Times New Roman" w:hAnsi="Times New Roman" w:eastAsia="宋体" w:cs="Times New Roman"/>
      <w:sz w:val="21"/>
      <w:szCs w:val="22"/>
      <w:lang w:val="en-US" w:eastAsia="zh-CN" w:bidi="ar-SA"/>
    </w:rPr>
  </w:style>
  <w:style w:type="paragraph" w:customStyle="1" w:styleId="51">
    <w:name w:val="List Paragraph1"/>
    <w:basedOn w:val="1"/>
    <w:autoRedefine/>
    <w:qFormat/>
    <w:uiPriority w:val="0"/>
    <w:pPr>
      <w:ind w:firstLine="420" w:firstLineChars="200"/>
    </w:pPr>
    <w:rPr>
      <w:rFonts w:ascii="Calibri" w:hAnsi="Calibri"/>
    </w:rPr>
  </w:style>
  <w:style w:type="paragraph" w:customStyle="1" w:styleId="52">
    <w:name w:val="文档正文"/>
    <w:basedOn w:val="1"/>
    <w:autoRedefine/>
    <w:qFormat/>
    <w:uiPriority w:val="0"/>
    <w:pPr>
      <w:adjustRightInd w:val="0"/>
      <w:spacing w:line="480" w:lineRule="atLeast"/>
      <w:ind w:firstLine="567"/>
      <w:textAlignment w:val="baseline"/>
    </w:pPr>
    <w:rPr>
      <w:rFonts w:ascii="Ari" w:eastAsia="Ari"/>
      <w:kern w:val="0"/>
      <w:sz w:val="28"/>
      <w:szCs w:val="20"/>
    </w:rPr>
  </w:style>
  <w:style w:type="paragraph" w:styleId="53">
    <w:name w:val="List Paragraph"/>
    <w:basedOn w:val="1"/>
    <w:link w:val="57"/>
    <w:autoRedefine/>
    <w:qFormat/>
    <w:uiPriority w:val="34"/>
    <w:pPr>
      <w:ind w:firstLine="420"/>
    </w:pPr>
  </w:style>
  <w:style w:type="character" w:customStyle="1" w:styleId="54">
    <w:name w:val="批注框文本 字符"/>
    <w:basedOn w:val="29"/>
    <w:link w:val="17"/>
    <w:autoRedefine/>
    <w:qFormat/>
    <w:uiPriority w:val="0"/>
    <w:rPr>
      <w:rFonts w:ascii="Times New Roman" w:hAnsi="Times New Roman"/>
      <w:kern w:val="2"/>
      <w:sz w:val="18"/>
      <w:szCs w:val="18"/>
    </w:rPr>
  </w:style>
  <w:style w:type="paragraph" w:customStyle="1" w:styleId="55">
    <w:name w:val="Body Text First Indent1"/>
    <w:basedOn w:val="11"/>
    <w:autoRedefine/>
    <w:qFormat/>
    <w:uiPriority w:val="99"/>
    <w:pPr>
      <w:ind w:firstLine="420"/>
    </w:pPr>
    <w:rPr>
      <w:rFonts w:ascii="Calibri" w:hAnsi="Calibri"/>
      <w:sz w:val="32"/>
    </w:rPr>
  </w:style>
  <w:style w:type="paragraph" w:customStyle="1" w:styleId="56">
    <w:name w:val="shsj2em"/>
    <w:basedOn w:val="1"/>
    <w:autoRedefine/>
    <w:qFormat/>
    <w:uiPriority w:val="0"/>
    <w:pPr>
      <w:widowControl/>
      <w:jc w:val="left"/>
    </w:pPr>
    <w:rPr>
      <w:rFonts w:ascii="宋体" w:hAnsi="宋体" w:cs="宋体"/>
      <w:kern w:val="0"/>
      <w:sz w:val="24"/>
    </w:rPr>
  </w:style>
  <w:style w:type="character" w:customStyle="1" w:styleId="57">
    <w:name w:val="列表段落 字符"/>
    <w:link w:val="53"/>
    <w:autoRedefine/>
    <w:qFormat/>
    <w:uiPriority w:val="34"/>
    <w:rPr>
      <w:rFonts w:ascii="Times New Roman" w:hAnsi="Times New Roman"/>
      <w:kern w:val="2"/>
      <w:sz w:val="21"/>
      <w:szCs w:val="24"/>
    </w:rPr>
  </w:style>
  <w:style w:type="paragraph" w:customStyle="1" w:styleId="58">
    <w:name w:val="Table Paragraph"/>
    <w:basedOn w:val="1"/>
    <w:autoRedefine/>
    <w:qFormat/>
    <w:uiPriority w:val="1"/>
    <w:rPr>
      <w:rFonts w:ascii="宋体" w:hAnsi="宋体" w:cs="宋体"/>
      <w:lang w:val="zh-CN" w:bidi="zh-CN"/>
    </w:rPr>
  </w:style>
  <w:style w:type="character" w:customStyle="1" w:styleId="59">
    <w:name w:val="green"/>
    <w:basedOn w:val="29"/>
    <w:autoRedefine/>
    <w:qFormat/>
    <w:uiPriority w:val="0"/>
    <w:rPr>
      <w:color w:val="58B200"/>
      <w:sz w:val="21"/>
      <w:szCs w:val="21"/>
    </w:rPr>
  </w:style>
  <w:style w:type="character" w:customStyle="1" w:styleId="60">
    <w:name w:val="red"/>
    <w:basedOn w:val="29"/>
    <w:autoRedefine/>
    <w:qFormat/>
    <w:uiPriority w:val="0"/>
    <w:rPr>
      <w:color w:val="FF0000"/>
      <w:sz w:val="24"/>
      <w:szCs w:val="24"/>
    </w:rPr>
  </w:style>
  <w:style w:type="character" w:customStyle="1" w:styleId="61">
    <w:name w:val="red1"/>
    <w:basedOn w:val="29"/>
    <w:autoRedefine/>
    <w:qFormat/>
    <w:uiPriority w:val="0"/>
    <w:rPr>
      <w:color w:val="FF0000"/>
      <w:sz w:val="21"/>
      <w:szCs w:val="21"/>
    </w:rPr>
  </w:style>
  <w:style w:type="character" w:customStyle="1" w:styleId="62">
    <w:name w:val="blue"/>
    <w:basedOn w:val="29"/>
    <w:autoRedefine/>
    <w:qFormat/>
    <w:uiPriority w:val="0"/>
    <w:rPr>
      <w:color w:val="0371C6"/>
      <w:sz w:val="21"/>
      <w:szCs w:val="21"/>
    </w:rPr>
  </w:style>
  <w:style w:type="character" w:customStyle="1" w:styleId="63">
    <w:name w:val="right"/>
    <w:basedOn w:val="29"/>
    <w:autoRedefine/>
    <w:qFormat/>
    <w:uiPriority w:val="0"/>
    <w:rPr>
      <w:color w:val="999999"/>
    </w:rPr>
  </w:style>
  <w:style w:type="character" w:customStyle="1" w:styleId="64">
    <w:name w:val="right1"/>
    <w:basedOn w:val="29"/>
    <w:autoRedefine/>
    <w:qFormat/>
    <w:uiPriority w:val="0"/>
    <w:rPr>
      <w:color w:val="999999"/>
      <w:sz w:val="18"/>
      <w:szCs w:val="18"/>
    </w:rPr>
  </w:style>
  <w:style w:type="character" w:customStyle="1" w:styleId="65">
    <w:name w:val="active1"/>
    <w:basedOn w:val="29"/>
    <w:autoRedefine/>
    <w:qFormat/>
    <w:uiPriority w:val="0"/>
    <w:rPr>
      <w:color w:val="FFFFFF"/>
      <w:shd w:val="clear" w:color="auto" w:fill="2B7AFC"/>
    </w:rPr>
  </w:style>
  <w:style w:type="character" w:customStyle="1" w:styleId="66">
    <w:name w:val="fl2"/>
    <w:basedOn w:val="29"/>
    <w:autoRedefine/>
    <w:qFormat/>
    <w:uiPriority w:val="0"/>
    <w:rPr>
      <w:color w:val="666666"/>
    </w:rPr>
  </w:style>
  <w:style w:type="character" w:customStyle="1" w:styleId="67">
    <w:name w:val="hover24"/>
    <w:basedOn w:val="29"/>
    <w:autoRedefine/>
    <w:qFormat/>
    <w:uiPriority w:val="0"/>
  </w:style>
  <w:style w:type="character" w:customStyle="1" w:styleId="68">
    <w:name w:val="gb-jt"/>
    <w:basedOn w:val="29"/>
    <w:autoRedefine/>
    <w:qFormat/>
    <w:uiPriority w:val="0"/>
  </w:style>
  <w:style w:type="character" w:customStyle="1" w:styleId="69">
    <w:name w:val="fr4"/>
    <w:basedOn w:val="29"/>
    <w:autoRedefine/>
    <w:qFormat/>
    <w:uiPriority w:val="0"/>
  </w:style>
  <w:style w:type="character" w:customStyle="1" w:styleId="70">
    <w:name w:val="active"/>
    <w:basedOn w:val="29"/>
    <w:autoRedefine/>
    <w:qFormat/>
    <w:uiPriority w:val="0"/>
    <w:rPr>
      <w:color w:val="FFFFFF"/>
      <w:shd w:val="clear" w:color="auto" w:fill="2B7AFC"/>
    </w:rPr>
  </w:style>
  <w:style w:type="character" w:customStyle="1" w:styleId="71">
    <w:name w:val="fl"/>
    <w:basedOn w:val="29"/>
    <w:autoRedefine/>
    <w:qFormat/>
    <w:uiPriority w:val="0"/>
    <w:rPr>
      <w:color w:val="666666"/>
    </w:rPr>
  </w:style>
  <w:style w:type="character" w:customStyle="1" w:styleId="72">
    <w:name w:val="hover22"/>
    <w:basedOn w:val="29"/>
    <w:autoRedefine/>
    <w:qFormat/>
    <w:uiPriority w:val="0"/>
  </w:style>
  <w:style w:type="character" w:customStyle="1" w:styleId="73">
    <w:name w:val="red2"/>
    <w:basedOn w:val="29"/>
    <w:autoRedefine/>
    <w:qFormat/>
    <w:uiPriority w:val="0"/>
    <w:rPr>
      <w:color w:val="FF0000"/>
      <w:sz w:val="21"/>
      <w:szCs w:val="21"/>
    </w:rPr>
  </w:style>
  <w:style w:type="character" w:customStyle="1" w:styleId="74">
    <w:name w:val="red3"/>
    <w:basedOn w:val="29"/>
    <w:autoRedefine/>
    <w:qFormat/>
    <w:uiPriority w:val="0"/>
    <w:rPr>
      <w:color w:val="FF0000"/>
      <w:sz w:val="24"/>
      <w:szCs w:val="24"/>
    </w:rPr>
  </w:style>
  <w:style w:type="character" w:customStyle="1" w:styleId="75">
    <w:name w:val="active3"/>
    <w:basedOn w:val="29"/>
    <w:autoRedefine/>
    <w:qFormat/>
    <w:uiPriority w:val="0"/>
    <w:rPr>
      <w:color w:val="FFFFFF"/>
      <w:shd w:val="clear" w:color="auto" w:fill="2B7AFC"/>
    </w:rPr>
  </w:style>
  <w:style w:type="paragraph" w:customStyle="1" w:styleId="76">
    <w:name w:val="WPSOffice手动目录 1"/>
    <w:autoRedefine/>
    <w:qFormat/>
    <w:uiPriority w:val="0"/>
    <w:rPr>
      <w:rFonts w:ascii="Times New Roman" w:hAnsi="Times New Roman" w:eastAsia="宋体" w:cs="Times New Roman"/>
      <w:lang w:val="en-US" w:eastAsia="zh-CN" w:bidi="ar-SA"/>
    </w:rPr>
  </w:style>
  <w:style w:type="character" w:customStyle="1" w:styleId="77">
    <w:name w:val="15"/>
    <w:basedOn w:val="29"/>
    <w:autoRedefine/>
    <w:qFormat/>
    <w:uiPriority w:val="0"/>
    <w:rPr>
      <w:rFonts w:hint="default" w:ascii="Times New Roman" w:hAnsi="Times New Roman" w:cs="Times New Roman"/>
      <w:color w:val="333333"/>
    </w:rPr>
  </w:style>
  <w:style w:type="paragraph" w:customStyle="1" w:styleId="78">
    <w:name w:val="正文1"/>
    <w:basedOn w:val="1"/>
    <w:autoRedefine/>
    <w:qFormat/>
    <w:uiPriority w:val="0"/>
    <w:pPr>
      <w:adjustRightInd w:val="0"/>
      <w:spacing w:line="318" w:lineRule="atLeast"/>
      <w:ind w:left="369" w:firstLine="369"/>
      <w:textAlignment w:val="baseline"/>
    </w:pPr>
    <w:rPr>
      <w:rFonts w:ascii="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45</Pages>
  <Words>19450</Words>
  <Characters>20610</Characters>
  <Lines>169</Lines>
  <Paragraphs>47</Paragraphs>
  <TotalTime>42</TotalTime>
  <ScaleCrop>false</ScaleCrop>
  <LinksUpToDate>false</LinksUpToDate>
  <CharactersWithSpaces>22132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2021-11-15T03:13:00Z</dcterms:created>
  <dc:creator>你笑得就像海市蜃楼。</dc:creator>
  <cp:lastModifiedBy>方大国际工程咨询股份有限公司:方大国际工程咨询股份有限公司</cp:lastModifiedBy>
  <cp:lastPrinted>2025-04-09T08:56:00Z</cp:lastPrinted>
  <dcterms:modified xsi:type="dcterms:W3CDTF">2026-06-29T07:50:47Z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50130C14528A47B0B5ABA8479A6BABA7_13</vt:lpwstr>
  </property>
  <property fmtid="{D5CDD505-2E9C-101B-9397-08002B2CF9AE}" pid="4" name="KSOTemplateDocerSaveRecord">
    <vt:lpwstr>eyJoZGlkIjoiNjBiOTE5YzI2NTY2ZmIxMzRmODNkNGQzY2MyZDYwYzQiLCJ1c2VySWQiOiI0OTgwNTk1NzcifQ==</vt:lpwstr>
  </property>
</Properties>
</file>