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9E2031">
      <w:pPr>
        <w:pStyle w:val="8"/>
        <w:ind w:right="72"/>
        <w:jc w:val="center"/>
        <w:rPr>
          <w:rFonts w:ascii="宋体" w:hAnsi="宋体" w:cs="宋体"/>
          <w:b/>
          <w:bCs/>
          <w:color w:val="auto"/>
          <w:sz w:val="36"/>
          <w:szCs w:val="36"/>
        </w:rPr>
      </w:pPr>
    </w:p>
    <w:p w14:paraId="72F800B2">
      <w:pPr>
        <w:jc w:val="center"/>
        <w:rPr>
          <w:rFonts w:hint="eastAsia" w:ascii="宋体" w:hAnsi="宋体" w:eastAsia="宋体" w:cs="宋体"/>
          <w:b/>
          <w:bCs/>
          <w:sz w:val="52"/>
          <w:szCs w:val="44"/>
          <w:highlight w:val="none"/>
          <w:lang w:eastAsia="zh-CN"/>
        </w:rPr>
      </w:pPr>
      <w:r>
        <w:rPr>
          <w:rFonts w:hint="eastAsia" w:ascii="宋体" w:hAnsi="宋体" w:eastAsia="宋体" w:cs="宋体"/>
          <w:b/>
          <w:bCs/>
          <w:sz w:val="52"/>
          <w:szCs w:val="44"/>
          <w:highlight w:val="none"/>
          <w:lang w:eastAsia="zh-CN"/>
        </w:rPr>
        <w:t>杞县中医院等离子空气消毒机采购项目</w:t>
      </w:r>
    </w:p>
    <w:p w14:paraId="3FECF43F">
      <w:pPr>
        <w:jc w:val="center"/>
        <w:rPr>
          <w:rFonts w:hint="eastAsia" w:ascii="宋体" w:hAnsi="宋体" w:eastAsia="宋体" w:cs="宋体"/>
          <w:b/>
          <w:bCs/>
          <w:sz w:val="52"/>
          <w:szCs w:val="44"/>
          <w:highlight w:val="none"/>
        </w:rPr>
      </w:pPr>
    </w:p>
    <w:p w14:paraId="3E048B52">
      <w:pPr>
        <w:jc w:val="center"/>
        <w:rPr>
          <w:rFonts w:hint="eastAsia" w:ascii="宋体" w:hAnsi="宋体" w:eastAsia="宋体" w:cs="宋体"/>
          <w:b/>
          <w:bCs/>
          <w:sz w:val="52"/>
          <w:szCs w:val="44"/>
          <w:highlight w:val="none"/>
        </w:rPr>
      </w:pPr>
      <w:r>
        <w:rPr>
          <w:rFonts w:hint="eastAsia" w:ascii="宋体" w:hAnsi="宋体" w:eastAsia="宋体" w:cs="宋体"/>
          <w:b/>
          <w:bCs/>
          <w:sz w:val="52"/>
          <w:szCs w:val="44"/>
          <w:highlight w:val="none"/>
        </w:rPr>
        <w:t>竞争性磋商文件</w:t>
      </w:r>
    </w:p>
    <w:p w14:paraId="778DB246">
      <w:pPr>
        <w:rPr>
          <w:rFonts w:hint="eastAsia"/>
          <w:highlight w:val="none"/>
        </w:rPr>
      </w:pPr>
    </w:p>
    <w:p w14:paraId="3D66F514">
      <w:pPr>
        <w:pStyle w:val="44"/>
        <w:jc w:val="center"/>
        <w:rPr>
          <w:rFonts w:hint="eastAsia" w:hAnsi="宋体" w:cs="黑体"/>
          <w:b/>
          <w:bCs/>
          <w:sz w:val="36"/>
          <w:szCs w:val="36"/>
          <w:highlight w:val="none"/>
        </w:rPr>
      </w:pPr>
    </w:p>
    <w:p w14:paraId="6A0BD193">
      <w:pPr>
        <w:jc w:val="center"/>
        <w:rPr>
          <w:rFonts w:hint="eastAsia" w:ascii="宋体" w:hAnsi="宋体" w:cs="宋体"/>
          <w:b/>
          <w:sz w:val="32"/>
          <w:highlight w:val="none"/>
        </w:rPr>
      </w:pPr>
      <w:r>
        <w:rPr>
          <w:rFonts w:hint="eastAsia" w:ascii="宋体" w:hAnsi="宋体" w:cs="宋体"/>
          <w:b/>
          <w:color w:val="auto"/>
          <w:kern w:val="0"/>
          <w:sz w:val="28"/>
          <w:szCs w:val="28"/>
          <w:lang w:val="en-US" w:eastAsia="zh-CN"/>
        </w:rPr>
        <w:t>项目编号：</w:t>
      </w:r>
      <w:r>
        <w:rPr>
          <w:rFonts w:hint="eastAsia" w:ascii="宋体" w:hAnsi="宋体" w:cs="宋体"/>
          <w:b/>
          <w:color w:val="auto"/>
          <w:kern w:val="0"/>
          <w:sz w:val="28"/>
          <w:szCs w:val="28"/>
          <w:lang w:eastAsia="zh-CN"/>
        </w:rPr>
        <w:t>汴杞财磋商采购-2026-35</w:t>
      </w:r>
    </w:p>
    <w:p w14:paraId="185C4365">
      <w:pPr>
        <w:jc w:val="center"/>
        <w:rPr>
          <w:rFonts w:hint="eastAsia" w:ascii="宋体" w:hAnsi="宋体" w:cs="宋体"/>
          <w:sz w:val="44"/>
          <w:highlight w:val="none"/>
        </w:rPr>
      </w:pPr>
    </w:p>
    <w:p w14:paraId="3DF68193">
      <w:pPr>
        <w:jc w:val="center"/>
        <w:rPr>
          <w:rFonts w:hint="eastAsia" w:ascii="宋体" w:hAnsi="宋体" w:cs="宋体"/>
          <w:sz w:val="44"/>
          <w:highlight w:val="none"/>
        </w:rPr>
      </w:pPr>
      <w:r>
        <w:rPr>
          <w:rFonts w:hint="eastAsia" w:eastAsia="宋体"/>
          <w:color w:val="auto"/>
          <w:lang w:eastAsia="zh-CN"/>
        </w:rPr>
        <w:drawing>
          <wp:inline distT="0" distB="0" distL="114300" distR="114300">
            <wp:extent cx="2869565" cy="2709545"/>
            <wp:effectExtent l="0" t="0" r="6985" b="14605"/>
            <wp:docPr id="10" name="图片 1" descr="89716e54991b27d763ba5f9fa9767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89716e54991b27d763ba5f9fa9767d1"/>
                    <pic:cNvPicPr>
                      <a:picLocks noChangeAspect="1"/>
                    </pic:cNvPicPr>
                  </pic:nvPicPr>
                  <pic:blipFill>
                    <a:blip r:embed="rId15"/>
                    <a:stretch>
                      <a:fillRect/>
                    </a:stretch>
                  </pic:blipFill>
                  <pic:spPr>
                    <a:xfrm>
                      <a:off x="0" y="0"/>
                      <a:ext cx="2869565" cy="2709545"/>
                    </a:xfrm>
                    <a:prstGeom prst="rect">
                      <a:avLst/>
                    </a:prstGeom>
                    <a:noFill/>
                    <a:ln>
                      <a:noFill/>
                    </a:ln>
                  </pic:spPr>
                </pic:pic>
              </a:graphicData>
            </a:graphic>
          </wp:inline>
        </w:drawing>
      </w:r>
    </w:p>
    <w:p w14:paraId="3B4754D9">
      <w:pPr>
        <w:jc w:val="center"/>
        <w:rPr>
          <w:rFonts w:hint="eastAsia" w:ascii="宋体" w:hAnsi="宋体" w:cs="宋体"/>
          <w:b/>
          <w:sz w:val="32"/>
          <w:highlight w:val="none"/>
          <w:lang w:val="en-US" w:eastAsia="zh-CN"/>
        </w:rPr>
      </w:pPr>
      <w:r>
        <w:rPr>
          <w:rFonts w:hint="eastAsia" w:ascii="宋体" w:hAnsi="宋体" w:cs="宋体"/>
          <w:b/>
          <w:sz w:val="32"/>
          <w:highlight w:val="none"/>
          <w:lang w:val="en-US" w:eastAsia="zh-CN"/>
        </w:rPr>
        <w:t xml:space="preserve">          </w:t>
      </w:r>
    </w:p>
    <w:p w14:paraId="192DB61F">
      <w:pPr>
        <w:jc w:val="center"/>
        <w:rPr>
          <w:rFonts w:hint="eastAsia" w:ascii="宋体" w:hAnsi="宋体" w:cs="宋体"/>
          <w:b/>
          <w:sz w:val="32"/>
          <w:highlight w:val="none"/>
          <w:lang w:val="en-US" w:eastAsia="zh-CN"/>
        </w:rPr>
      </w:pPr>
      <w:r>
        <w:rPr>
          <w:rFonts w:hint="eastAsia" w:ascii="宋体" w:hAnsi="宋体" w:cs="宋体"/>
          <w:b/>
          <w:sz w:val="32"/>
          <w:highlight w:val="none"/>
          <w:lang w:val="en-US" w:eastAsia="zh-CN"/>
        </w:rPr>
        <w:t xml:space="preserve">  </w:t>
      </w:r>
    </w:p>
    <w:p w14:paraId="3EA53398">
      <w:pPr>
        <w:jc w:val="center"/>
        <w:rPr>
          <w:rFonts w:hint="eastAsia" w:ascii="宋体" w:hAnsi="宋体" w:cs="宋体"/>
          <w:b/>
          <w:sz w:val="32"/>
          <w:highlight w:val="none"/>
          <w:lang w:val="en-US" w:eastAsia="zh-CN"/>
        </w:rPr>
      </w:pPr>
    </w:p>
    <w:p w14:paraId="3AF4887D">
      <w:pPr>
        <w:jc w:val="center"/>
        <w:rPr>
          <w:rFonts w:hint="eastAsia" w:ascii="宋体" w:hAnsi="宋体" w:eastAsia="宋体" w:cs="宋体"/>
          <w:b/>
          <w:bCs/>
          <w:sz w:val="52"/>
          <w:szCs w:val="44"/>
          <w:highlight w:val="none"/>
          <w:lang w:val="en-US" w:eastAsia="zh-CN"/>
        </w:rPr>
      </w:pPr>
      <w:r>
        <w:rPr>
          <w:rFonts w:hint="eastAsia" w:ascii="宋体" w:hAnsi="宋体" w:cs="宋体"/>
          <w:b/>
          <w:sz w:val="32"/>
          <w:highlight w:val="none"/>
          <w:lang w:val="en-US" w:eastAsia="zh-CN"/>
        </w:rPr>
        <w:t xml:space="preserve">  </w:t>
      </w:r>
      <w:r>
        <w:rPr>
          <w:rFonts w:hint="eastAsia" w:ascii="宋体" w:hAnsi="宋体" w:cs="宋体"/>
          <w:b/>
          <w:sz w:val="32"/>
          <w:highlight w:val="none"/>
          <w:lang w:eastAsia="zh-CN"/>
        </w:rPr>
        <w:t>采</w:t>
      </w:r>
      <w:r>
        <w:rPr>
          <w:rFonts w:hint="eastAsia" w:ascii="宋体" w:hAnsi="宋体" w:cs="宋体"/>
          <w:b/>
          <w:sz w:val="32"/>
          <w:highlight w:val="none"/>
        </w:rPr>
        <w:t>购人：</w:t>
      </w:r>
      <w:r>
        <w:rPr>
          <w:rFonts w:hint="eastAsia" w:ascii="宋体" w:hAnsi="宋体" w:cs="宋体"/>
          <w:b/>
          <w:sz w:val="32"/>
          <w:highlight w:val="none"/>
          <w:lang w:eastAsia="zh-CN"/>
        </w:rPr>
        <w:t>杞县中医院</w:t>
      </w:r>
    </w:p>
    <w:p w14:paraId="16C6DE43">
      <w:pPr>
        <w:spacing w:line="480" w:lineRule="auto"/>
        <w:ind w:firstLine="964" w:firstLineChars="300"/>
        <w:rPr>
          <w:rFonts w:hint="eastAsia" w:ascii="宋体" w:hAnsi="宋体" w:eastAsia="宋体" w:cs="宋体"/>
          <w:b/>
          <w:sz w:val="32"/>
          <w:highlight w:val="none"/>
          <w:lang w:eastAsia="zh-CN"/>
        </w:rPr>
      </w:pPr>
      <w:r>
        <w:rPr>
          <w:rFonts w:hint="eastAsia" w:ascii="宋体" w:hAnsi="宋体" w:cs="宋体"/>
          <w:b/>
          <w:sz w:val="32"/>
          <w:highlight w:val="none"/>
        </w:rPr>
        <w:t>采购代理机构：</w:t>
      </w:r>
      <w:r>
        <w:rPr>
          <w:rFonts w:hint="eastAsia" w:ascii="宋体" w:hAnsi="宋体" w:cs="宋体"/>
          <w:b/>
          <w:sz w:val="32"/>
          <w:highlight w:val="none"/>
          <w:lang w:eastAsia="zh-CN"/>
        </w:rPr>
        <w:t>河南良智行工程管理咨询有限公司</w:t>
      </w:r>
    </w:p>
    <w:p w14:paraId="37A5D150">
      <w:pPr>
        <w:spacing w:line="480" w:lineRule="auto"/>
        <w:ind w:firstLine="2570" w:firstLineChars="800"/>
        <w:rPr>
          <w:rFonts w:hint="eastAsia" w:eastAsia="宋体"/>
          <w:highlight w:val="none"/>
          <w:lang w:eastAsia="zh-CN"/>
        </w:rPr>
        <w:sectPr>
          <w:headerReference r:id="rId4" w:type="first"/>
          <w:headerReference r:id="rId3" w:type="default"/>
          <w:footerReference r:id="rId5" w:type="default"/>
          <w:pgSz w:w="11906" w:h="16838"/>
          <w:pgMar w:top="1440" w:right="1800" w:bottom="1440" w:left="1800" w:header="851" w:footer="992" w:gutter="0"/>
          <w:pgNumType w:start="1"/>
          <w:cols w:space="720" w:num="1"/>
          <w:docGrid w:linePitch="312" w:charSpace="0"/>
        </w:sectPr>
      </w:pPr>
      <w:r>
        <w:rPr>
          <w:rFonts w:hint="eastAsia" w:ascii="宋体" w:hAnsi="宋体" w:cs="宋体"/>
          <w:b/>
          <w:sz w:val="32"/>
          <w:highlight w:val="none"/>
        </w:rPr>
        <w:t>日 期：二零二</w:t>
      </w:r>
      <w:r>
        <w:rPr>
          <w:rFonts w:hint="eastAsia" w:ascii="宋体" w:hAnsi="宋体" w:cs="宋体"/>
          <w:b/>
          <w:sz w:val="32"/>
          <w:highlight w:val="none"/>
          <w:lang w:val="en-US" w:eastAsia="zh-CN"/>
        </w:rPr>
        <w:t>六</w:t>
      </w:r>
      <w:r>
        <w:rPr>
          <w:rFonts w:hint="eastAsia" w:ascii="宋体" w:hAnsi="宋体" w:cs="宋体"/>
          <w:b/>
          <w:sz w:val="32"/>
          <w:highlight w:val="none"/>
        </w:rPr>
        <w:t>年</w:t>
      </w:r>
      <w:r>
        <w:rPr>
          <w:rFonts w:hint="eastAsia" w:ascii="宋体" w:hAnsi="宋体" w:cs="宋体"/>
          <w:b/>
          <w:sz w:val="32"/>
          <w:highlight w:val="none"/>
          <w:lang w:val="en-US" w:eastAsia="zh-CN"/>
        </w:rPr>
        <w:t>八</w:t>
      </w:r>
      <w:r>
        <w:rPr>
          <w:rFonts w:hint="eastAsia" w:ascii="宋体" w:hAnsi="宋体" w:cs="宋体"/>
          <w:b/>
          <w:sz w:val="32"/>
          <w:highlight w:val="none"/>
          <w:lang w:eastAsia="zh-CN"/>
        </w:rPr>
        <w:t>月</w:t>
      </w:r>
    </w:p>
    <w:p w14:paraId="4635D5D3">
      <w:pPr>
        <w:autoSpaceDE w:val="0"/>
        <w:autoSpaceDN w:val="0"/>
        <w:adjustRightInd w:val="0"/>
        <w:jc w:val="both"/>
        <w:rPr>
          <w:rFonts w:ascii="宋体" w:hAnsi="宋体" w:cs="宋体"/>
          <w:b/>
          <w:color w:val="auto"/>
          <w:kern w:val="0"/>
          <w:szCs w:val="21"/>
        </w:rPr>
      </w:pPr>
      <w:bookmarkStart w:id="0" w:name="_Toc457761135"/>
      <w:r>
        <w:drawing>
          <wp:inline distT="0" distB="0" distL="114300" distR="114300">
            <wp:extent cx="6142990" cy="8686165"/>
            <wp:effectExtent l="0" t="0" r="1016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6"/>
                    <a:stretch>
                      <a:fillRect/>
                    </a:stretch>
                  </pic:blipFill>
                  <pic:spPr>
                    <a:xfrm>
                      <a:off x="0" y="0"/>
                      <a:ext cx="6142990" cy="8686165"/>
                    </a:xfrm>
                    <a:prstGeom prst="rect">
                      <a:avLst/>
                    </a:prstGeom>
                    <a:noFill/>
                    <a:ln>
                      <a:noFill/>
                    </a:ln>
                  </pic:spPr>
                </pic:pic>
              </a:graphicData>
            </a:graphic>
          </wp:inline>
        </w:drawing>
      </w:r>
    </w:p>
    <w:p w14:paraId="5D74AFCE">
      <w:pPr>
        <w:autoSpaceDE w:val="0"/>
        <w:autoSpaceDN w:val="0"/>
        <w:adjustRightInd w:val="0"/>
        <w:jc w:val="left"/>
        <w:rPr>
          <w:rFonts w:ascii="宋体" w:hAnsi="宋体" w:cs="宋体"/>
          <w:b/>
          <w:color w:val="auto"/>
          <w:kern w:val="0"/>
          <w:szCs w:val="21"/>
        </w:rPr>
      </w:pPr>
    </w:p>
    <w:p w14:paraId="630C24F9">
      <w:pPr>
        <w:autoSpaceDE w:val="0"/>
        <w:autoSpaceDN w:val="0"/>
        <w:adjustRightInd w:val="0"/>
        <w:jc w:val="center"/>
        <w:rPr>
          <w:rFonts w:ascii="宋体" w:hAnsi="宋体" w:cs="宋体"/>
          <w:color w:val="auto"/>
          <w:sz w:val="44"/>
          <w:szCs w:val="44"/>
        </w:rPr>
      </w:pPr>
      <w:r>
        <w:rPr>
          <w:rFonts w:hint="eastAsia" w:ascii="宋体" w:hAnsi="宋体" w:cs="宋体"/>
          <w:color w:val="auto"/>
          <w:sz w:val="44"/>
          <w:szCs w:val="44"/>
        </w:rPr>
        <w:t>目   录</w:t>
      </w:r>
      <w:bookmarkEnd w:id="0"/>
    </w:p>
    <w:p w14:paraId="7E705275">
      <w:pPr>
        <w:pStyle w:val="18"/>
        <w:tabs>
          <w:tab w:val="right" w:leader="dot" w:pos="9746"/>
        </w:tabs>
        <w:rPr>
          <w:color w:val="auto"/>
        </w:rPr>
      </w:pPr>
      <w:bookmarkStart w:id="1" w:name="_Toc445450428"/>
      <w:r>
        <w:rPr>
          <w:rFonts w:hint="eastAsia" w:ascii="宋体" w:hAnsi="宋体" w:cs="宋体"/>
          <w:bCs/>
          <w:color w:val="auto"/>
          <w:kern w:val="0"/>
          <w:szCs w:val="21"/>
        </w:rPr>
        <w:fldChar w:fldCharType="begin"/>
      </w:r>
      <w:r>
        <w:rPr>
          <w:rFonts w:hint="eastAsia" w:ascii="宋体" w:hAnsi="宋体" w:cs="宋体"/>
          <w:bCs/>
          <w:color w:val="auto"/>
          <w:kern w:val="0"/>
          <w:szCs w:val="21"/>
        </w:rPr>
        <w:instrText xml:space="preserve"> TOC \o "1-3" \h \z \u </w:instrText>
      </w:r>
      <w:r>
        <w:rPr>
          <w:rFonts w:hint="eastAsia" w:ascii="宋体" w:hAnsi="宋体" w:cs="宋体"/>
          <w:bCs/>
          <w:color w:val="auto"/>
          <w:kern w:val="0"/>
          <w:szCs w:val="21"/>
        </w:rPr>
        <w:fldChar w:fldCharType="separate"/>
      </w:r>
      <w:r>
        <w:rPr>
          <w:rFonts w:hint="eastAsia" w:ascii="宋体" w:hAnsi="宋体" w:cs="宋体"/>
          <w:bCs/>
          <w:color w:val="auto"/>
          <w:kern w:val="0"/>
          <w:szCs w:val="21"/>
        </w:rPr>
        <w:fldChar w:fldCharType="begin"/>
      </w:r>
      <w:r>
        <w:rPr>
          <w:rFonts w:hint="eastAsia" w:ascii="宋体" w:hAnsi="宋体" w:cs="宋体"/>
          <w:bCs/>
          <w:color w:val="auto"/>
          <w:kern w:val="0"/>
          <w:szCs w:val="21"/>
        </w:rPr>
        <w:instrText xml:space="preserve"> HYPERLINK \l _Toc23986 </w:instrText>
      </w:r>
      <w:r>
        <w:rPr>
          <w:rFonts w:hint="eastAsia" w:ascii="宋体" w:hAnsi="宋体" w:cs="宋体"/>
          <w:bCs/>
          <w:color w:val="auto"/>
          <w:kern w:val="0"/>
          <w:szCs w:val="21"/>
        </w:rPr>
        <w:fldChar w:fldCharType="separate"/>
      </w:r>
      <w:r>
        <w:rPr>
          <w:rFonts w:hint="eastAsia" w:ascii="宋体" w:hAnsi="宋体" w:cs="宋体"/>
          <w:color w:val="auto"/>
          <w:szCs w:val="48"/>
        </w:rPr>
        <w:t xml:space="preserve">第一章  </w:t>
      </w:r>
      <w:r>
        <w:rPr>
          <w:rFonts w:hint="eastAsia" w:ascii="宋体" w:hAnsi="宋体" w:cs="宋体"/>
          <w:color w:val="auto"/>
          <w:szCs w:val="48"/>
          <w:lang w:val="en-US" w:eastAsia="zh-CN"/>
        </w:rPr>
        <w:t>竞争性磋商</w:t>
      </w:r>
      <w:r>
        <w:rPr>
          <w:rFonts w:hint="eastAsia" w:ascii="宋体" w:hAnsi="宋体" w:cs="宋体"/>
          <w:color w:val="auto"/>
          <w:szCs w:val="48"/>
        </w:rPr>
        <w:t>公告</w:t>
      </w:r>
      <w:r>
        <w:rPr>
          <w:color w:val="auto"/>
        </w:rPr>
        <w:tab/>
      </w:r>
      <w:r>
        <w:rPr>
          <w:color w:val="auto"/>
        </w:rPr>
        <w:fldChar w:fldCharType="begin"/>
      </w:r>
      <w:r>
        <w:rPr>
          <w:color w:val="auto"/>
        </w:rPr>
        <w:instrText xml:space="preserve"> PAGEREF _Toc23986 \h </w:instrText>
      </w:r>
      <w:r>
        <w:rPr>
          <w:color w:val="auto"/>
        </w:rPr>
        <w:fldChar w:fldCharType="separate"/>
      </w:r>
      <w:r>
        <w:rPr>
          <w:color w:val="auto"/>
        </w:rPr>
        <w:t>1</w:t>
      </w:r>
      <w:r>
        <w:rPr>
          <w:color w:val="auto"/>
        </w:rPr>
        <w:fldChar w:fldCharType="end"/>
      </w:r>
      <w:r>
        <w:rPr>
          <w:rFonts w:hint="eastAsia" w:ascii="宋体" w:hAnsi="宋体" w:cs="宋体"/>
          <w:bCs/>
          <w:color w:val="auto"/>
          <w:kern w:val="0"/>
          <w:szCs w:val="21"/>
        </w:rPr>
        <w:fldChar w:fldCharType="end"/>
      </w:r>
    </w:p>
    <w:p w14:paraId="118CA31E">
      <w:pPr>
        <w:pStyle w:val="18"/>
        <w:tabs>
          <w:tab w:val="right" w:leader="dot" w:pos="9746"/>
        </w:tabs>
        <w:rPr>
          <w:color w:val="auto"/>
        </w:rPr>
      </w:pPr>
      <w:r>
        <w:rPr>
          <w:rFonts w:hint="eastAsia" w:ascii="宋体" w:hAnsi="宋体" w:cs="宋体"/>
          <w:bCs/>
          <w:color w:val="auto"/>
          <w:kern w:val="0"/>
          <w:szCs w:val="21"/>
        </w:rPr>
        <w:fldChar w:fldCharType="begin"/>
      </w:r>
      <w:r>
        <w:rPr>
          <w:rFonts w:hint="eastAsia" w:ascii="宋体" w:hAnsi="宋体" w:cs="宋体"/>
          <w:bCs/>
          <w:color w:val="auto"/>
          <w:kern w:val="0"/>
          <w:szCs w:val="21"/>
        </w:rPr>
        <w:instrText xml:space="preserve"> HYPERLINK \l _Toc23412 </w:instrText>
      </w:r>
      <w:r>
        <w:rPr>
          <w:rFonts w:hint="eastAsia" w:ascii="宋体" w:hAnsi="宋体" w:cs="宋体"/>
          <w:bCs/>
          <w:color w:val="auto"/>
          <w:kern w:val="0"/>
          <w:szCs w:val="21"/>
        </w:rPr>
        <w:fldChar w:fldCharType="separate"/>
      </w:r>
      <w:r>
        <w:rPr>
          <w:rFonts w:hint="eastAsia" w:ascii="宋体" w:hAnsi="宋体" w:cs="宋体"/>
          <w:color w:val="auto"/>
          <w:szCs w:val="48"/>
        </w:rPr>
        <w:t xml:space="preserve">第二章 </w:t>
      </w:r>
      <w:r>
        <w:rPr>
          <w:rFonts w:hint="eastAsia" w:ascii="宋体" w:hAnsi="宋体" w:cs="宋体"/>
          <w:color w:val="auto"/>
          <w:szCs w:val="48"/>
          <w:lang w:val="en-US" w:eastAsia="zh-CN"/>
        </w:rPr>
        <w:t xml:space="preserve"> </w:t>
      </w:r>
      <w:r>
        <w:rPr>
          <w:rFonts w:hint="eastAsia" w:ascii="宋体" w:hAnsi="宋体" w:cs="宋体"/>
          <w:color w:val="auto"/>
          <w:szCs w:val="48"/>
          <w:lang w:eastAsia="zh-CN"/>
        </w:rPr>
        <w:t>投标人须知</w:t>
      </w:r>
      <w:r>
        <w:rPr>
          <w:color w:val="auto"/>
        </w:rPr>
        <w:tab/>
      </w:r>
      <w:r>
        <w:rPr>
          <w:color w:val="auto"/>
        </w:rPr>
        <w:fldChar w:fldCharType="begin"/>
      </w:r>
      <w:r>
        <w:rPr>
          <w:color w:val="auto"/>
        </w:rPr>
        <w:instrText xml:space="preserve"> PAGEREF _Toc23412 \h </w:instrText>
      </w:r>
      <w:r>
        <w:rPr>
          <w:color w:val="auto"/>
        </w:rPr>
        <w:fldChar w:fldCharType="separate"/>
      </w:r>
      <w:r>
        <w:rPr>
          <w:color w:val="auto"/>
        </w:rPr>
        <w:t>5</w:t>
      </w:r>
      <w:r>
        <w:rPr>
          <w:color w:val="auto"/>
        </w:rPr>
        <w:fldChar w:fldCharType="end"/>
      </w:r>
      <w:r>
        <w:rPr>
          <w:rFonts w:hint="eastAsia" w:ascii="宋体" w:hAnsi="宋体" w:cs="宋体"/>
          <w:bCs/>
          <w:color w:val="auto"/>
          <w:kern w:val="0"/>
          <w:szCs w:val="21"/>
        </w:rPr>
        <w:fldChar w:fldCharType="end"/>
      </w:r>
    </w:p>
    <w:p w14:paraId="2EB0A159">
      <w:pPr>
        <w:pStyle w:val="11"/>
        <w:tabs>
          <w:tab w:val="right" w:leader="dot" w:pos="9746"/>
        </w:tabs>
        <w:ind w:left="0" w:leftChars="0" w:firstLine="0" w:firstLineChars="0"/>
        <w:rPr>
          <w:color w:val="auto"/>
        </w:rPr>
      </w:pPr>
      <w:r>
        <w:rPr>
          <w:rFonts w:hint="eastAsia" w:ascii="宋体" w:hAnsi="宋体" w:cs="宋体"/>
          <w:bCs/>
          <w:color w:val="auto"/>
          <w:kern w:val="0"/>
          <w:szCs w:val="21"/>
        </w:rPr>
        <w:fldChar w:fldCharType="begin"/>
      </w:r>
      <w:r>
        <w:rPr>
          <w:rFonts w:hint="eastAsia" w:ascii="宋体" w:hAnsi="宋体" w:cs="宋体"/>
          <w:bCs/>
          <w:color w:val="auto"/>
          <w:kern w:val="0"/>
          <w:szCs w:val="21"/>
        </w:rPr>
        <w:instrText xml:space="preserve"> HYPERLINK \l _Toc17800 </w:instrText>
      </w:r>
      <w:r>
        <w:rPr>
          <w:rFonts w:hint="eastAsia" w:ascii="宋体" w:hAnsi="宋体" w:cs="宋体"/>
          <w:bCs/>
          <w:color w:val="auto"/>
          <w:kern w:val="0"/>
          <w:szCs w:val="21"/>
        </w:rPr>
        <w:fldChar w:fldCharType="separate"/>
      </w:r>
      <w:r>
        <w:rPr>
          <w:rFonts w:hint="eastAsia" w:ascii="宋体" w:hAnsi="宋体" w:cs="宋体"/>
          <w:color w:val="auto"/>
          <w:szCs w:val="48"/>
        </w:rPr>
        <w:t xml:space="preserve">第三章  </w:t>
      </w:r>
      <w:r>
        <w:rPr>
          <w:rFonts w:hint="eastAsia" w:ascii="宋体" w:hAnsi="宋体" w:cs="宋体"/>
          <w:color w:val="auto"/>
          <w:szCs w:val="48"/>
          <w:lang w:eastAsia="zh-CN"/>
        </w:rPr>
        <w:t>货物需求及技术要求</w:t>
      </w:r>
      <w:r>
        <w:rPr>
          <w:color w:val="auto"/>
        </w:rPr>
        <w:tab/>
      </w:r>
      <w:r>
        <w:rPr>
          <w:color w:val="auto"/>
        </w:rPr>
        <w:fldChar w:fldCharType="begin"/>
      </w:r>
      <w:r>
        <w:rPr>
          <w:color w:val="auto"/>
        </w:rPr>
        <w:instrText xml:space="preserve"> PAGEREF _Toc17800 \h </w:instrText>
      </w:r>
      <w:r>
        <w:rPr>
          <w:color w:val="auto"/>
        </w:rPr>
        <w:fldChar w:fldCharType="separate"/>
      </w:r>
      <w:r>
        <w:rPr>
          <w:color w:val="auto"/>
        </w:rPr>
        <w:t>17</w:t>
      </w:r>
      <w:r>
        <w:rPr>
          <w:color w:val="auto"/>
        </w:rPr>
        <w:fldChar w:fldCharType="end"/>
      </w:r>
      <w:r>
        <w:rPr>
          <w:rFonts w:hint="eastAsia" w:ascii="宋体" w:hAnsi="宋体" w:cs="宋体"/>
          <w:bCs/>
          <w:color w:val="auto"/>
          <w:kern w:val="0"/>
          <w:szCs w:val="21"/>
        </w:rPr>
        <w:fldChar w:fldCharType="end"/>
      </w:r>
    </w:p>
    <w:p w14:paraId="05984DA4">
      <w:pPr>
        <w:pStyle w:val="18"/>
        <w:tabs>
          <w:tab w:val="right" w:leader="dot" w:pos="9746"/>
        </w:tabs>
        <w:rPr>
          <w:color w:val="auto"/>
        </w:rPr>
      </w:pPr>
      <w:r>
        <w:rPr>
          <w:rFonts w:hint="eastAsia" w:ascii="宋体" w:hAnsi="宋体" w:cs="宋体"/>
          <w:bCs/>
          <w:color w:val="auto"/>
          <w:kern w:val="0"/>
          <w:szCs w:val="21"/>
        </w:rPr>
        <w:fldChar w:fldCharType="begin"/>
      </w:r>
      <w:r>
        <w:rPr>
          <w:rFonts w:hint="eastAsia" w:ascii="宋体" w:hAnsi="宋体" w:cs="宋体"/>
          <w:bCs/>
          <w:color w:val="auto"/>
          <w:kern w:val="0"/>
          <w:szCs w:val="21"/>
        </w:rPr>
        <w:instrText xml:space="preserve"> HYPERLINK \l _Toc8051 </w:instrText>
      </w:r>
      <w:r>
        <w:rPr>
          <w:rFonts w:hint="eastAsia" w:ascii="宋体" w:hAnsi="宋体" w:cs="宋体"/>
          <w:bCs/>
          <w:color w:val="auto"/>
          <w:kern w:val="0"/>
          <w:szCs w:val="21"/>
        </w:rPr>
        <w:fldChar w:fldCharType="separate"/>
      </w:r>
      <w:r>
        <w:rPr>
          <w:rFonts w:hint="eastAsia" w:ascii="宋体" w:hAnsi="宋体" w:cs="宋体"/>
          <w:color w:val="auto"/>
          <w:szCs w:val="48"/>
          <w:lang w:eastAsia="zh-CN"/>
        </w:rPr>
        <w:t>第四章  磋商办法</w:t>
      </w:r>
      <w:r>
        <w:rPr>
          <w:color w:val="auto"/>
        </w:rPr>
        <w:tab/>
      </w:r>
      <w:r>
        <w:rPr>
          <w:color w:val="auto"/>
        </w:rPr>
        <w:fldChar w:fldCharType="begin"/>
      </w:r>
      <w:r>
        <w:rPr>
          <w:color w:val="auto"/>
        </w:rPr>
        <w:instrText xml:space="preserve"> PAGEREF _Toc8051 \h </w:instrText>
      </w:r>
      <w:r>
        <w:rPr>
          <w:color w:val="auto"/>
        </w:rPr>
        <w:fldChar w:fldCharType="separate"/>
      </w:r>
      <w:r>
        <w:rPr>
          <w:color w:val="auto"/>
        </w:rPr>
        <w:t>25</w:t>
      </w:r>
      <w:r>
        <w:rPr>
          <w:color w:val="auto"/>
        </w:rPr>
        <w:fldChar w:fldCharType="end"/>
      </w:r>
      <w:r>
        <w:rPr>
          <w:rFonts w:hint="eastAsia" w:ascii="宋体" w:hAnsi="宋体" w:cs="宋体"/>
          <w:bCs/>
          <w:color w:val="auto"/>
          <w:kern w:val="0"/>
          <w:szCs w:val="21"/>
        </w:rPr>
        <w:fldChar w:fldCharType="end"/>
      </w:r>
    </w:p>
    <w:p w14:paraId="14B65F5C">
      <w:pPr>
        <w:pStyle w:val="18"/>
        <w:tabs>
          <w:tab w:val="right" w:leader="dot" w:pos="9746"/>
        </w:tabs>
        <w:rPr>
          <w:color w:val="auto"/>
        </w:rPr>
      </w:pPr>
      <w:r>
        <w:rPr>
          <w:rFonts w:hint="eastAsia" w:ascii="宋体" w:hAnsi="宋体" w:cs="宋体"/>
          <w:bCs/>
          <w:color w:val="auto"/>
          <w:kern w:val="0"/>
          <w:szCs w:val="21"/>
        </w:rPr>
        <w:fldChar w:fldCharType="begin"/>
      </w:r>
      <w:r>
        <w:rPr>
          <w:rFonts w:hint="eastAsia" w:ascii="宋体" w:hAnsi="宋体" w:cs="宋体"/>
          <w:bCs/>
          <w:color w:val="auto"/>
          <w:kern w:val="0"/>
          <w:szCs w:val="21"/>
        </w:rPr>
        <w:instrText xml:space="preserve"> HYPERLINK \l _Toc3829 </w:instrText>
      </w:r>
      <w:r>
        <w:rPr>
          <w:rFonts w:hint="eastAsia" w:ascii="宋体" w:hAnsi="宋体" w:cs="宋体"/>
          <w:bCs/>
          <w:color w:val="auto"/>
          <w:kern w:val="0"/>
          <w:szCs w:val="21"/>
        </w:rPr>
        <w:fldChar w:fldCharType="separate"/>
      </w:r>
      <w:r>
        <w:rPr>
          <w:rFonts w:hint="eastAsia" w:ascii="宋体" w:hAnsi="宋体" w:cs="宋体"/>
          <w:color w:val="auto"/>
          <w:szCs w:val="52"/>
        </w:rPr>
        <w:t>第五章  合同</w:t>
      </w:r>
      <w:r>
        <w:rPr>
          <w:color w:val="auto"/>
        </w:rPr>
        <w:tab/>
      </w:r>
      <w:r>
        <w:rPr>
          <w:color w:val="auto"/>
        </w:rPr>
        <w:fldChar w:fldCharType="begin"/>
      </w:r>
      <w:r>
        <w:rPr>
          <w:color w:val="auto"/>
        </w:rPr>
        <w:instrText xml:space="preserve"> PAGEREF _Toc3829 \h </w:instrText>
      </w:r>
      <w:r>
        <w:rPr>
          <w:color w:val="auto"/>
        </w:rPr>
        <w:fldChar w:fldCharType="separate"/>
      </w:r>
      <w:r>
        <w:rPr>
          <w:color w:val="auto"/>
        </w:rPr>
        <w:t>30</w:t>
      </w:r>
      <w:r>
        <w:rPr>
          <w:color w:val="auto"/>
        </w:rPr>
        <w:fldChar w:fldCharType="end"/>
      </w:r>
      <w:r>
        <w:rPr>
          <w:rFonts w:hint="eastAsia" w:ascii="宋体" w:hAnsi="宋体" w:cs="宋体"/>
          <w:bCs/>
          <w:color w:val="auto"/>
          <w:kern w:val="0"/>
          <w:szCs w:val="21"/>
        </w:rPr>
        <w:fldChar w:fldCharType="end"/>
      </w:r>
    </w:p>
    <w:p w14:paraId="59E08661">
      <w:pPr>
        <w:pStyle w:val="18"/>
        <w:tabs>
          <w:tab w:val="right" w:leader="dot" w:pos="9746"/>
        </w:tabs>
        <w:rPr>
          <w:color w:val="auto"/>
        </w:rPr>
      </w:pPr>
      <w:r>
        <w:rPr>
          <w:rFonts w:hint="eastAsia" w:ascii="宋体" w:hAnsi="宋体" w:cs="宋体"/>
          <w:bCs/>
          <w:color w:val="auto"/>
          <w:kern w:val="0"/>
          <w:szCs w:val="21"/>
        </w:rPr>
        <w:fldChar w:fldCharType="begin"/>
      </w:r>
      <w:r>
        <w:rPr>
          <w:rFonts w:hint="eastAsia" w:ascii="宋体" w:hAnsi="宋体" w:cs="宋体"/>
          <w:bCs/>
          <w:color w:val="auto"/>
          <w:kern w:val="0"/>
          <w:szCs w:val="21"/>
        </w:rPr>
        <w:instrText xml:space="preserve"> HYPERLINK \l _Toc5439 </w:instrText>
      </w:r>
      <w:r>
        <w:rPr>
          <w:rFonts w:hint="eastAsia" w:ascii="宋体" w:hAnsi="宋体" w:cs="宋体"/>
          <w:bCs/>
          <w:color w:val="auto"/>
          <w:kern w:val="0"/>
          <w:szCs w:val="21"/>
        </w:rPr>
        <w:fldChar w:fldCharType="separate"/>
      </w:r>
      <w:r>
        <w:rPr>
          <w:rFonts w:hint="eastAsia" w:ascii="宋体" w:hAnsi="宋体" w:cs="宋体"/>
          <w:color w:val="auto"/>
          <w:szCs w:val="52"/>
        </w:rPr>
        <w:t xml:space="preserve">第六章  </w:t>
      </w:r>
      <w:r>
        <w:rPr>
          <w:rFonts w:hint="eastAsia" w:ascii="宋体" w:hAnsi="宋体" w:cs="宋体"/>
          <w:color w:val="auto"/>
          <w:szCs w:val="52"/>
          <w:lang w:eastAsia="zh-CN"/>
        </w:rPr>
        <w:t>响应文件格式</w:t>
      </w:r>
      <w:r>
        <w:rPr>
          <w:color w:val="auto"/>
        </w:rPr>
        <w:tab/>
      </w:r>
      <w:r>
        <w:rPr>
          <w:color w:val="auto"/>
        </w:rPr>
        <w:fldChar w:fldCharType="begin"/>
      </w:r>
      <w:r>
        <w:rPr>
          <w:color w:val="auto"/>
        </w:rPr>
        <w:instrText xml:space="preserve"> PAGEREF _Toc5439 \h </w:instrText>
      </w:r>
      <w:r>
        <w:rPr>
          <w:color w:val="auto"/>
        </w:rPr>
        <w:fldChar w:fldCharType="separate"/>
      </w:r>
      <w:r>
        <w:rPr>
          <w:color w:val="auto"/>
        </w:rPr>
        <w:t>35</w:t>
      </w:r>
      <w:r>
        <w:rPr>
          <w:color w:val="auto"/>
        </w:rPr>
        <w:fldChar w:fldCharType="end"/>
      </w:r>
      <w:r>
        <w:rPr>
          <w:rFonts w:hint="eastAsia" w:ascii="宋体" w:hAnsi="宋体" w:cs="宋体"/>
          <w:bCs/>
          <w:color w:val="auto"/>
          <w:kern w:val="0"/>
          <w:szCs w:val="21"/>
        </w:rPr>
        <w:fldChar w:fldCharType="end"/>
      </w:r>
    </w:p>
    <w:p w14:paraId="30D5AAC3">
      <w:pPr>
        <w:jc w:val="left"/>
        <w:rPr>
          <w:rFonts w:ascii="宋体" w:hAnsi="宋体" w:cs="宋体"/>
          <w:bCs/>
          <w:color w:val="auto"/>
          <w:sz w:val="24"/>
        </w:rPr>
      </w:pPr>
      <w:r>
        <w:rPr>
          <w:rFonts w:hint="eastAsia" w:ascii="宋体" w:hAnsi="宋体" w:cs="宋体"/>
          <w:bCs/>
          <w:color w:val="auto"/>
          <w:kern w:val="0"/>
          <w:szCs w:val="21"/>
        </w:rPr>
        <w:fldChar w:fldCharType="end"/>
      </w:r>
    </w:p>
    <w:p w14:paraId="5B60BFF7">
      <w:pPr>
        <w:tabs>
          <w:tab w:val="left" w:pos="2876"/>
        </w:tabs>
        <w:jc w:val="left"/>
        <w:rPr>
          <w:rFonts w:hint="eastAsia" w:ascii="宋体" w:hAnsi="宋体" w:eastAsia="宋体" w:cs="宋体"/>
          <w:color w:val="auto"/>
          <w:sz w:val="48"/>
          <w:szCs w:val="48"/>
          <w:lang w:eastAsia="zh-CN"/>
        </w:rPr>
      </w:pPr>
      <w:r>
        <w:rPr>
          <w:rFonts w:hint="eastAsia" w:ascii="宋体" w:hAnsi="宋体" w:cs="宋体"/>
          <w:color w:val="auto"/>
          <w:sz w:val="48"/>
          <w:szCs w:val="48"/>
          <w:lang w:eastAsia="zh-CN"/>
        </w:rPr>
        <w:tab/>
      </w:r>
    </w:p>
    <w:p w14:paraId="03992F64">
      <w:pPr>
        <w:jc w:val="left"/>
        <w:rPr>
          <w:rFonts w:ascii="宋体" w:hAnsi="宋体" w:cs="宋体"/>
          <w:color w:val="auto"/>
          <w:sz w:val="48"/>
          <w:szCs w:val="48"/>
        </w:rPr>
      </w:pPr>
    </w:p>
    <w:p w14:paraId="0EC4FFD5">
      <w:pPr>
        <w:jc w:val="left"/>
        <w:rPr>
          <w:rFonts w:ascii="宋体" w:hAnsi="宋体" w:cs="宋体"/>
          <w:color w:val="auto"/>
          <w:sz w:val="48"/>
          <w:szCs w:val="48"/>
        </w:rPr>
      </w:pPr>
    </w:p>
    <w:p w14:paraId="04DF4505">
      <w:pPr>
        <w:jc w:val="left"/>
        <w:rPr>
          <w:rFonts w:ascii="宋体" w:hAnsi="宋体" w:cs="宋体"/>
          <w:color w:val="auto"/>
          <w:sz w:val="48"/>
          <w:szCs w:val="48"/>
        </w:rPr>
      </w:pPr>
    </w:p>
    <w:p w14:paraId="02970BAF">
      <w:pPr>
        <w:jc w:val="left"/>
        <w:rPr>
          <w:rFonts w:ascii="宋体" w:hAnsi="宋体" w:cs="宋体"/>
          <w:color w:val="auto"/>
          <w:sz w:val="48"/>
          <w:szCs w:val="48"/>
        </w:rPr>
      </w:pPr>
    </w:p>
    <w:p w14:paraId="710F9BBC">
      <w:pPr>
        <w:pStyle w:val="2"/>
        <w:widowControl/>
        <w:spacing w:line="240" w:lineRule="auto"/>
        <w:ind w:right="-4"/>
        <w:jc w:val="center"/>
        <w:rPr>
          <w:rFonts w:hint="eastAsia" w:ascii="宋体" w:hAnsi="宋体" w:cs="宋体"/>
          <w:color w:val="auto"/>
          <w:sz w:val="48"/>
          <w:szCs w:val="48"/>
        </w:rPr>
        <w:sectPr>
          <w:headerReference r:id="rId6" w:type="default"/>
          <w:footerReference r:id="rId7" w:type="default"/>
          <w:pgSz w:w="11906" w:h="16838"/>
          <w:pgMar w:top="1440" w:right="1080" w:bottom="1440" w:left="1080" w:header="851" w:footer="992" w:gutter="0"/>
          <w:pgNumType w:fmt="decimal" w:start="1"/>
          <w:cols w:space="425" w:num="1"/>
          <w:docGrid w:type="lines" w:linePitch="312" w:charSpace="0"/>
        </w:sectPr>
      </w:pPr>
    </w:p>
    <w:p w14:paraId="57F038B5">
      <w:pPr>
        <w:pStyle w:val="2"/>
        <w:widowControl/>
        <w:spacing w:line="240" w:lineRule="auto"/>
        <w:ind w:right="-4"/>
        <w:jc w:val="center"/>
        <w:rPr>
          <w:rFonts w:ascii="宋体" w:hAnsi="宋体" w:cs="宋体"/>
          <w:color w:val="auto"/>
          <w:sz w:val="48"/>
          <w:szCs w:val="48"/>
        </w:rPr>
      </w:pPr>
      <w:bookmarkStart w:id="2" w:name="_Toc23986"/>
      <w:r>
        <w:rPr>
          <w:rFonts w:hint="eastAsia" w:ascii="宋体" w:hAnsi="宋体" w:cs="宋体"/>
          <w:color w:val="auto"/>
          <w:sz w:val="48"/>
          <w:szCs w:val="48"/>
        </w:rPr>
        <w:t xml:space="preserve">第一章  </w:t>
      </w:r>
      <w:bookmarkEnd w:id="1"/>
      <w:r>
        <w:rPr>
          <w:rFonts w:hint="eastAsia" w:ascii="宋体" w:hAnsi="宋体" w:cs="宋体"/>
          <w:color w:val="auto"/>
          <w:sz w:val="48"/>
          <w:szCs w:val="48"/>
          <w:lang w:val="en-US" w:eastAsia="zh-CN"/>
        </w:rPr>
        <w:t>竞争性磋商</w:t>
      </w:r>
      <w:r>
        <w:rPr>
          <w:rFonts w:hint="eastAsia" w:ascii="宋体" w:hAnsi="宋体" w:cs="宋体"/>
          <w:color w:val="auto"/>
          <w:sz w:val="48"/>
          <w:szCs w:val="48"/>
        </w:rPr>
        <w:t>公告</w:t>
      </w:r>
      <w:bookmarkEnd w:id="2"/>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47"/>
      </w:tblGrid>
      <w:tr w14:paraId="573B5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8" w:hRule="atLeast"/>
        </w:trPr>
        <w:tc>
          <w:tcPr>
            <w:tcW w:w="9747" w:type="dxa"/>
          </w:tcPr>
          <w:p w14:paraId="1AA78BF9">
            <w:pPr>
              <w:pStyle w:val="54"/>
              <w:ind w:left="842" w:hanging="422"/>
              <w:rPr>
                <w:rFonts w:cs="Arial"/>
                <w:b/>
                <w:color w:val="auto"/>
                <w:sz w:val="21"/>
                <w:szCs w:val="21"/>
              </w:rPr>
            </w:pPr>
            <w:r>
              <w:rPr>
                <w:rFonts w:cs="Arial"/>
                <w:b/>
                <w:color w:val="auto"/>
                <w:sz w:val="21"/>
                <w:szCs w:val="21"/>
              </w:rPr>
              <w:t>项目概况</w:t>
            </w:r>
          </w:p>
          <w:p w14:paraId="611F6FA4">
            <w:pPr>
              <w:pStyle w:val="54"/>
              <w:ind w:firstLine="420" w:firstLineChars="200"/>
              <w:rPr>
                <w:rFonts w:ascii="Arial" w:hAnsi="Arial" w:cs="Arial"/>
                <w:color w:val="auto"/>
                <w:sz w:val="20"/>
                <w:szCs w:val="20"/>
              </w:rPr>
            </w:pPr>
            <w:r>
              <w:rPr>
                <w:rFonts w:hint="eastAsia" w:cs="Arial"/>
                <w:color w:val="auto"/>
                <w:sz w:val="21"/>
                <w:szCs w:val="21"/>
                <w:u w:val="single"/>
                <w:lang w:eastAsia="zh-CN"/>
              </w:rPr>
              <w:t>杞县中医院等离子空气消毒机采购项目</w:t>
            </w:r>
            <w:r>
              <w:rPr>
                <w:rFonts w:cs="Arial"/>
                <w:color w:val="auto"/>
                <w:sz w:val="21"/>
                <w:szCs w:val="21"/>
              </w:rPr>
              <w:t>招标项目的潜在投标人应在</w:t>
            </w:r>
            <w:r>
              <w:rPr>
                <w:rFonts w:hint="eastAsia" w:ascii="宋体" w:hAnsi="宋体" w:eastAsia="宋体" w:cs="宋体"/>
                <w:color w:val="auto"/>
                <w:kern w:val="2"/>
                <w:sz w:val="21"/>
                <w:szCs w:val="21"/>
                <w:highlight w:val="none"/>
                <w:u w:val="single"/>
                <w:lang w:val="en-US" w:eastAsia="zh-CN" w:bidi="ar"/>
              </w:rPr>
              <w:t>开封市公共资源交易网（http://www.kfsggzyjyw.cn）会员系统</w:t>
            </w:r>
            <w:r>
              <w:rPr>
                <w:rFonts w:cs="Arial"/>
                <w:color w:val="auto"/>
                <w:sz w:val="21"/>
                <w:szCs w:val="21"/>
              </w:rPr>
              <w:t>获取招标文件，并于</w:t>
            </w:r>
            <w:r>
              <w:rPr>
                <w:rFonts w:hint="eastAsia" w:cs="Arial"/>
                <w:color w:val="auto"/>
                <w:sz w:val="21"/>
                <w:szCs w:val="21"/>
                <w:lang w:eastAsia="zh-CN"/>
              </w:rPr>
              <w:t>202</w:t>
            </w:r>
            <w:r>
              <w:rPr>
                <w:rFonts w:hint="eastAsia" w:cs="Arial"/>
                <w:color w:val="auto"/>
                <w:sz w:val="21"/>
                <w:szCs w:val="21"/>
                <w:lang w:val="en-US" w:eastAsia="zh-CN"/>
              </w:rPr>
              <w:t>6</w:t>
            </w:r>
            <w:r>
              <w:rPr>
                <w:rFonts w:hint="eastAsia" w:cs="Arial"/>
                <w:color w:val="auto"/>
                <w:sz w:val="21"/>
                <w:szCs w:val="21"/>
                <w:lang w:eastAsia="zh-CN"/>
              </w:rPr>
              <w:t>年0</w:t>
            </w:r>
            <w:r>
              <w:rPr>
                <w:rFonts w:hint="eastAsia" w:cs="Arial"/>
                <w:color w:val="auto"/>
                <w:sz w:val="21"/>
                <w:szCs w:val="21"/>
                <w:lang w:val="en-US" w:eastAsia="zh-CN"/>
              </w:rPr>
              <w:t>8</w:t>
            </w:r>
            <w:r>
              <w:rPr>
                <w:rFonts w:hint="eastAsia" w:cs="Arial"/>
                <w:color w:val="auto"/>
                <w:sz w:val="21"/>
                <w:szCs w:val="21"/>
                <w:lang w:eastAsia="zh-CN"/>
              </w:rPr>
              <w:t>月</w:t>
            </w:r>
            <w:r>
              <w:rPr>
                <w:rFonts w:hint="eastAsia" w:cs="Arial"/>
                <w:color w:val="auto"/>
                <w:sz w:val="21"/>
                <w:szCs w:val="21"/>
                <w:lang w:val="en-US" w:eastAsia="zh-CN"/>
              </w:rPr>
              <w:t>14</w:t>
            </w:r>
            <w:r>
              <w:rPr>
                <w:rFonts w:hint="eastAsia" w:cs="Arial"/>
                <w:color w:val="auto"/>
                <w:sz w:val="21"/>
                <w:szCs w:val="21"/>
                <w:lang w:eastAsia="zh-CN"/>
              </w:rPr>
              <w:t>日</w:t>
            </w:r>
            <w:r>
              <w:rPr>
                <w:rFonts w:hint="eastAsia" w:cs="Arial"/>
                <w:color w:val="auto"/>
                <w:sz w:val="21"/>
                <w:szCs w:val="21"/>
                <w:lang w:val="en-US" w:eastAsia="zh-CN"/>
              </w:rPr>
              <w:t>10</w:t>
            </w:r>
            <w:r>
              <w:rPr>
                <w:rFonts w:hint="eastAsia" w:cs="Arial"/>
                <w:color w:val="auto"/>
                <w:sz w:val="21"/>
                <w:szCs w:val="21"/>
                <w:lang w:eastAsia="zh-CN"/>
              </w:rPr>
              <w:t>时</w:t>
            </w:r>
            <w:r>
              <w:rPr>
                <w:rFonts w:hint="eastAsia" w:cs="Arial"/>
                <w:color w:val="auto"/>
                <w:sz w:val="21"/>
                <w:szCs w:val="21"/>
                <w:lang w:val="en-US" w:eastAsia="zh-CN"/>
              </w:rPr>
              <w:t>0</w:t>
            </w:r>
            <w:r>
              <w:rPr>
                <w:rFonts w:hint="eastAsia" w:cs="Arial"/>
                <w:color w:val="auto"/>
                <w:sz w:val="21"/>
                <w:szCs w:val="21"/>
                <w:lang w:eastAsia="zh-CN"/>
              </w:rPr>
              <w:t>0分</w:t>
            </w:r>
            <w:r>
              <w:rPr>
                <w:rFonts w:cs="Arial"/>
                <w:color w:val="auto"/>
                <w:sz w:val="21"/>
                <w:szCs w:val="21"/>
              </w:rPr>
              <w:t>（北京时间）前递交</w:t>
            </w:r>
            <w:r>
              <w:rPr>
                <w:rFonts w:hint="eastAsia" w:cs="Arial"/>
                <w:color w:val="auto"/>
                <w:sz w:val="21"/>
                <w:szCs w:val="21"/>
                <w:lang w:val="en-US" w:eastAsia="zh-CN"/>
              </w:rPr>
              <w:t>响应</w:t>
            </w:r>
            <w:r>
              <w:rPr>
                <w:rFonts w:cs="Arial"/>
                <w:color w:val="auto"/>
                <w:sz w:val="21"/>
                <w:szCs w:val="21"/>
              </w:rPr>
              <w:t>文件。</w:t>
            </w:r>
          </w:p>
        </w:tc>
      </w:tr>
    </w:tbl>
    <w:p w14:paraId="406FE7F5">
      <w:pPr>
        <w:pStyle w:val="34"/>
        <w:rPr>
          <w:color w:val="auto"/>
        </w:rPr>
      </w:pPr>
    </w:p>
    <w:p w14:paraId="3A34A5B8">
      <w:pPr>
        <w:pStyle w:val="51"/>
        <w:numPr>
          <w:ilvl w:val="0"/>
          <w:numId w:val="1"/>
        </w:numPr>
        <w:spacing w:line="400" w:lineRule="exact"/>
        <w:rPr>
          <w:rFonts w:ascii="宋体" w:hAnsi="宋体" w:cs="Arial"/>
          <w:b/>
          <w:color w:val="auto"/>
          <w:kern w:val="0"/>
          <w:szCs w:val="21"/>
        </w:rPr>
      </w:pPr>
      <w:r>
        <w:rPr>
          <w:rFonts w:hint="eastAsia" w:ascii="宋体" w:hAnsi="宋体" w:cs="Arial"/>
          <w:b/>
          <w:color w:val="auto"/>
          <w:kern w:val="0"/>
          <w:szCs w:val="21"/>
        </w:rPr>
        <w:t>项目基本情况</w:t>
      </w:r>
    </w:p>
    <w:p w14:paraId="210CB220">
      <w:pPr>
        <w:spacing w:line="400" w:lineRule="exact"/>
        <w:ind w:firstLine="420" w:firstLineChars="200"/>
        <w:rPr>
          <w:rFonts w:hint="default" w:ascii="宋体" w:hAnsi="宋体" w:eastAsia="宋体" w:cs="Arial"/>
          <w:color w:val="auto"/>
          <w:kern w:val="0"/>
          <w:szCs w:val="21"/>
          <w:lang w:val="en-US" w:eastAsia="zh-CN"/>
        </w:rPr>
      </w:pPr>
      <w:r>
        <w:rPr>
          <w:rFonts w:hint="eastAsia" w:ascii="宋体" w:hAnsi="宋体" w:cs="Arial"/>
          <w:color w:val="auto"/>
          <w:kern w:val="0"/>
          <w:szCs w:val="21"/>
        </w:rPr>
        <w:t>1、项目编号：</w:t>
      </w:r>
      <w:r>
        <w:rPr>
          <w:rFonts w:hint="eastAsia" w:ascii="宋体" w:hAnsi="宋体" w:cs="Arial"/>
          <w:color w:val="auto"/>
          <w:kern w:val="0"/>
          <w:szCs w:val="21"/>
          <w:lang w:eastAsia="zh-CN"/>
        </w:rPr>
        <w:t>汴杞财磋商采购-2026-35</w:t>
      </w:r>
    </w:p>
    <w:p w14:paraId="2BD4D557">
      <w:pPr>
        <w:pStyle w:val="51"/>
        <w:spacing w:line="400" w:lineRule="exact"/>
        <w:ind w:left="420" w:firstLine="0"/>
        <w:rPr>
          <w:rFonts w:hint="eastAsia" w:ascii="宋体" w:hAnsi="宋体" w:eastAsia="宋体" w:cs="Arial"/>
          <w:color w:val="auto"/>
          <w:kern w:val="0"/>
          <w:szCs w:val="21"/>
          <w:lang w:eastAsia="zh-CN"/>
        </w:rPr>
      </w:pPr>
      <w:r>
        <w:rPr>
          <w:rFonts w:hint="eastAsia" w:ascii="宋体" w:hAnsi="宋体" w:cs="Arial"/>
          <w:color w:val="auto"/>
          <w:kern w:val="0"/>
          <w:szCs w:val="21"/>
        </w:rPr>
        <w:t>2、项目名称：</w:t>
      </w:r>
      <w:r>
        <w:rPr>
          <w:rFonts w:hint="eastAsia" w:ascii="宋体" w:hAnsi="宋体" w:cs="Arial"/>
          <w:color w:val="auto"/>
          <w:kern w:val="0"/>
          <w:szCs w:val="21"/>
          <w:lang w:eastAsia="zh-CN"/>
        </w:rPr>
        <w:t>杞县中医院等离子空气消毒机采购项目</w:t>
      </w:r>
    </w:p>
    <w:p w14:paraId="5E1FB078">
      <w:pPr>
        <w:spacing w:line="400" w:lineRule="exact"/>
        <w:ind w:firstLine="420" w:firstLineChars="200"/>
        <w:rPr>
          <w:rFonts w:hint="default" w:ascii="宋体" w:hAnsi="宋体" w:eastAsia="宋体" w:cs="Arial"/>
          <w:color w:val="auto"/>
          <w:kern w:val="0"/>
          <w:szCs w:val="21"/>
          <w:lang w:val="en-US" w:eastAsia="zh-CN"/>
        </w:rPr>
      </w:pPr>
      <w:r>
        <w:rPr>
          <w:rFonts w:hint="eastAsia" w:ascii="宋体" w:hAnsi="宋体" w:cs="Arial"/>
          <w:color w:val="auto"/>
          <w:kern w:val="0"/>
          <w:szCs w:val="21"/>
        </w:rPr>
        <w:t>3、采购方式：</w:t>
      </w:r>
      <w:r>
        <w:rPr>
          <w:rFonts w:hint="eastAsia" w:ascii="宋体" w:hAnsi="宋体" w:cs="Arial"/>
          <w:color w:val="auto"/>
          <w:kern w:val="0"/>
          <w:szCs w:val="21"/>
          <w:lang w:val="en-US" w:eastAsia="zh-CN"/>
        </w:rPr>
        <w:t>竞争性磋商</w:t>
      </w:r>
    </w:p>
    <w:p w14:paraId="2116AB63">
      <w:pPr>
        <w:spacing w:line="400" w:lineRule="exact"/>
        <w:ind w:firstLine="420" w:firstLineChars="200"/>
        <w:rPr>
          <w:rFonts w:ascii="宋体" w:hAnsi="宋体" w:cs="Arial"/>
          <w:color w:val="auto"/>
          <w:kern w:val="0"/>
          <w:szCs w:val="21"/>
        </w:rPr>
      </w:pPr>
      <w:r>
        <w:rPr>
          <w:rFonts w:hint="eastAsia" w:ascii="宋体" w:hAnsi="宋体" w:cs="Arial"/>
          <w:color w:val="auto"/>
          <w:kern w:val="0"/>
          <w:szCs w:val="21"/>
        </w:rPr>
        <w:t>4、预算金额：</w:t>
      </w:r>
      <w:r>
        <w:rPr>
          <w:rFonts w:hint="eastAsia" w:ascii="宋体" w:hAnsi="宋体" w:cs="Arial"/>
          <w:color w:val="auto"/>
          <w:kern w:val="0"/>
          <w:szCs w:val="21"/>
          <w:lang w:val="en-US" w:eastAsia="zh-CN"/>
        </w:rPr>
        <w:t>420000.00</w:t>
      </w:r>
      <w:r>
        <w:rPr>
          <w:rFonts w:ascii="宋体" w:hAnsi="宋体" w:cs="Arial"/>
          <w:color w:val="auto"/>
          <w:kern w:val="0"/>
          <w:szCs w:val="21"/>
        </w:rPr>
        <w:t>元</w:t>
      </w:r>
    </w:p>
    <w:p w14:paraId="2D7B422A">
      <w:pPr>
        <w:spacing w:line="400" w:lineRule="exact"/>
        <w:ind w:firstLine="630" w:firstLineChars="300"/>
        <w:rPr>
          <w:rFonts w:ascii="宋体" w:hAnsi="宋体" w:cs="Arial"/>
          <w:color w:val="auto"/>
          <w:kern w:val="0"/>
          <w:szCs w:val="21"/>
        </w:rPr>
      </w:pPr>
      <w:r>
        <w:rPr>
          <w:rFonts w:hint="eastAsia" w:ascii="宋体" w:hAnsi="宋体" w:cs="Arial"/>
          <w:color w:val="auto"/>
          <w:kern w:val="0"/>
          <w:szCs w:val="21"/>
        </w:rPr>
        <w:t>最高限价：</w:t>
      </w:r>
      <w:r>
        <w:rPr>
          <w:rFonts w:hint="eastAsia" w:ascii="宋体" w:hAnsi="宋体" w:cs="Arial"/>
          <w:color w:val="auto"/>
          <w:kern w:val="0"/>
          <w:szCs w:val="21"/>
          <w:lang w:val="en-US" w:eastAsia="zh-CN"/>
        </w:rPr>
        <w:t>420000.00</w:t>
      </w:r>
      <w:r>
        <w:rPr>
          <w:rFonts w:ascii="宋体" w:hAnsi="宋体" w:cs="Arial"/>
          <w:color w:val="auto"/>
          <w:kern w:val="0"/>
          <w:szCs w:val="21"/>
        </w:rPr>
        <w:t>元</w:t>
      </w:r>
    </w:p>
    <w:tbl>
      <w:tblPr>
        <w:tblStyle w:val="2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5"/>
        <w:gridCol w:w="1266"/>
        <w:gridCol w:w="2239"/>
        <w:gridCol w:w="1250"/>
        <w:gridCol w:w="1354"/>
        <w:gridCol w:w="1828"/>
        <w:gridCol w:w="1402"/>
      </w:tblGrid>
      <w:tr w14:paraId="64CB6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5" w:type="dxa"/>
            <w:vAlign w:val="center"/>
          </w:tcPr>
          <w:p w14:paraId="1C2F4E78">
            <w:pPr>
              <w:spacing w:line="400" w:lineRule="exact"/>
              <w:jc w:val="center"/>
              <w:rPr>
                <w:rFonts w:ascii="宋体" w:hAnsi="宋体" w:cs="Arial"/>
                <w:color w:val="auto"/>
                <w:kern w:val="0"/>
                <w:szCs w:val="21"/>
              </w:rPr>
            </w:pPr>
            <w:r>
              <w:rPr>
                <w:rFonts w:hint="eastAsia" w:ascii="宋体" w:hAnsi="宋体" w:cs="Arial"/>
                <w:color w:val="auto"/>
                <w:kern w:val="0"/>
                <w:szCs w:val="21"/>
              </w:rPr>
              <w:t>序号</w:t>
            </w:r>
          </w:p>
        </w:tc>
        <w:tc>
          <w:tcPr>
            <w:tcW w:w="1266" w:type="dxa"/>
            <w:vAlign w:val="center"/>
          </w:tcPr>
          <w:p w14:paraId="4387E0B5">
            <w:pPr>
              <w:spacing w:line="400" w:lineRule="exact"/>
              <w:jc w:val="center"/>
              <w:rPr>
                <w:rFonts w:ascii="宋体" w:hAnsi="宋体" w:cs="Arial"/>
                <w:color w:val="auto"/>
                <w:kern w:val="0"/>
                <w:szCs w:val="21"/>
              </w:rPr>
            </w:pPr>
            <w:r>
              <w:rPr>
                <w:rFonts w:hint="eastAsia" w:ascii="宋体" w:hAnsi="宋体" w:cs="Arial"/>
                <w:color w:val="auto"/>
                <w:kern w:val="0"/>
                <w:szCs w:val="21"/>
              </w:rPr>
              <w:t>包号</w:t>
            </w:r>
          </w:p>
        </w:tc>
        <w:tc>
          <w:tcPr>
            <w:tcW w:w="2239" w:type="dxa"/>
            <w:vAlign w:val="center"/>
          </w:tcPr>
          <w:p w14:paraId="338514EC">
            <w:pPr>
              <w:spacing w:line="400" w:lineRule="exact"/>
              <w:jc w:val="center"/>
              <w:rPr>
                <w:rFonts w:ascii="宋体" w:hAnsi="宋体" w:cs="Arial"/>
                <w:color w:val="auto"/>
                <w:kern w:val="0"/>
                <w:szCs w:val="21"/>
              </w:rPr>
            </w:pPr>
            <w:r>
              <w:rPr>
                <w:rFonts w:hint="eastAsia" w:ascii="宋体" w:hAnsi="宋体" w:cs="Arial"/>
                <w:color w:val="auto"/>
                <w:kern w:val="0"/>
                <w:szCs w:val="21"/>
              </w:rPr>
              <w:t>包名称</w:t>
            </w:r>
          </w:p>
        </w:tc>
        <w:tc>
          <w:tcPr>
            <w:tcW w:w="1250" w:type="dxa"/>
            <w:vAlign w:val="center"/>
          </w:tcPr>
          <w:p w14:paraId="3EE9DC9C">
            <w:pPr>
              <w:spacing w:line="400" w:lineRule="exact"/>
              <w:jc w:val="center"/>
              <w:rPr>
                <w:rFonts w:ascii="宋体" w:hAnsi="宋体" w:cs="Arial"/>
                <w:color w:val="auto"/>
                <w:kern w:val="0"/>
                <w:szCs w:val="21"/>
              </w:rPr>
            </w:pPr>
            <w:r>
              <w:rPr>
                <w:rFonts w:hint="eastAsia" w:ascii="宋体" w:hAnsi="宋体" w:cs="Arial"/>
                <w:color w:val="auto"/>
                <w:kern w:val="0"/>
                <w:szCs w:val="21"/>
              </w:rPr>
              <w:t>包预算（元）</w:t>
            </w:r>
          </w:p>
        </w:tc>
        <w:tc>
          <w:tcPr>
            <w:tcW w:w="1354" w:type="dxa"/>
            <w:vAlign w:val="center"/>
          </w:tcPr>
          <w:p w14:paraId="3FFED043">
            <w:pPr>
              <w:spacing w:line="400" w:lineRule="exact"/>
              <w:jc w:val="center"/>
              <w:rPr>
                <w:rFonts w:hint="eastAsia" w:ascii="宋体" w:hAnsi="宋体" w:cs="Arial"/>
                <w:color w:val="auto"/>
                <w:kern w:val="0"/>
                <w:szCs w:val="21"/>
              </w:rPr>
            </w:pPr>
            <w:r>
              <w:rPr>
                <w:rFonts w:hint="eastAsia" w:ascii="宋体" w:hAnsi="宋体" w:cs="Arial"/>
                <w:color w:val="auto"/>
                <w:kern w:val="0"/>
                <w:szCs w:val="21"/>
              </w:rPr>
              <w:t>包最高限价（元）</w:t>
            </w:r>
          </w:p>
        </w:tc>
        <w:tc>
          <w:tcPr>
            <w:tcW w:w="1828" w:type="dxa"/>
            <w:vAlign w:val="center"/>
          </w:tcPr>
          <w:p w14:paraId="693B8062">
            <w:pPr>
              <w:spacing w:line="400" w:lineRule="exact"/>
              <w:jc w:val="center"/>
              <w:rPr>
                <w:rFonts w:hint="eastAsia" w:ascii="宋体" w:hAnsi="宋体" w:cs="Arial"/>
                <w:color w:val="auto"/>
                <w:kern w:val="0"/>
                <w:szCs w:val="21"/>
              </w:rPr>
            </w:pPr>
            <w:r>
              <w:rPr>
                <w:rFonts w:hint="eastAsia" w:ascii="宋体" w:hAnsi="宋体" w:cs="Arial"/>
                <w:color w:val="auto"/>
                <w:kern w:val="0"/>
                <w:szCs w:val="21"/>
              </w:rPr>
              <w:t>是否专门面向中小企业是否专门面向中小企业</w:t>
            </w:r>
          </w:p>
        </w:tc>
        <w:tc>
          <w:tcPr>
            <w:tcW w:w="1402" w:type="dxa"/>
            <w:vAlign w:val="center"/>
          </w:tcPr>
          <w:p w14:paraId="3747A02D">
            <w:pPr>
              <w:spacing w:line="400" w:lineRule="exact"/>
              <w:jc w:val="center"/>
              <w:rPr>
                <w:rFonts w:hint="eastAsia" w:ascii="宋体" w:hAnsi="宋体" w:cs="Arial"/>
                <w:color w:val="auto"/>
                <w:kern w:val="0"/>
                <w:szCs w:val="21"/>
              </w:rPr>
            </w:pPr>
            <w:r>
              <w:rPr>
                <w:rFonts w:hint="eastAsia" w:ascii="宋体" w:hAnsi="宋体" w:cs="Arial"/>
                <w:color w:val="auto"/>
                <w:kern w:val="0"/>
                <w:szCs w:val="21"/>
              </w:rPr>
              <w:t>采购预留金额（元）</w:t>
            </w:r>
          </w:p>
        </w:tc>
      </w:tr>
      <w:tr w14:paraId="4A5C8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5" w:type="dxa"/>
            <w:vAlign w:val="center"/>
          </w:tcPr>
          <w:p w14:paraId="416E535B">
            <w:pPr>
              <w:spacing w:line="400" w:lineRule="exact"/>
              <w:jc w:val="center"/>
              <w:rPr>
                <w:rFonts w:ascii="宋体" w:hAnsi="宋体" w:cs="Arial"/>
                <w:color w:val="auto"/>
                <w:kern w:val="0"/>
                <w:szCs w:val="21"/>
              </w:rPr>
            </w:pPr>
            <w:r>
              <w:rPr>
                <w:rFonts w:hint="eastAsia" w:ascii="宋体" w:hAnsi="宋体" w:cs="Arial"/>
                <w:color w:val="auto"/>
                <w:kern w:val="0"/>
                <w:szCs w:val="21"/>
              </w:rPr>
              <w:t>1</w:t>
            </w:r>
          </w:p>
        </w:tc>
        <w:tc>
          <w:tcPr>
            <w:tcW w:w="1266" w:type="dxa"/>
            <w:vAlign w:val="center"/>
          </w:tcPr>
          <w:p w14:paraId="67786994">
            <w:pPr>
              <w:spacing w:line="400" w:lineRule="exact"/>
              <w:jc w:val="center"/>
              <w:rPr>
                <w:rFonts w:hint="default" w:ascii="宋体" w:hAnsi="宋体" w:eastAsia="宋体" w:cs="Arial"/>
                <w:color w:val="auto"/>
                <w:kern w:val="0"/>
                <w:szCs w:val="21"/>
                <w:lang w:val="en-US" w:eastAsia="zh-CN"/>
              </w:rPr>
            </w:pPr>
            <w:r>
              <w:rPr>
                <w:rFonts w:hint="eastAsia" w:ascii="宋体" w:hAnsi="宋体" w:cs="Arial"/>
                <w:color w:val="auto"/>
                <w:kern w:val="0"/>
                <w:szCs w:val="21"/>
                <w:lang w:eastAsia="zh-CN"/>
              </w:rPr>
              <w:t>汴杞财磋商采购-2026-35</w:t>
            </w:r>
            <w:r>
              <w:rPr>
                <w:rFonts w:hint="eastAsia" w:ascii="宋体" w:hAnsi="宋体" w:cs="Arial"/>
                <w:color w:val="auto"/>
                <w:kern w:val="0"/>
                <w:szCs w:val="21"/>
                <w:lang w:val="en-US" w:eastAsia="zh-CN"/>
              </w:rPr>
              <w:t>-1</w:t>
            </w:r>
          </w:p>
        </w:tc>
        <w:tc>
          <w:tcPr>
            <w:tcW w:w="2239" w:type="dxa"/>
            <w:vAlign w:val="center"/>
          </w:tcPr>
          <w:p w14:paraId="23182621">
            <w:pPr>
              <w:spacing w:line="400" w:lineRule="exact"/>
              <w:jc w:val="center"/>
              <w:rPr>
                <w:rFonts w:ascii="宋体" w:hAnsi="宋体" w:cs="Arial"/>
                <w:color w:val="auto"/>
                <w:kern w:val="0"/>
                <w:szCs w:val="21"/>
              </w:rPr>
            </w:pPr>
            <w:r>
              <w:rPr>
                <w:rFonts w:hint="eastAsia" w:ascii="宋体" w:hAnsi="宋体" w:cs="Arial"/>
                <w:color w:val="auto"/>
                <w:kern w:val="0"/>
                <w:szCs w:val="21"/>
                <w:lang w:eastAsia="zh-CN"/>
              </w:rPr>
              <w:t>杞县中医院等离子空气消毒机采购项目</w:t>
            </w:r>
          </w:p>
        </w:tc>
        <w:tc>
          <w:tcPr>
            <w:tcW w:w="1250" w:type="dxa"/>
            <w:vAlign w:val="center"/>
          </w:tcPr>
          <w:p w14:paraId="5A9389E0">
            <w:pPr>
              <w:spacing w:line="400" w:lineRule="exact"/>
              <w:jc w:val="center"/>
              <w:rPr>
                <w:rFonts w:ascii="宋体" w:hAnsi="宋体" w:cs="Arial"/>
                <w:color w:val="auto"/>
                <w:kern w:val="0"/>
                <w:szCs w:val="21"/>
              </w:rPr>
            </w:pPr>
            <w:r>
              <w:rPr>
                <w:rFonts w:hint="eastAsia" w:ascii="宋体" w:hAnsi="宋体" w:cs="Arial"/>
                <w:color w:val="auto"/>
                <w:kern w:val="0"/>
                <w:szCs w:val="21"/>
                <w:lang w:val="en-US" w:eastAsia="zh-CN"/>
              </w:rPr>
              <w:t>420000.00</w:t>
            </w:r>
          </w:p>
        </w:tc>
        <w:tc>
          <w:tcPr>
            <w:tcW w:w="1354" w:type="dxa"/>
            <w:vAlign w:val="center"/>
          </w:tcPr>
          <w:p w14:paraId="47008848">
            <w:pPr>
              <w:spacing w:line="400" w:lineRule="exact"/>
              <w:jc w:val="center"/>
              <w:rPr>
                <w:rFonts w:ascii="宋体" w:hAnsi="宋体" w:cs="Arial"/>
                <w:color w:val="auto"/>
                <w:kern w:val="0"/>
                <w:szCs w:val="21"/>
              </w:rPr>
            </w:pPr>
            <w:r>
              <w:rPr>
                <w:rFonts w:hint="eastAsia" w:ascii="宋体" w:hAnsi="宋体" w:cs="Arial"/>
                <w:color w:val="auto"/>
                <w:kern w:val="0"/>
                <w:szCs w:val="21"/>
                <w:lang w:val="en-US" w:eastAsia="zh-CN"/>
              </w:rPr>
              <w:t>420000.00</w:t>
            </w:r>
          </w:p>
        </w:tc>
        <w:tc>
          <w:tcPr>
            <w:tcW w:w="1828" w:type="dxa"/>
            <w:vAlign w:val="center"/>
          </w:tcPr>
          <w:p w14:paraId="17EAA6FF">
            <w:pPr>
              <w:spacing w:line="400" w:lineRule="exact"/>
              <w:jc w:val="center"/>
              <w:rPr>
                <w:rFonts w:hint="eastAsia" w:ascii="宋体" w:hAnsi="宋体" w:cs="Arial"/>
                <w:color w:val="auto"/>
                <w:kern w:val="0"/>
                <w:szCs w:val="21"/>
                <w:lang w:val="en-US" w:eastAsia="zh-CN"/>
              </w:rPr>
            </w:pPr>
            <w:r>
              <w:rPr>
                <w:rFonts w:hint="eastAsia" w:ascii="宋体" w:hAnsi="宋体" w:cs="Arial"/>
                <w:color w:val="auto"/>
                <w:kern w:val="0"/>
                <w:szCs w:val="21"/>
                <w:lang w:val="en-US" w:eastAsia="zh-CN"/>
              </w:rPr>
              <w:t>是</w:t>
            </w:r>
          </w:p>
        </w:tc>
        <w:tc>
          <w:tcPr>
            <w:tcW w:w="1402" w:type="dxa"/>
            <w:vAlign w:val="center"/>
          </w:tcPr>
          <w:p w14:paraId="086E56E0">
            <w:pPr>
              <w:keepNext w:val="0"/>
              <w:keepLines w:val="0"/>
              <w:pageBreakBefore w:val="0"/>
              <w:kinsoku/>
              <w:overflowPunct/>
              <w:topLinePunct w:val="0"/>
              <w:bidi w:val="0"/>
              <w:spacing w:line="360" w:lineRule="auto"/>
              <w:jc w:val="center"/>
              <w:textAlignment w:val="auto"/>
              <w:rPr>
                <w:rFonts w:hint="eastAsia" w:ascii="宋体" w:hAnsi="宋体" w:cs="Arial"/>
                <w:color w:val="auto"/>
                <w:kern w:val="0"/>
                <w:szCs w:val="21"/>
                <w:lang w:val="en-US" w:eastAsia="zh-CN"/>
              </w:rPr>
            </w:pPr>
            <w:r>
              <w:rPr>
                <w:rFonts w:hint="eastAsia" w:ascii="宋体" w:hAnsi="宋体" w:cs="Arial"/>
                <w:color w:val="auto"/>
                <w:kern w:val="0"/>
                <w:szCs w:val="21"/>
                <w:lang w:val="en-US" w:eastAsia="zh-CN"/>
              </w:rPr>
              <w:t>420000.00</w:t>
            </w:r>
          </w:p>
        </w:tc>
      </w:tr>
    </w:tbl>
    <w:p w14:paraId="66D65881">
      <w:pPr>
        <w:spacing w:line="400" w:lineRule="exact"/>
        <w:ind w:firstLine="420" w:firstLineChars="200"/>
        <w:rPr>
          <w:rFonts w:ascii="宋体" w:hAnsi="宋体" w:cs="Arial"/>
          <w:color w:val="auto"/>
          <w:kern w:val="0"/>
          <w:szCs w:val="21"/>
        </w:rPr>
      </w:pPr>
      <w:r>
        <w:rPr>
          <w:rFonts w:hint="eastAsia" w:ascii="宋体" w:hAnsi="宋体" w:cs="Arial"/>
          <w:color w:val="auto"/>
          <w:kern w:val="0"/>
          <w:szCs w:val="21"/>
        </w:rPr>
        <w:t>5、采购需求：（包括但不限于标的的名称、数量、简要技术需求或服务要求等）</w:t>
      </w:r>
    </w:p>
    <w:p w14:paraId="5666EA1C">
      <w:pPr>
        <w:spacing w:line="400" w:lineRule="exact"/>
        <w:ind w:firstLine="420" w:firstLineChars="200"/>
        <w:rPr>
          <w:rFonts w:ascii="宋体" w:hAnsi="宋体" w:cs="Arial"/>
          <w:color w:val="auto"/>
          <w:kern w:val="0"/>
          <w:szCs w:val="21"/>
        </w:rPr>
      </w:pPr>
      <w:r>
        <w:rPr>
          <w:rFonts w:hint="eastAsia" w:ascii="宋体" w:hAnsi="宋体" w:cs="Arial"/>
          <w:color w:val="auto"/>
          <w:kern w:val="0"/>
          <w:szCs w:val="21"/>
        </w:rPr>
        <w:t>5.1、采购内容：</w:t>
      </w:r>
      <w:r>
        <w:rPr>
          <w:rFonts w:hint="eastAsia" w:ascii="宋体" w:hAnsi="宋体" w:cs="Arial"/>
          <w:color w:val="auto"/>
          <w:kern w:val="0"/>
          <w:szCs w:val="21"/>
          <w:lang w:eastAsia="zh-CN"/>
        </w:rPr>
        <w:t>杞县中医院拟采购离子空气消毒机一批及相关配套服务</w:t>
      </w:r>
      <w:r>
        <w:rPr>
          <w:rFonts w:hint="eastAsia" w:ascii="宋体" w:hAnsi="宋体" w:cs="Arial"/>
          <w:color w:val="auto"/>
          <w:kern w:val="0"/>
          <w:szCs w:val="21"/>
        </w:rPr>
        <w:t>；</w:t>
      </w:r>
    </w:p>
    <w:p w14:paraId="3E68A903">
      <w:pPr>
        <w:spacing w:line="400" w:lineRule="exact"/>
        <w:ind w:firstLine="420" w:firstLineChars="200"/>
        <w:rPr>
          <w:rFonts w:ascii="宋体" w:hAnsi="宋体" w:cs="Arial"/>
          <w:color w:val="auto"/>
          <w:kern w:val="0"/>
          <w:szCs w:val="21"/>
        </w:rPr>
      </w:pPr>
      <w:r>
        <w:rPr>
          <w:rFonts w:hint="eastAsia" w:ascii="宋体" w:hAnsi="宋体" w:cs="Arial"/>
          <w:color w:val="auto"/>
          <w:kern w:val="0"/>
          <w:szCs w:val="21"/>
        </w:rPr>
        <w:t>5.2、资金来源：</w:t>
      </w:r>
      <w:r>
        <w:rPr>
          <w:rFonts w:hint="eastAsia" w:ascii="宋体" w:hAnsi="宋体" w:cs="Arial"/>
          <w:color w:val="auto"/>
          <w:kern w:val="0"/>
          <w:szCs w:val="21"/>
          <w:lang w:val="en-US" w:eastAsia="zh-CN"/>
        </w:rPr>
        <w:t>自筹</w:t>
      </w:r>
      <w:r>
        <w:rPr>
          <w:rFonts w:hint="eastAsia" w:ascii="宋体" w:hAnsi="宋体" w:cs="Arial"/>
          <w:color w:val="auto"/>
          <w:kern w:val="0"/>
          <w:szCs w:val="21"/>
        </w:rPr>
        <w:t>资金；</w:t>
      </w:r>
    </w:p>
    <w:p w14:paraId="4159B6DC">
      <w:pPr>
        <w:spacing w:line="400" w:lineRule="exact"/>
        <w:ind w:firstLine="420" w:firstLineChars="200"/>
        <w:rPr>
          <w:rFonts w:ascii="宋体" w:hAnsi="宋体" w:cs="Arial"/>
          <w:color w:val="auto"/>
          <w:kern w:val="0"/>
          <w:szCs w:val="21"/>
        </w:rPr>
      </w:pPr>
      <w:r>
        <w:rPr>
          <w:rFonts w:hint="eastAsia" w:ascii="宋体" w:hAnsi="宋体" w:cs="Arial"/>
          <w:color w:val="auto"/>
          <w:kern w:val="0"/>
          <w:szCs w:val="21"/>
        </w:rPr>
        <w:t>5.3、</w:t>
      </w:r>
      <w:r>
        <w:rPr>
          <w:rFonts w:hint="eastAsia" w:ascii="宋体" w:hAnsi="宋体" w:cs="Arial"/>
          <w:color w:val="auto"/>
          <w:kern w:val="0"/>
          <w:szCs w:val="21"/>
          <w:lang w:eastAsia="zh-CN"/>
        </w:rPr>
        <w:t>交货地点</w:t>
      </w:r>
      <w:r>
        <w:rPr>
          <w:rFonts w:hint="eastAsia" w:ascii="宋体" w:hAnsi="宋体" w:cs="Arial"/>
          <w:color w:val="auto"/>
          <w:kern w:val="0"/>
          <w:szCs w:val="21"/>
        </w:rPr>
        <w:t>：</w:t>
      </w:r>
      <w:r>
        <w:rPr>
          <w:rFonts w:hint="eastAsia" w:ascii="宋体" w:hAnsi="宋体" w:cs="Arial"/>
          <w:color w:val="auto"/>
          <w:kern w:val="0"/>
          <w:szCs w:val="21"/>
          <w:lang w:eastAsia="zh-CN"/>
        </w:rPr>
        <w:t>采购人指定地点</w:t>
      </w:r>
      <w:r>
        <w:rPr>
          <w:rFonts w:hint="eastAsia" w:ascii="宋体" w:hAnsi="宋体" w:cs="Arial"/>
          <w:color w:val="auto"/>
          <w:kern w:val="0"/>
          <w:szCs w:val="21"/>
        </w:rPr>
        <w:t>；</w:t>
      </w:r>
    </w:p>
    <w:p w14:paraId="511DAF07">
      <w:pPr>
        <w:spacing w:line="400" w:lineRule="exact"/>
        <w:ind w:firstLine="420" w:firstLineChars="200"/>
        <w:rPr>
          <w:rFonts w:ascii="宋体" w:hAnsi="宋体" w:cs="Arial"/>
          <w:color w:val="auto"/>
          <w:kern w:val="0"/>
          <w:szCs w:val="21"/>
        </w:rPr>
      </w:pPr>
      <w:r>
        <w:rPr>
          <w:rFonts w:hint="eastAsia" w:ascii="宋体" w:hAnsi="宋体" w:cs="Arial"/>
          <w:color w:val="auto"/>
          <w:kern w:val="0"/>
          <w:szCs w:val="21"/>
        </w:rPr>
        <w:t>5.4、</w:t>
      </w:r>
      <w:r>
        <w:rPr>
          <w:rFonts w:hint="eastAsia" w:ascii="宋体" w:hAnsi="宋体" w:cs="Arial"/>
          <w:color w:val="auto"/>
          <w:kern w:val="0"/>
          <w:szCs w:val="21"/>
          <w:lang w:eastAsia="zh-CN"/>
        </w:rPr>
        <w:t>供货安装期限</w:t>
      </w:r>
      <w:r>
        <w:rPr>
          <w:rFonts w:hint="eastAsia" w:ascii="宋体" w:hAnsi="宋体" w:cs="Arial"/>
          <w:color w:val="auto"/>
          <w:kern w:val="0"/>
          <w:szCs w:val="21"/>
        </w:rPr>
        <w:t>：</w:t>
      </w:r>
      <w:r>
        <w:rPr>
          <w:rFonts w:hint="eastAsia" w:ascii="宋体" w:hAnsi="宋体" w:cs="Arial"/>
          <w:color w:val="auto"/>
          <w:kern w:val="0"/>
          <w:szCs w:val="21"/>
          <w:lang w:eastAsia="zh-CN"/>
        </w:rPr>
        <w:t>签订合同后15日历天内交货、安装、调试、验收并交付使用</w:t>
      </w:r>
      <w:r>
        <w:rPr>
          <w:rFonts w:hint="eastAsia" w:ascii="宋体" w:hAnsi="宋体" w:cs="Arial"/>
          <w:color w:val="auto"/>
          <w:kern w:val="0"/>
          <w:szCs w:val="21"/>
        </w:rPr>
        <w:t>；</w:t>
      </w:r>
    </w:p>
    <w:p w14:paraId="3F1ED6AD">
      <w:pPr>
        <w:spacing w:line="400" w:lineRule="exact"/>
        <w:ind w:firstLine="420" w:firstLineChars="200"/>
        <w:rPr>
          <w:rFonts w:ascii="宋体" w:hAnsi="宋体" w:cs="Arial"/>
          <w:color w:val="auto"/>
          <w:kern w:val="0"/>
          <w:szCs w:val="21"/>
        </w:rPr>
      </w:pPr>
      <w:r>
        <w:rPr>
          <w:rFonts w:hint="eastAsia" w:ascii="宋体" w:hAnsi="宋体" w:cs="Arial"/>
          <w:color w:val="auto"/>
          <w:kern w:val="0"/>
          <w:szCs w:val="21"/>
        </w:rPr>
        <w:t>5.5、质量要求：合格，符合相关行业标准；</w:t>
      </w:r>
    </w:p>
    <w:p w14:paraId="6F03F140">
      <w:pPr>
        <w:spacing w:line="400" w:lineRule="exact"/>
        <w:ind w:firstLine="420" w:firstLineChars="200"/>
        <w:rPr>
          <w:rFonts w:ascii="宋体" w:hAnsi="宋体" w:cs="Arial"/>
          <w:color w:val="auto"/>
          <w:kern w:val="0"/>
          <w:szCs w:val="21"/>
        </w:rPr>
      </w:pPr>
      <w:r>
        <w:rPr>
          <w:rFonts w:hint="eastAsia" w:ascii="宋体" w:hAnsi="宋体" w:cs="Arial"/>
          <w:color w:val="auto"/>
          <w:kern w:val="0"/>
          <w:szCs w:val="21"/>
        </w:rPr>
        <w:t>5.6、标段划分：本项目共划分为一个标段；</w:t>
      </w:r>
    </w:p>
    <w:p w14:paraId="5A3E0D68">
      <w:pPr>
        <w:spacing w:line="400" w:lineRule="exact"/>
        <w:ind w:firstLine="420" w:firstLineChars="200"/>
        <w:rPr>
          <w:rFonts w:ascii="宋体" w:hAnsi="宋体" w:cs="Arial"/>
          <w:color w:val="auto"/>
          <w:kern w:val="0"/>
          <w:szCs w:val="21"/>
        </w:rPr>
      </w:pPr>
      <w:r>
        <w:rPr>
          <w:rFonts w:hint="eastAsia" w:ascii="宋体" w:hAnsi="宋体" w:cs="Arial"/>
          <w:color w:val="auto"/>
          <w:kern w:val="0"/>
          <w:szCs w:val="21"/>
        </w:rPr>
        <w:t>6、合同履行期限：</w:t>
      </w:r>
      <w:r>
        <w:rPr>
          <w:rFonts w:hint="eastAsia" w:ascii="宋体" w:hAnsi="宋体" w:cs="Arial"/>
          <w:color w:val="auto"/>
          <w:kern w:val="0"/>
          <w:szCs w:val="21"/>
          <w:lang w:val="en-US" w:eastAsia="zh-CN"/>
        </w:rPr>
        <w:t>同供货安装期限</w:t>
      </w:r>
      <w:r>
        <w:rPr>
          <w:rFonts w:hint="eastAsia" w:ascii="宋体" w:hAnsi="宋体" w:cs="Arial"/>
          <w:color w:val="auto"/>
          <w:kern w:val="0"/>
          <w:szCs w:val="21"/>
        </w:rPr>
        <w:t>；</w:t>
      </w:r>
    </w:p>
    <w:p w14:paraId="128C1028">
      <w:pPr>
        <w:spacing w:line="400" w:lineRule="exact"/>
        <w:ind w:firstLine="420" w:firstLineChars="200"/>
        <w:rPr>
          <w:rFonts w:ascii="宋体" w:hAnsi="宋体" w:cs="Arial"/>
          <w:color w:val="auto"/>
          <w:kern w:val="0"/>
          <w:szCs w:val="21"/>
        </w:rPr>
      </w:pPr>
      <w:r>
        <w:rPr>
          <w:rFonts w:hint="eastAsia" w:ascii="宋体" w:hAnsi="宋体" w:cs="Arial"/>
          <w:color w:val="auto"/>
          <w:kern w:val="0"/>
          <w:szCs w:val="21"/>
        </w:rPr>
        <w:t>7、本项目（是</w:t>
      </w:r>
      <w:r>
        <w:rPr>
          <w:rFonts w:ascii="宋体" w:hAnsi="宋体" w:cs="Arial"/>
          <w:color w:val="auto"/>
          <w:kern w:val="0"/>
          <w:szCs w:val="21"/>
        </w:rPr>
        <w:t>/否</w:t>
      </w:r>
      <w:r>
        <w:rPr>
          <w:rFonts w:hint="eastAsia" w:ascii="宋体" w:hAnsi="宋体" w:cs="Arial"/>
          <w:color w:val="auto"/>
          <w:kern w:val="0"/>
          <w:szCs w:val="21"/>
        </w:rPr>
        <w:t>）接受联合体：否；</w:t>
      </w:r>
    </w:p>
    <w:p w14:paraId="70D8C0A9">
      <w:pPr>
        <w:pStyle w:val="51"/>
        <w:numPr>
          <w:ilvl w:val="0"/>
          <w:numId w:val="0"/>
        </w:numPr>
        <w:spacing w:line="400" w:lineRule="exact"/>
        <w:ind w:left="420" w:leftChars="0"/>
        <w:rPr>
          <w:rFonts w:ascii="宋体" w:hAnsi="宋体" w:cs="Arial"/>
          <w:color w:val="auto"/>
          <w:kern w:val="0"/>
          <w:szCs w:val="21"/>
        </w:rPr>
      </w:pPr>
      <w:r>
        <w:rPr>
          <w:rFonts w:hint="eastAsia" w:ascii="宋体" w:hAnsi="宋体" w:cs="Arial"/>
          <w:color w:val="auto"/>
          <w:kern w:val="0"/>
          <w:szCs w:val="21"/>
          <w:lang w:val="en-US" w:eastAsia="zh-CN"/>
        </w:rPr>
        <w:t>8、</w:t>
      </w:r>
      <w:r>
        <w:rPr>
          <w:rFonts w:hint="eastAsia" w:ascii="宋体" w:hAnsi="宋体" w:cs="Arial"/>
          <w:color w:val="auto"/>
          <w:kern w:val="0"/>
          <w:szCs w:val="21"/>
        </w:rPr>
        <w:t>本项目（是/否）接受进口产品：否。</w:t>
      </w:r>
    </w:p>
    <w:p w14:paraId="7301FE49">
      <w:pPr>
        <w:pStyle w:val="51"/>
        <w:numPr>
          <w:ilvl w:val="0"/>
          <w:numId w:val="0"/>
        </w:numPr>
        <w:spacing w:line="400" w:lineRule="exact"/>
        <w:ind w:left="420" w:leftChars="0"/>
        <w:rPr>
          <w:rFonts w:hint="default" w:ascii="宋体" w:hAnsi="宋体" w:eastAsia="宋体" w:cs="Arial"/>
          <w:color w:val="auto"/>
          <w:kern w:val="0"/>
          <w:szCs w:val="21"/>
          <w:lang w:val="en-US" w:eastAsia="zh-CN"/>
        </w:rPr>
      </w:pPr>
      <w:r>
        <w:rPr>
          <w:rFonts w:hint="eastAsia" w:ascii="宋体" w:hAnsi="宋体" w:cs="Arial"/>
          <w:color w:val="auto"/>
          <w:kern w:val="0"/>
          <w:szCs w:val="21"/>
          <w:lang w:val="en-US" w:eastAsia="zh-CN"/>
        </w:rPr>
        <w:t>9、</w:t>
      </w:r>
      <w:r>
        <w:rPr>
          <w:rFonts w:hint="eastAsia" w:ascii="宋体" w:hAnsi="宋体" w:cs="Arial"/>
          <w:color w:val="auto"/>
          <w:kern w:val="0"/>
          <w:szCs w:val="21"/>
        </w:rPr>
        <w:t>本项目（是/否）专门面向中小企业：</w:t>
      </w:r>
      <w:r>
        <w:rPr>
          <w:rFonts w:hint="eastAsia" w:ascii="宋体" w:hAnsi="宋体" w:cs="Arial"/>
          <w:color w:val="auto"/>
          <w:kern w:val="0"/>
          <w:szCs w:val="21"/>
          <w:lang w:val="en-US" w:eastAsia="zh-CN"/>
        </w:rPr>
        <w:t>是</w:t>
      </w:r>
      <w:r>
        <w:rPr>
          <w:rFonts w:hint="eastAsia" w:ascii="宋体" w:hAnsi="宋体" w:cs="Arial"/>
          <w:color w:val="auto"/>
          <w:kern w:val="0"/>
          <w:szCs w:val="21"/>
        </w:rPr>
        <w:t>。</w:t>
      </w:r>
    </w:p>
    <w:p w14:paraId="68610C1F">
      <w:pPr>
        <w:spacing w:line="400" w:lineRule="exact"/>
        <w:rPr>
          <w:rFonts w:ascii="宋体" w:hAnsi="宋体" w:cs="Arial"/>
          <w:b/>
          <w:color w:val="auto"/>
          <w:kern w:val="0"/>
          <w:szCs w:val="21"/>
        </w:rPr>
      </w:pPr>
      <w:r>
        <w:rPr>
          <w:rFonts w:hint="eastAsia" w:ascii="宋体" w:hAnsi="宋体" w:cs="Arial"/>
          <w:b/>
          <w:color w:val="auto"/>
          <w:kern w:val="0"/>
          <w:szCs w:val="21"/>
        </w:rPr>
        <w:t>二、申请人资格要求：</w:t>
      </w:r>
    </w:p>
    <w:p w14:paraId="40392813">
      <w:pPr>
        <w:spacing w:line="400" w:lineRule="exact"/>
        <w:ind w:firstLine="420" w:firstLineChars="200"/>
        <w:rPr>
          <w:rFonts w:ascii="宋体" w:hAnsi="宋体" w:cs="Arial"/>
          <w:color w:val="auto"/>
          <w:kern w:val="0"/>
          <w:szCs w:val="21"/>
        </w:rPr>
      </w:pPr>
      <w:r>
        <w:rPr>
          <w:rFonts w:hint="eastAsia" w:ascii="宋体" w:hAnsi="宋体" w:cs="Arial"/>
          <w:color w:val="auto"/>
          <w:kern w:val="0"/>
          <w:szCs w:val="21"/>
        </w:rPr>
        <w:t>1、满足《中华人民共和国政府采购法》第二十二条规定；</w:t>
      </w:r>
    </w:p>
    <w:p w14:paraId="2A298A67">
      <w:pPr>
        <w:spacing w:line="400" w:lineRule="exact"/>
        <w:ind w:firstLine="420" w:firstLineChars="200"/>
        <w:rPr>
          <w:rFonts w:ascii="宋体" w:hAnsi="宋体" w:cs="Arial"/>
          <w:color w:val="auto"/>
          <w:kern w:val="0"/>
          <w:szCs w:val="21"/>
        </w:rPr>
      </w:pPr>
      <w:r>
        <w:rPr>
          <w:rFonts w:ascii="宋体" w:hAnsi="宋体" w:cs="Arial"/>
          <w:color w:val="auto"/>
          <w:kern w:val="0"/>
          <w:szCs w:val="21"/>
        </w:rPr>
        <w:t>2</w:t>
      </w:r>
      <w:r>
        <w:rPr>
          <w:rFonts w:hint="eastAsia" w:ascii="宋体" w:hAnsi="宋体" w:cs="Arial"/>
          <w:color w:val="auto"/>
          <w:kern w:val="0"/>
          <w:szCs w:val="21"/>
        </w:rPr>
        <w:t>、落实政府采购政策需满足的资格要求：</w:t>
      </w:r>
    </w:p>
    <w:p w14:paraId="3AA1D9AF">
      <w:pPr>
        <w:spacing w:line="400" w:lineRule="exact"/>
        <w:ind w:firstLine="420" w:firstLineChars="200"/>
        <w:rPr>
          <w:rFonts w:hint="eastAsia" w:ascii="宋体" w:hAnsi="宋体" w:eastAsia="宋体" w:cs="Arial"/>
          <w:color w:val="auto"/>
          <w:kern w:val="0"/>
          <w:szCs w:val="21"/>
        </w:rPr>
      </w:pPr>
      <w:r>
        <w:rPr>
          <w:rFonts w:hint="eastAsia" w:ascii="宋体" w:hAnsi="宋体" w:eastAsia="宋体" w:cs="Arial"/>
          <w:color w:val="auto"/>
          <w:kern w:val="0"/>
          <w:szCs w:val="21"/>
        </w:rPr>
        <w:t>本项目执行中小微企业、监狱企业、残疾人福利性单位等相关政府采购政策。本项目属于专门面向</w:t>
      </w:r>
      <w:r>
        <w:rPr>
          <w:rFonts w:hint="eastAsia" w:ascii="宋体" w:hAnsi="宋体" w:eastAsia="宋体" w:cs="Arial"/>
          <w:b/>
          <w:bCs/>
          <w:color w:val="auto"/>
          <w:kern w:val="0"/>
          <w:szCs w:val="21"/>
        </w:rPr>
        <w:t>中小企业</w:t>
      </w:r>
      <w:r>
        <w:rPr>
          <w:rFonts w:hint="eastAsia" w:ascii="宋体" w:hAnsi="宋体" w:eastAsia="宋体" w:cs="Arial"/>
          <w:color w:val="auto"/>
          <w:kern w:val="0"/>
          <w:szCs w:val="21"/>
        </w:rPr>
        <w:t>采购的项目，供应商应为中小微企业/监狱企业/残疾人福利性单位。</w:t>
      </w:r>
    </w:p>
    <w:p w14:paraId="1CA738D9">
      <w:pPr>
        <w:spacing w:line="400" w:lineRule="exact"/>
        <w:ind w:firstLine="420" w:firstLineChars="200"/>
        <w:rPr>
          <w:rFonts w:ascii="宋体" w:hAnsi="宋体" w:cs="Arial"/>
          <w:color w:val="auto"/>
          <w:kern w:val="0"/>
          <w:szCs w:val="21"/>
        </w:rPr>
      </w:pPr>
      <w:r>
        <w:rPr>
          <w:rFonts w:hint="eastAsia" w:ascii="宋体" w:hAnsi="宋体" w:cs="Arial"/>
          <w:color w:val="auto"/>
          <w:kern w:val="0"/>
          <w:szCs w:val="21"/>
        </w:rPr>
        <w:t>3.本项目的特定资格要求：</w:t>
      </w:r>
    </w:p>
    <w:p w14:paraId="5A7C8628">
      <w:pPr>
        <w:spacing w:line="400" w:lineRule="exact"/>
        <w:ind w:firstLine="420" w:firstLineChars="200"/>
        <w:rPr>
          <w:rFonts w:hint="eastAsia" w:ascii="宋体" w:hAnsi="宋体" w:eastAsia="宋体" w:cs="Arial"/>
          <w:color w:val="auto"/>
          <w:kern w:val="0"/>
          <w:szCs w:val="21"/>
          <w:lang w:eastAsia="zh-CN"/>
        </w:rPr>
      </w:pPr>
      <w:r>
        <w:rPr>
          <w:rFonts w:ascii="宋体" w:hAnsi="宋体" w:cs="Arial"/>
          <w:color w:val="auto"/>
          <w:kern w:val="0"/>
          <w:szCs w:val="21"/>
        </w:rPr>
        <w:t>3.1</w:t>
      </w:r>
      <w:r>
        <w:rPr>
          <w:rFonts w:hint="eastAsia" w:ascii="宋体" w:hAnsi="宋体" w:cs="Arial"/>
          <w:color w:val="auto"/>
          <w:kern w:val="0"/>
          <w:szCs w:val="21"/>
          <w:lang w:eastAsia="zh-CN"/>
        </w:rPr>
        <w:t>、</w:t>
      </w:r>
      <w:r>
        <w:rPr>
          <w:rFonts w:ascii="宋体" w:hAnsi="宋体" w:cs="Arial"/>
          <w:color w:val="auto"/>
          <w:kern w:val="0"/>
          <w:szCs w:val="21"/>
        </w:rPr>
        <w:t>投标人需符合《中华人民共和国政府采购法》第二十二条规定，并提供以下资料：</w:t>
      </w:r>
    </w:p>
    <w:p w14:paraId="01DDC102">
      <w:pPr>
        <w:spacing w:line="400" w:lineRule="exact"/>
        <w:ind w:firstLine="420" w:firstLineChars="200"/>
        <w:rPr>
          <w:rFonts w:hint="eastAsia" w:ascii="宋体" w:hAnsi="宋体" w:eastAsia="宋体" w:cs="Arial"/>
          <w:color w:val="auto"/>
          <w:kern w:val="0"/>
          <w:szCs w:val="21"/>
          <w:lang w:eastAsia="zh-CN"/>
        </w:rPr>
      </w:pPr>
      <w:r>
        <w:rPr>
          <w:rFonts w:ascii="宋体" w:hAnsi="宋体" w:cs="Arial"/>
          <w:color w:val="auto"/>
          <w:kern w:val="0"/>
          <w:szCs w:val="21"/>
        </w:rPr>
        <w:t>3.1.1</w:t>
      </w:r>
      <w:r>
        <w:rPr>
          <w:rFonts w:hint="eastAsia" w:ascii="宋体" w:hAnsi="宋体" w:cs="Arial"/>
          <w:color w:val="auto"/>
          <w:kern w:val="0"/>
          <w:szCs w:val="21"/>
        </w:rPr>
        <w:t>具有独立承担民事责任的能力（提供</w:t>
      </w:r>
      <w:r>
        <w:rPr>
          <w:rFonts w:hint="eastAsia" w:ascii="宋体" w:hAnsi="宋体" w:cs="Arial"/>
          <w:color w:val="auto"/>
          <w:kern w:val="0"/>
          <w:szCs w:val="21"/>
          <w:lang w:val="en-US" w:eastAsia="zh-CN"/>
        </w:rPr>
        <w:t>有效</w:t>
      </w:r>
      <w:r>
        <w:rPr>
          <w:rFonts w:hint="eastAsia" w:ascii="宋体" w:hAnsi="宋体" w:cs="Arial"/>
          <w:color w:val="auto"/>
          <w:kern w:val="0"/>
          <w:szCs w:val="21"/>
        </w:rPr>
        <w:t>的营业执照）；</w:t>
      </w:r>
      <w:r>
        <w:rPr>
          <w:rFonts w:ascii="宋体" w:hAnsi="宋体" w:cs="Arial"/>
          <w:color w:val="auto"/>
          <w:kern w:val="0"/>
          <w:szCs w:val="21"/>
        </w:rPr>
        <w:t xml:space="preserve"> </w:t>
      </w:r>
    </w:p>
    <w:p w14:paraId="67BC8548">
      <w:pPr>
        <w:spacing w:line="400" w:lineRule="exact"/>
        <w:ind w:firstLine="420" w:firstLineChars="200"/>
        <w:rPr>
          <w:rFonts w:hint="eastAsia" w:ascii="宋体" w:hAnsi="宋体" w:cs="Arial"/>
          <w:color w:val="auto"/>
          <w:kern w:val="0"/>
          <w:szCs w:val="21"/>
          <w:lang w:eastAsia="zh-CN"/>
        </w:rPr>
      </w:pPr>
      <w:r>
        <w:rPr>
          <w:rFonts w:ascii="宋体" w:hAnsi="宋体" w:cs="Arial"/>
          <w:color w:val="auto"/>
          <w:kern w:val="0"/>
          <w:szCs w:val="21"/>
        </w:rPr>
        <w:t>3.1.2具有良好的商业信誉和健全的财务</w:t>
      </w:r>
      <w:r>
        <w:rPr>
          <w:rFonts w:hint="eastAsia" w:ascii="宋体" w:hAnsi="宋体" w:cs="Arial"/>
          <w:color w:val="auto"/>
          <w:kern w:val="0"/>
          <w:szCs w:val="21"/>
        </w:rPr>
        <w:t>会计制度</w:t>
      </w:r>
      <w:r>
        <w:rPr>
          <w:rFonts w:ascii="宋体" w:hAnsi="宋体" w:cs="Arial"/>
          <w:color w:val="auto"/>
          <w:kern w:val="0"/>
          <w:szCs w:val="21"/>
        </w:rPr>
        <w:t>（提供202</w:t>
      </w:r>
      <w:r>
        <w:rPr>
          <w:rFonts w:hint="eastAsia" w:ascii="宋体" w:hAnsi="宋体" w:cs="Arial"/>
          <w:color w:val="auto"/>
          <w:kern w:val="0"/>
          <w:szCs w:val="21"/>
          <w:lang w:val="en-US" w:eastAsia="zh-CN"/>
        </w:rPr>
        <w:t>4</w:t>
      </w:r>
      <w:r>
        <w:rPr>
          <w:rFonts w:ascii="宋体" w:hAnsi="宋体" w:cs="Arial"/>
          <w:color w:val="auto"/>
          <w:kern w:val="0"/>
          <w:szCs w:val="21"/>
        </w:rPr>
        <w:t>年度</w:t>
      </w:r>
      <w:r>
        <w:rPr>
          <w:rFonts w:hint="eastAsia" w:ascii="宋体" w:hAnsi="宋体" w:cs="Arial"/>
          <w:color w:val="auto"/>
          <w:kern w:val="0"/>
          <w:szCs w:val="21"/>
          <w:lang w:val="en-US" w:eastAsia="zh-CN"/>
        </w:rPr>
        <w:t>或2025年度</w:t>
      </w:r>
      <w:r>
        <w:rPr>
          <w:rFonts w:ascii="宋体" w:hAnsi="宋体" w:cs="Arial"/>
          <w:color w:val="auto"/>
          <w:kern w:val="0"/>
          <w:szCs w:val="21"/>
        </w:rPr>
        <w:t>的经第三方审计机构出具的审计报告，新成立公司可提供银行出具的资信证明材料</w:t>
      </w:r>
      <w:r>
        <w:rPr>
          <w:rFonts w:hint="eastAsia" w:ascii="宋体" w:hAnsi="宋体" w:cs="Arial"/>
          <w:color w:val="auto"/>
          <w:kern w:val="0"/>
          <w:szCs w:val="21"/>
        </w:rPr>
        <w:t>）</w:t>
      </w:r>
      <w:r>
        <w:rPr>
          <w:rFonts w:ascii="宋体" w:hAnsi="宋体" w:cs="Arial"/>
          <w:color w:val="auto"/>
          <w:kern w:val="0"/>
          <w:szCs w:val="21"/>
        </w:rPr>
        <w:t>；</w:t>
      </w:r>
    </w:p>
    <w:p w14:paraId="7BC315F1">
      <w:pPr>
        <w:spacing w:line="400" w:lineRule="exact"/>
        <w:ind w:firstLine="420" w:firstLineChars="200"/>
        <w:rPr>
          <w:rFonts w:hint="eastAsia" w:ascii="宋体" w:hAnsi="宋体" w:cs="Arial"/>
          <w:color w:val="auto"/>
          <w:kern w:val="0"/>
          <w:szCs w:val="21"/>
          <w:lang w:eastAsia="zh-CN"/>
        </w:rPr>
      </w:pPr>
      <w:r>
        <w:rPr>
          <w:rFonts w:ascii="宋体" w:hAnsi="宋体" w:cs="Arial"/>
          <w:color w:val="auto"/>
          <w:kern w:val="0"/>
          <w:szCs w:val="21"/>
        </w:rPr>
        <w:t>3.1.3具有履行合同所必需的人员、设备和专业技术能力（提供</w:t>
      </w:r>
      <w:r>
        <w:rPr>
          <w:rFonts w:hint="eastAsia" w:ascii="宋体" w:hAnsi="宋体" w:cs="Arial"/>
          <w:color w:val="auto"/>
          <w:kern w:val="0"/>
          <w:szCs w:val="21"/>
        </w:rPr>
        <w:t>证明材料或</w:t>
      </w:r>
      <w:r>
        <w:rPr>
          <w:rFonts w:ascii="宋体" w:hAnsi="宋体" w:cs="Arial"/>
          <w:color w:val="auto"/>
          <w:kern w:val="0"/>
          <w:szCs w:val="21"/>
        </w:rPr>
        <w:t>书面声明并加盖单位公章，格式自拟）；</w:t>
      </w:r>
    </w:p>
    <w:p w14:paraId="2C7857E9">
      <w:pPr>
        <w:spacing w:line="400" w:lineRule="exact"/>
        <w:ind w:firstLine="420" w:firstLineChars="200"/>
        <w:rPr>
          <w:rFonts w:hint="eastAsia" w:ascii="宋体" w:hAnsi="宋体" w:cs="Arial"/>
          <w:color w:val="auto"/>
          <w:kern w:val="0"/>
          <w:szCs w:val="21"/>
          <w:lang w:eastAsia="zh-CN"/>
        </w:rPr>
      </w:pPr>
      <w:r>
        <w:rPr>
          <w:rFonts w:ascii="宋体" w:hAnsi="宋体" w:cs="Arial"/>
          <w:color w:val="auto"/>
          <w:kern w:val="0"/>
          <w:szCs w:val="21"/>
        </w:rPr>
        <w:t>3.1.4有依法缴纳税收和社会保障资金的良好记录（提供单位202</w:t>
      </w:r>
      <w:r>
        <w:rPr>
          <w:rFonts w:hint="eastAsia" w:ascii="宋体" w:hAnsi="宋体" w:cs="Arial"/>
          <w:color w:val="auto"/>
          <w:kern w:val="0"/>
          <w:szCs w:val="21"/>
          <w:lang w:val="en-US" w:eastAsia="zh-CN"/>
        </w:rPr>
        <w:t>6</w:t>
      </w:r>
      <w:r>
        <w:rPr>
          <w:rFonts w:ascii="宋体" w:hAnsi="宋体" w:cs="Arial"/>
          <w:color w:val="auto"/>
          <w:kern w:val="0"/>
          <w:szCs w:val="21"/>
        </w:rPr>
        <w:t>年</w:t>
      </w:r>
      <w:r>
        <w:rPr>
          <w:rFonts w:hint="eastAsia" w:ascii="宋体" w:hAnsi="宋体" w:cs="Arial"/>
          <w:color w:val="auto"/>
          <w:kern w:val="0"/>
          <w:szCs w:val="21"/>
          <w:lang w:val="en-US" w:eastAsia="zh-CN"/>
        </w:rPr>
        <w:t>1</w:t>
      </w:r>
      <w:r>
        <w:rPr>
          <w:rFonts w:ascii="宋体" w:hAnsi="宋体" w:cs="Arial"/>
          <w:color w:val="auto"/>
          <w:kern w:val="0"/>
          <w:szCs w:val="21"/>
        </w:rPr>
        <w:t>月1日以来任意</w:t>
      </w:r>
      <w:r>
        <w:rPr>
          <w:rFonts w:hint="eastAsia" w:ascii="宋体" w:hAnsi="宋体" w:cs="Arial"/>
          <w:color w:val="auto"/>
          <w:kern w:val="0"/>
          <w:szCs w:val="21"/>
        </w:rPr>
        <w:t>一</w:t>
      </w:r>
      <w:r>
        <w:rPr>
          <w:rFonts w:ascii="宋体" w:hAnsi="宋体" w:cs="Arial"/>
          <w:color w:val="auto"/>
          <w:kern w:val="0"/>
          <w:szCs w:val="21"/>
        </w:rPr>
        <w:t>个月依法缴纳税收和社会保障</w:t>
      </w:r>
      <w:r>
        <w:rPr>
          <w:rFonts w:hint="eastAsia" w:ascii="宋体" w:hAnsi="宋体" w:cs="Arial"/>
          <w:color w:val="auto"/>
          <w:kern w:val="0"/>
          <w:szCs w:val="21"/>
        </w:rPr>
        <w:t>资金</w:t>
      </w:r>
      <w:r>
        <w:rPr>
          <w:rFonts w:ascii="宋体" w:hAnsi="宋体" w:cs="Arial"/>
          <w:color w:val="auto"/>
          <w:kern w:val="0"/>
          <w:szCs w:val="21"/>
        </w:rPr>
        <w:t>的证明材料；依法免税或不需要缴纳社会保障资金的投标人，应提供相应证明文件）；</w:t>
      </w:r>
    </w:p>
    <w:p w14:paraId="78070BAC">
      <w:pPr>
        <w:spacing w:line="400" w:lineRule="exact"/>
        <w:ind w:firstLine="420" w:firstLineChars="200"/>
        <w:rPr>
          <w:rFonts w:hint="eastAsia" w:ascii="宋体" w:hAnsi="宋体" w:cs="Arial"/>
          <w:color w:val="auto"/>
          <w:kern w:val="0"/>
          <w:szCs w:val="21"/>
          <w:lang w:eastAsia="zh-CN"/>
        </w:rPr>
      </w:pPr>
      <w:r>
        <w:rPr>
          <w:rFonts w:ascii="宋体" w:hAnsi="宋体" w:cs="Arial"/>
          <w:color w:val="auto"/>
          <w:kern w:val="0"/>
          <w:szCs w:val="21"/>
        </w:rPr>
        <w:t>3.1.5参加政府采购活动前三年内，在经营活动中没有重大违法记录（提供书面声明并加盖单位公章</w:t>
      </w:r>
      <w:r>
        <w:rPr>
          <w:rFonts w:hint="eastAsia" w:ascii="宋体" w:hAnsi="宋体" w:cs="Arial"/>
          <w:color w:val="auto"/>
          <w:kern w:val="0"/>
          <w:szCs w:val="21"/>
        </w:rPr>
        <w:t>，格式自拟</w:t>
      </w:r>
      <w:r>
        <w:rPr>
          <w:rFonts w:ascii="宋体" w:hAnsi="宋体" w:cs="Arial"/>
          <w:color w:val="auto"/>
          <w:kern w:val="0"/>
          <w:szCs w:val="21"/>
        </w:rPr>
        <w:t>）；</w:t>
      </w:r>
    </w:p>
    <w:p w14:paraId="464F6AA5">
      <w:pPr>
        <w:spacing w:line="400" w:lineRule="exact"/>
        <w:ind w:firstLine="420" w:firstLineChars="200"/>
        <w:rPr>
          <w:rFonts w:ascii="宋体" w:hAnsi="宋体" w:cs="Arial"/>
          <w:color w:val="auto"/>
          <w:kern w:val="0"/>
          <w:szCs w:val="21"/>
        </w:rPr>
      </w:pPr>
      <w:r>
        <w:rPr>
          <w:rFonts w:ascii="宋体" w:hAnsi="宋体" w:cs="Arial"/>
          <w:color w:val="auto"/>
          <w:kern w:val="0"/>
          <w:szCs w:val="21"/>
        </w:rPr>
        <w:t>3.1.6法律、行政法规规定的其他条件。</w:t>
      </w:r>
    </w:p>
    <w:p w14:paraId="70EFA5FE">
      <w:pPr>
        <w:spacing w:line="400" w:lineRule="exact"/>
        <w:ind w:firstLine="420" w:firstLineChars="200"/>
        <w:rPr>
          <w:rFonts w:hint="eastAsia" w:ascii="宋体" w:hAnsi="宋体" w:eastAsia="宋体" w:cs="Arial"/>
          <w:color w:val="auto"/>
          <w:kern w:val="0"/>
          <w:szCs w:val="21"/>
          <w:lang w:val="en-US" w:eastAsia="zh-CN"/>
        </w:rPr>
      </w:pPr>
      <w:r>
        <w:rPr>
          <w:rFonts w:hint="eastAsia" w:ascii="宋体" w:hAnsi="宋体" w:cs="Arial"/>
          <w:color w:val="auto"/>
          <w:kern w:val="0"/>
          <w:szCs w:val="21"/>
          <w:lang w:val="en-US" w:eastAsia="zh-CN"/>
        </w:rPr>
        <w:t>3.2、</w:t>
      </w:r>
      <w:r>
        <w:rPr>
          <w:rFonts w:hint="eastAsia" w:ascii="宋体" w:hAnsi="宋体" w:cs="Arial"/>
          <w:color w:val="auto"/>
          <w:kern w:val="0"/>
          <w:szCs w:val="21"/>
        </w:rPr>
        <w:t>信誉要求：</w:t>
      </w:r>
      <w:r>
        <w:rPr>
          <w:rFonts w:ascii="宋体" w:hAnsi="宋体" w:cs="Arial"/>
          <w:color w:val="auto"/>
          <w:kern w:val="0"/>
          <w:szCs w:val="21"/>
        </w:rPr>
        <w:t>根据《关于在政府采购活动中查询及使用信用记录有关问题的通知》(财库[2016]125号)和豫财购【2016】15号的规定，对列入失信被执行人、</w:t>
      </w:r>
      <w:r>
        <w:rPr>
          <w:rFonts w:hint="eastAsia" w:ascii="宋体" w:hAnsi="宋体" w:cs="Arial"/>
          <w:color w:val="auto"/>
          <w:kern w:val="0"/>
          <w:szCs w:val="21"/>
          <w:lang w:eastAsia="zh-CN"/>
        </w:rPr>
        <w:t>重大税收违法失信主体</w:t>
      </w:r>
      <w:r>
        <w:rPr>
          <w:rFonts w:ascii="宋体" w:hAnsi="宋体" w:cs="Arial"/>
          <w:color w:val="auto"/>
          <w:kern w:val="0"/>
          <w:szCs w:val="21"/>
        </w:rPr>
        <w:t>、政府采购严重违法失信行为记录名单的投标人，拒绝参与本项目政府采购活动；投标人应通过中国执行信息公开网查询“失信被执行人”</w:t>
      </w:r>
      <w:r>
        <w:rPr>
          <w:rFonts w:hint="eastAsia" w:ascii="宋体" w:hAnsi="宋体" w:cs="Arial"/>
          <w:color w:val="auto"/>
          <w:kern w:val="0"/>
          <w:szCs w:val="21"/>
          <w:lang w:eastAsia="zh-CN"/>
        </w:rPr>
        <w:t>、</w:t>
      </w:r>
      <w:r>
        <w:rPr>
          <w:rFonts w:ascii="宋体" w:hAnsi="宋体" w:cs="Arial"/>
          <w:color w:val="auto"/>
          <w:kern w:val="0"/>
          <w:szCs w:val="21"/>
        </w:rPr>
        <w:t>“信用中国”网站（www.creditchina.gov.cn）查询“</w:t>
      </w:r>
      <w:r>
        <w:rPr>
          <w:rFonts w:hint="eastAsia" w:ascii="宋体" w:hAnsi="宋体" w:cs="Arial"/>
          <w:color w:val="auto"/>
          <w:kern w:val="0"/>
          <w:szCs w:val="21"/>
          <w:lang w:eastAsia="zh-CN"/>
        </w:rPr>
        <w:t>重大税收违法失信主体</w:t>
      </w:r>
      <w:r>
        <w:rPr>
          <w:rFonts w:ascii="宋体" w:hAnsi="宋体" w:cs="Arial"/>
          <w:color w:val="auto"/>
          <w:kern w:val="0"/>
          <w:szCs w:val="21"/>
        </w:rPr>
        <w:t>”、中国政府采购网（www.ccgp.gov.c</w:t>
      </w:r>
      <w:r>
        <w:rPr>
          <w:rFonts w:hint="eastAsia" w:ascii="宋体" w:hAnsi="宋体" w:eastAsia="宋体" w:cs="Arial"/>
          <w:color w:val="auto"/>
          <w:kern w:val="0"/>
          <w:szCs w:val="21"/>
          <w:lang w:val="en-US" w:eastAsia="zh-CN"/>
        </w:rPr>
        <w:t>n）查询“政府采购严重违法失信行为记录名单”渠道查询自身信用记录。</w:t>
      </w:r>
    </w:p>
    <w:p w14:paraId="29E2C6AF">
      <w:pPr>
        <w:spacing w:line="400" w:lineRule="exact"/>
        <w:ind w:firstLine="420" w:firstLineChars="200"/>
        <w:rPr>
          <w:rFonts w:hint="eastAsia" w:ascii="宋体" w:hAnsi="宋体" w:eastAsia="宋体" w:cs="Arial"/>
          <w:color w:val="auto"/>
          <w:kern w:val="0"/>
          <w:szCs w:val="21"/>
          <w:lang w:val="en-US" w:eastAsia="zh-CN"/>
        </w:rPr>
      </w:pPr>
      <w:r>
        <w:rPr>
          <w:rFonts w:hint="eastAsia" w:ascii="宋体" w:hAnsi="宋体" w:eastAsia="宋体" w:cs="Arial"/>
          <w:color w:val="auto"/>
          <w:kern w:val="0"/>
          <w:szCs w:val="21"/>
          <w:lang w:val="en-US" w:eastAsia="zh-CN"/>
        </w:rPr>
        <w:t>3.</w:t>
      </w:r>
      <w:r>
        <w:rPr>
          <w:rFonts w:hint="eastAsia" w:ascii="宋体" w:hAnsi="宋体" w:cs="Arial"/>
          <w:color w:val="auto"/>
          <w:kern w:val="0"/>
          <w:szCs w:val="21"/>
          <w:lang w:val="en-US" w:eastAsia="zh-CN"/>
        </w:rPr>
        <w:t>3</w:t>
      </w:r>
      <w:r>
        <w:rPr>
          <w:rFonts w:hint="eastAsia" w:ascii="宋体" w:hAnsi="宋体" w:eastAsia="宋体" w:cs="Arial"/>
          <w:color w:val="auto"/>
          <w:kern w:val="0"/>
          <w:szCs w:val="21"/>
          <w:lang w:val="en-US" w:eastAsia="zh-CN"/>
        </w:rPr>
        <w:t xml:space="preserve">、本项目不接受联合体投标。 </w:t>
      </w:r>
    </w:p>
    <w:p w14:paraId="79A21C08">
      <w:pPr>
        <w:spacing w:line="400" w:lineRule="exact"/>
        <w:rPr>
          <w:rFonts w:hint="eastAsia" w:ascii="宋体" w:hAnsi="宋体" w:cs="Arial"/>
          <w:b/>
          <w:color w:val="auto"/>
          <w:kern w:val="0"/>
          <w:szCs w:val="21"/>
          <w:lang w:val="en-US" w:eastAsia="zh-CN"/>
        </w:rPr>
      </w:pPr>
      <w:r>
        <w:rPr>
          <w:rFonts w:hint="eastAsia" w:ascii="宋体" w:hAnsi="宋体" w:cs="Arial"/>
          <w:b/>
          <w:color w:val="auto"/>
          <w:kern w:val="0"/>
          <w:szCs w:val="21"/>
          <w:lang w:val="en-US" w:eastAsia="zh-CN"/>
        </w:rPr>
        <w:t xml:space="preserve">三、获取采购文件 </w:t>
      </w:r>
    </w:p>
    <w:p w14:paraId="47BBF6B3">
      <w:pPr>
        <w:spacing w:line="400" w:lineRule="exact"/>
        <w:ind w:firstLine="420" w:firstLineChars="200"/>
        <w:rPr>
          <w:rFonts w:hint="eastAsia" w:ascii="宋体" w:hAnsi="宋体" w:cs="Arial"/>
          <w:color w:val="auto"/>
          <w:kern w:val="0"/>
          <w:szCs w:val="21"/>
          <w:lang w:val="en-US" w:eastAsia="zh-CN"/>
        </w:rPr>
      </w:pPr>
      <w:r>
        <w:rPr>
          <w:rFonts w:hint="eastAsia" w:ascii="宋体" w:hAnsi="宋体" w:cs="Arial"/>
          <w:color w:val="auto"/>
          <w:kern w:val="0"/>
          <w:szCs w:val="21"/>
          <w:lang w:val="en-US" w:eastAsia="zh-CN"/>
        </w:rPr>
        <w:t>1.时间：2026年08月04日至2026年08月13日。</w:t>
      </w:r>
      <w:r>
        <w:rPr>
          <w:rFonts w:hint="eastAsia" w:ascii="宋体" w:hAnsi="宋体" w:cs="Arial"/>
          <w:color w:val="auto"/>
          <w:kern w:val="0"/>
          <w:szCs w:val="21"/>
          <w:lang w:val="en-US" w:eastAsia="zh-CN"/>
        </w:rPr>
        <w:t xml:space="preserve">每天上午00:00至12:00，下午12:01至23:59（北京时间，法定节假日除外。） </w:t>
      </w:r>
    </w:p>
    <w:p w14:paraId="2732C504">
      <w:pPr>
        <w:spacing w:line="400" w:lineRule="exact"/>
        <w:ind w:firstLine="420" w:firstLineChars="200"/>
        <w:rPr>
          <w:rFonts w:hint="eastAsia" w:ascii="宋体" w:hAnsi="宋体" w:cs="Arial"/>
          <w:color w:val="auto"/>
          <w:kern w:val="0"/>
          <w:szCs w:val="21"/>
          <w:lang w:val="en-US" w:eastAsia="zh-CN"/>
        </w:rPr>
      </w:pPr>
      <w:r>
        <w:rPr>
          <w:rFonts w:hint="eastAsia" w:ascii="宋体" w:hAnsi="宋体" w:cs="Arial"/>
          <w:color w:val="auto"/>
          <w:kern w:val="0"/>
          <w:szCs w:val="21"/>
          <w:lang w:val="en-US" w:eastAsia="zh-CN"/>
        </w:rPr>
        <w:t xml:space="preserve">2.地点：开封市公共资源交易网（http://www.kfsggzyjyw.cn）会员系统 </w:t>
      </w:r>
    </w:p>
    <w:p w14:paraId="09B82A8C">
      <w:pPr>
        <w:spacing w:line="400" w:lineRule="exact"/>
        <w:ind w:firstLine="420" w:firstLineChars="200"/>
        <w:rPr>
          <w:rFonts w:hint="eastAsia" w:ascii="宋体" w:hAnsi="宋体" w:cs="Arial"/>
          <w:color w:val="auto"/>
          <w:kern w:val="0"/>
          <w:szCs w:val="21"/>
          <w:lang w:val="en-US" w:eastAsia="zh-CN"/>
        </w:rPr>
      </w:pPr>
      <w:r>
        <w:rPr>
          <w:rFonts w:hint="eastAsia" w:ascii="宋体" w:hAnsi="宋体" w:cs="Arial"/>
          <w:color w:val="auto"/>
          <w:kern w:val="0"/>
          <w:szCs w:val="21"/>
          <w:lang w:val="en-US" w:eastAsia="zh-CN"/>
        </w:rPr>
        <w:t xml:space="preserve">3.方式：供应商应注册成为开封市公共资源交易中心网站会员并取得CA密钥，在开封市公共资源交易中心网站http://www.kfsggzyjyw.cn/kfggzy/登录政采、工程业务系统，凭CA密钥登录会员系统下载招标文件。供应商（供应商）系统操作手册在开封市公共资源交易中心网站http://www.kfsggzyjyw.cn查看，请供应商时刻关注开封市公共资源交易中心网站和公司CA密钥推送消息。查询招标文件方式：潜在投标人、供应商可打开开封市公共资源交易中心网站http://www.kfsggzyjyw.cn首页“流程公开”里查询招标文件。 </w:t>
      </w:r>
    </w:p>
    <w:p w14:paraId="02A596CE">
      <w:pPr>
        <w:spacing w:line="400" w:lineRule="exact"/>
        <w:ind w:firstLine="420" w:firstLineChars="200"/>
        <w:rPr>
          <w:rFonts w:hint="eastAsia" w:ascii="宋体" w:hAnsi="宋体" w:cs="Arial"/>
          <w:color w:val="auto"/>
          <w:kern w:val="0"/>
          <w:szCs w:val="21"/>
          <w:lang w:val="en-US" w:eastAsia="zh-CN"/>
        </w:rPr>
      </w:pPr>
      <w:r>
        <w:rPr>
          <w:rFonts w:hint="eastAsia" w:ascii="宋体" w:hAnsi="宋体" w:cs="Arial"/>
          <w:color w:val="auto"/>
          <w:kern w:val="0"/>
          <w:szCs w:val="21"/>
          <w:lang w:val="en-US" w:eastAsia="zh-CN"/>
        </w:rPr>
        <w:t xml:space="preserve">4.售价：0元 </w:t>
      </w:r>
    </w:p>
    <w:p w14:paraId="0BB49A03">
      <w:pPr>
        <w:spacing w:line="400" w:lineRule="exact"/>
        <w:rPr>
          <w:rFonts w:hint="eastAsia" w:ascii="宋体" w:hAnsi="宋体" w:cs="Arial"/>
          <w:b/>
          <w:color w:val="auto"/>
          <w:kern w:val="0"/>
          <w:szCs w:val="21"/>
          <w:lang w:val="en-US" w:eastAsia="zh-CN"/>
        </w:rPr>
      </w:pPr>
      <w:r>
        <w:rPr>
          <w:rFonts w:hint="eastAsia" w:ascii="宋体" w:hAnsi="宋体" w:cs="Arial"/>
          <w:b/>
          <w:color w:val="auto"/>
          <w:kern w:val="0"/>
          <w:szCs w:val="21"/>
          <w:lang w:val="en-US" w:eastAsia="zh-CN"/>
        </w:rPr>
        <w:t xml:space="preserve">四、响应文件提交 </w:t>
      </w:r>
    </w:p>
    <w:p w14:paraId="4B724C32">
      <w:pPr>
        <w:spacing w:line="400" w:lineRule="exact"/>
        <w:ind w:firstLine="420" w:firstLineChars="200"/>
        <w:rPr>
          <w:rFonts w:hint="eastAsia" w:ascii="宋体" w:hAnsi="宋体" w:cs="Arial"/>
          <w:color w:val="auto"/>
          <w:kern w:val="0"/>
          <w:szCs w:val="21"/>
          <w:lang w:val="en-US" w:eastAsia="zh-CN"/>
        </w:rPr>
      </w:pPr>
      <w:r>
        <w:rPr>
          <w:rFonts w:hint="eastAsia" w:ascii="宋体" w:hAnsi="宋体" w:cs="Arial"/>
          <w:color w:val="auto"/>
          <w:kern w:val="0"/>
          <w:szCs w:val="21"/>
          <w:lang w:val="en-US" w:eastAsia="zh-CN"/>
        </w:rPr>
        <w:t xml:space="preserve">1.时间：2026年08月14日10时00分（北京时间） </w:t>
      </w:r>
    </w:p>
    <w:p w14:paraId="3E529817">
      <w:pPr>
        <w:keepNext w:val="0"/>
        <w:keepLines w:val="0"/>
        <w:pageBreakBefore w:val="0"/>
        <w:widowControl w:val="0"/>
        <w:kinsoku/>
        <w:wordWrap w:val="0"/>
        <w:overflowPunct/>
        <w:topLinePunct w:val="0"/>
        <w:autoSpaceDE/>
        <w:autoSpaceDN/>
        <w:bidi w:val="0"/>
        <w:adjustRightInd/>
        <w:snapToGrid/>
        <w:spacing w:line="400" w:lineRule="exact"/>
        <w:ind w:firstLine="420" w:firstLineChars="200"/>
        <w:jc w:val="left"/>
        <w:textAlignment w:val="auto"/>
        <w:rPr>
          <w:rFonts w:hint="eastAsia" w:ascii="宋体" w:hAnsi="宋体" w:cs="Arial"/>
          <w:color w:val="auto"/>
          <w:kern w:val="0"/>
          <w:szCs w:val="21"/>
          <w:lang w:val="en-US" w:eastAsia="zh-CN"/>
        </w:rPr>
      </w:pPr>
      <w:r>
        <w:rPr>
          <w:rFonts w:hint="eastAsia" w:ascii="宋体" w:hAnsi="宋体" w:cs="Arial"/>
          <w:color w:val="auto"/>
          <w:kern w:val="0"/>
          <w:szCs w:val="21"/>
          <w:lang w:val="en-US" w:eastAsia="zh-CN"/>
        </w:rPr>
        <w:t xml:space="preserve">2.地点：电子投标文件须在投标截止时间前在开封市公共资源交易中心网站（http://www.kfsggzyjyw.cn/kfggzy/）会员系统中加密上传。（投标文件逾期未上传或未上传成功的，采购人不予受理） </w:t>
      </w:r>
    </w:p>
    <w:p w14:paraId="36C11039">
      <w:pPr>
        <w:spacing w:line="400" w:lineRule="exact"/>
        <w:rPr>
          <w:rFonts w:hint="eastAsia" w:ascii="宋体" w:hAnsi="宋体" w:cs="Arial"/>
          <w:b/>
          <w:color w:val="auto"/>
          <w:kern w:val="0"/>
          <w:szCs w:val="21"/>
          <w:lang w:val="en-US" w:eastAsia="zh-CN"/>
        </w:rPr>
      </w:pPr>
      <w:r>
        <w:rPr>
          <w:rFonts w:hint="eastAsia" w:ascii="宋体" w:hAnsi="宋体" w:cs="Arial"/>
          <w:b/>
          <w:color w:val="auto"/>
          <w:kern w:val="0"/>
          <w:szCs w:val="21"/>
          <w:lang w:val="en-US" w:eastAsia="zh-CN"/>
        </w:rPr>
        <w:t xml:space="preserve">五、响应文件开启 </w:t>
      </w:r>
    </w:p>
    <w:p w14:paraId="5C27A264">
      <w:pPr>
        <w:spacing w:line="400" w:lineRule="exact"/>
        <w:ind w:firstLine="420" w:firstLineChars="200"/>
        <w:rPr>
          <w:rFonts w:hint="eastAsia" w:ascii="宋体" w:hAnsi="宋体" w:cs="Arial"/>
          <w:color w:val="auto"/>
          <w:kern w:val="0"/>
          <w:szCs w:val="21"/>
          <w:lang w:val="en-US" w:eastAsia="zh-CN"/>
        </w:rPr>
      </w:pPr>
      <w:r>
        <w:rPr>
          <w:rFonts w:hint="eastAsia" w:ascii="宋体" w:hAnsi="宋体" w:cs="Arial"/>
          <w:color w:val="auto"/>
          <w:kern w:val="0"/>
          <w:szCs w:val="21"/>
          <w:lang w:val="en-US" w:eastAsia="zh-CN"/>
        </w:rPr>
        <w:t xml:space="preserve">1.时间：2026年08月14日10时00分（北京时间） </w:t>
      </w:r>
    </w:p>
    <w:p w14:paraId="1DCF2FDD">
      <w:pPr>
        <w:spacing w:line="400" w:lineRule="exact"/>
        <w:ind w:firstLine="420" w:firstLineChars="200"/>
        <w:rPr>
          <w:rFonts w:hint="eastAsia" w:ascii="宋体" w:hAnsi="宋体" w:cs="Arial"/>
          <w:color w:val="auto"/>
          <w:kern w:val="0"/>
          <w:szCs w:val="21"/>
          <w:lang w:val="en-US" w:eastAsia="zh-CN"/>
        </w:rPr>
      </w:pPr>
      <w:r>
        <w:rPr>
          <w:rFonts w:hint="eastAsia" w:ascii="宋体" w:hAnsi="宋体" w:cs="Arial"/>
          <w:color w:val="auto"/>
          <w:kern w:val="0"/>
          <w:szCs w:val="21"/>
          <w:lang w:val="en-US" w:eastAsia="zh-CN"/>
        </w:rPr>
        <w:t>2.地点：</w:t>
      </w:r>
      <w:r>
        <w:rPr>
          <w:rFonts w:hint="eastAsia" w:ascii="宋体" w:hAnsi="宋体" w:cs="宋体"/>
          <w:color w:val="auto"/>
          <w:szCs w:val="21"/>
        </w:rPr>
        <w:t>杞县综合服务大厦11楼开标室（地址：金城大道与经四路交叉口东北角杞县便民服务中心）。</w:t>
      </w:r>
      <w:r>
        <w:rPr>
          <w:rFonts w:hint="eastAsia" w:ascii="宋体" w:hAnsi="宋体" w:cs="Arial"/>
          <w:color w:val="auto"/>
          <w:kern w:val="0"/>
          <w:szCs w:val="21"/>
          <w:lang w:val="en-US" w:eastAsia="zh-CN"/>
        </w:rPr>
        <w:t xml:space="preserve"> </w:t>
      </w:r>
    </w:p>
    <w:p w14:paraId="7213F5F4">
      <w:pPr>
        <w:spacing w:line="400" w:lineRule="exact"/>
        <w:rPr>
          <w:rFonts w:hint="eastAsia" w:ascii="宋体" w:hAnsi="宋体" w:cs="Arial"/>
          <w:b/>
          <w:color w:val="auto"/>
          <w:kern w:val="0"/>
          <w:szCs w:val="21"/>
          <w:lang w:val="en-US" w:eastAsia="zh-CN"/>
        </w:rPr>
      </w:pPr>
      <w:r>
        <w:rPr>
          <w:rFonts w:hint="eastAsia" w:ascii="宋体" w:hAnsi="宋体" w:cs="Arial"/>
          <w:b/>
          <w:color w:val="auto"/>
          <w:kern w:val="0"/>
          <w:szCs w:val="21"/>
          <w:lang w:val="en-US" w:eastAsia="zh-CN"/>
        </w:rPr>
        <w:t xml:space="preserve">六、发布公告的媒介及招标公告期限 </w:t>
      </w:r>
    </w:p>
    <w:p w14:paraId="77D6127D">
      <w:pPr>
        <w:spacing w:line="400" w:lineRule="exact"/>
        <w:ind w:firstLine="420" w:firstLineChars="200"/>
        <w:rPr>
          <w:rFonts w:hint="eastAsia" w:ascii="宋体" w:hAnsi="宋体" w:cs="Arial"/>
          <w:color w:val="auto"/>
          <w:kern w:val="0"/>
          <w:szCs w:val="21"/>
          <w:lang w:val="en-US" w:eastAsia="zh-CN"/>
        </w:rPr>
      </w:pPr>
      <w:r>
        <w:rPr>
          <w:rFonts w:hint="eastAsia" w:ascii="宋体" w:hAnsi="宋体" w:cs="Arial"/>
          <w:color w:val="auto"/>
          <w:kern w:val="0"/>
          <w:szCs w:val="21"/>
          <w:lang w:val="en-US" w:eastAsia="zh-CN"/>
        </w:rPr>
        <w:t xml:space="preserve">本次招标公告在《河南省政府采购网》、《中国招标投标公共服务平台》、《开封市公共资源交易信息网》上发布，招标公告期限为三个工作日 。  </w:t>
      </w:r>
    </w:p>
    <w:p w14:paraId="32430B40">
      <w:pPr>
        <w:spacing w:line="400" w:lineRule="exact"/>
        <w:rPr>
          <w:rFonts w:hint="eastAsia" w:ascii="宋体" w:hAnsi="宋体" w:cs="Arial"/>
          <w:b/>
          <w:color w:val="auto"/>
          <w:kern w:val="0"/>
          <w:szCs w:val="21"/>
          <w:lang w:val="en-US" w:eastAsia="zh-CN"/>
        </w:rPr>
      </w:pPr>
      <w:r>
        <w:rPr>
          <w:rFonts w:hint="eastAsia" w:ascii="宋体" w:hAnsi="宋体" w:cs="Arial"/>
          <w:b/>
          <w:color w:val="auto"/>
          <w:kern w:val="0"/>
          <w:szCs w:val="21"/>
          <w:lang w:val="en-US" w:eastAsia="zh-CN"/>
        </w:rPr>
        <w:t xml:space="preserve">七、其他补充事宜 </w:t>
      </w:r>
    </w:p>
    <w:p w14:paraId="5BDE78F2">
      <w:pPr>
        <w:spacing w:line="400" w:lineRule="exact"/>
        <w:ind w:firstLine="420" w:firstLineChars="200"/>
        <w:rPr>
          <w:rFonts w:hint="eastAsia" w:ascii="宋体" w:hAnsi="宋体" w:cs="Arial"/>
          <w:color w:val="auto"/>
          <w:kern w:val="0"/>
          <w:szCs w:val="21"/>
          <w:lang w:val="en-US" w:eastAsia="zh-CN"/>
        </w:rPr>
      </w:pPr>
      <w:r>
        <w:rPr>
          <w:rFonts w:hint="eastAsia" w:ascii="宋体" w:hAnsi="宋体" w:cs="Arial"/>
          <w:color w:val="auto"/>
          <w:kern w:val="0"/>
          <w:szCs w:val="21"/>
          <w:lang w:val="en-US" w:eastAsia="zh-CN"/>
        </w:rPr>
        <w:t>1、本项目采用“远程不见面”开标方式,供应商无需到现场提交原件资料、无需到开封市杞县公共资源交易中心现场参加谈判会议；供应商应当在投标截止时间前,登录远程开标大厅,在线准时参加开标活动并进行投标文件的解密、答疑澄清等。（系统解密时长默认为40分钟，错过解密时长者视为自动放弃本次投标。）</w:t>
      </w:r>
    </w:p>
    <w:p w14:paraId="2CA4B1A4">
      <w:pPr>
        <w:spacing w:line="400" w:lineRule="exact"/>
        <w:ind w:firstLine="420" w:firstLineChars="200"/>
        <w:rPr>
          <w:rFonts w:hint="eastAsia" w:ascii="宋体" w:hAnsi="宋体" w:cs="Arial"/>
          <w:color w:val="auto"/>
          <w:kern w:val="0"/>
          <w:szCs w:val="21"/>
          <w:lang w:val="en-US" w:eastAsia="zh-CN"/>
        </w:rPr>
      </w:pPr>
      <w:r>
        <w:rPr>
          <w:rFonts w:hint="eastAsia" w:ascii="宋体" w:hAnsi="宋体" w:cs="Arial"/>
          <w:color w:val="auto"/>
          <w:kern w:val="0"/>
          <w:szCs w:val="21"/>
          <w:lang w:val="en-US" w:eastAsia="zh-CN"/>
        </w:rPr>
        <w:t>2、本项目全程无需投标企业（供应商）另行提供纸质投标（采购）文件，任何单位要求提交纸质文件的行为，均为非必要行为。请予以拒绝，并向杞县公管办业务管理科投诉。投诉电话：0371-28666651。</w:t>
      </w:r>
    </w:p>
    <w:p w14:paraId="1EFA4584">
      <w:pPr>
        <w:keepNext w:val="0"/>
        <w:keepLines w:val="0"/>
        <w:pageBreakBefore w:val="0"/>
        <w:widowControl w:val="0"/>
        <w:numPr>
          <w:ilvl w:val="0"/>
          <w:numId w:val="0"/>
        </w:numPr>
        <w:kinsoku/>
        <w:wordWrap/>
        <w:overflowPunct/>
        <w:topLinePunct w:val="0"/>
        <w:autoSpaceDE/>
        <w:autoSpaceDN/>
        <w:bidi w:val="0"/>
        <w:adjustRightInd/>
        <w:snapToGrid/>
        <w:spacing w:line="324" w:lineRule="auto"/>
        <w:ind w:left="0" w:leftChars="0" w:right="0" w:rightChars="0"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3、递交质疑或投诉的方式及地址</w:t>
      </w:r>
    </w:p>
    <w:p w14:paraId="66DEE1CB">
      <w:pPr>
        <w:keepNext w:val="0"/>
        <w:keepLines w:val="0"/>
        <w:pageBreakBefore w:val="0"/>
        <w:widowControl w:val="0"/>
        <w:numPr>
          <w:ilvl w:val="0"/>
          <w:numId w:val="0"/>
        </w:numPr>
        <w:kinsoku/>
        <w:wordWrap/>
        <w:overflowPunct/>
        <w:topLinePunct w:val="0"/>
        <w:autoSpaceDE/>
        <w:autoSpaceDN/>
        <w:bidi w:val="0"/>
        <w:adjustRightInd/>
        <w:snapToGrid/>
        <w:spacing w:line="324" w:lineRule="auto"/>
        <w:ind w:left="0" w:leftChars="0" w:right="0" w:rightChars="0"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线上:根据汴公管办(2020)13号文件规定，投标人需在“开封市公共资源交易信息网”交易系统中提出质疑(异议)与投诉，招标人或招标代理机构在规定时间内进行回复，各投标人应时刻关注电子交易系统中的项目进度和状态。递交地址:《开封市公共资源交易信息网》会员投标系统中本项目“质询信息”位置线上直接提起。(如有疑问可拨打服务电话咨询0371-23859291)</w:t>
      </w:r>
    </w:p>
    <w:p w14:paraId="2BC63B6D">
      <w:pPr>
        <w:keepNext w:val="0"/>
        <w:keepLines w:val="0"/>
        <w:pageBreakBefore w:val="0"/>
        <w:widowControl w:val="0"/>
        <w:numPr>
          <w:ilvl w:val="0"/>
          <w:numId w:val="0"/>
        </w:numPr>
        <w:kinsoku/>
        <w:wordWrap/>
        <w:overflowPunct/>
        <w:topLinePunct w:val="0"/>
        <w:autoSpaceDE/>
        <w:autoSpaceDN/>
        <w:bidi w:val="0"/>
        <w:adjustRightInd/>
        <w:snapToGrid/>
        <w:spacing w:line="324" w:lineRule="auto"/>
        <w:ind w:left="0" w:leftChars="0" w:right="0" w:rightChars="0"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(2)线下:</w:t>
      </w:r>
    </w:p>
    <w:p w14:paraId="3F2565EE">
      <w:pPr>
        <w:keepNext w:val="0"/>
        <w:keepLines w:val="0"/>
        <w:pageBreakBefore w:val="0"/>
        <w:widowControl w:val="0"/>
        <w:numPr>
          <w:ilvl w:val="0"/>
          <w:numId w:val="0"/>
        </w:numPr>
        <w:kinsoku/>
        <w:wordWrap/>
        <w:overflowPunct/>
        <w:topLinePunct w:val="0"/>
        <w:autoSpaceDE/>
        <w:autoSpaceDN/>
        <w:bidi w:val="0"/>
        <w:adjustRightInd/>
        <w:snapToGrid/>
        <w:spacing w:line="324" w:lineRule="auto"/>
        <w:ind w:left="0" w:leftChars="0" w:right="0" w:rightChars="0"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1.采购人受理质疑的联系方式:</w:t>
      </w:r>
    </w:p>
    <w:p w14:paraId="77401B94">
      <w:pPr>
        <w:keepNext w:val="0"/>
        <w:keepLines w:val="0"/>
        <w:pageBreakBefore w:val="0"/>
        <w:widowControl w:val="0"/>
        <w:numPr>
          <w:ilvl w:val="0"/>
          <w:numId w:val="0"/>
        </w:numPr>
        <w:kinsoku/>
        <w:wordWrap/>
        <w:overflowPunct/>
        <w:topLinePunct w:val="0"/>
        <w:autoSpaceDE/>
        <w:autoSpaceDN/>
        <w:bidi w:val="0"/>
        <w:adjustRightInd/>
        <w:snapToGrid/>
        <w:spacing w:line="324" w:lineRule="auto"/>
        <w:ind w:left="0" w:leftChars="0" w:right="0" w:rightChars="0"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名</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称：杞县中医院</w:t>
      </w:r>
    </w:p>
    <w:p w14:paraId="1F0A3C08">
      <w:pPr>
        <w:keepNext w:val="0"/>
        <w:keepLines w:val="0"/>
        <w:pageBreakBefore w:val="0"/>
        <w:widowControl w:val="0"/>
        <w:numPr>
          <w:ilvl w:val="0"/>
          <w:numId w:val="0"/>
        </w:numPr>
        <w:kinsoku/>
        <w:wordWrap/>
        <w:overflowPunct/>
        <w:topLinePunct w:val="0"/>
        <w:autoSpaceDE/>
        <w:autoSpaceDN/>
        <w:bidi w:val="0"/>
        <w:adjustRightInd/>
        <w:snapToGrid/>
        <w:spacing w:line="324" w:lineRule="auto"/>
        <w:ind w:left="0" w:leftChars="0" w:right="0" w:rightChars="0"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地</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址：河南省杞县文化西街37号</w:t>
      </w:r>
    </w:p>
    <w:p w14:paraId="5083DF53">
      <w:pPr>
        <w:keepNext w:val="0"/>
        <w:keepLines w:val="0"/>
        <w:pageBreakBefore w:val="0"/>
        <w:widowControl w:val="0"/>
        <w:numPr>
          <w:ilvl w:val="0"/>
          <w:numId w:val="0"/>
        </w:numPr>
        <w:kinsoku/>
        <w:wordWrap/>
        <w:overflowPunct/>
        <w:topLinePunct w:val="0"/>
        <w:autoSpaceDE/>
        <w:autoSpaceDN/>
        <w:bidi w:val="0"/>
        <w:adjustRightInd/>
        <w:snapToGrid/>
        <w:spacing w:line="324" w:lineRule="auto"/>
        <w:ind w:left="0" w:leftChars="0" w:right="0" w:rightChars="0" w:firstLine="420" w:firstLineChars="20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 系 人：何先生</w:t>
      </w:r>
    </w:p>
    <w:p w14:paraId="3926ECE8">
      <w:pPr>
        <w:keepNext w:val="0"/>
        <w:keepLines w:val="0"/>
        <w:pageBreakBefore w:val="0"/>
        <w:widowControl w:val="0"/>
        <w:numPr>
          <w:ilvl w:val="0"/>
          <w:numId w:val="0"/>
        </w:numPr>
        <w:kinsoku/>
        <w:wordWrap/>
        <w:overflowPunct/>
        <w:topLinePunct w:val="0"/>
        <w:autoSpaceDE/>
        <w:autoSpaceDN/>
        <w:bidi w:val="0"/>
        <w:adjustRightInd/>
        <w:snapToGrid/>
        <w:spacing w:line="324" w:lineRule="auto"/>
        <w:ind w:left="0" w:leftChars="0" w:right="0" w:rightChars="0"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联系电话：13949425789 </w:t>
      </w:r>
    </w:p>
    <w:p w14:paraId="1DFFDCDA">
      <w:pPr>
        <w:keepNext w:val="0"/>
        <w:keepLines w:val="0"/>
        <w:pageBreakBefore w:val="0"/>
        <w:widowControl w:val="0"/>
        <w:numPr>
          <w:ilvl w:val="0"/>
          <w:numId w:val="0"/>
        </w:numPr>
        <w:kinsoku/>
        <w:wordWrap/>
        <w:overflowPunct/>
        <w:topLinePunct w:val="0"/>
        <w:autoSpaceDE/>
        <w:autoSpaceDN/>
        <w:bidi w:val="0"/>
        <w:adjustRightInd/>
        <w:snapToGrid/>
        <w:spacing w:line="324" w:lineRule="auto"/>
        <w:ind w:left="0" w:leftChars="0" w:right="0" w:rightChars="0"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2.行政监督部门受理投诉的联系方式：</w:t>
      </w:r>
    </w:p>
    <w:p w14:paraId="0B8EDA69">
      <w:pPr>
        <w:keepNext w:val="0"/>
        <w:keepLines w:val="0"/>
        <w:pageBreakBefore w:val="0"/>
        <w:widowControl w:val="0"/>
        <w:numPr>
          <w:ilvl w:val="0"/>
          <w:numId w:val="0"/>
        </w:numPr>
        <w:kinsoku/>
        <w:wordWrap/>
        <w:overflowPunct/>
        <w:topLinePunct w:val="0"/>
        <w:autoSpaceDE/>
        <w:autoSpaceDN/>
        <w:bidi w:val="0"/>
        <w:adjustRightInd/>
        <w:snapToGrid/>
        <w:spacing w:line="324" w:lineRule="auto"/>
        <w:ind w:left="0" w:leftChars="0" w:right="0" w:rightChars="0"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监督单位：杞县财政局采购办</w:t>
      </w:r>
    </w:p>
    <w:p w14:paraId="348148FD">
      <w:pPr>
        <w:spacing w:line="400" w:lineRule="exact"/>
        <w:ind w:firstLine="420" w:firstLineChars="200"/>
        <w:rPr>
          <w:rFonts w:hint="default" w:ascii="宋体" w:hAnsi="宋体" w:cs="Arial"/>
          <w:color w:val="auto"/>
          <w:kern w:val="0"/>
          <w:szCs w:val="21"/>
          <w:lang w:val="en-US" w:eastAsia="zh-CN"/>
        </w:rPr>
      </w:pPr>
      <w:r>
        <w:rPr>
          <w:rFonts w:hint="eastAsia" w:ascii="宋体" w:hAnsi="宋体" w:eastAsia="宋体" w:cs="宋体"/>
          <w:color w:val="auto"/>
          <w:sz w:val="21"/>
          <w:szCs w:val="21"/>
          <w:highlight w:val="none"/>
          <w:lang w:val="en-US" w:eastAsia="zh-CN"/>
        </w:rPr>
        <w:t>联系电话：0371-28666979</w:t>
      </w:r>
    </w:p>
    <w:p w14:paraId="4D8CA314">
      <w:pPr>
        <w:spacing w:line="400" w:lineRule="exact"/>
        <w:rPr>
          <w:rFonts w:hint="eastAsia" w:ascii="宋体" w:hAnsi="宋体" w:cs="Arial"/>
          <w:b/>
          <w:color w:val="auto"/>
          <w:kern w:val="0"/>
          <w:szCs w:val="21"/>
          <w:lang w:val="en-US" w:eastAsia="zh-CN"/>
        </w:rPr>
      </w:pPr>
      <w:r>
        <w:rPr>
          <w:rFonts w:hint="eastAsia" w:ascii="宋体" w:hAnsi="宋体" w:cs="Arial"/>
          <w:b/>
          <w:color w:val="auto"/>
          <w:kern w:val="0"/>
          <w:szCs w:val="21"/>
          <w:lang w:val="en-US" w:eastAsia="zh-CN"/>
        </w:rPr>
        <w:t>八．凡对本次采购提出询问，请按以下方式联系</w:t>
      </w:r>
    </w:p>
    <w:p w14:paraId="243F9E6D">
      <w:pPr>
        <w:keepNext w:val="0"/>
        <w:keepLines w:val="0"/>
        <w:pageBreakBefore w:val="0"/>
        <w:widowControl w:val="0"/>
        <w:numPr>
          <w:ilvl w:val="0"/>
          <w:numId w:val="0"/>
        </w:numPr>
        <w:kinsoku/>
        <w:wordWrap/>
        <w:overflowPunct/>
        <w:topLinePunct w:val="0"/>
        <w:autoSpaceDE/>
        <w:autoSpaceDN/>
        <w:bidi w:val="0"/>
        <w:adjustRightInd/>
        <w:snapToGrid/>
        <w:spacing w:line="324" w:lineRule="auto"/>
        <w:ind w:left="0" w:leftChars="0" w:right="0" w:rightChars="0" w:firstLine="420" w:firstLineChars="20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1、采购人信息</w:t>
      </w:r>
    </w:p>
    <w:p w14:paraId="553E204C">
      <w:pPr>
        <w:keepNext w:val="0"/>
        <w:keepLines w:val="0"/>
        <w:pageBreakBefore w:val="0"/>
        <w:widowControl w:val="0"/>
        <w:numPr>
          <w:ilvl w:val="0"/>
          <w:numId w:val="0"/>
        </w:numPr>
        <w:kinsoku/>
        <w:wordWrap/>
        <w:overflowPunct/>
        <w:topLinePunct w:val="0"/>
        <w:autoSpaceDE/>
        <w:autoSpaceDN/>
        <w:bidi w:val="0"/>
        <w:adjustRightInd/>
        <w:snapToGrid/>
        <w:spacing w:line="324" w:lineRule="auto"/>
        <w:ind w:left="0" w:leftChars="0" w:right="0" w:rightChars="0" w:firstLine="420" w:firstLineChars="20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名  称：</w:t>
      </w:r>
      <w:r>
        <w:rPr>
          <w:rFonts w:hint="eastAsia" w:ascii="宋体" w:hAnsi="宋体" w:cs="宋体"/>
          <w:color w:val="auto"/>
          <w:sz w:val="21"/>
          <w:szCs w:val="21"/>
          <w:highlight w:val="none"/>
          <w:lang w:val="en-US" w:eastAsia="zh-CN"/>
        </w:rPr>
        <w:t>杞县中医院</w:t>
      </w:r>
    </w:p>
    <w:p w14:paraId="3EAB83D2">
      <w:pPr>
        <w:keepNext w:val="0"/>
        <w:keepLines w:val="0"/>
        <w:pageBreakBefore w:val="0"/>
        <w:widowControl w:val="0"/>
        <w:numPr>
          <w:ilvl w:val="0"/>
          <w:numId w:val="0"/>
        </w:numPr>
        <w:kinsoku/>
        <w:wordWrap/>
        <w:overflowPunct/>
        <w:topLinePunct w:val="0"/>
        <w:autoSpaceDE/>
        <w:autoSpaceDN/>
        <w:bidi w:val="0"/>
        <w:adjustRightInd/>
        <w:snapToGrid/>
        <w:spacing w:line="324" w:lineRule="auto"/>
        <w:ind w:left="0" w:leftChars="0" w:right="0" w:rightChars="0" w:firstLine="420" w:firstLineChars="20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地  址：河南省杞县文化西街37号</w:t>
      </w:r>
    </w:p>
    <w:p w14:paraId="74ADF21B">
      <w:pPr>
        <w:keepNext w:val="0"/>
        <w:keepLines w:val="0"/>
        <w:pageBreakBefore w:val="0"/>
        <w:widowControl w:val="0"/>
        <w:numPr>
          <w:ilvl w:val="0"/>
          <w:numId w:val="0"/>
        </w:numPr>
        <w:kinsoku/>
        <w:wordWrap/>
        <w:overflowPunct/>
        <w:topLinePunct w:val="0"/>
        <w:autoSpaceDE/>
        <w:autoSpaceDN/>
        <w:bidi w:val="0"/>
        <w:adjustRightInd/>
        <w:snapToGrid/>
        <w:spacing w:line="324" w:lineRule="auto"/>
        <w:ind w:left="0" w:leftChars="0" w:right="0" w:rightChars="0" w:firstLine="420" w:firstLineChars="20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联系人：</w:t>
      </w:r>
      <w:r>
        <w:rPr>
          <w:rFonts w:hint="eastAsia" w:ascii="宋体" w:hAnsi="宋体" w:cs="宋体"/>
          <w:color w:val="auto"/>
          <w:sz w:val="21"/>
          <w:szCs w:val="21"/>
          <w:highlight w:val="none"/>
          <w:lang w:val="en-US" w:eastAsia="zh-CN"/>
        </w:rPr>
        <w:t>何先生</w:t>
      </w:r>
    </w:p>
    <w:p w14:paraId="6012D6D9">
      <w:pPr>
        <w:keepNext w:val="0"/>
        <w:keepLines w:val="0"/>
        <w:pageBreakBefore w:val="0"/>
        <w:widowControl w:val="0"/>
        <w:numPr>
          <w:ilvl w:val="0"/>
          <w:numId w:val="0"/>
        </w:numPr>
        <w:kinsoku/>
        <w:wordWrap/>
        <w:overflowPunct/>
        <w:topLinePunct w:val="0"/>
        <w:autoSpaceDE/>
        <w:autoSpaceDN/>
        <w:bidi w:val="0"/>
        <w:adjustRightInd/>
        <w:snapToGrid/>
        <w:spacing w:line="324" w:lineRule="auto"/>
        <w:ind w:left="0" w:leftChars="0" w:right="0" w:rightChars="0"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联系电话：</w:t>
      </w:r>
      <w:r>
        <w:rPr>
          <w:rFonts w:hint="eastAsia" w:ascii="宋体" w:hAnsi="宋体" w:cs="宋体"/>
          <w:color w:val="auto"/>
          <w:sz w:val="21"/>
          <w:szCs w:val="21"/>
          <w:highlight w:val="none"/>
          <w:lang w:val="en-US" w:eastAsia="zh-CN"/>
        </w:rPr>
        <w:t>13949425789</w:t>
      </w:r>
    </w:p>
    <w:p w14:paraId="0AD17BCD">
      <w:pPr>
        <w:keepNext w:val="0"/>
        <w:keepLines w:val="0"/>
        <w:pageBreakBefore w:val="0"/>
        <w:widowControl w:val="0"/>
        <w:numPr>
          <w:ilvl w:val="0"/>
          <w:numId w:val="0"/>
        </w:numPr>
        <w:kinsoku/>
        <w:wordWrap/>
        <w:overflowPunct/>
        <w:topLinePunct w:val="0"/>
        <w:autoSpaceDE/>
        <w:autoSpaceDN/>
        <w:bidi w:val="0"/>
        <w:adjustRightInd/>
        <w:snapToGrid/>
        <w:spacing w:line="324" w:lineRule="auto"/>
        <w:ind w:left="0" w:leftChars="0" w:right="0" w:rightChars="0" w:firstLine="420" w:firstLineChars="200"/>
        <w:jc w:val="both"/>
        <w:textAlignment w:val="auto"/>
        <w:rPr>
          <w:rFonts w:hint="default" w:ascii="宋体" w:hAnsi="宋体" w:eastAsia="宋体" w:cs="宋体"/>
          <w:color w:val="auto"/>
          <w:sz w:val="21"/>
          <w:szCs w:val="21"/>
          <w:highlight w:val="none"/>
          <w:lang w:val="en-US"/>
        </w:rPr>
      </w:pPr>
      <w:r>
        <w:rPr>
          <w:rFonts w:hint="default"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w:t>
      </w:r>
      <w:r>
        <w:rPr>
          <w:rFonts w:hint="default" w:ascii="宋体" w:hAnsi="宋体" w:eastAsia="宋体" w:cs="宋体"/>
          <w:color w:val="auto"/>
          <w:sz w:val="21"/>
          <w:szCs w:val="21"/>
          <w:highlight w:val="none"/>
          <w:lang w:val="en-US" w:eastAsia="zh-CN"/>
        </w:rPr>
        <w:t>采购代理机构信息（如有）</w:t>
      </w:r>
    </w:p>
    <w:p w14:paraId="2AE249A8">
      <w:pPr>
        <w:keepNext w:val="0"/>
        <w:keepLines w:val="0"/>
        <w:pageBreakBefore w:val="0"/>
        <w:widowControl w:val="0"/>
        <w:numPr>
          <w:ilvl w:val="0"/>
          <w:numId w:val="0"/>
        </w:numPr>
        <w:kinsoku/>
        <w:wordWrap/>
        <w:overflowPunct/>
        <w:topLinePunct w:val="0"/>
        <w:autoSpaceDE/>
        <w:autoSpaceDN/>
        <w:bidi w:val="0"/>
        <w:adjustRightInd/>
        <w:snapToGrid/>
        <w:spacing w:line="324" w:lineRule="auto"/>
        <w:ind w:left="0" w:leftChars="0" w:right="0" w:rightChars="0" w:firstLine="420" w:firstLineChars="200"/>
        <w:jc w:val="both"/>
        <w:textAlignment w:val="auto"/>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名称：</w:t>
      </w:r>
      <w:r>
        <w:rPr>
          <w:rFonts w:hint="eastAsia" w:ascii="宋体" w:hAnsi="宋体" w:cs="宋体"/>
          <w:color w:val="auto"/>
          <w:sz w:val="21"/>
          <w:szCs w:val="21"/>
          <w:highlight w:val="none"/>
          <w:lang w:val="en-US" w:eastAsia="zh-CN"/>
        </w:rPr>
        <w:t>河南良智行工程管理咨询有限公司</w:t>
      </w:r>
    </w:p>
    <w:p w14:paraId="11ADB4A5">
      <w:pPr>
        <w:keepNext w:val="0"/>
        <w:keepLines w:val="0"/>
        <w:pageBreakBefore w:val="0"/>
        <w:widowControl w:val="0"/>
        <w:numPr>
          <w:ilvl w:val="0"/>
          <w:numId w:val="0"/>
        </w:numPr>
        <w:kinsoku/>
        <w:wordWrap/>
        <w:overflowPunct/>
        <w:topLinePunct w:val="0"/>
        <w:autoSpaceDE/>
        <w:autoSpaceDN/>
        <w:bidi w:val="0"/>
        <w:adjustRightInd/>
        <w:snapToGrid/>
        <w:spacing w:line="324" w:lineRule="auto"/>
        <w:ind w:left="0" w:leftChars="0" w:right="0" w:rightChars="0" w:firstLine="420" w:firstLineChars="20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地址：</w:t>
      </w:r>
      <w:r>
        <w:rPr>
          <w:rFonts w:hint="eastAsia" w:ascii="宋体" w:hAnsi="宋体" w:cs="宋体"/>
          <w:color w:val="auto"/>
          <w:sz w:val="21"/>
          <w:szCs w:val="21"/>
          <w:highlight w:val="none"/>
          <w:lang w:val="en-US" w:eastAsia="zh-CN"/>
        </w:rPr>
        <w:t>河南省郑州市惠济区江山路西、008乡道南弘泰小区1号楼1单元3层302号</w:t>
      </w:r>
    </w:p>
    <w:p w14:paraId="46B897DF">
      <w:pPr>
        <w:keepNext w:val="0"/>
        <w:keepLines w:val="0"/>
        <w:pageBreakBefore w:val="0"/>
        <w:widowControl w:val="0"/>
        <w:numPr>
          <w:ilvl w:val="0"/>
          <w:numId w:val="0"/>
        </w:numPr>
        <w:kinsoku/>
        <w:wordWrap/>
        <w:overflowPunct/>
        <w:topLinePunct w:val="0"/>
        <w:autoSpaceDE/>
        <w:autoSpaceDN/>
        <w:bidi w:val="0"/>
        <w:adjustRightInd/>
        <w:snapToGrid/>
        <w:spacing w:line="324" w:lineRule="auto"/>
        <w:ind w:left="0" w:leftChars="0" w:right="0" w:rightChars="0" w:firstLine="420" w:firstLineChars="20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联系人：</w:t>
      </w:r>
      <w:r>
        <w:rPr>
          <w:rFonts w:hint="eastAsia" w:ascii="宋体" w:hAnsi="宋体" w:cs="宋体"/>
          <w:color w:val="auto"/>
          <w:sz w:val="21"/>
          <w:szCs w:val="21"/>
          <w:highlight w:val="none"/>
          <w:lang w:val="en-US" w:eastAsia="zh-CN"/>
        </w:rPr>
        <w:t>李桀</w:t>
      </w:r>
    </w:p>
    <w:p w14:paraId="1DDB437F">
      <w:pPr>
        <w:keepNext w:val="0"/>
        <w:keepLines w:val="0"/>
        <w:pageBreakBefore w:val="0"/>
        <w:widowControl w:val="0"/>
        <w:numPr>
          <w:ilvl w:val="0"/>
          <w:numId w:val="0"/>
        </w:numPr>
        <w:kinsoku/>
        <w:wordWrap/>
        <w:overflowPunct/>
        <w:topLinePunct w:val="0"/>
        <w:autoSpaceDE/>
        <w:autoSpaceDN/>
        <w:bidi w:val="0"/>
        <w:adjustRightInd/>
        <w:snapToGrid/>
        <w:spacing w:line="324" w:lineRule="auto"/>
        <w:ind w:left="0" w:leftChars="0" w:right="0" w:rightChars="0" w:firstLine="420" w:firstLineChars="200"/>
        <w:jc w:val="both"/>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联系方式</w:t>
      </w: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17637817161</w:t>
      </w:r>
      <w:r>
        <w:rPr>
          <w:rFonts w:hint="eastAsia" w:ascii="宋体" w:hAnsi="宋体" w:eastAsia="宋体" w:cs="宋体"/>
          <w:color w:val="auto"/>
          <w:sz w:val="21"/>
          <w:szCs w:val="21"/>
          <w:highlight w:val="none"/>
          <w:lang w:val="en-US" w:eastAsia="zh-CN"/>
        </w:rPr>
        <w:t xml:space="preserve"> </w:t>
      </w:r>
    </w:p>
    <w:p w14:paraId="074EE9C4">
      <w:pPr>
        <w:keepNext w:val="0"/>
        <w:keepLines w:val="0"/>
        <w:pageBreakBefore w:val="0"/>
        <w:widowControl w:val="0"/>
        <w:numPr>
          <w:ilvl w:val="0"/>
          <w:numId w:val="0"/>
        </w:numPr>
        <w:kinsoku/>
        <w:wordWrap/>
        <w:overflowPunct/>
        <w:topLinePunct w:val="0"/>
        <w:autoSpaceDE/>
        <w:autoSpaceDN/>
        <w:bidi w:val="0"/>
        <w:adjustRightInd/>
        <w:snapToGrid/>
        <w:spacing w:line="324" w:lineRule="auto"/>
        <w:ind w:left="0" w:leftChars="0" w:right="0" w:rightChars="0" w:firstLine="420" w:firstLineChars="200"/>
        <w:jc w:val="both"/>
        <w:textAlignment w:val="auto"/>
        <w:rPr>
          <w:rFonts w:hint="default" w:ascii="宋体" w:hAnsi="宋体" w:eastAsia="宋体" w:cs="宋体"/>
          <w:color w:val="auto"/>
          <w:sz w:val="21"/>
          <w:szCs w:val="21"/>
          <w:highlight w:val="none"/>
          <w:lang w:val="en-US"/>
        </w:rPr>
      </w:pPr>
      <w:r>
        <w:rPr>
          <w:rFonts w:hint="default"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w:t>
      </w:r>
      <w:r>
        <w:rPr>
          <w:rFonts w:hint="default" w:ascii="宋体" w:hAnsi="宋体" w:eastAsia="宋体" w:cs="宋体"/>
          <w:color w:val="auto"/>
          <w:sz w:val="21"/>
          <w:szCs w:val="21"/>
          <w:highlight w:val="none"/>
          <w:lang w:val="en-US" w:eastAsia="zh-CN"/>
        </w:rPr>
        <w:t>项目联系方式</w:t>
      </w:r>
    </w:p>
    <w:p w14:paraId="1C7DDD4A">
      <w:pPr>
        <w:keepNext w:val="0"/>
        <w:keepLines w:val="0"/>
        <w:pageBreakBefore w:val="0"/>
        <w:widowControl w:val="0"/>
        <w:numPr>
          <w:ilvl w:val="0"/>
          <w:numId w:val="0"/>
        </w:numPr>
        <w:kinsoku/>
        <w:wordWrap/>
        <w:overflowPunct/>
        <w:topLinePunct w:val="0"/>
        <w:autoSpaceDE/>
        <w:autoSpaceDN/>
        <w:bidi w:val="0"/>
        <w:adjustRightInd/>
        <w:snapToGrid/>
        <w:spacing w:line="324" w:lineRule="auto"/>
        <w:ind w:left="0" w:leftChars="0" w:right="0" w:rightChars="0" w:firstLine="420" w:firstLineChars="200"/>
        <w:jc w:val="both"/>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项目联系人：</w:t>
      </w:r>
      <w:r>
        <w:rPr>
          <w:rFonts w:hint="eastAsia" w:ascii="宋体" w:hAnsi="宋体" w:cs="宋体"/>
          <w:color w:val="auto"/>
          <w:sz w:val="21"/>
          <w:szCs w:val="21"/>
          <w:highlight w:val="none"/>
          <w:lang w:val="en-US" w:eastAsia="zh-CN"/>
        </w:rPr>
        <w:t>李桀</w:t>
      </w:r>
    </w:p>
    <w:p w14:paraId="393853A6">
      <w:pPr>
        <w:keepNext w:val="0"/>
        <w:keepLines w:val="0"/>
        <w:pageBreakBefore w:val="0"/>
        <w:widowControl w:val="0"/>
        <w:numPr>
          <w:ilvl w:val="0"/>
          <w:numId w:val="0"/>
        </w:numPr>
        <w:kinsoku/>
        <w:wordWrap/>
        <w:overflowPunct/>
        <w:topLinePunct w:val="0"/>
        <w:autoSpaceDE/>
        <w:autoSpaceDN/>
        <w:bidi w:val="0"/>
        <w:adjustRightInd/>
        <w:snapToGrid/>
        <w:spacing w:line="324" w:lineRule="auto"/>
        <w:ind w:left="0" w:leftChars="0" w:right="0" w:rightChars="0" w:firstLine="420" w:firstLineChars="200"/>
        <w:jc w:val="both"/>
        <w:textAlignment w:val="auto"/>
        <w:rPr>
          <w:color w:val="auto"/>
        </w:rPr>
      </w:pPr>
      <w:r>
        <w:rPr>
          <w:rFonts w:hint="default" w:ascii="宋体" w:hAnsi="宋体" w:eastAsia="宋体" w:cs="宋体"/>
          <w:color w:val="auto"/>
          <w:sz w:val="21"/>
          <w:szCs w:val="21"/>
          <w:highlight w:val="none"/>
          <w:lang w:val="en-US" w:eastAsia="zh-CN"/>
        </w:rPr>
        <w:t>联系方式：</w:t>
      </w:r>
      <w:r>
        <w:rPr>
          <w:rFonts w:hint="eastAsia" w:ascii="宋体" w:hAnsi="宋体" w:cs="宋体"/>
          <w:color w:val="auto"/>
          <w:sz w:val="21"/>
          <w:szCs w:val="21"/>
          <w:highlight w:val="none"/>
          <w:lang w:val="en-US" w:eastAsia="zh-CN"/>
        </w:rPr>
        <w:t>17637817161</w:t>
      </w:r>
      <w:r>
        <w:rPr>
          <w:rFonts w:hint="eastAsia"/>
          <w:color w:val="auto"/>
          <w:szCs w:val="21"/>
        </w:rPr>
        <w:br w:type="page"/>
      </w:r>
    </w:p>
    <w:p w14:paraId="7C42F99F">
      <w:pPr>
        <w:numPr>
          <w:ilvl w:val="0"/>
          <w:numId w:val="2"/>
        </w:numPr>
        <w:adjustRightInd w:val="0"/>
        <w:snapToGrid w:val="0"/>
        <w:outlineLvl w:val="0"/>
        <w:rPr>
          <w:rFonts w:ascii="宋体" w:hAnsi="宋体" w:cs="宋体"/>
          <w:b/>
          <w:color w:val="auto"/>
          <w:spacing w:val="-26"/>
          <w:kern w:val="0"/>
          <w:sz w:val="32"/>
          <w:szCs w:val="32"/>
        </w:rPr>
      </w:pPr>
      <w:r>
        <w:rPr>
          <w:rFonts w:hint="eastAsia" w:ascii="宋体" w:hAnsi="宋体" w:cs="宋体"/>
          <w:b/>
          <w:color w:val="auto"/>
          <w:spacing w:val="-26"/>
          <w:kern w:val="0"/>
          <w:sz w:val="32"/>
          <w:szCs w:val="32"/>
        </w:rPr>
        <w:t xml:space="preserve"> </w:t>
      </w:r>
      <w:bookmarkStart w:id="3" w:name="_Toc23412"/>
      <w:r>
        <w:rPr>
          <w:rFonts w:hint="eastAsia" w:ascii="宋体" w:hAnsi="宋体" w:cs="宋体"/>
          <w:b/>
          <w:color w:val="auto"/>
          <w:spacing w:val="-26"/>
          <w:kern w:val="0"/>
          <w:sz w:val="32"/>
          <w:szCs w:val="32"/>
          <w:lang w:eastAsia="zh-CN"/>
        </w:rPr>
        <w:t>投标人须知</w:t>
      </w:r>
      <w:bookmarkEnd w:id="3"/>
    </w:p>
    <w:p w14:paraId="452E14EA">
      <w:pPr>
        <w:pStyle w:val="4"/>
        <w:spacing w:line="600" w:lineRule="exact"/>
        <w:jc w:val="center"/>
        <w:rPr>
          <w:rFonts w:hint="eastAsia" w:ascii="宋体" w:hAnsi="宋体"/>
          <w:b/>
          <w:bCs/>
          <w:color w:val="auto"/>
          <w:sz w:val="28"/>
          <w:szCs w:val="32"/>
          <w:shd w:val="clear" w:color="auto" w:fill="auto"/>
        </w:rPr>
      </w:pPr>
      <w:bookmarkStart w:id="4" w:name="_Toc257729921"/>
      <w:bookmarkStart w:id="5" w:name="_Toc22608"/>
      <w:bookmarkStart w:id="6" w:name="_Toc346029014"/>
      <w:bookmarkStart w:id="7" w:name="_Toc30863"/>
      <w:bookmarkStart w:id="8" w:name="_Toc23470"/>
      <w:r>
        <w:rPr>
          <w:rFonts w:hint="eastAsia" w:ascii="宋体" w:hAnsi="宋体"/>
          <w:b/>
          <w:bCs/>
          <w:color w:val="auto"/>
          <w:sz w:val="28"/>
          <w:szCs w:val="32"/>
          <w:shd w:val="clear" w:color="auto" w:fill="auto"/>
        </w:rPr>
        <w:t>投标人须知前附表</w:t>
      </w:r>
      <w:bookmarkEnd w:id="4"/>
      <w:bookmarkEnd w:id="5"/>
      <w:bookmarkEnd w:id="6"/>
      <w:bookmarkEnd w:id="7"/>
      <w:bookmarkEnd w:id="8"/>
    </w:p>
    <w:tbl>
      <w:tblPr>
        <w:tblStyle w:val="27"/>
        <w:tblW w:w="10415" w:type="dxa"/>
        <w:tblInd w:w="-6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2"/>
        <w:gridCol w:w="1994"/>
        <w:gridCol w:w="115"/>
        <w:gridCol w:w="7444"/>
      </w:tblGrid>
      <w:tr w14:paraId="32F22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862" w:type="dxa"/>
            <w:tcBorders>
              <w:top w:val="single" w:color="auto" w:sz="4" w:space="0"/>
              <w:left w:val="single" w:color="auto" w:sz="4" w:space="0"/>
              <w:bottom w:val="single" w:color="auto" w:sz="4" w:space="0"/>
              <w:right w:val="single" w:color="auto" w:sz="4" w:space="0"/>
            </w:tcBorders>
            <w:noWrap w:val="0"/>
            <w:vAlign w:val="center"/>
          </w:tcPr>
          <w:p w14:paraId="18AB1027">
            <w:pPr>
              <w:spacing w:line="360" w:lineRule="auto"/>
              <w:jc w:val="center"/>
              <w:rPr>
                <w:rFonts w:ascii="宋体" w:hAnsi="宋体" w:cs="宋体"/>
                <w:b/>
                <w:color w:val="auto"/>
                <w:szCs w:val="21"/>
                <w:shd w:val="clear" w:color="auto" w:fill="auto"/>
              </w:rPr>
            </w:pPr>
            <w:r>
              <w:rPr>
                <w:rFonts w:hint="eastAsia" w:ascii="宋体" w:hAnsi="宋体" w:cs="宋体"/>
                <w:b/>
                <w:color w:val="auto"/>
                <w:szCs w:val="21"/>
                <w:shd w:val="clear" w:color="auto" w:fill="auto"/>
              </w:rPr>
              <w:t>条款号</w:t>
            </w:r>
          </w:p>
        </w:tc>
        <w:tc>
          <w:tcPr>
            <w:tcW w:w="1994" w:type="dxa"/>
            <w:tcBorders>
              <w:top w:val="single" w:color="auto" w:sz="4" w:space="0"/>
              <w:left w:val="single" w:color="auto" w:sz="4" w:space="0"/>
              <w:bottom w:val="single" w:color="auto" w:sz="4" w:space="0"/>
              <w:right w:val="single" w:color="auto" w:sz="4" w:space="0"/>
            </w:tcBorders>
            <w:noWrap w:val="0"/>
            <w:vAlign w:val="center"/>
          </w:tcPr>
          <w:p w14:paraId="242643BC">
            <w:pPr>
              <w:spacing w:line="360" w:lineRule="exact"/>
              <w:jc w:val="center"/>
              <w:rPr>
                <w:rFonts w:ascii="宋体" w:hAnsi="宋体" w:cs="宋体"/>
                <w:b/>
                <w:color w:val="auto"/>
                <w:szCs w:val="21"/>
                <w:shd w:val="clear" w:color="auto" w:fill="auto"/>
              </w:rPr>
            </w:pPr>
            <w:r>
              <w:rPr>
                <w:rFonts w:hint="eastAsia" w:ascii="宋体" w:hAnsi="宋体" w:cs="宋体"/>
                <w:b/>
                <w:color w:val="auto"/>
                <w:szCs w:val="21"/>
                <w:shd w:val="clear" w:color="auto" w:fill="auto"/>
              </w:rPr>
              <w:t>条 款 名 称</w:t>
            </w:r>
          </w:p>
        </w:tc>
        <w:tc>
          <w:tcPr>
            <w:tcW w:w="7559" w:type="dxa"/>
            <w:gridSpan w:val="2"/>
            <w:tcBorders>
              <w:top w:val="single" w:color="auto" w:sz="4" w:space="0"/>
              <w:left w:val="single" w:color="auto" w:sz="4" w:space="0"/>
              <w:bottom w:val="single" w:color="auto" w:sz="4" w:space="0"/>
              <w:right w:val="single" w:color="auto" w:sz="4" w:space="0"/>
            </w:tcBorders>
            <w:noWrap w:val="0"/>
            <w:vAlign w:val="center"/>
          </w:tcPr>
          <w:p w14:paraId="7A4B6F2C">
            <w:pPr>
              <w:spacing w:line="360" w:lineRule="exact"/>
              <w:jc w:val="center"/>
              <w:rPr>
                <w:rFonts w:ascii="宋体" w:hAnsi="宋体" w:cs="宋体"/>
                <w:b/>
                <w:color w:val="auto"/>
                <w:szCs w:val="21"/>
                <w:shd w:val="clear" w:color="auto" w:fill="auto"/>
              </w:rPr>
            </w:pPr>
            <w:r>
              <w:rPr>
                <w:rFonts w:hint="eastAsia" w:ascii="宋体" w:hAnsi="宋体" w:cs="宋体"/>
                <w:b/>
                <w:color w:val="auto"/>
                <w:szCs w:val="21"/>
                <w:shd w:val="clear" w:color="auto" w:fill="auto"/>
              </w:rPr>
              <w:t>编 列 内 容</w:t>
            </w:r>
          </w:p>
        </w:tc>
      </w:tr>
      <w:tr w14:paraId="06334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862" w:type="dxa"/>
            <w:tcBorders>
              <w:top w:val="single" w:color="auto" w:sz="4" w:space="0"/>
              <w:left w:val="single" w:color="auto" w:sz="4" w:space="0"/>
              <w:bottom w:val="single" w:color="auto" w:sz="4" w:space="0"/>
              <w:right w:val="single" w:color="auto" w:sz="4" w:space="0"/>
            </w:tcBorders>
            <w:noWrap w:val="0"/>
            <w:vAlign w:val="center"/>
          </w:tcPr>
          <w:p w14:paraId="153171D4">
            <w:pPr>
              <w:spacing w:line="360" w:lineRule="auto"/>
              <w:jc w:val="center"/>
              <w:rPr>
                <w:rFonts w:ascii="宋体" w:hAnsi="宋体" w:cs="宋体"/>
                <w:color w:val="auto"/>
                <w:szCs w:val="21"/>
                <w:shd w:val="clear" w:color="auto" w:fill="auto"/>
              </w:rPr>
            </w:pPr>
            <w:r>
              <w:rPr>
                <w:rFonts w:hint="eastAsia" w:ascii="宋体" w:hAnsi="宋体" w:cs="宋体"/>
                <w:color w:val="auto"/>
                <w:szCs w:val="21"/>
                <w:shd w:val="clear" w:color="auto" w:fill="auto"/>
              </w:rPr>
              <w:t>1</w:t>
            </w:r>
          </w:p>
        </w:tc>
        <w:tc>
          <w:tcPr>
            <w:tcW w:w="1994" w:type="dxa"/>
            <w:tcBorders>
              <w:top w:val="single" w:color="auto" w:sz="4" w:space="0"/>
              <w:left w:val="single" w:color="auto" w:sz="4" w:space="0"/>
              <w:bottom w:val="single" w:color="auto" w:sz="4" w:space="0"/>
              <w:right w:val="single" w:color="auto" w:sz="4" w:space="0"/>
            </w:tcBorders>
            <w:noWrap w:val="0"/>
            <w:vAlign w:val="center"/>
          </w:tcPr>
          <w:p w14:paraId="22648ABC">
            <w:pPr>
              <w:spacing w:line="360" w:lineRule="exact"/>
              <w:jc w:val="center"/>
              <w:rPr>
                <w:rFonts w:ascii="宋体" w:hAnsi="宋体" w:cs="宋体"/>
                <w:color w:val="auto"/>
                <w:szCs w:val="21"/>
                <w:shd w:val="clear" w:color="auto" w:fill="auto"/>
              </w:rPr>
            </w:pPr>
            <w:r>
              <w:rPr>
                <w:rFonts w:hint="eastAsia" w:ascii="宋体" w:hAnsi="宋体" w:cs="宋体"/>
                <w:b/>
                <w:color w:val="auto"/>
                <w:szCs w:val="21"/>
                <w:shd w:val="clear" w:color="auto" w:fill="auto"/>
              </w:rPr>
              <w:t xml:space="preserve"> </w:t>
            </w:r>
            <w:r>
              <w:rPr>
                <w:rFonts w:hint="eastAsia" w:ascii="宋体" w:hAnsi="宋体" w:cs="宋体"/>
                <w:color w:val="auto"/>
                <w:szCs w:val="21"/>
                <w:shd w:val="clear" w:color="auto" w:fill="auto"/>
              </w:rPr>
              <w:t>招标人</w:t>
            </w:r>
          </w:p>
        </w:tc>
        <w:tc>
          <w:tcPr>
            <w:tcW w:w="7559" w:type="dxa"/>
            <w:gridSpan w:val="2"/>
            <w:tcBorders>
              <w:top w:val="single" w:color="auto" w:sz="4" w:space="0"/>
              <w:left w:val="single" w:color="auto" w:sz="4" w:space="0"/>
              <w:bottom w:val="single" w:color="auto" w:sz="4" w:space="0"/>
              <w:right w:val="single" w:color="auto" w:sz="4" w:space="0"/>
            </w:tcBorders>
            <w:noWrap w:val="0"/>
            <w:vAlign w:val="center"/>
          </w:tcPr>
          <w:p w14:paraId="686A1A18">
            <w:pPr>
              <w:spacing w:line="360" w:lineRule="auto"/>
              <w:rPr>
                <w:rFonts w:hint="eastAsia" w:ascii="宋体" w:hAnsi="宋体" w:cs="宋体"/>
                <w:color w:val="auto"/>
                <w:szCs w:val="21"/>
                <w:lang w:eastAsia="zh-CN"/>
              </w:rPr>
            </w:pPr>
            <w:r>
              <w:rPr>
                <w:rFonts w:hint="eastAsia" w:ascii="宋体" w:hAnsi="宋体" w:cs="宋体"/>
                <w:color w:val="auto"/>
                <w:szCs w:val="21"/>
                <w:lang w:eastAsia="zh-CN"/>
              </w:rPr>
              <w:t>名  称：杞县中医院</w:t>
            </w:r>
          </w:p>
          <w:p w14:paraId="3C033CD1">
            <w:pPr>
              <w:spacing w:line="360" w:lineRule="auto"/>
              <w:rPr>
                <w:rFonts w:hint="default" w:ascii="宋体" w:hAnsi="宋体" w:cs="宋体"/>
                <w:color w:val="auto"/>
                <w:szCs w:val="21"/>
                <w:lang w:val="en-US" w:eastAsia="zh-CN"/>
              </w:rPr>
            </w:pPr>
            <w:r>
              <w:rPr>
                <w:rFonts w:hint="eastAsia" w:ascii="宋体" w:hAnsi="宋体" w:cs="宋体"/>
                <w:color w:val="auto"/>
                <w:szCs w:val="21"/>
                <w:lang w:val="en-US" w:eastAsia="zh-CN"/>
              </w:rPr>
              <w:t>地  址：河南省杞县文化西街37号</w:t>
            </w:r>
          </w:p>
          <w:p w14:paraId="66A42154">
            <w:pPr>
              <w:spacing w:line="360" w:lineRule="auto"/>
              <w:rPr>
                <w:rFonts w:hint="eastAsia" w:ascii="宋体" w:hAnsi="宋体" w:cs="宋体"/>
                <w:color w:val="auto"/>
                <w:szCs w:val="21"/>
                <w:lang w:val="en-US" w:eastAsia="zh-CN"/>
              </w:rPr>
            </w:pPr>
            <w:r>
              <w:rPr>
                <w:rFonts w:hint="eastAsia" w:ascii="宋体" w:hAnsi="宋体" w:cs="宋体"/>
                <w:color w:val="auto"/>
                <w:szCs w:val="21"/>
                <w:lang w:val="en-US" w:eastAsia="zh-CN"/>
              </w:rPr>
              <w:t>联系人：</w:t>
            </w:r>
            <w:r>
              <w:rPr>
                <w:rFonts w:hint="eastAsia" w:ascii="宋体" w:hAnsi="宋体" w:cs="宋体"/>
                <w:color w:val="auto"/>
                <w:sz w:val="21"/>
                <w:szCs w:val="21"/>
                <w:highlight w:val="none"/>
                <w:lang w:val="en-US" w:eastAsia="zh-CN"/>
              </w:rPr>
              <w:t>何先生</w:t>
            </w:r>
          </w:p>
          <w:p w14:paraId="0F8377D7">
            <w:pPr>
              <w:spacing w:line="360" w:lineRule="auto"/>
              <w:rPr>
                <w:rFonts w:hint="eastAsia" w:ascii="宋体" w:hAnsi="宋体" w:cs="宋体"/>
                <w:color w:val="auto"/>
                <w:szCs w:val="21"/>
                <w:lang w:eastAsia="zh-CN"/>
              </w:rPr>
            </w:pPr>
            <w:r>
              <w:rPr>
                <w:rFonts w:hint="eastAsia" w:ascii="宋体" w:hAnsi="宋体" w:cs="宋体"/>
                <w:color w:val="auto"/>
                <w:szCs w:val="21"/>
                <w:lang w:val="en-US" w:eastAsia="zh-CN"/>
              </w:rPr>
              <w:t>联系电话：13949425789</w:t>
            </w:r>
          </w:p>
        </w:tc>
      </w:tr>
      <w:tr w14:paraId="69C78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862" w:type="dxa"/>
            <w:tcBorders>
              <w:top w:val="single" w:color="auto" w:sz="4" w:space="0"/>
              <w:left w:val="single" w:color="auto" w:sz="4" w:space="0"/>
              <w:bottom w:val="single" w:color="auto" w:sz="4" w:space="0"/>
              <w:right w:val="single" w:color="auto" w:sz="4" w:space="0"/>
            </w:tcBorders>
            <w:noWrap w:val="0"/>
            <w:vAlign w:val="center"/>
          </w:tcPr>
          <w:p w14:paraId="2582B03D">
            <w:pPr>
              <w:spacing w:line="360" w:lineRule="auto"/>
              <w:jc w:val="center"/>
              <w:rPr>
                <w:rFonts w:hint="eastAsia" w:ascii="宋体" w:hAnsi="宋体" w:cs="宋体"/>
                <w:color w:val="auto"/>
                <w:szCs w:val="21"/>
                <w:shd w:val="clear" w:color="auto" w:fill="auto"/>
              </w:rPr>
            </w:pPr>
            <w:r>
              <w:rPr>
                <w:rFonts w:hint="eastAsia" w:ascii="宋体" w:hAnsi="宋体" w:cs="宋体"/>
                <w:color w:val="auto"/>
                <w:szCs w:val="21"/>
                <w:shd w:val="clear" w:color="auto" w:fill="auto"/>
              </w:rPr>
              <w:t>2</w:t>
            </w:r>
          </w:p>
        </w:tc>
        <w:tc>
          <w:tcPr>
            <w:tcW w:w="1994" w:type="dxa"/>
            <w:tcBorders>
              <w:top w:val="single" w:color="auto" w:sz="4" w:space="0"/>
              <w:left w:val="single" w:color="auto" w:sz="4" w:space="0"/>
              <w:bottom w:val="single" w:color="auto" w:sz="4" w:space="0"/>
              <w:right w:val="single" w:color="auto" w:sz="4" w:space="0"/>
            </w:tcBorders>
            <w:noWrap w:val="0"/>
            <w:vAlign w:val="center"/>
          </w:tcPr>
          <w:p w14:paraId="30AE219A">
            <w:pPr>
              <w:spacing w:line="360" w:lineRule="exact"/>
              <w:jc w:val="center"/>
              <w:rPr>
                <w:rFonts w:hint="eastAsia" w:ascii="宋体" w:hAnsi="宋体" w:cs="宋体"/>
                <w:color w:val="auto"/>
                <w:szCs w:val="21"/>
                <w:shd w:val="clear" w:color="auto" w:fill="auto"/>
              </w:rPr>
            </w:pPr>
            <w:r>
              <w:rPr>
                <w:rFonts w:hint="eastAsia" w:ascii="宋体" w:hAnsi="宋体" w:cs="宋体"/>
                <w:color w:val="auto"/>
                <w:szCs w:val="21"/>
                <w:shd w:val="clear" w:color="auto" w:fill="auto"/>
              </w:rPr>
              <w:t>代理机构</w:t>
            </w:r>
          </w:p>
        </w:tc>
        <w:tc>
          <w:tcPr>
            <w:tcW w:w="7559" w:type="dxa"/>
            <w:gridSpan w:val="2"/>
            <w:tcBorders>
              <w:top w:val="single" w:color="auto" w:sz="4" w:space="0"/>
              <w:left w:val="single" w:color="auto" w:sz="4" w:space="0"/>
              <w:bottom w:val="single" w:color="auto" w:sz="4" w:space="0"/>
              <w:right w:val="single" w:color="auto" w:sz="4" w:space="0"/>
            </w:tcBorders>
            <w:noWrap w:val="0"/>
            <w:vAlign w:val="center"/>
          </w:tcPr>
          <w:p w14:paraId="536D7DAA">
            <w:pPr>
              <w:spacing w:line="360" w:lineRule="auto"/>
              <w:rPr>
                <w:rFonts w:hint="eastAsia" w:ascii="宋体" w:hAnsi="宋体" w:cs="宋体"/>
                <w:color w:val="auto"/>
                <w:szCs w:val="21"/>
                <w:lang w:eastAsia="zh-CN"/>
              </w:rPr>
            </w:pPr>
            <w:r>
              <w:rPr>
                <w:rFonts w:hint="eastAsia" w:ascii="宋体" w:hAnsi="宋体" w:cs="宋体"/>
                <w:color w:val="auto"/>
                <w:szCs w:val="21"/>
                <w:lang w:eastAsia="zh-CN"/>
              </w:rPr>
              <w:t>招标代理：河南良智行工程管理咨询有限公司</w:t>
            </w:r>
          </w:p>
          <w:p w14:paraId="7959958C">
            <w:pPr>
              <w:spacing w:line="360" w:lineRule="auto"/>
              <w:rPr>
                <w:rFonts w:hint="default" w:ascii="宋体" w:hAnsi="宋体" w:cs="宋体"/>
                <w:color w:val="auto"/>
                <w:szCs w:val="21"/>
                <w:lang w:val="en-US" w:eastAsia="zh-CN"/>
              </w:rPr>
            </w:pPr>
            <w:r>
              <w:rPr>
                <w:rFonts w:hint="eastAsia" w:ascii="宋体" w:hAnsi="宋体" w:cs="宋体"/>
                <w:color w:val="auto"/>
                <w:szCs w:val="21"/>
                <w:lang w:val="en-US" w:eastAsia="zh-CN"/>
              </w:rPr>
              <w:t>地  址：河南省郑州市惠济区江山路西、008乡道南弘泰小区1号楼1单元3层302号</w:t>
            </w:r>
          </w:p>
          <w:p w14:paraId="07F48850">
            <w:pPr>
              <w:spacing w:line="360" w:lineRule="auto"/>
              <w:rPr>
                <w:rFonts w:hint="default" w:ascii="宋体" w:hAnsi="宋体" w:cs="宋体"/>
                <w:color w:val="auto"/>
                <w:szCs w:val="21"/>
                <w:lang w:val="en-US" w:eastAsia="zh-CN"/>
              </w:rPr>
            </w:pPr>
            <w:r>
              <w:rPr>
                <w:rFonts w:hint="eastAsia" w:ascii="宋体" w:hAnsi="宋体" w:cs="宋体"/>
                <w:color w:val="auto"/>
                <w:szCs w:val="21"/>
                <w:lang w:val="en-US" w:eastAsia="zh-CN"/>
              </w:rPr>
              <w:t>联系人：李桀</w:t>
            </w:r>
          </w:p>
          <w:p w14:paraId="5CA20526">
            <w:pPr>
              <w:spacing w:line="360" w:lineRule="auto"/>
              <w:rPr>
                <w:rFonts w:hint="eastAsia" w:ascii="宋体" w:hAnsi="宋体" w:cs="宋体"/>
                <w:color w:val="auto"/>
                <w:szCs w:val="21"/>
                <w:lang w:eastAsia="zh-CN"/>
              </w:rPr>
            </w:pPr>
            <w:r>
              <w:rPr>
                <w:rFonts w:hint="default" w:ascii="宋体" w:hAnsi="宋体" w:cs="宋体"/>
                <w:color w:val="auto"/>
                <w:szCs w:val="21"/>
                <w:lang w:val="en-US" w:eastAsia="zh-CN"/>
              </w:rPr>
              <w:t>联系方式</w:t>
            </w:r>
            <w:r>
              <w:rPr>
                <w:rFonts w:hint="eastAsia" w:ascii="宋体" w:hAnsi="宋体" w:cs="宋体"/>
                <w:color w:val="auto"/>
                <w:szCs w:val="21"/>
                <w:lang w:val="en-US" w:eastAsia="zh-CN"/>
              </w:rPr>
              <w:t xml:space="preserve">：17637817161 </w:t>
            </w:r>
          </w:p>
        </w:tc>
      </w:tr>
      <w:tr w14:paraId="39B44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trPr>
        <w:tc>
          <w:tcPr>
            <w:tcW w:w="862" w:type="dxa"/>
            <w:tcBorders>
              <w:top w:val="single" w:color="auto" w:sz="4" w:space="0"/>
              <w:left w:val="single" w:color="auto" w:sz="4" w:space="0"/>
              <w:bottom w:val="single" w:color="auto" w:sz="4" w:space="0"/>
              <w:right w:val="single" w:color="auto" w:sz="4" w:space="0"/>
            </w:tcBorders>
            <w:noWrap w:val="0"/>
            <w:vAlign w:val="center"/>
          </w:tcPr>
          <w:p w14:paraId="12E052CC">
            <w:pPr>
              <w:spacing w:line="360" w:lineRule="auto"/>
              <w:jc w:val="center"/>
              <w:rPr>
                <w:rFonts w:ascii="宋体" w:hAnsi="宋体" w:cs="宋体"/>
                <w:color w:val="auto"/>
                <w:szCs w:val="21"/>
                <w:shd w:val="clear" w:color="auto" w:fill="auto"/>
              </w:rPr>
            </w:pPr>
            <w:r>
              <w:rPr>
                <w:rFonts w:hint="eastAsia" w:ascii="宋体" w:hAnsi="宋体" w:cs="宋体"/>
                <w:color w:val="auto"/>
                <w:szCs w:val="21"/>
                <w:shd w:val="clear" w:color="auto" w:fill="auto"/>
              </w:rPr>
              <w:t>3</w:t>
            </w:r>
          </w:p>
        </w:tc>
        <w:tc>
          <w:tcPr>
            <w:tcW w:w="1994" w:type="dxa"/>
            <w:tcBorders>
              <w:top w:val="single" w:color="auto" w:sz="4" w:space="0"/>
              <w:left w:val="single" w:color="auto" w:sz="4" w:space="0"/>
              <w:bottom w:val="single" w:color="auto" w:sz="4" w:space="0"/>
              <w:right w:val="single" w:color="auto" w:sz="4" w:space="0"/>
            </w:tcBorders>
            <w:noWrap w:val="0"/>
            <w:vAlign w:val="center"/>
          </w:tcPr>
          <w:p w14:paraId="1F02D3F3">
            <w:pPr>
              <w:autoSpaceDE w:val="0"/>
              <w:autoSpaceDN w:val="0"/>
              <w:adjustRightInd w:val="0"/>
              <w:jc w:val="center"/>
              <w:rPr>
                <w:rFonts w:ascii="宋体" w:hAnsi="宋体" w:cs="宋体"/>
                <w:color w:val="auto"/>
                <w:szCs w:val="21"/>
                <w:shd w:val="clear" w:color="auto" w:fill="auto"/>
              </w:rPr>
            </w:pPr>
            <w:r>
              <w:rPr>
                <w:rFonts w:hint="eastAsia" w:ascii="宋体" w:hAnsi="宋体" w:cs="宋体"/>
                <w:color w:val="auto"/>
                <w:kern w:val="0"/>
                <w:szCs w:val="21"/>
              </w:rPr>
              <w:t>项目名称</w:t>
            </w:r>
          </w:p>
        </w:tc>
        <w:tc>
          <w:tcPr>
            <w:tcW w:w="7559" w:type="dxa"/>
            <w:gridSpan w:val="2"/>
            <w:tcBorders>
              <w:top w:val="single" w:color="auto" w:sz="4" w:space="0"/>
              <w:left w:val="single" w:color="auto" w:sz="4" w:space="0"/>
              <w:bottom w:val="single" w:color="auto" w:sz="4" w:space="0"/>
              <w:right w:val="single" w:color="auto" w:sz="4" w:space="0"/>
            </w:tcBorders>
            <w:noWrap w:val="0"/>
            <w:vAlign w:val="center"/>
          </w:tcPr>
          <w:p w14:paraId="4ABEC2C5">
            <w:pPr>
              <w:autoSpaceDE w:val="0"/>
              <w:autoSpaceDN w:val="0"/>
              <w:adjustRightInd w:val="0"/>
              <w:jc w:val="left"/>
              <w:rPr>
                <w:rFonts w:hint="eastAsia" w:ascii="宋体" w:hAnsi="宋体" w:eastAsia="宋体" w:cs="宋体"/>
                <w:bCs/>
                <w:color w:val="auto"/>
                <w:szCs w:val="21"/>
                <w:shd w:val="clear" w:color="auto" w:fill="auto"/>
                <w:lang w:eastAsia="zh-CN"/>
              </w:rPr>
            </w:pPr>
            <w:r>
              <w:rPr>
                <w:rFonts w:hint="eastAsia" w:ascii="宋体" w:hAnsi="宋体" w:cs="Arial"/>
                <w:color w:val="auto"/>
                <w:kern w:val="0"/>
                <w:szCs w:val="21"/>
                <w:lang w:eastAsia="zh-CN"/>
              </w:rPr>
              <w:t>杞县中医院等离子空气消毒机采购项目</w:t>
            </w:r>
          </w:p>
        </w:tc>
      </w:tr>
      <w:tr w14:paraId="444CE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862" w:type="dxa"/>
            <w:tcBorders>
              <w:top w:val="single" w:color="auto" w:sz="4" w:space="0"/>
              <w:left w:val="single" w:color="auto" w:sz="4" w:space="0"/>
              <w:bottom w:val="single" w:color="auto" w:sz="4" w:space="0"/>
              <w:right w:val="single" w:color="auto" w:sz="4" w:space="0"/>
            </w:tcBorders>
            <w:noWrap w:val="0"/>
            <w:vAlign w:val="center"/>
          </w:tcPr>
          <w:p w14:paraId="2FA7AC07">
            <w:pPr>
              <w:spacing w:line="360" w:lineRule="auto"/>
              <w:jc w:val="center"/>
              <w:rPr>
                <w:rFonts w:ascii="宋体" w:hAnsi="宋体" w:cs="宋体"/>
                <w:color w:val="auto"/>
                <w:szCs w:val="21"/>
                <w:shd w:val="clear" w:color="auto" w:fill="auto"/>
              </w:rPr>
            </w:pPr>
            <w:r>
              <w:rPr>
                <w:rFonts w:hint="eastAsia" w:ascii="宋体" w:hAnsi="宋体" w:cs="宋体"/>
                <w:color w:val="auto"/>
                <w:szCs w:val="21"/>
                <w:shd w:val="clear" w:color="auto" w:fill="auto"/>
              </w:rPr>
              <w:t>4</w:t>
            </w:r>
          </w:p>
        </w:tc>
        <w:tc>
          <w:tcPr>
            <w:tcW w:w="1994" w:type="dxa"/>
            <w:tcBorders>
              <w:top w:val="single" w:color="auto" w:sz="4" w:space="0"/>
              <w:left w:val="single" w:color="auto" w:sz="4" w:space="0"/>
              <w:bottom w:val="single" w:color="auto" w:sz="4" w:space="0"/>
              <w:right w:val="single" w:color="auto" w:sz="4" w:space="0"/>
            </w:tcBorders>
            <w:noWrap w:val="0"/>
            <w:vAlign w:val="center"/>
          </w:tcPr>
          <w:p w14:paraId="3CFD7F9C">
            <w:pPr>
              <w:autoSpaceDE w:val="0"/>
              <w:autoSpaceDN w:val="0"/>
              <w:adjustRightInd w:val="0"/>
              <w:jc w:val="center"/>
              <w:rPr>
                <w:rFonts w:hint="eastAsia" w:ascii="宋体" w:hAnsi="宋体" w:eastAsia="宋体" w:cs="宋体"/>
                <w:color w:val="auto"/>
                <w:szCs w:val="21"/>
                <w:shd w:val="clear" w:color="auto" w:fill="auto"/>
                <w:lang w:eastAsia="zh-CN"/>
              </w:rPr>
            </w:pPr>
            <w:r>
              <w:rPr>
                <w:rFonts w:hint="eastAsia" w:ascii="宋体" w:hAnsi="宋体" w:cs="宋体"/>
                <w:color w:val="auto"/>
                <w:kern w:val="0"/>
                <w:szCs w:val="21"/>
                <w:lang w:eastAsia="zh-CN"/>
              </w:rPr>
              <w:t>交货地点</w:t>
            </w:r>
          </w:p>
        </w:tc>
        <w:tc>
          <w:tcPr>
            <w:tcW w:w="7559" w:type="dxa"/>
            <w:gridSpan w:val="2"/>
            <w:tcBorders>
              <w:top w:val="single" w:color="auto" w:sz="4" w:space="0"/>
              <w:left w:val="single" w:color="auto" w:sz="4" w:space="0"/>
              <w:bottom w:val="single" w:color="auto" w:sz="4" w:space="0"/>
              <w:right w:val="single" w:color="auto" w:sz="4" w:space="0"/>
            </w:tcBorders>
            <w:noWrap w:val="0"/>
            <w:vAlign w:val="center"/>
          </w:tcPr>
          <w:p w14:paraId="0DE5EAE5">
            <w:pPr>
              <w:autoSpaceDE w:val="0"/>
              <w:autoSpaceDN w:val="0"/>
              <w:adjustRightInd w:val="0"/>
              <w:jc w:val="left"/>
              <w:rPr>
                <w:rFonts w:hint="eastAsia" w:ascii="宋体" w:hAnsi="宋体" w:eastAsia="宋体" w:cs="宋体"/>
                <w:color w:val="auto"/>
                <w:szCs w:val="21"/>
                <w:shd w:val="clear" w:color="auto" w:fill="auto"/>
                <w:lang w:eastAsia="zh-CN"/>
              </w:rPr>
            </w:pPr>
            <w:r>
              <w:rPr>
                <w:rFonts w:hint="eastAsia" w:ascii="宋体" w:hAnsi="宋体" w:cs="Arial"/>
                <w:color w:val="auto"/>
                <w:kern w:val="0"/>
                <w:szCs w:val="21"/>
                <w:lang w:eastAsia="zh-CN"/>
              </w:rPr>
              <w:t>采购人指定地点</w:t>
            </w:r>
          </w:p>
        </w:tc>
      </w:tr>
      <w:tr w14:paraId="20026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trPr>
        <w:tc>
          <w:tcPr>
            <w:tcW w:w="862" w:type="dxa"/>
            <w:tcBorders>
              <w:top w:val="single" w:color="auto" w:sz="4" w:space="0"/>
              <w:left w:val="single" w:color="auto" w:sz="4" w:space="0"/>
              <w:bottom w:val="single" w:color="auto" w:sz="4" w:space="0"/>
              <w:right w:val="single" w:color="auto" w:sz="4" w:space="0"/>
            </w:tcBorders>
            <w:noWrap w:val="0"/>
            <w:vAlign w:val="center"/>
          </w:tcPr>
          <w:p w14:paraId="080A0E69">
            <w:pPr>
              <w:spacing w:line="360" w:lineRule="auto"/>
              <w:jc w:val="center"/>
              <w:rPr>
                <w:rFonts w:ascii="宋体" w:hAnsi="宋体" w:cs="宋体"/>
                <w:color w:val="auto"/>
                <w:szCs w:val="21"/>
                <w:shd w:val="clear" w:color="auto" w:fill="auto"/>
              </w:rPr>
            </w:pPr>
            <w:r>
              <w:rPr>
                <w:rFonts w:hint="eastAsia" w:ascii="宋体" w:hAnsi="宋体" w:cs="宋体"/>
                <w:color w:val="auto"/>
                <w:szCs w:val="21"/>
                <w:shd w:val="clear" w:color="auto" w:fill="auto"/>
              </w:rPr>
              <w:t>5</w:t>
            </w:r>
          </w:p>
        </w:tc>
        <w:tc>
          <w:tcPr>
            <w:tcW w:w="1994" w:type="dxa"/>
            <w:tcBorders>
              <w:top w:val="single" w:color="auto" w:sz="4" w:space="0"/>
              <w:left w:val="single" w:color="auto" w:sz="4" w:space="0"/>
              <w:bottom w:val="single" w:color="auto" w:sz="4" w:space="0"/>
              <w:right w:val="single" w:color="auto" w:sz="4" w:space="0"/>
            </w:tcBorders>
            <w:noWrap w:val="0"/>
            <w:vAlign w:val="center"/>
          </w:tcPr>
          <w:p w14:paraId="46E285C4">
            <w:pPr>
              <w:spacing w:line="360" w:lineRule="exact"/>
              <w:jc w:val="center"/>
              <w:rPr>
                <w:rFonts w:ascii="宋体" w:hAnsi="宋体" w:cs="宋体"/>
                <w:color w:val="auto"/>
                <w:szCs w:val="21"/>
                <w:shd w:val="clear" w:color="auto" w:fill="auto"/>
              </w:rPr>
            </w:pPr>
            <w:r>
              <w:rPr>
                <w:rFonts w:hint="eastAsia" w:ascii="宋体" w:hAnsi="宋体" w:cs="宋体"/>
                <w:color w:val="auto"/>
                <w:szCs w:val="21"/>
                <w:shd w:val="clear" w:color="auto" w:fill="auto"/>
              </w:rPr>
              <w:t>资金来源</w:t>
            </w:r>
          </w:p>
        </w:tc>
        <w:tc>
          <w:tcPr>
            <w:tcW w:w="7559" w:type="dxa"/>
            <w:gridSpan w:val="2"/>
            <w:tcBorders>
              <w:top w:val="single" w:color="auto" w:sz="4" w:space="0"/>
              <w:left w:val="single" w:color="auto" w:sz="4" w:space="0"/>
              <w:bottom w:val="single" w:color="auto" w:sz="4" w:space="0"/>
              <w:right w:val="single" w:color="auto" w:sz="4" w:space="0"/>
            </w:tcBorders>
            <w:noWrap w:val="0"/>
            <w:vAlign w:val="center"/>
          </w:tcPr>
          <w:p w14:paraId="727B62EA">
            <w:pPr>
              <w:spacing w:line="360" w:lineRule="exact"/>
              <w:rPr>
                <w:rFonts w:hint="default" w:ascii="宋体" w:hAnsi="宋体" w:eastAsia="宋体" w:cs="宋体"/>
                <w:color w:val="auto"/>
                <w:szCs w:val="21"/>
                <w:shd w:val="clear" w:color="auto" w:fill="auto"/>
                <w:lang w:val="en-US" w:eastAsia="zh-CN"/>
              </w:rPr>
            </w:pPr>
            <w:r>
              <w:rPr>
                <w:rFonts w:hint="eastAsia" w:ascii="宋体" w:hAnsi="宋体" w:cs="宋体"/>
                <w:color w:val="auto"/>
                <w:szCs w:val="21"/>
                <w:shd w:val="clear" w:color="auto" w:fill="auto"/>
                <w:lang w:val="en-US" w:eastAsia="zh-CN"/>
              </w:rPr>
              <w:t>自筹</w:t>
            </w:r>
            <w:r>
              <w:rPr>
                <w:rFonts w:hint="eastAsia" w:ascii="宋体" w:hAnsi="宋体" w:eastAsia="宋体" w:cs="宋体"/>
                <w:color w:val="auto"/>
                <w:szCs w:val="21"/>
                <w:shd w:val="clear" w:color="auto" w:fill="auto"/>
                <w:lang w:val="en-US" w:eastAsia="zh-CN"/>
              </w:rPr>
              <w:t>资金</w:t>
            </w:r>
          </w:p>
        </w:tc>
      </w:tr>
      <w:tr w14:paraId="09AC4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862" w:type="dxa"/>
            <w:tcBorders>
              <w:top w:val="single" w:color="auto" w:sz="4" w:space="0"/>
              <w:left w:val="single" w:color="auto" w:sz="4" w:space="0"/>
              <w:bottom w:val="single" w:color="auto" w:sz="4" w:space="0"/>
              <w:right w:val="single" w:color="auto" w:sz="4" w:space="0"/>
            </w:tcBorders>
            <w:noWrap w:val="0"/>
            <w:vAlign w:val="center"/>
          </w:tcPr>
          <w:p w14:paraId="002FAFDB">
            <w:pPr>
              <w:spacing w:line="360" w:lineRule="auto"/>
              <w:jc w:val="center"/>
              <w:rPr>
                <w:rFonts w:ascii="宋体" w:hAnsi="宋体" w:cs="宋体"/>
                <w:color w:val="auto"/>
                <w:szCs w:val="21"/>
                <w:shd w:val="clear" w:color="auto" w:fill="auto"/>
              </w:rPr>
            </w:pPr>
            <w:r>
              <w:rPr>
                <w:rFonts w:hint="eastAsia" w:ascii="宋体" w:hAnsi="宋体" w:cs="宋体"/>
                <w:color w:val="auto"/>
                <w:szCs w:val="21"/>
                <w:shd w:val="clear" w:color="auto" w:fill="auto"/>
              </w:rPr>
              <w:t>6</w:t>
            </w:r>
          </w:p>
        </w:tc>
        <w:tc>
          <w:tcPr>
            <w:tcW w:w="1994" w:type="dxa"/>
            <w:tcBorders>
              <w:top w:val="single" w:color="auto" w:sz="4" w:space="0"/>
              <w:left w:val="single" w:color="auto" w:sz="4" w:space="0"/>
              <w:bottom w:val="single" w:color="auto" w:sz="4" w:space="0"/>
              <w:right w:val="single" w:color="auto" w:sz="4" w:space="0"/>
            </w:tcBorders>
            <w:noWrap w:val="0"/>
            <w:vAlign w:val="center"/>
          </w:tcPr>
          <w:p w14:paraId="4E22510C">
            <w:pPr>
              <w:spacing w:line="360" w:lineRule="exact"/>
              <w:jc w:val="center"/>
              <w:rPr>
                <w:rFonts w:ascii="宋体" w:hAnsi="宋体" w:cs="宋体"/>
                <w:color w:val="auto"/>
                <w:szCs w:val="21"/>
                <w:shd w:val="clear" w:color="auto" w:fill="auto"/>
              </w:rPr>
            </w:pPr>
            <w:r>
              <w:rPr>
                <w:rFonts w:hint="eastAsia" w:ascii="宋体" w:hAnsi="宋体" w:cs="宋体"/>
                <w:color w:val="auto"/>
                <w:szCs w:val="21"/>
                <w:shd w:val="clear" w:color="auto" w:fill="auto"/>
              </w:rPr>
              <w:t>出资比例</w:t>
            </w:r>
          </w:p>
        </w:tc>
        <w:tc>
          <w:tcPr>
            <w:tcW w:w="7559" w:type="dxa"/>
            <w:gridSpan w:val="2"/>
            <w:tcBorders>
              <w:top w:val="single" w:color="auto" w:sz="4" w:space="0"/>
              <w:left w:val="single" w:color="auto" w:sz="4" w:space="0"/>
              <w:bottom w:val="single" w:color="auto" w:sz="4" w:space="0"/>
              <w:right w:val="single" w:color="auto" w:sz="4" w:space="0"/>
            </w:tcBorders>
            <w:noWrap w:val="0"/>
            <w:vAlign w:val="center"/>
          </w:tcPr>
          <w:p w14:paraId="4CE39BA2">
            <w:pPr>
              <w:spacing w:line="360" w:lineRule="exact"/>
              <w:rPr>
                <w:rFonts w:ascii="宋体" w:hAnsi="宋体" w:cs="宋体"/>
                <w:color w:val="auto"/>
                <w:szCs w:val="21"/>
                <w:shd w:val="clear" w:color="auto" w:fill="auto"/>
              </w:rPr>
            </w:pPr>
            <w:r>
              <w:rPr>
                <w:rFonts w:hint="eastAsia" w:ascii="宋体" w:hAnsi="宋体" w:cs="宋体"/>
                <w:color w:val="auto"/>
                <w:szCs w:val="21"/>
                <w:shd w:val="clear" w:color="auto" w:fill="auto"/>
              </w:rPr>
              <w:t>100%</w:t>
            </w:r>
          </w:p>
        </w:tc>
      </w:tr>
      <w:tr w14:paraId="44EAC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trPr>
        <w:tc>
          <w:tcPr>
            <w:tcW w:w="862" w:type="dxa"/>
            <w:tcBorders>
              <w:top w:val="single" w:color="auto" w:sz="4" w:space="0"/>
              <w:left w:val="single" w:color="auto" w:sz="4" w:space="0"/>
              <w:bottom w:val="single" w:color="auto" w:sz="4" w:space="0"/>
              <w:right w:val="single" w:color="auto" w:sz="4" w:space="0"/>
            </w:tcBorders>
            <w:noWrap w:val="0"/>
            <w:vAlign w:val="center"/>
          </w:tcPr>
          <w:p w14:paraId="27471280">
            <w:pPr>
              <w:spacing w:line="360" w:lineRule="auto"/>
              <w:jc w:val="center"/>
              <w:rPr>
                <w:rFonts w:ascii="宋体" w:hAnsi="宋体" w:cs="宋体"/>
                <w:color w:val="auto"/>
                <w:szCs w:val="21"/>
                <w:shd w:val="clear" w:color="auto" w:fill="auto"/>
              </w:rPr>
            </w:pPr>
            <w:r>
              <w:rPr>
                <w:rFonts w:hint="eastAsia" w:ascii="宋体" w:hAnsi="宋体" w:cs="宋体"/>
                <w:color w:val="auto"/>
                <w:szCs w:val="21"/>
                <w:shd w:val="clear" w:color="auto" w:fill="auto"/>
              </w:rPr>
              <w:t>7</w:t>
            </w:r>
          </w:p>
        </w:tc>
        <w:tc>
          <w:tcPr>
            <w:tcW w:w="1994" w:type="dxa"/>
            <w:tcBorders>
              <w:top w:val="single" w:color="auto" w:sz="4" w:space="0"/>
              <w:left w:val="single" w:color="auto" w:sz="4" w:space="0"/>
              <w:bottom w:val="single" w:color="auto" w:sz="4" w:space="0"/>
              <w:right w:val="single" w:color="auto" w:sz="4" w:space="0"/>
            </w:tcBorders>
            <w:noWrap w:val="0"/>
            <w:vAlign w:val="center"/>
          </w:tcPr>
          <w:p w14:paraId="465947D3">
            <w:pPr>
              <w:spacing w:line="360" w:lineRule="exact"/>
              <w:jc w:val="center"/>
              <w:rPr>
                <w:rFonts w:ascii="宋体" w:hAnsi="宋体" w:cs="宋体"/>
                <w:color w:val="auto"/>
                <w:szCs w:val="21"/>
                <w:shd w:val="clear" w:color="auto" w:fill="auto"/>
              </w:rPr>
            </w:pPr>
            <w:r>
              <w:rPr>
                <w:rFonts w:hint="eastAsia" w:ascii="宋体" w:hAnsi="宋体" w:cs="宋体"/>
                <w:color w:val="auto"/>
                <w:szCs w:val="21"/>
                <w:shd w:val="clear" w:color="auto" w:fill="auto"/>
              </w:rPr>
              <w:t>资金落实情况</w:t>
            </w:r>
          </w:p>
        </w:tc>
        <w:tc>
          <w:tcPr>
            <w:tcW w:w="7559" w:type="dxa"/>
            <w:gridSpan w:val="2"/>
            <w:tcBorders>
              <w:top w:val="single" w:color="auto" w:sz="4" w:space="0"/>
              <w:left w:val="single" w:color="auto" w:sz="4" w:space="0"/>
              <w:bottom w:val="single" w:color="auto" w:sz="4" w:space="0"/>
              <w:right w:val="single" w:color="auto" w:sz="4" w:space="0"/>
            </w:tcBorders>
            <w:noWrap w:val="0"/>
            <w:vAlign w:val="center"/>
          </w:tcPr>
          <w:p w14:paraId="0B97B815">
            <w:pPr>
              <w:spacing w:line="360" w:lineRule="exact"/>
              <w:rPr>
                <w:rFonts w:ascii="宋体" w:hAnsi="宋体" w:cs="宋体"/>
                <w:color w:val="auto"/>
                <w:szCs w:val="21"/>
                <w:shd w:val="clear" w:color="auto" w:fill="auto"/>
              </w:rPr>
            </w:pPr>
            <w:r>
              <w:rPr>
                <w:rFonts w:hint="eastAsia" w:ascii="宋体" w:hAnsi="宋体" w:cs="宋体"/>
                <w:color w:val="auto"/>
                <w:szCs w:val="21"/>
                <w:shd w:val="clear" w:color="auto" w:fill="auto"/>
              </w:rPr>
              <w:t>已落实</w:t>
            </w:r>
          </w:p>
        </w:tc>
      </w:tr>
      <w:tr w14:paraId="59F4E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862" w:type="dxa"/>
            <w:tcBorders>
              <w:top w:val="single" w:color="auto" w:sz="4" w:space="0"/>
              <w:left w:val="single" w:color="auto" w:sz="4" w:space="0"/>
              <w:bottom w:val="single" w:color="auto" w:sz="4" w:space="0"/>
              <w:right w:val="single" w:color="auto" w:sz="4" w:space="0"/>
            </w:tcBorders>
            <w:noWrap w:val="0"/>
            <w:vAlign w:val="center"/>
          </w:tcPr>
          <w:p w14:paraId="55A901ED">
            <w:pPr>
              <w:spacing w:line="360" w:lineRule="auto"/>
              <w:jc w:val="center"/>
              <w:rPr>
                <w:rFonts w:ascii="宋体" w:hAnsi="宋体" w:cs="宋体"/>
                <w:color w:val="auto"/>
                <w:szCs w:val="21"/>
                <w:shd w:val="clear" w:color="auto" w:fill="auto"/>
              </w:rPr>
            </w:pPr>
            <w:r>
              <w:rPr>
                <w:rFonts w:hint="eastAsia" w:ascii="宋体" w:hAnsi="宋体" w:cs="宋体"/>
                <w:color w:val="auto"/>
                <w:szCs w:val="21"/>
                <w:shd w:val="clear" w:color="auto" w:fill="auto"/>
              </w:rPr>
              <w:t>8</w:t>
            </w:r>
          </w:p>
        </w:tc>
        <w:tc>
          <w:tcPr>
            <w:tcW w:w="1994" w:type="dxa"/>
            <w:tcBorders>
              <w:top w:val="single" w:color="auto" w:sz="4" w:space="0"/>
              <w:left w:val="single" w:color="auto" w:sz="4" w:space="0"/>
              <w:bottom w:val="single" w:color="auto" w:sz="4" w:space="0"/>
              <w:right w:val="single" w:color="auto" w:sz="4" w:space="0"/>
            </w:tcBorders>
            <w:noWrap w:val="0"/>
            <w:vAlign w:val="center"/>
          </w:tcPr>
          <w:p w14:paraId="3EFEC074">
            <w:pPr>
              <w:spacing w:line="360" w:lineRule="exact"/>
              <w:jc w:val="center"/>
              <w:rPr>
                <w:rFonts w:ascii="宋体" w:hAnsi="宋体" w:cs="宋体"/>
                <w:color w:val="auto"/>
                <w:szCs w:val="21"/>
                <w:shd w:val="clear" w:color="auto" w:fill="auto"/>
              </w:rPr>
            </w:pPr>
            <w:r>
              <w:rPr>
                <w:rFonts w:hint="eastAsia" w:ascii="宋体" w:hAnsi="宋体" w:cs="宋体"/>
                <w:color w:val="auto"/>
                <w:szCs w:val="21"/>
                <w:shd w:val="clear" w:color="auto" w:fill="auto"/>
              </w:rPr>
              <w:t>招标范围</w:t>
            </w:r>
          </w:p>
        </w:tc>
        <w:tc>
          <w:tcPr>
            <w:tcW w:w="7559" w:type="dxa"/>
            <w:gridSpan w:val="2"/>
            <w:tcBorders>
              <w:top w:val="single" w:color="auto" w:sz="4" w:space="0"/>
              <w:left w:val="single" w:color="auto" w:sz="4" w:space="0"/>
              <w:bottom w:val="single" w:color="auto" w:sz="4" w:space="0"/>
              <w:right w:val="single" w:color="auto" w:sz="4" w:space="0"/>
            </w:tcBorders>
            <w:noWrap w:val="0"/>
            <w:vAlign w:val="center"/>
          </w:tcPr>
          <w:p w14:paraId="29443D71">
            <w:pPr>
              <w:spacing w:line="360" w:lineRule="exact"/>
              <w:rPr>
                <w:rFonts w:ascii="宋体" w:hAnsi="宋体" w:cs="宋体"/>
                <w:color w:val="auto"/>
                <w:szCs w:val="21"/>
                <w:shd w:val="clear" w:color="auto" w:fill="auto"/>
              </w:rPr>
            </w:pPr>
            <w:r>
              <w:rPr>
                <w:rFonts w:hint="eastAsia" w:ascii="宋体" w:hAnsi="宋体" w:cs="Arial"/>
                <w:color w:val="auto"/>
                <w:kern w:val="0"/>
                <w:szCs w:val="21"/>
                <w:lang w:eastAsia="zh-CN"/>
              </w:rPr>
              <w:t>杞县中医院拟采购离子空气消毒机一批及相关配套服务</w:t>
            </w:r>
          </w:p>
        </w:tc>
      </w:tr>
      <w:tr w14:paraId="2E367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862" w:type="dxa"/>
            <w:tcBorders>
              <w:top w:val="single" w:color="auto" w:sz="4" w:space="0"/>
              <w:left w:val="single" w:color="auto" w:sz="4" w:space="0"/>
              <w:bottom w:val="single" w:color="auto" w:sz="4" w:space="0"/>
              <w:right w:val="single" w:color="auto" w:sz="4" w:space="0"/>
            </w:tcBorders>
            <w:noWrap w:val="0"/>
            <w:vAlign w:val="center"/>
          </w:tcPr>
          <w:p w14:paraId="319EB9A8">
            <w:pPr>
              <w:spacing w:line="360" w:lineRule="auto"/>
              <w:jc w:val="center"/>
              <w:rPr>
                <w:rFonts w:ascii="宋体" w:hAnsi="宋体" w:cs="宋体"/>
                <w:color w:val="auto"/>
                <w:szCs w:val="21"/>
                <w:shd w:val="clear" w:color="auto" w:fill="auto"/>
              </w:rPr>
            </w:pPr>
            <w:r>
              <w:rPr>
                <w:rFonts w:hint="eastAsia" w:ascii="宋体" w:hAnsi="宋体" w:cs="宋体"/>
                <w:color w:val="auto"/>
                <w:szCs w:val="21"/>
                <w:shd w:val="clear" w:color="auto" w:fill="auto"/>
              </w:rPr>
              <w:t>9</w:t>
            </w:r>
          </w:p>
        </w:tc>
        <w:tc>
          <w:tcPr>
            <w:tcW w:w="1994" w:type="dxa"/>
            <w:tcBorders>
              <w:top w:val="single" w:color="auto" w:sz="4" w:space="0"/>
              <w:left w:val="single" w:color="auto" w:sz="4" w:space="0"/>
              <w:bottom w:val="single" w:color="auto" w:sz="4" w:space="0"/>
              <w:right w:val="single" w:color="auto" w:sz="4" w:space="0"/>
            </w:tcBorders>
            <w:noWrap w:val="0"/>
            <w:vAlign w:val="center"/>
          </w:tcPr>
          <w:p w14:paraId="3923D5F3">
            <w:pPr>
              <w:autoSpaceDE w:val="0"/>
              <w:autoSpaceDN w:val="0"/>
              <w:adjustRightInd w:val="0"/>
              <w:jc w:val="center"/>
              <w:rPr>
                <w:rFonts w:hint="eastAsia" w:ascii="宋体" w:hAnsi="宋体" w:eastAsia="宋体" w:cs="宋体"/>
                <w:color w:val="auto"/>
                <w:szCs w:val="21"/>
                <w:shd w:val="clear" w:color="auto" w:fill="auto"/>
                <w:lang w:eastAsia="zh-CN"/>
              </w:rPr>
            </w:pPr>
            <w:r>
              <w:rPr>
                <w:rFonts w:hint="eastAsia" w:ascii="宋体" w:hAnsi="宋体" w:cs="Arial"/>
                <w:color w:val="auto"/>
                <w:kern w:val="0"/>
                <w:szCs w:val="21"/>
                <w:lang w:eastAsia="zh-CN"/>
              </w:rPr>
              <w:t>供货安装期限</w:t>
            </w:r>
          </w:p>
        </w:tc>
        <w:tc>
          <w:tcPr>
            <w:tcW w:w="7559" w:type="dxa"/>
            <w:gridSpan w:val="2"/>
            <w:tcBorders>
              <w:top w:val="single" w:color="auto" w:sz="4" w:space="0"/>
              <w:left w:val="single" w:color="auto" w:sz="4" w:space="0"/>
              <w:bottom w:val="single" w:color="auto" w:sz="4" w:space="0"/>
              <w:right w:val="single" w:color="auto" w:sz="4" w:space="0"/>
            </w:tcBorders>
            <w:noWrap w:val="0"/>
            <w:vAlign w:val="center"/>
          </w:tcPr>
          <w:p w14:paraId="2B603B15">
            <w:pPr>
              <w:widowControl/>
              <w:spacing w:before="100" w:beforeAutospacing="1" w:after="100" w:afterAutospacing="1"/>
              <w:jc w:val="left"/>
              <w:rPr>
                <w:rFonts w:hint="eastAsia" w:ascii="宋体" w:hAnsi="宋体" w:eastAsia="宋体" w:cs="宋体"/>
                <w:color w:val="auto"/>
                <w:kern w:val="0"/>
                <w:szCs w:val="21"/>
                <w:shd w:val="clear" w:color="auto" w:fill="auto"/>
                <w:lang w:eastAsia="zh-CN"/>
              </w:rPr>
            </w:pPr>
            <w:r>
              <w:rPr>
                <w:rFonts w:hint="eastAsia" w:ascii="宋体" w:hAnsi="宋体" w:cs="Arial"/>
                <w:color w:val="auto"/>
                <w:kern w:val="0"/>
                <w:szCs w:val="21"/>
                <w:lang w:eastAsia="zh-CN"/>
              </w:rPr>
              <w:t>签订合同后15日历天内交货、安装、调试、验收并交付使用</w:t>
            </w:r>
          </w:p>
        </w:tc>
      </w:tr>
      <w:tr w14:paraId="61F5B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trPr>
        <w:tc>
          <w:tcPr>
            <w:tcW w:w="862" w:type="dxa"/>
            <w:tcBorders>
              <w:top w:val="single" w:color="auto" w:sz="4" w:space="0"/>
              <w:left w:val="single" w:color="auto" w:sz="4" w:space="0"/>
              <w:bottom w:val="single" w:color="auto" w:sz="4" w:space="0"/>
              <w:right w:val="single" w:color="auto" w:sz="4" w:space="0"/>
            </w:tcBorders>
            <w:noWrap w:val="0"/>
            <w:vAlign w:val="center"/>
          </w:tcPr>
          <w:p w14:paraId="6A52CDDA">
            <w:pPr>
              <w:spacing w:line="360" w:lineRule="auto"/>
              <w:jc w:val="center"/>
              <w:rPr>
                <w:rFonts w:ascii="宋体" w:hAnsi="宋体" w:cs="宋体"/>
                <w:color w:val="auto"/>
                <w:szCs w:val="21"/>
                <w:shd w:val="clear" w:color="auto" w:fill="auto"/>
              </w:rPr>
            </w:pPr>
            <w:r>
              <w:rPr>
                <w:rFonts w:hint="eastAsia" w:ascii="宋体" w:hAnsi="宋体" w:cs="宋体"/>
                <w:color w:val="auto"/>
                <w:szCs w:val="21"/>
                <w:shd w:val="clear" w:color="auto" w:fill="auto"/>
              </w:rPr>
              <w:t>10</w:t>
            </w:r>
          </w:p>
        </w:tc>
        <w:tc>
          <w:tcPr>
            <w:tcW w:w="1994" w:type="dxa"/>
            <w:tcBorders>
              <w:top w:val="single" w:color="auto" w:sz="4" w:space="0"/>
              <w:left w:val="single" w:color="auto" w:sz="4" w:space="0"/>
              <w:bottom w:val="single" w:color="auto" w:sz="4" w:space="0"/>
              <w:right w:val="single" w:color="auto" w:sz="4" w:space="0"/>
            </w:tcBorders>
            <w:noWrap w:val="0"/>
            <w:vAlign w:val="center"/>
          </w:tcPr>
          <w:p w14:paraId="53E6583A">
            <w:pPr>
              <w:jc w:val="center"/>
              <w:rPr>
                <w:rFonts w:ascii="宋体" w:hAnsi="宋体" w:cs="宋体"/>
                <w:color w:val="auto"/>
                <w:szCs w:val="21"/>
                <w:shd w:val="clear" w:color="auto" w:fill="auto"/>
              </w:rPr>
            </w:pPr>
            <w:r>
              <w:rPr>
                <w:rFonts w:hint="eastAsia" w:ascii="宋体" w:hAnsi="宋体" w:cs="宋体"/>
                <w:color w:val="auto"/>
                <w:kern w:val="0"/>
                <w:szCs w:val="21"/>
              </w:rPr>
              <w:t>质量要求</w:t>
            </w:r>
          </w:p>
        </w:tc>
        <w:tc>
          <w:tcPr>
            <w:tcW w:w="7559" w:type="dxa"/>
            <w:gridSpan w:val="2"/>
            <w:tcBorders>
              <w:top w:val="single" w:color="auto" w:sz="4" w:space="0"/>
              <w:left w:val="single" w:color="auto" w:sz="4" w:space="0"/>
              <w:bottom w:val="single" w:color="auto" w:sz="4" w:space="0"/>
              <w:right w:val="single" w:color="auto" w:sz="4" w:space="0"/>
            </w:tcBorders>
            <w:noWrap w:val="0"/>
            <w:vAlign w:val="center"/>
          </w:tcPr>
          <w:p w14:paraId="113F8539">
            <w:pPr>
              <w:pStyle w:val="34"/>
              <w:widowControl/>
              <w:jc w:val="both"/>
              <w:rPr>
                <w:rFonts w:ascii="宋体" w:hAnsi="宋体" w:cs="宋体"/>
                <w:color w:val="auto"/>
                <w:szCs w:val="21"/>
                <w:shd w:val="clear" w:color="auto" w:fill="auto"/>
              </w:rPr>
            </w:pPr>
            <w:r>
              <w:rPr>
                <w:rFonts w:hint="eastAsia" w:asciiTheme="minorEastAsia" w:hAnsiTheme="minorEastAsia" w:eastAsiaTheme="minorEastAsia" w:cstheme="minorEastAsia"/>
                <w:color w:val="auto"/>
                <w:kern w:val="2"/>
                <w:sz w:val="21"/>
              </w:rPr>
              <w:t>合格，符合相关行业标准</w:t>
            </w:r>
          </w:p>
        </w:tc>
      </w:tr>
      <w:tr w14:paraId="12A43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trPr>
        <w:tc>
          <w:tcPr>
            <w:tcW w:w="862" w:type="dxa"/>
            <w:tcBorders>
              <w:top w:val="single" w:color="auto" w:sz="4" w:space="0"/>
              <w:left w:val="single" w:color="auto" w:sz="4" w:space="0"/>
              <w:bottom w:val="single" w:color="auto" w:sz="4" w:space="0"/>
              <w:right w:val="single" w:color="auto" w:sz="4" w:space="0"/>
            </w:tcBorders>
            <w:noWrap w:val="0"/>
            <w:vAlign w:val="center"/>
          </w:tcPr>
          <w:p w14:paraId="6982A9D2">
            <w:pPr>
              <w:spacing w:line="360" w:lineRule="auto"/>
              <w:jc w:val="center"/>
              <w:rPr>
                <w:rFonts w:ascii="宋体" w:hAnsi="宋体" w:cs="宋体"/>
                <w:color w:val="auto"/>
                <w:szCs w:val="21"/>
                <w:shd w:val="clear" w:color="auto" w:fill="auto"/>
              </w:rPr>
            </w:pPr>
            <w:r>
              <w:rPr>
                <w:rFonts w:hint="eastAsia" w:ascii="宋体" w:hAnsi="宋体" w:cs="宋体"/>
                <w:color w:val="auto"/>
                <w:szCs w:val="21"/>
                <w:shd w:val="clear" w:color="auto" w:fill="auto"/>
              </w:rPr>
              <w:t>11</w:t>
            </w:r>
          </w:p>
        </w:tc>
        <w:tc>
          <w:tcPr>
            <w:tcW w:w="1994" w:type="dxa"/>
            <w:tcBorders>
              <w:top w:val="single" w:color="auto" w:sz="4" w:space="0"/>
              <w:left w:val="single" w:color="auto" w:sz="4" w:space="0"/>
              <w:bottom w:val="single" w:color="auto" w:sz="4" w:space="0"/>
              <w:right w:val="single" w:color="auto" w:sz="4" w:space="0"/>
            </w:tcBorders>
            <w:noWrap w:val="0"/>
            <w:vAlign w:val="center"/>
          </w:tcPr>
          <w:p w14:paraId="00024EAA">
            <w:pPr>
              <w:spacing w:line="360" w:lineRule="exact"/>
              <w:jc w:val="center"/>
              <w:rPr>
                <w:rFonts w:hint="eastAsia" w:ascii="宋体" w:hAnsi="宋体" w:eastAsia="宋体" w:cs="宋体"/>
                <w:color w:val="auto"/>
                <w:szCs w:val="21"/>
                <w:shd w:val="clear" w:color="auto" w:fill="auto"/>
                <w:lang w:eastAsia="zh-CN"/>
              </w:rPr>
            </w:pPr>
            <w:r>
              <w:rPr>
                <w:rFonts w:hint="eastAsia" w:ascii="宋体" w:hAnsi="宋体" w:cs="宋体"/>
                <w:color w:val="auto"/>
                <w:szCs w:val="21"/>
                <w:shd w:val="clear" w:color="auto" w:fill="auto"/>
                <w:lang w:val="en-US" w:eastAsia="zh-CN"/>
              </w:rPr>
              <w:t>质保期</w:t>
            </w:r>
          </w:p>
        </w:tc>
        <w:tc>
          <w:tcPr>
            <w:tcW w:w="7559" w:type="dxa"/>
            <w:gridSpan w:val="2"/>
            <w:tcBorders>
              <w:top w:val="single" w:color="auto" w:sz="4" w:space="0"/>
              <w:left w:val="single" w:color="auto" w:sz="4" w:space="0"/>
              <w:bottom w:val="single" w:color="auto" w:sz="4" w:space="0"/>
              <w:right w:val="single" w:color="auto" w:sz="4" w:space="0"/>
            </w:tcBorders>
            <w:noWrap w:val="0"/>
            <w:vAlign w:val="center"/>
          </w:tcPr>
          <w:p w14:paraId="4511F7DB">
            <w:pPr>
              <w:spacing w:line="360" w:lineRule="exact"/>
              <w:rPr>
                <w:rFonts w:hint="default" w:ascii="宋体" w:hAnsi="宋体" w:cs="宋体"/>
                <w:color w:val="auto"/>
                <w:szCs w:val="21"/>
                <w:shd w:val="clear" w:color="auto" w:fill="auto"/>
                <w:lang w:val="en-US"/>
              </w:rPr>
            </w:pPr>
            <w:r>
              <w:rPr>
                <w:rFonts w:hint="eastAsia"/>
                <w:color w:val="auto"/>
                <w:shd w:val="clear" w:color="auto" w:fill="auto"/>
                <w:lang w:val="en-US" w:eastAsia="zh-CN"/>
              </w:rPr>
              <w:t>1年</w:t>
            </w:r>
          </w:p>
        </w:tc>
      </w:tr>
      <w:tr w14:paraId="0ED20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862" w:type="dxa"/>
            <w:tcBorders>
              <w:top w:val="single" w:color="auto" w:sz="4" w:space="0"/>
              <w:left w:val="single" w:color="auto" w:sz="4" w:space="0"/>
              <w:bottom w:val="single" w:color="auto" w:sz="4" w:space="0"/>
              <w:right w:val="single" w:color="auto" w:sz="4" w:space="0"/>
            </w:tcBorders>
            <w:noWrap w:val="0"/>
            <w:vAlign w:val="center"/>
          </w:tcPr>
          <w:p w14:paraId="61FD45D0">
            <w:pPr>
              <w:spacing w:line="360" w:lineRule="auto"/>
              <w:jc w:val="center"/>
              <w:rPr>
                <w:rFonts w:hint="eastAsia" w:ascii="宋体" w:hAnsi="宋体" w:eastAsia="宋体" w:cs="宋体"/>
                <w:color w:val="auto"/>
                <w:szCs w:val="21"/>
                <w:shd w:val="clear" w:color="auto" w:fill="auto"/>
                <w:lang w:eastAsia="zh-CN"/>
              </w:rPr>
            </w:pPr>
            <w:r>
              <w:rPr>
                <w:rFonts w:hint="eastAsia" w:ascii="宋体" w:hAnsi="宋体" w:cs="宋体"/>
                <w:color w:val="auto"/>
                <w:szCs w:val="21"/>
                <w:shd w:val="clear" w:color="auto" w:fill="auto"/>
              </w:rPr>
              <w:t>1</w:t>
            </w:r>
            <w:r>
              <w:rPr>
                <w:rFonts w:hint="eastAsia" w:ascii="宋体" w:hAnsi="宋体" w:cs="宋体"/>
                <w:color w:val="auto"/>
                <w:szCs w:val="21"/>
                <w:shd w:val="clear" w:color="auto" w:fill="auto"/>
                <w:lang w:val="en-US" w:eastAsia="zh-CN"/>
              </w:rPr>
              <w:t>2</w:t>
            </w:r>
          </w:p>
        </w:tc>
        <w:tc>
          <w:tcPr>
            <w:tcW w:w="1994" w:type="dxa"/>
            <w:tcBorders>
              <w:top w:val="single" w:color="auto" w:sz="4" w:space="0"/>
              <w:left w:val="single" w:color="auto" w:sz="4" w:space="0"/>
              <w:bottom w:val="single" w:color="auto" w:sz="4" w:space="0"/>
              <w:right w:val="single" w:color="auto" w:sz="4" w:space="0"/>
            </w:tcBorders>
            <w:noWrap w:val="0"/>
            <w:vAlign w:val="center"/>
          </w:tcPr>
          <w:p w14:paraId="09004BB5">
            <w:pPr>
              <w:spacing w:line="360" w:lineRule="exact"/>
              <w:jc w:val="center"/>
              <w:rPr>
                <w:rFonts w:ascii="宋体" w:hAnsi="宋体" w:cs="宋体"/>
                <w:color w:val="auto"/>
                <w:szCs w:val="21"/>
                <w:shd w:val="clear" w:color="auto" w:fill="auto"/>
              </w:rPr>
            </w:pPr>
            <w:r>
              <w:rPr>
                <w:rFonts w:hint="eastAsia" w:ascii="宋体" w:hAnsi="宋体" w:cs="仿宋_GB2312"/>
                <w:color w:val="auto"/>
                <w:kern w:val="0"/>
                <w:szCs w:val="21"/>
                <w:shd w:val="clear" w:color="auto" w:fill="auto"/>
              </w:rPr>
              <w:t>投标人</w:t>
            </w:r>
            <w:r>
              <w:rPr>
                <w:rFonts w:hint="eastAsia" w:ascii="宋体" w:hAnsi="宋体" w:cs="宋体"/>
                <w:color w:val="auto"/>
                <w:szCs w:val="21"/>
                <w:shd w:val="clear" w:color="auto" w:fill="auto"/>
              </w:rPr>
              <w:t>资质条件和能力</w:t>
            </w:r>
          </w:p>
        </w:tc>
        <w:tc>
          <w:tcPr>
            <w:tcW w:w="7559" w:type="dxa"/>
            <w:gridSpan w:val="2"/>
            <w:tcBorders>
              <w:top w:val="single" w:color="auto" w:sz="4" w:space="0"/>
              <w:left w:val="single" w:color="auto" w:sz="4" w:space="0"/>
              <w:bottom w:val="single" w:color="auto" w:sz="4" w:space="0"/>
              <w:right w:val="single" w:color="auto" w:sz="4" w:space="0"/>
            </w:tcBorders>
            <w:noWrap w:val="0"/>
            <w:vAlign w:val="top"/>
          </w:tcPr>
          <w:p w14:paraId="0B0E22F6">
            <w:pPr>
              <w:spacing w:line="400" w:lineRule="exact"/>
              <w:rPr>
                <w:rFonts w:hint="eastAsia" w:ascii="宋体" w:hAnsi="宋体" w:eastAsia="宋体" w:cs="Arial"/>
                <w:color w:val="auto"/>
                <w:kern w:val="0"/>
                <w:szCs w:val="21"/>
                <w:lang w:eastAsia="zh-CN"/>
              </w:rPr>
            </w:pPr>
            <w:r>
              <w:rPr>
                <w:rFonts w:ascii="宋体" w:hAnsi="宋体" w:cs="Arial"/>
                <w:color w:val="auto"/>
                <w:kern w:val="0"/>
                <w:szCs w:val="21"/>
              </w:rPr>
              <w:t>1</w:t>
            </w:r>
            <w:r>
              <w:rPr>
                <w:rFonts w:hint="eastAsia" w:ascii="宋体" w:hAnsi="宋体" w:cs="Arial"/>
                <w:color w:val="auto"/>
                <w:kern w:val="0"/>
                <w:szCs w:val="21"/>
                <w:lang w:eastAsia="zh-CN"/>
              </w:rPr>
              <w:t>、</w:t>
            </w:r>
            <w:r>
              <w:rPr>
                <w:rFonts w:ascii="宋体" w:hAnsi="宋体" w:cs="Arial"/>
                <w:color w:val="auto"/>
                <w:kern w:val="0"/>
                <w:szCs w:val="21"/>
              </w:rPr>
              <w:t>投标人需符合《中华人民共和国政府采购法》第二十二条规定，并提供以下资料：</w:t>
            </w:r>
          </w:p>
          <w:p w14:paraId="4E81BA80">
            <w:pPr>
              <w:spacing w:line="400" w:lineRule="exact"/>
              <w:ind w:firstLine="420" w:firstLineChars="200"/>
              <w:rPr>
                <w:rFonts w:hint="eastAsia" w:ascii="宋体" w:hAnsi="宋体" w:eastAsia="宋体" w:cs="Arial"/>
                <w:color w:val="auto"/>
                <w:kern w:val="0"/>
                <w:szCs w:val="21"/>
                <w:lang w:eastAsia="zh-CN"/>
              </w:rPr>
            </w:pPr>
            <w:r>
              <w:rPr>
                <w:rFonts w:ascii="宋体" w:hAnsi="宋体" w:cs="Arial"/>
                <w:color w:val="auto"/>
                <w:kern w:val="0"/>
                <w:szCs w:val="21"/>
              </w:rPr>
              <w:t>1.1</w:t>
            </w:r>
            <w:r>
              <w:rPr>
                <w:rFonts w:hint="eastAsia" w:ascii="宋体" w:hAnsi="宋体" w:cs="Arial"/>
                <w:color w:val="auto"/>
                <w:kern w:val="0"/>
                <w:szCs w:val="21"/>
              </w:rPr>
              <w:t>具有独立承担民事责任的能力（提供</w:t>
            </w:r>
            <w:r>
              <w:rPr>
                <w:rFonts w:hint="eastAsia" w:ascii="宋体" w:hAnsi="宋体" w:cs="Arial"/>
                <w:color w:val="auto"/>
                <w:kern w:val="0"/>
                <w:szCs w:val="21"/>
                <w:lang w:val="en-US" w:eastAsia="zh-CN"/>
              </w:rPr>
              <w:t>有效</w:t>
            </w:r>
            <w:r>
              <w:rPr>
                <w:rFonts w:hint="eastAsia" w:ascii="宋体" w:hAnsi="宋体" w:cs="Arial"/>
                <w:color w:val="auto"/>
                <w:kern w:val="0"/>
                <w:szCs w:val="21"/>
              </w:rPr>
              <w:t>的营业执照）；</w:t>
            </w:r>
            <w:r>
              <w:rPr>
                <w:rFonts w:ascii="宋体" w:hAnsi="宋体" w:cs="Arial"/>
                <w:color w:val="auto"/>
                <w:kern w:val="0"/>
                <w:szCs w:val="21"/>
              </w:rPr>
              <w:t xml:space="preserve"> </w:t>
            </w:r>
          </w:p>
          <w:p w14:paraId="0C2972C8">
            <w:pPr>
              <w:spacing w:line="400" w:lineRule="exact"/>
              <w:ind w:firstLine="420" w:firstLineChars="200"/>
              <w:rPr>
                <w:rFonts w:hint="eastAsia" w:ascii="宋体" w:hAnsi="宋体" w:cs="Arial"/>
                <w:color w:val="auto"/>
                <w:kern w:val="0"/>
                <w:szCs w:val="21"/>
                <w:lang w:eastAsia="zh-CN"/>
              </w:rPr>
            </w:pPr>
            <w:r>
              <w:rPr>
                <w:rFonts w:ascii="宋体" w:hAnsi="宋体" w:cs="Arial"/>
                <w:color w:val="auto"/>
                <w:kern w:val="0"/>
                <w:szCs w:val="21"/>
              </w:rPr>
              <w:t>1.2具有良好的商业信誉和健全的财务</w:t>
            </w:r>
            <w:r>
              <w:rPr>
                <w:rFonts w:hint="eastAsia" w:ascii="宋体" w:hAnsi="宋体" w:cs="Arial"/>
                <w:color w:val="auto"/>
                <w:kern w:val="0"/>
                <w:szCs w:val="21"/>
              </w:rPr>
              <w:t>会计制度</w:t>
            </w:r>
            <w:r>
              <w:rPr>
                <w:rFonts w:ascii="宋体" w:hAnsi="宋体" w:cs="Arial"/>
                <w:color w:val="auto"/>
                <w:kern w:val="0"/>
                <w:szCs w:val="21"/>
              </w:rPr>
              <w:t>（提供202</w:t>
            </w:r>
            <w:r>
              <w:rPr>
                <w:rFonts w:hint="eastAsia" w:ascii="宋体" w:hAnsi="宋体" w:cs="Arial"/>
                <w:color w:val="auto"/>
                <w:kern w:val="0"/>
                <w:szCs w:val="21"/>
                <w:lang w:val="en-US" w:eastAsia="zh-CN"/>
              </w:rPr>
              <w:t>4</w:t>
            </w:r>
            <w:r>
              <w:rPr>
                <w:rFonts w:ascii="宋体" w:hAnsi="宋体" w:cs="Arial"/>
                <w:color w:val="auto"/>
                <w:kern w:val="0"/>
                <w:szCs w:val="21"/>
              </w:rPr>
              <w:t>年度</w:t>
            </w:r>
            <w:r>
              <w:rPr>
                <w:rFonts w:hint="eastAsia" w:ascii="宋体" w:hAnsi="宋体" w:cs="Arial"/>
                <w:color w:val="auto"/>
                <w:kern w:val="0"/>
                <w:szCs w:val="21"/>
                <w:lang w:val="en-US" w:eastAsia="zh-CN"/>
              </w:rPr>
              <w:t>或2025年度</w:t>
            </w:r>
            <w:r>
              <w:rPr>
                <w:rFonts w:ascii="宋体" w:hAnsi="宋体" w:cs="Arial"/>
                <w:color w:val="auto"/>
                <w:kern w:val="0"/>
                <w:szCs w:val="21"/>
              </w:rPr>
              <w:t>的经第三方审计机构出具的审计报告，新成立公司可提供银行出具的资信证明材料</w:t>
            </w:r>
            <w:r>
              <w:rPr>
                <w:rFonts w:hint="eastAsia" w:ascii="宋体" w:hAnsi="宋体" w:cs="Arial"/>
                <w:color w:val="auto"/>
                <w:kern w:val="0"/>
                <w:szCs w:val="21"/>
              </w:rPr>
              <w:t>）</w:t>
            </w:r>
            <w:r>
              <w:rPr>
                <w:rFonts w:ascii="宋体" w:hAnsi="宋体" w:cs="Arial"/>
                <w:color w:val="auto"/>
                <w:kern w:val="0"/>
                <w:szCs w:val="21"/>
              </w:rPr>
              <w:t>；</w:t>
            </w:r>
          </w:p>
          <w:p w14:paraId="171AC32B">
            <w:pPr>
              <w:spacing w:line="400" w:lineRule="exact"/>
              <w:ind w:firstLine="420" w:firstLineChars="200"/>
              <w:rPr>
                <w:rFonts w:hint="eastAsia" w:ascii="宋体" w:hAnsi="宋体" w:cs="Arial"/>
                <w:color w:val="auto"/>
                <w:kern w:val="0"/>
                <w:szCs w:val="21"/>
                <w:lang w:eastAsia="zh-CN"/>
              </w:rPr>
            </w:pPr>
            <w:r>
              <w:rPr>
                <w:rFonts w:ascii="宋体" w:hAnsi="宋体" w:cs="Arial"/>
                <w:color w:val="auto"/>
                <w:kern w:val="0"/>
                <w:szCs w:val="21"/>
              </w:rPr>
              <w:t>1.3具有履行合同所必需的人员、设备和专业技术能力（提供</w:t>
            </w:r>
            <w:r>
              <w:rPr>
                <w:rFonts w:hint="eastAsia" w:ascii="宋体" w:hAnsi="宋体" w:cs="Arial"/>
                <w:color w:val="auto"/>
                <w:kern w:val="0"/>
                <w:szCs w:val="21"/>
              </w:rPr>
              <w:t>证明材料或</w:t>
            </w:r>
            <w:r>
              <w:rPr>
                <w:rFonts w:ascii="宋体" w:hAnsi="宋体" w:cs="Arial"/>
                <w:color w:val="auto"/>
                <w:kern w:val="0"/>
                <w:szCs w:val="21"/>
              </w:rPr>
              <w:t>书面声明并加盖单位公章，格式自拟）；</w:t>
            </w:r>
          </w:p>
          <w:p w14:paraId="0631A4E6">
            <w:pPr>
              <w:spacing w:line="400" w:lineRule="exact"/>
              <w:ind w:firstLine="420" w:firstLineChars="200"/>
              <w:rPr>
                <w:rFonts w:hint="eastAsia" w:ascii="宋体" w:hAnsi="宋体" w:cs="Arial"/>
                <w:color w:val="auto"/>
                <w:kern w:val="0"/>
                <w:szCs w:val="21"/>
                <w:lang w:eastAsia="zh-CN"/>
              </w:rPr>
            </w:pPr>
            <w:r>
              <w:rPr>
                <w:rFonts w:ascii="宋体" w:hAnsi="宋体" w:cs="Arial"/>
                <w:color w:val="auto"/>
                <w:kern w:val="0"/>
                <w:szCs w:val="21"/>
              </w:rPr>
              <w:t>1.4有依法缴纳税收和社会保障资金的良好记录（提供单位202</w:t>
            </w:r>
            <w:r>
              <w:rPr>
                <w:rFonts w:hint="eastAsia" w:ascii="宋体" w:hAnsi="宋体" w:cs="Arial"/>
                <w:color w:val="auto"/>
                <w:kern w:val="0"/>
                <w:szCs w:val="21"/>
                <w:lang w:val="en-US" w:eastAsia="zh-CN"/>
              </w:rPr>
              <w:t>6</w:t>
            </w:r>
            <w:r>
              <w:rPr>
                <w:rFonts w:ascii="宋体" w:hAnsi="宋体" w:cs="Arial"/>
                <w:color w:val="auto"/>
                <w:kern w:val="0"/>
                <w:szCs w:val="21"/>
              </w:rPr>
              <w:t>年</w:t>
            </w:r>
            <w:r>
              <w:rPr>
                <w:rFonts w:hint="eastAsia" w:ascii="宋体" w:hAnsi="宋体" w:cs="Arial"/>
                <w:color w:val="auto"/>
                <w:kern w:val="0"/>
                <w:szCs w:val="21"/>
                <w:lang w:val="en-US" w:eastAsia="zh-CN"/>
              </w:rPr>
              <w:t>1</w:t>
            </w:r>
            <w:r>
              <w:rPr>
                <w:rFonts w:ascii="宋体" w:hAnsi="宋体" w:cs="Arial"/>
                <w:color w:val="auto"/>
                <w:kern w:val="0"/>
                <w:szCs w:val="21"/>
              </w:rPr>
              <w:t>月1日以来任意</w:t>
            </w:r>
            <w:r>
              <w:rPr>
                <w:rFonts w:hint="eastAsia" w:ascii="宋体" w:hAnsi="宋体" w:cs="Arial"/>
                <w:color w:val="auto"/>
                <w:kern w:val="0"/>
                <w:szCs w:val="21"/>
              </w:rPr>
              <w:t>一</w:t>
            </w:r>
            <w:r>
              <w:rPr>
                <w:rFonts w:ascii="宋体" w:hAnsi="宋体" w:cs="Arial"/>
                <w:color w:val="auto"/>
                <w:kern w:val="0"/>
                <w:szCs w:val="21"/>
              </w:rPr>
              <w:t>个月依法缴纳税收和社会保障</w:t>
            </w:r>
            <w:r>
              <w:rPr>
                <w:rFonts w:hint="eastAsia" w:ascii="宋体" w:hAnsi="宋体" w:cs="Arial"/>
                <w:color w:val="auto"/>
                <w:kern w:val="0"/>
                <w:szCs w:val="21"/>
              </w:rPr>
              <w:t>资金</w:t>
            </w:r>
            <w:r>
              <w:rPr>
                <w:rFonts w:ascii="宋体" w:hAnsi="宋体" w:cs="Arial"/>
                <w:color w:val="auto"/>
                <w:kern w:val="0"/>
                <w:szCs w:val="21"/>
              </w:rPr>
              <w:t>的证明材料；依法免税或不需要缴纳社会保障资金的投标人，应提供相应证明文件）；</w:t>
            </w:r>
          </w:p>
          <w:p w14:paraId="69E51D21">
            <w:pPr>
              <w:spacing w:line="400" w:lineRule="exact"/>
              <w:ind w:firstLine="420" w:firstLineChars="200"/>
              <w:rPr>
                <w:rFonts w:hint="eastAsia" w:ascii="宋体" w:hAnsi="宋体" w:cs="Arial"/>
                <w:color w:val="auto"/>
                <w:kern w:val="0"/>
                <w:szCs w:val="21"/>
                <w:lang w:eastAsia="zh-CN"/>
              </w:rPr>
            </w:pPr>
            <w:r>
              <w:rPr>
                <w:rFonts w:ascii="宋体" w:hAnsi="宋体" w:cs="Arial"/>
                <w:color w:val="auto"/>
                <w:kern w:val="0"/>
                <w:szCs w:val="21"/>
              </w:rPr>
              <w:t>1.5参加政府采购活动前三年内，在经营活动中没有重大违法记录（提供书面声明并加盖单位公章</w:t>
            </w:r>
            <w:r>
              <w:rPr>
                <w:rFonts w:hint="eastAsia" w:ascii="宋体" w:hAnsi="宋体" w:cs="Arial"/>
                <w:color w:val="auto"/>
                <w:kern w:val="0"/>
                <w:szCs w:val="21"/>
              </w:rPr>
              <w:t>，格式自拟</w:t>
            </w:r>
            <w:r>
              <w:rPr>
                <w:rFonts w:ascii="宋体" w:hAnsi="宋体" w:cs="Arial"/>
                <w:color w:val="auto"/>
                <w:kern w:val="0"/>
                <w:szCs w:val="21"/>
              </w:rPr>
              <w:t>）；</w:t>
            </w:r>
          </w:p>
          <w:p w14:paraId="207E69FB">
            <w:pPr>
              <w:spacing w:line="400" w:lineRule="exact"/>
              <w:ind w:firstLine="420" w:firstLineChars="200"/>
              <w:rPr>
                <w:rFonts w:ascii="宋体" w:hAnsi="宋体" w:cs="Arial"/>
                <w:color w:val="auto"/>
                <w:kern w:val="0"/>
                <w:szCs w:val="21"/>
              </w:rPr>
            </w:pPr>
            <w:r>
              <w:rPr>
                <w:rFonts w:ascii="宋体" w:hAnsi="宋体" w:cs="Arial"/>
                <w:color w:val="auto"/>
                <w:kern w:val="0"/>
                <w:szCs w:val="21"/>
              </w:rPr>
              <w:t>1.6法律、行政法规规定的其他条件。</w:t>
            </w:r>
          </w:p>
          <w:p w14:paraId="0D7AA3C0">
            <w:pPr>
              <w:spacing w:line="400" w:lineRule="exact"/>
              <w:ind w:firstLine="420" w:firstLineChars="200"/>
              <w:rPr>
                <w:rFonts w:hint="eastAsia" w:ascii="宋体" w:hAnsi="宋体" w:eastAsia="宋体" w:cs="Arial"/>
                <w:color w:val="auto"/>
                <w:kern w:val="0"/>
                <w:szCs w:val="21"/>
                <w:lang w:val="en-US" w:eastAsia="zh-CN"/>
              </w:rPr>
            </w:pPr>
            <w:r>
              <w:rPr>
                <w:rFonts w:hint="eastAsia" w:ascii="宋体" w:hAnsi="宋体" w:cs="Arial"/>
                <w:color w:val="auto"/>
                <w:kern w:val="0"/>
                <w:szCs w:val="21"/>
                <w:lang w:val="en-US" w:eastAsia="zh-CN"/>
              </w:rPr>
              <w:t>2、</w:t>
            </w:r>
            <w:r>
              <w:rPr>
                <w:rFonts w:hint="eastAsia" w:ascii="宋体" w:hAnsi="宋体" w:cs="Arial"/>
                <w:color w:val="auto"/>
                <w:kern w:val="0"/>
                <w:szCs w:val="21"/>
              </w:rPr>
              <w:t>信誉要求：</w:t>
            </w:r>
            <w:r>
              <w:rPr>
                <w:rFonts w:ascii="宋体" w:hAnsi="宋体" w:cs="Arial"/>
                <w:color w:val="auto"/>
                <w:kern w:val="0"/>
                <w:szCs w:val="21"/>
              </w:rPr>
              <w:t>根据《关于在政府采购活动中查询及使用信用记录有关问题的通知》(财库[2016]125号)和豫财购【2016】15号的规定，对列入失信被执行人、</w:t>
            </w:r>
            <w:r>
              <w:rPr>
                <w:rFonts w:hint="eastAsia" w:ascii="宋体" w:hAnsi="宋体" w:cs="Arial"/>
                <w:color w:val="auto"/>
                <w:kern w:val="0"/>
                <w:szCs w:val="21"/>
                <w:lang w:eastAsia="zh-CN"/>
              </w:rPr>
              <w:t>重大税收违法失信主体</w:t>
            </w:r>
            <w:r>
              <w:rPr>
                <w:rFonts w:ascii="宋体" w:hAnsi="宋体" w:cs="Arial"/>
                <w:color w:val="auto"/>
                <w:kern w:val="0"/>
                <w:szCs w:val="21"/>
              </w:rPr>
              <w:t>、政府采购严重违法失信行为记录名单的投标人，拒绝参与本项目政府采购活动；投标人应通过中国执行信息公开网查询“失信被执行人”</w:t>
            </w:r>
            <w:r>
              <w:rPr>
                <w:rFonts w:hint="eastAsia" w:ascii="宋体" w:hAnsi="宋体" w:cs="Arial"/>
                <w:color w:val="auto"/>
                <w:kern w:val="0"/>
                <w:szCs w:val="21"/>
                <w:lang w:eastAsia="zh-CN"/>
              </w:rPr>
              <w:t>、</w:t>
            </w:r>
            <w:r>
              <w:rPr>
                <w:rFonts w:ascii="宋体" w:hAnsi="宋体" w:cs="Arial"/>
                <w:color w:val="auto"/>
                <w:kern w:val="0"/>
                <w:szCs w:val="21"/>
              </w:rPr>
              <w:t>“信用中国”网站（www.creditchina.gov.cn）查询“</w:t>
            </w:r>
            <w:r>
              <w:rPr>
                <w:rFonts w:hint="eastAsia" w:ascii="宋体" w:hAnsi="宋体" w:cs="Arial"/>
                <w:color w:val="auto"/>
                <w:kern w:val="0"/>
                <w:szCs w:val="21"/>
                <w:lang w:eastAsia="zh-CN"/>
              </w:rPr>
              <w:t>重大税收违法失信主体</w:t>
            </w:r>
            <w:r>
              <w:rPr>
                <w:rFonts w:ascii="宋体" w:hAnsi="宋体" w:cs="Arial"/>
                <w:color w:val="auto"/>
                <w:kern w:val="0"/>
                <w:szCs w:val="21"/>
              </w:rPr>
              <w:t>”、中国政府采购网（www.ccgp.gov.c</w:t>
            </w:r>
            <w:r>
              <w:rPr>
                <w:rFonts w:hint="eastAsia" w:ascii="宋体" w:hAnsi="宋体" w:eastAsia="宋体" w:cs="Arial"/>
                <w:color w:val="auto"/>
                <w:kern w:val="0"/>
                <w:szCs w:val="21"/>
                <w:lang w:val="en-US" w:eastAsia="zh-CN"/>
              </w:rPr>
              <w:t>n）查询“政府采购严重违法失信行为记录名单”渠道查询自身信用记录。</w:t>
            </w:r>
          </w:p>
          <w:p w14:paraId="1B5C2F9F">
            <w:pPr>
              <w:spacing w:line="400" w:lineRule="exact"/>
              <w:ind w:firstLine="420" w:firstLineChars="200"/>
              <w:rPr>
                <w:color w:val="auto"/>
              </w:rPr>
            </w:pPr>
            <w:r>
              <w:rPr>
                <w:rFonts w:hint="eastAsia" w:ascii="宋体" w:hAnsi="宋体" w:cs="Arial"/>
                <w:color w:val="auto"/>
                <w:kern w:val="0"/>
                <w:szCs w:val="21"/>
                <w:lang w:val="en-US" w:eastAsia="zh-CN"/>
              </w:rPr>
              <w:t>3</w:t>
            </w:r>
            <w:r>
              <w:rPr>
                <w:rFonts w:hint="eastAsia" w:ascii="宋体" w:hAnsi="宋体" w:eastAsia="宋体" w:cs="Arial"/>
                <w:color w:val="auto"/>
                <w:kern w:val="0"/>
                <w:szCs w:val="21"/>
                <w:lang w:val="en-US" w:eastAsia="zh-CN"/>
              </w:rPr>
              <w:t xml:space="preserve">、本项目不接受联合体投标。  </w:t>
            </w:r>
          </w:p>
        </w:tc>
      </w:tr>
      <w:tr w14:paraId="56081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862" w:type="dxa"/>
            <w:tcBorders>
              <w:top w:val="single" w:color="auto" w:sz="4" w:space="0"/>
              <w:left w:val="single" w:color="auto" w:sz="4" w:space="0"/>
              <w:bottom w:val="single" w:color="auto" w:sz="4" w:space="0"/>
              <w:right w:val="single" w:color="auto" w:sz="4" w:space="0"/>
            </w:tcBorders>
            <w:noWrap w:val="0"/>
            <w:vAlign w:val="center"/>
          </w:tcPr>
          <w:p w14:paraId="250EF585">
            <w:pPr>
              <w:spacing w:line="400" w:lineRule="exact"/>
              <w:jc w:val="center"/>
              <w:rPr>
                <w:rFonts w:hint="eastAsia" w:ascii="宋体" w:hAnsi="宋体" w:eastAsia="宋体" w:cs="宋体"/>
                <w:color w:val="auto"/>
                <w:szCs w:val="21"/>
                <w:shd w:val="clear" w:color="auto" w:fill="auto"/>
                <w:lang w:eastAsia="zh-CN"/>
              </w:rPr>
            </w:pPr>
            <w:r>
              <w:rPr>
                <w:rFonts w:hint="eastAsia" w:ascii="宋体" w:hAnsi="宋体" w:cs="宋体"/>
                <w:color w:val="auto"/>
                <w:szCs w:val="21"/>
                <w:shd w:val="clear" w:color="auto" w:fill="auto"/>
              </w:rPr>
              <w:t>1</w:t>
            </w:r>
            <w:r>
              <w:rPr>
                <w:rFonts w:hint="eastAsia" w:ascii="宋体" w:hAnsi="宋体" w:cs="宋体"/>
                <w:color w:val="auto"/>
                <w:szCs w:val="21"/>
                <w:shd w:val="clear" w:color="auto" w:fill="auto"/>
                <w:lang w:val="en-US" w:eastAsia="zh-CN"/>
              </w:rPr>
              <w:t>3</w:t>
            </w:r>
          </w:p>
        </w:tc>
        <w:tc>
          <w:tcPr>
            <w:tcW w:w="1994" w:type="dxa"/>
            <w:tcBorders>
              <w:top w:val="single" w:color="auto" w:sz="4" w:space="0"/>
              <w:left w:val="single" w:color="auto" w:sz="4" w:space="0"/>
              <w:bottom w:val="single" w:color="auto" w:sz="4" w:space="0"/>
              <w:right w:val="single" w:color="auto" w:sz="4" w:space="0"/>
            </w:tcBorders>
            <w:noWrap w:val="0"/>
            <w:vAlign w:val="center"/>
          </w:tcPr>
          <w:p w14:paraId="2BE1BA65">
            <w:pPr>
              <w:spacing w:line="360" w:lineRule="exact"/>
              <w:jc w:val="center"/>
              <w:rPr>
                <w:rFonts w:ascii="宋体" w:hAnsi="宋体" w:cs="宋体"/>
                <w:color w:val="auto"/>
                <w:szCs w:val="21"/>
                <w:shd w:val="clear" w:color="auto" w:fill="auto"/>
              </w:rPr>
            </w:pPr>
            <w:r>
              <w:rPr>
                <w:rFonts w:hint="eastAsia" w:ascii="宋体" w:hAnsi="宋体" w:cs="宋体"/>
                <w:color w:val="auto"/>
                <w:szCs w:val="21"/>
                <w:shd w:val="clear" w:color="auto" w:fill="auto"/>
              </w:rPr>
              <w:t>是否接受联合体投标</w:t>
            </w:r>
          </w:p>
        </w:tc>
        <w:tc>
          <w:tcPr>
            <w:tcW w:w="7559" w:type="dxa"/>
            <w:gridSpan w:val="2"/>
            <w:tcBorders>
              <w:top w:val="single" w:color="auto" w:sz="4" w:space="0"/>
              <w:left w:val="single" w:color="auto" w:sz="4" w:space="0"/>
              <w:bottom w:val="single" w:color="auto" w:sz="4" w:space="0"/>
              <w:right w:val="single" w:color="auto" w:sz="4" w:space="0"/>
            </w:tcBorders>
            <w:noWrap w:val="0"/>
            <w:vAlign w:val="top"/>
          </w:tcPr>
          <w:p w14:paraId="2A68D15D">
            <w:pPr>
              <w:spacing w:line="360" w:lineRule="exact"/>
              <w:jc w:val="left"/>
              <w:rPr>
                <w:rFonts w:ascii="宋体" w:hAnsi="宋体" w:cs="宋体"/>
                <w:color w:val="auto"/>
                <w:szCs w:val="21"/>
                <w:shd w:val="clear" w:color="auto" w:fill="auto"/>
              </w:rPr>
            </w:pPr>
            <w:r>
              <w:rPr>
                <w:rFonts w:ascii="宋体" w:hAnsi="宋体"/>
                <w:color w:val="auto"/>
                <w:szCs w:val="21"/>
                <w:shd w:val="clear" w:color="auto" w:fill="auto"/>
              </w:rPr>
              <w:fldChar w:fldCharType="begin"/>
            </w:r>
            <w:r>
              <w:rPr>
                <w:rFonts w:hint="eastAsia" w:ascii="宋体" w:hAnsi="宋体" w:cs="宋体"/>
                <w:color w:val="auto"/>
                <w:szCs w:val="21"/>
                <w:shd w:val="clear" w:color="auto" w:fill="auto"/>
              </w:rPr>
              <w:instrText xml:space="preserve"> eq \o\ac(</w:instrText>
            </w:r>
            <w:r>
              <w:rPr>
                <w:rFonts w:hint="eastAsia" w:ascii="宋体" w:hAnsi="宋体" w:cs="宋体"/>
                <w:color w:val="auto"/>
                <w:position w:val="-4"/>
                <w:szCs w:val="21"/>
                <w:shd w:val="clear" w:color="auto" w:fill="auto"/>
              </w:rPr>
              <w:instrText xml:space="preserve">□</w:instrText>
            </w:r>
            <w:r>
              <w:rPr>
                <w:rFonts w:hint="eastAsia" w:ascii="宋体" w:hAnsi="宋体" w:cs="宋体"/>
                <w:color w:val="auto"/>
                <w:szCs w:val="21"/>
                <w:shd w:val="clear" w:color="auto" w:fill="auto"/>
              </w:rPr>
              <w:instrText xml:space="preserve">,√)</w:instrText>
            </w:r>
            <w:r>
              <w:rPr>
                <w:rFonts w:ascii="宋体" w:hAnsi="宋体"/>
                <w:color w:val="auto"/>
                <w:szCs w:val="21"/>
                <w:shd w:val="clear" w:color="auto" w:fill="auto"/>
              </w:rPr>
              <w:fldChar w:fldCharType="end"/>
            </w:r>
            <w:r>
              <w:rPr>
                <w:rFonts w:hint="eastAsia" w:ascii="宋体" w:hAnsi="宋体" w:cs="宋体"/>
                <w:color w:val="auto"/>
                <w:szCs w:val="21"/>
                <w:shd w:val="clear" w:color="auto" w:fill="auto"/>
              </w:rPr>
              <w:t>不接受</w:t>
            </w:r>
          </w:p>
          <w:p w14:paraId="1ADCB714">
            <w:pPr>
              <w:numPr>
                <w:ilvl w:val="0"/>
                <w:numId w:val="3"/>
              </w:numPr>
              <w:spacing w:line="360" w:lineRule="exact"/>
              <w:ind w:left="0" w:leftChars="0" w:firstLine="0" w:firstLineChars="0"/>
              <w:jc w:val="left"/>
              <w:rPr>
                <w:rFonts w:ascii="宋体" w:hAnsi="宋体" w:cs="宋体"/>
                <w:color w:val="auto"/>
                <w:szCs w:val="21"/>
                <w:shd w:val="clear" w:color="auto" w:fill="auto"/>
              </w:rPr>
            </w:pPr>
            <w:r>
              <w:rPr>
                <w:rFonts w:hint="eastAsia" w:ascii="宋体" w:hAnsi="宋体" w:cs="宋体"/>
                <w:color w:val="auto"/>
                <w:szCs w:val="21"/>
                <w:shd w:val="clear" w:color="auto" w:fill="auto"/>
              </w:rPr>
              <w:t>接受,应满足下列要求:</w:t>
            </w:r>
          </w:p>
        </w:tc>
      </w:tr>
      <w:tr w14:paraId="79DD3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 w:hRule="atLeast"/>
        </w:trPr>
        <w:tc>
          <w:tcPr>
            <w:tcW w:w="862" w:type="dxa"/>
            <w:tcBorders>
              <w:top w:val="single" w:color="auto" w:sz="4" w:space="0"/>
              <w:left w:val="single" w:color="auto" w:sz="4" w:space="0"/>
              <w:bottom w:val="single" w:color="auto" w:sz="4" w:space="0"/>
              <w:right w:val="single" w:color="auto" w:sz="4" w:space="0"/>
            </w:tcBorders>
            <w:noWrap w:val="0"/>
            <w:vAlign w:val="center"/>
          </w:tcPr>
          <w:p w14:paraId="597D292B">
            <w:pPr>
              <w:spacing w:line="400" w:lineRule="exact"/>
              <w:jc w:val="center"/>
              <w:rPr>
                <w:rFonts w:hint="eastAsia" w:ascii="宋体" w:hAnsi="宋体" w:eastAsia="宋体" w:cs="宋体"/>
                <w:color w:val="auto"/>
                <w:szCs w:val="21"/>
                <w:shd w:val="clear" w:color="auto" w:fill="auto"/>
                <w:lang w:eastAsia="zh-CN"/>
              </w:rPr>
            </w:pPr>
            <w:r>
              <w:rPr>
                <w:rFonts w:hint="eastAsia" w:ascii="宋体" w:hAnsi="宋体" w:cs="宋体"/>
                <w:color w:val="auto"/>
                <w:szCs w:val="21"/>
                <w:shd w:val="clear" w:color="auto" w:fill="auto"/>
              </w:rPr>
              <w:t>1</w:t>
            </w:r>
            <w:r>
              <w:rPr>
                <w:rFonts w:hint="eastAsia" w:ascii="宋体" w:hAnsi="宋体" w:cs="宋体"/>
                <w:color w:val="auto"/>
                <w:szCs w:val="21"/>
                <w:shd w:val="clear" w:color="auto" w:fill="auto"/>
                <w:lang w:val="en-US" w:eastAsia="zh-CN"/>
              </w:rPr>
              <w:t>4</w:t>
            </w:r>
          </w:p>
        </w:tc>
        <w:tc>
          <w:tcPr>
            <w:tcW w:w="1994" w:type="dxa"/>
            <w:tcBorders>
              <w:top w:val="single" w:color="auto" w:sz="4" w:space="0"/>
              <w:left w:val="single" w:color="auto" w:sz="4" w:space="0"/>
              <w:bottom w:val="single" w:color="auto" w:sz="4" w:space="0"/>
              <w:right w:val="single" w:color="auto" w:sz="4" w:space="0"/>
            </w:tcBorders>
            <w:noWrap w:val="0"/>
            <w:vAlign w:val="center"/>
          </w:tcPr>
          <w:p w14:paraId="37A10C58">
            <w:pPr>
              <w:spacing w:line="360" w:lineRule="exact"/>
              <w:jc w:val="center"/>
              <w:rPr>
                <w:rFonts w:ascii="宋体" w:hAnsi="宋体" w:cs="宋体"/>
                <w:color w:val="auto"/>
                <w:szCs w:val="21"/>
                <w:shd w:val="clear" w:color="auto" w:fill="auto"/>
              </w:rPr>
            </w:pPr>
            <w:r>
              <w:rPr>
                <w:rFonts w:hint="eastAsia" w:ascii="宋体" w:hAnsi="宋体" w:cs="宋体"/>
                <w:color w:val="auto"/>
                <w:szCs w:val="21"/>
                <w:shd w:val="clear" w:color="auto" w:fill="auto"/>
              </w:rPr>
              <w:t>构成招标文件的其他材料</w:t>
            </w:r>
          </w:p>
        </w:tc>
        <w:tc>
          <w:tcPr>
            <w:tcW w:w="7559" w:type="dxa"/>
            <w:gridSpan w:val="2"/>
            <w:tcBorders>
              <w:top w:val="single" w:color="auto" w:sz="4" w:space="0"/>
              <w:left w:val="single" w:color="auto" w:sz="4" w:space="0"/>
              <w:bottom w:val="single" w:color="auto" w:sz="4" w:space="0"/>
              <w:right w:val="single" w:color="auto" w:sz="4" w:space="0"/>
            </w:tcBorders>
            <w:noWrap w:val="0"/>
            <w:vAlign w:val="top"/>
          </w:tcPr>
          <w:p w14:paraId="378BD918">
            <w:pPr>
              <w:spacing w:line="360" w:lineRule="exact"/>
              <w:jc w:val="left"/>
              <w:rPr>
                <w:rFonts w:ascii="宋体" w:hAnsi="宋体" w:cs="宋体"/>
                <w:color w:val="auto"/>
                <w:szCs w:val="21"/>
                <w:shd w:val="clear" w:color="auto" w:fill="auto"/>
              </w:rPr>
            </w:pPr>
            <w:r>
              <w:rPr>
                <w:rFonts w:hint="eastAsia" w:ascii="宋体" w:hAnsi="宋体" w:cs="宋体"/>
                <w:color w:val="auto"/>
                <w:szCs w:val="21"/>
                <w:shd w:val="clear" w:color="auto" w:fill="auto"/>
              </w:rPr>
              <w:t>招标文件补充文件、澄清、修改、答疑。</w:t>
            </w:r>
          </w:p>
          <w:p w14:paraId="3532CE6F">
            <w:pPr>
              <w:spacing w:line="360" w:lineRule="exact"/>
              <w:jc w:val="left"/>
              <w:rPr>
                <w:rFonts w:ascii="宋体" w:hAnsi="宋体" w:cs="宋体"/>
                <w:color w:val="auto"/>
                <w:szCs w:val="21"/>
                <w:shd w:val="clear" w:color="auto" w:fill="auto"/>
              </w:rPr>
            </w:pPr>
            <w:r>
              <w:rPr>
                <w:rFonts w:hint="eastAsia" w:ascii="宋体" w:hAnsi="宋体" w:cs="宋体"/>
                <w:color w:val="auto"/>
                <w:szCs w:val="21"/>
                <w:shd w:val="clear" w:color="auto" w:fill="auto"/>
              </w:rPr>
              <w:t>当招标文件、补充（答疑）通知文件内容相互矛盾时，以最后发出的文件为准</w:t>
            </w:r>
          </w:p>
        </w:tc>
      </w:tr>
      <w:tr w14:paraId="2119E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862" w:type="dxa"/>
            <w:tcBorders>
              <w:top w:val="single" w:color="auto" w:sz="4" w:space="0"/>
              <w:left w:val="single" w:color="auto" w:sz="4" w:space="0"/>
              <w:bottom w:val="single" w:color="auto" w:sz="4" w:space="0"/>
              <w:right w:val="single" w:color="auto" w:sz="4" w:space="0"/>
            </w:tcBorders>
            <w:noWrap w:val="0"/>
            <w:vAlign w:val="center"/>
          </w:tcPr>
          <w:p w14:paraId="1DD56214">
            <w:pPr>
              <w:spacing w:line="400" w:lineRule="exact"/>
              <w:jc w:val="center"/>
              <w:rPr>
                <w:rFonts w:hint="eastAsia" w:ascii="宋体" w:hAnsi="宋体" w:eastAsia="宋体" w:cs="宋体"/>
                <w:color w:val="auto"/>
                <w:szCs w:val="21"/>
                <w:shd w:val="clear" w:color="auto" w:fill="auto"/>
                <w:lang w:eastAsia="zh-CN"/>
              </w:rPr>
            </w:pPr>
            <w:r>
              <w:rPr>
                <w:rFonts w:hint="eastAsia" w:ascii="宋体" w:hAnsi="宋体" w:cs="宋体"/>
                <w:color w:val="auto"/>
                <w:szCs w:val="21"/>
                <w:shd w:val="clear" w:color="auto" w:fill="auto"/>
              </w:rPr>
              <w:t>1</w:t>
            </w:r>
            <w:r>
              <w:rPr>
                <w:rFonts w:hint="eastAsia" w:ascii="宋体" w:hAnsi="宋体" w:cs="宋体"/>
                <w:color w:val="auto"/>
                <w:szCs w:val="21"/>
                <w:shd w:val="clear" w:color="auto" w:fill="auto"/>
                <w:lang w:val="en-US" w:eastAsia="zh-CN"/>
              </w:rPr>
              <w:t>5</w:t>
            </w:r>
          </w:p>
        </w:tc>
        <w:tc>
          <w:tcPr>
            <w:tcW w:w="1994" w:type="dxa"/>
            <w:tcBorders>
              <w:top w:val="single" w:color="auto" w:sz="4" w:space="0"/>
              <w:left w:val="single" w:color="auto" w:sz="4" w:space="0"/>
              <w:bottom w:val="single" w:color="auto" w:sz="4" w:space="0"/>
              <w:right w:val="single" w:color="auto" w:sz="4" w:space="0"/>
            </w:tcBorders>
            <w:noWrap w:val="0"/>
            <w:vAlign w:val="center"/>
          </w:tcPr>
          <w:p w14:paraId="00E3A6B2">
            <w:pPr>
              <w:spacing w:line="360" w:lineRule="exact"/>
              <w:jc w:val="center"/>
              <w:rPr>
                <w:rFonts w:ascii="宋体" w:hAnsi="宋体" w:cs="宋体"/>
                <w:color w:val="auto"/>
                <w:szCs w:val="21"/>
                <w:shd w:val="clear" w:color="auto" w:fill="auto"/>
              </w:rPr>
            </w:pPr>
            <w:r>
              <w:rPr>
                <w:rFonts w:hint="eastAsia" w:ascii="宋体" w:hAnsi="宋体" w:cs="宋体"/>
                <w:color w:val="auto"/>
                <w:szCs w:val="21"/>
                <w:shd w:val="clear" w:color="auto" w:fill="auto"/>
              </w:rPr>
              <w:t>投标截止时间</w:t>
            </w:r>
          </w:p>
        </w:tc>
        <w:tc>
          <w:tcPr>
            <w:tcW w:w="7559" w:type="dxa"/>
            <w:gridSpan w:val="2"/>
            <w:tcBorders>
              <w:top w:val="single" w:color="auto" w:sz="4" w:space="0"/>
              <w:left w:val="single" w:color="auto" w:sz="4" w:space="0"/>
              <w:bottom w:val="single" w:color="auto" w:sz="4" w:space="0"/>
              <w:right w:val="single" w:color="auto" w:sz="4" w:space="0"/>
            </w:tcBorders>
            <w:noWrap w:val="0"/>
            <w:vAlign w:val="center"/>
          </w:tcPr>
          <w:p w14:paraId="6B552B36">
            <w:pPr>
              <w:spacing w:line="360" w:lineRule="exact"/>
              <w:jc w:val="both"/>
              <w:rPr>
                <w:rFonts w:ascii="宋体" w:hAnsi="宋体" w:cs="宋体"/>
                <w:color w:val="auto"/>
                <w:szCs w:val="21"/>
                <w:shd w:val="clear" w:color="auto" w:fill="auto"/>
              </w:rPr>
            </w:pPr>
            <w:r>
              <w:rPr>
                <w:rFonts w:hint="eastAsia" w:ascii="宋体" w:hAnsi="宋体" w:cs="Arial"/>
                <w:color w:val="auto"/>
                <w:kern w:val="0"/>
                <w:szCs w:val="21"/>
                <w:lang w:val="en-US" w:eastAsia="zh-CN"/>
              </w:rPr>
              <w:t>2026年08月14日1</w:t>
            </w:r>
            <w:r>
              <w:rPr>
                <w:rFonts w:hint="eastAsia" w:ascii="宋体" w:hAnsi="宋体" w:cs="宋体"/>
                <w:color w:val="auto"/>
                <w:szCs w:val="21"/>
                <w:shd w:val="clear" w:color="auto" w:fill="auto"/>
                <w:lang w:eastAsia="zh-CN"/>
              </w:rPr>
              <w:t>0时</w:t>
            </w:r>
            <w:r>
              <w:rPr>
                <w:rFonts w:hint="eastAsia" w:ascii="宋体" w:hAnsi="宋体" w:cs="宋体"/>
                <w:color w:val="auto"/>
                <w:szCs w:val="21"/>
                <w:shd w:val="clear" w:color="auto" w:fill="auto"/>
                <w:lang w:val="en-US" w:eastAsia="zh-CN"/>
              </w:rPr>
              <w:t>0</w:t>
            </w:r>
            <w:r>
              <w:rPr>
                <w:rFonts w:hint="eastAsia" w:ascii="宋体" w:hAnsi="宋体" w:cs="宋体"/>
                <w:color w:val="auto"/>
                <w:szCs w:val="21"/>
                <w:shd w:val="clear" w:color="auto" w:fill="auto"/>
                <w:lang w:eastAsia="zh-CN"/>
              </w:rPr>
              <w:t>0分</w:t>
            </w:r>
            <w:r>
              <w:rPr>
                <w:rFonts w:hint="eastAsia" w:ascii="宋体" w:hAnsi="宋体" w:cs="宋体"/>
                <w:color w:val="auto"/>
                <w:szCs w:val="21"/>
                <w:shd w:val="clear" w:color="auto" w:fill="auto"/>
              </w:rPr>
              <w:t>（北京时间）</w:t>
            </w:r>
          </w:p>
        </w:tc>
      </w:tr>
      <w:tr w14:paraId="10A78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862" w:type="dxa"/>
            <w:tcBorders>
              <w:top w:val="single" w:color="auto" w:sz="4" w:space="0"/>
              <w:left w:val="single" w:color="auto" w:sz="4" w:space="0"/>
              <w:bottom w:val="single" w:color="auto" w:sz="4" w:space="0"/>
              <w:right w:val="single" w:color="auto" w:sz="4" w:space="0"/>
            </w:tcBorders>
            <w:noWrap w:val="0"/>
            <w:vAlign w:val="center"/>
          </w:tcPr>
          <w:p w14:paraId="5077221A">
            <w:pPr>
              <w:spacing w:line="420" w:lineRule="atLeast"/>
              <w:jc w:val="center"/>
              <w:rPr>
                <w:rFonts w:hint="eastAsia" w:ascii="宋体" w:hAnsi="宋体" w:eastAsia="宋体" w:cs="宋体"/>
                <w:b/>
                <w:color w:val="auto"/>
                <w:spacing w:val="20"/>
                <w:szCs w:val="21"/>
                <w:shd w:val="clear" w:color="auto" w:fill="auto"/>
                <w:lang w:eastAsia="zh-CN"/>
              </w:rPr>
            </w:pPr>
            <w:r>
              <w:rPr>
                <w:rFonts w:hint="eastAsia" w:ascii="宋体" w:hAnsi="宋体" w:cs="宋体"/>
                <w:color w:val="auto"/>
                <w:szCs w:val="21"/>
                <w:shd w:val="clear" w:color="auto" w:fill="auto"/>
              </w:rPr>
              <w:t>1</w:t>
            </w:r>
            <w:r>
              <w:rPr>
                <w:rFonts w:hint="eastAsia" w:ascii="宋体" w:hAnsi="宋体" w:cs="宋体"/>
                <w:color w:val="auto"/>
                <w:szCs w:val="21"/>
                <w:shd w:val="clear" w:color="auto" w:fill="auto"/>
                <w:lang w:val="en-US" w:eastAsia="zh-CN"/>
              </w:rPr>
              <w:t>6</w:t>
            </w:r>
          </w:p>
        </w:tc>
        <w:tc>
          <w:tcPr>
            <w:tcW w:w="1994" w:type="dxa"/>
            <w:tcBorders>
              <w:top w:val="single" w:color="auto" w:sz="4" w:space="0"/>
              <w:left w:val="single" w:color="auto" w:sz="4" w:space="0"/>
              <w:bottom w:val="single" w:color="auto" w:sz="4" w:space="0"/>
              <w:right w:val="single" w:color="auto" w:sz="4" w:space="0"/>
            </w:tcBorders>
            <w:noWrap w:val="0"/>
            <w:vAlign w:val="center"/>
          </w:tcPr>
          <w:p w14:paraId="12B75F4D">
            <w:pPr>
              <w:spacing w:line="360" w:lineRule="exact"/>
              <w:jc w:val="center"/>
              <w:rPr>
                <w:rFonts w:ascii="宋体" w:hAnsi="宋体" w:cs="宋体"/>
                <w:b/>
                <w:color w:val="auto"/>
                <w:szCs w:val="21"/>
                <w:shd w:val="clear" w:color="auto" w:fill="auto"/>
              </w:rPr>
            </w:pPr>
            <w:r>
              <w:rPr>
                <w:rFonts w:hint="eastAsia" w:ascii="宋体" w:hAnsi="宋体" w:cs="宋体"/>
                <w:color w:val="auto"/>
                <w:szCs w:val="21"/>
                <w:shd w:val="clear" w:color="auto" w:fill="auto"/>
              </w:rPr>
              <w:t>投标有效期</w:t>
            </w:r>
          </w:p>
        </w:tc>
        <w:tc>
          <w:tcPr>
            <w:tcW w:w="7559" w:type="dxa"/>
            <w:gridSpan w:val="2"/>
            <w:tcBorders>
              <w:top w:val="single" w:color="auto" w:sz="4" w:space="0"/>
              <w:left w:val="single" w:color="auto" w:sz="4" w:space="0"/>
              <w:bottom w:val="single" w:color="auto" w:sz="4" w:space="0"/>
              <w:right w:val="single" w:color="auto" w:sz="4" w:space="0"/>
            </w:tcBorders>
            <w:noWrap w:val="0"/>
            <w:vAlign w:val="center"/>
          </w:tcPr>
          <w:p w14:paraId="2DE50E11">
            <w:pPr>
              <w:spacing w:line="360" w:lineRule="exact"/>
              <w:jc w:val="left"/>
              <w:rPr>
                <w:rFonts w:hint="eastAsia" w:ascii="宋体" w:hAnsi="宋体" w:eastAsia="宋体"/>
                <w:color w:val="auto"/>
                <w:szCs w:val="21"/>
                <w:shd w:val="clear" w:color="auto" w:fill="auto"/>
                <w:lang w:eastAsia="zh-CN"/>
              </w:rPr>
            </w:pPr>
            <w:r>
              <w:rPr>
                <w:rFonts w:hint="eastAsia" w:ascii="宋体" w:hAnsi="宋体" w:cs="宋体"/>
                <w:color w:val="auto"/>
                <w:szCs w:val="21"/>
                <w:shd w:val="clear" w:color="auto" w:fill="auto"/>
              </w:rPr>
              <w:t>投标截止时间起60日历天</w:t>
            </w:r>
          </w:p>
        </w:tc>
      </w:tr>
      <w:tr w14:paraId="0DCBC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trPr>
        <w:tc>
          <w:tcPr>
            <w:tcW w:w="862" w:type="dxa"/>
            <w:tcBorders>
              <w:top w:val="single" w:color="auto" w:sz="4" w:space="0"/>
              <w:left w:val="single" w:color="auto" w:sz="4" w:space="0"/>
              <w:bottom w:val="single" w:color="auto" w:sz="4" w:space="0"/>
              <w:right w:val="single" w:color="auto" w:sz="4" w:space="0"/>
            </w:tcBorders>
            <w:noWrap w:val="0"/>
            <w:vAlign w:val="center"/>
          </w:tcPr>
          <w:p w14:paraId="0CCD7C8B">
            <w:pPr>
              <w:spacing w:line="400" w:lineRule="exact"/>
              <w:jc w:val="center"/>
              <w:rPr>
                <w:rFonts w:hint="eastAsia" w:ascii="宋体" w:hAnsi="宋体" w:eastAsia="宋体" w:cs="宋体"/>
                <w:color w:val="auto"/>
                <w:szCs w:val="21"/>
                <w:shd w:val="clear" w:color="auto" w:fill="auto"/>
                <w:lang w:eastAsia="zh-CN"/>
              </w:rPr>
            </w:pPr>
            <w:r>
              <w:rPr>
                <w:rFonts w:hint="eastAsia" w:ascii="宋体" w:hAnsi="宋体" w:cs="宋体"/>
                <w:color w:val="auto"/>
                <w:szCs w:val="21"/>
                <w:shd w:val="clear" w:color="auto" w:fill="auto"/>
              </w:rPr>
              <w:t>1</w:t>
            </w:r>
            <w:r>
              <w:rPr>
                <w:rFonts w:hint="eastAsia" w:ascii="宋体" w:hAnsi="宋体" w:cs="宋体"/>
                <w:color w:val="auto"/>
                <w:szCs w:val="21"/>
                <w:shd w:val="clear" w:color="auto" w:fill="auto"/>
                <w:lang w:val="en-US" w:eastAsia="zh-CN"/>
              </w:rPr>
              <w:t>7</w:t>
            </w:r>
          </w:p>
        </w:tc>
        <w:tc>
          <w:tcPr>
            <w:tcW w:w="1994" w:type="dxa"/>
            <w:tcBorders>
              <w:top w:val="single" w:color="auto" w:sz="4" w:space="0"/>
              <w:left w:val="single" w:color="auto" w:sz="4" w:space="0"/>
              <w:bottom w:val="single" w:color="auto" w:sz="4" w:space="0"/>
              <w:right w:val="single" w:color="auto" w:sz="4" w:space="0"/>
            </w:tcBorders>
            <w:noWrap w:val="0"/>
            <w:vAlign w:val="center"/>
          </w:tcPr>
          <w:p w14:paraId="02273985">
            <w:pPr>
              <w:spacing w:line="360" w:lineRule="exact"/>
              <w:jc w:val="center"/>
              <w:rPr>
                <w:rFonts w:ascii="宋体" w:hAnsi="宋体" w:cs="宋体"/>
                <w:color w:val="auto"/>
                <w:szCs w:val="21"/>
                <w:shd w:val="clear" w:color="auto" w:fill="auto"/>
              </w:rPr>
            </w:pPr>
            <w:r>
              <w:rPr>
                <w:rFonts w:hint="eastAsia" w:ascii="宋体" w:hAnsi="宋体" w:cs="宋体"/>
                <w:color w:val="auto"/>
                <w:szCs w:val="21"/>
                <w:shd w:val="clear" w:color="auto" w:fill="auto"/>
              </w:rPr>
              <w:t>是否允许递交备选投标方案</w:t>
            </w:r>
          </w:p>
        </w:tc>
        <w:tc>
          <w:tcPr>
            <w:tcW w:w="7559" w:type="dxa"/>
            <w:gridSpan w:val="2"/>
            <w:tcBorders>
              <w:top w:val="single" w:color="auto" w:sz="4" w:space="0"/>
              <w:left w:val="single" w:color="auto" w:sz="4" w:space="0"/>
              <w:bottom w:val="single" w:color="auto" w:sz="4" w:space="0"/>
              <w:right w:val="single" w:color="auto" w:sz="4" w:space="0"/>
            </w:tcBorders>
            <w:noWrap w:val="0"/>
            <w:vAlign w:val="center"/>
          </w:tcPr>
          <w:p w14:paraId="40295B29">
            <w:pPr>
              <w:spacing w:line="360" w:lineRule="exact"/>
              <w:jc w:val="center"/>
              <w:rPr>
                <w:rFonts w:ascii="宋体" w:hAnsi="宋体" w:cs="宋体"/>
                <w:color w:val="auto"/>
                <w:szCs w:val="21"/>
                <w:shd w:val="clear" w:color="auto" w:fill="auto"/>
              </w:rPr>
            </w:pPr>
            <w:r>
              <w:rPr>
                <w:rFonts w:hint="eastAsia" w:ascii="宋体" w:hAnsi="宋体" w:cs="宋体"/>
                <w:color w:val="auto"/>
                <w:szCs w:val="21"/>
                <w:shd w:val="clear" w:color="auto" w:fill="auto"/>
              </w:rPr>
              <w:t>不允许</w:t>
            </w:r>
          </w:p>
        </w:tc>
      </w:tr>
      <w:tr w14:paraId="62744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trPr>
        <w:tc>
          <w:tcPr>
            <w:tcW w:w="862" w:type="dxa"/>
            <w:tcBorders>
              <w:top w:val="single" w:color="auto" w:sz="4" w:space="0"/>
              <w:left w:val="single" w:color="auto" w:sz="4" w:space="0"/>
              <w:bottom w:val="single" w:color="auto" w:sz="4" w:space="0"/>
              <w:right w:val="single" w:color="auto" w:sz="4" w:space="0"/>
            </w:tcBorders>
            <w:noWrap w:val="0"/>
            <w:vAlign w:val="center"/>
          </w:tcPr>
          <w:p w14:paraId="6164F4A2">
            <w:pPr>
              <w:spacing w:line="400" w:lineRule="exact"/>
              <w:jc w:val="center"/>
              <w:rPr>
                <w:rFonts w:hint="eastAsia" w:ascii="宋体" w:hAnsi="宋体" w:eastAsia="宋体" w:cs="宋体"/>
                <w:color w:val="auto"/>
                <w:szCs w:val="21"/>
                <w:shd w:val="clear" w:color="auto" w:fill="auto"/>
                <w:lang w:eastAsia="zh-CN"/>
              </w:rPr>
            </w:pPr>
            <w:r>
              <w:rPr>
                <w:rFonts w:hint="eastAsia" w:ascii="宋体" w:hAnsi="宋体" w:cs="宋体"/>
                <w:color w:val="auto"/>
                <w:szCs w:val="21"/>
                <w:shd w:val="clear" w:color="auto" w:fill="auto"/>
              </w:rPr>
              <w:t>1</w:t>
            </w:r>
            <w:r>
              <w:rPr>
                <w:rFonts w:hint="eastAsia" w:ascii="宋体" w:hAnsi="宋体" w:cs="宋体"/>
                <w:color w:val="auto"/>
                <w:szCs w:val="21"/>
                <w:shd w:val="clear" w:color="auto" w:fill="auto"/>
                <w:lang w:val="en-US" w:eastAsia="zh-CN"/>
              </w:rPr>
              <w:t>8</w:t>
            </w:r>
          </w:p>
        </w:tc>
        <w:tc>
          <w:tcPr>
            <w:tcW w:w="1994" w:type="dxa"/>
            <w:tcBorders>
              <w:top w:val="single" w:color="auto" w:sz="4" w:space="0"/>
              <w:left w:val="single" w:color="auto" w:sz="4" w:space="0"/>
              <w:bottom w:val="single" w:color="auto" w:sz="4" w:space="0"/>
              <w:right w:val="single" w:color="auto" w:sz="4" w:space="0"/>
            </w:tcBorders>
            <w:noWrap w:val="0"/>
            <w:vAlign w:val="center"/>
          </w:tcPr>
          <w:p w14:paraId="4C5E4635">
            <w:pPr>
              <w:spacing w:line="360" w:lineRule="exact"/>
              <w:jc w:val="center"/>
              <w:rPr>
                <w:rFonts w:ascii="宋体" w:hAnsi="宋体"/>
                <w:color w:val="auto"/>
                <w:szCs w:val="21"/>
                <w:shd w:val="clear" w:color="auto" w:fill="auto"/>
              </w:rPr>
            </w:pPr>
            <w:r>
              <w:rPr>
                <w:rFonts w:hint="eastAsia" w:ascii="宋体" w:hAnsi="宋体"/>
                <w:color w:val="auto"/>
                <w:szCs w:val="21"/>
                <w:shd w:val="clear" w:color="auto" w:fill="auto"/>
              </w:rPr>
              <w:t>偏离</w:t>
            </w:r>
          </w:p>
        </w:tc>
        <w:tc>
          <w:tcPr>
            <w:tcW w:w="7559" w:type="dxa"/>
            <w:gridSpan w:val="2"/>
            <w:tcBorders>
              <w:top w:val="single" w:color="auto" w:sz="4" w:space="0"/>
              <w:left w:val="single" w:color="auto" w:sz="4" w:space="0"/>
              <w:bottom w:val="single" w:color="auto" w:sz="4" w:space="0"/>
              <w:right w:val="single" w:color="auto" w:sz="4" w:space="0"/>
            </w:tcBorders>
            <w:noWrap w:val="0"/>
            <w:vAlign w:val="center"/>
          </w:tcPr>
          <w:p w14:paraId="58670876">
            <w:pPr>
              <w:spacing w:line="360" w:lineRule="exact"/>
              <w:jc w:val="left"/>
              <w:rPr>
                <w:rFonts w:hint="eastAsia" w:ascii="宋体" w:hAnsi="宋体"/>
                <w:color w:val="auto"/>
                <w:szCs w:val="21"/>
                <w:shd w:val="clear" w:color="auto" w:fill="auto"/>
              </w:rPr>
            </w:pPr>
            <w:r>
              <w:rPr>
                <w:rFonts w:hint="eastAsia" w:ascii="宋体" w:hAnsi="宋体"/>
                <w:color w:val="auto"/>
                <w:szCs w:val="21"/>
                <w:shd w:val="clear" w:color="auto" w:fill="auto"/>
              </w:rPr>
              <w:t>不允许下列重大偏离：</w:t>
            </w:r>
          </w:p>
          <w:p w14:paraId="608CF024">
            <w:pPr>
              <w:spacing w:line="360" w:lineRule="exact"/>
              <w:jc w:val="left"/>
              <w:rPr>
                <w:rFonts w:hint="eastAsia" w:ascii="宋体" w:hAnsi="宋体"/>
                <w:color w:val="auto"/>
                <w:szCs w:val="21"/>
                <w:shd w:val="clear" w:color="auto" w:fill="auto"/>
              </w:rPr>
            </w:pPr>
            <w:r>
              <w:rPr>
                <w:rFonts w:hint="eastAsia" w:ascii="宋体" w:hAnsi="宋体"/>
                <w:color w:val="auto"/>
                <w:szCs w:val="21"/>
                <w:shd w:val="clear" w:color="auto" w:fill="auto"/>
              </w:rPr>
              <w:t>经评标委员会审查后，投标文件有下列情形之一的，视为未能实质性响应招标文件，应认定为无效标（即废标）：</w:t>
            </w:r>
          </w:p>
          <w:p w14:paraId="3478A53D">
            <w:pPr>
              <w:spacing w:line="360" w:lineRule="exact"/>
              <w:jc w:val="left"/>
              <w:rPr>
                <w:rFonts w:hint="eastAsia" w:ascii="宋体" w:hAnsi="宋体"/>
                <w:color w:val="auto"/>
                <w:szCs w:val="21"/>
                <w:shd w:val="clear" w:color="auto" w:fill="auto"/>
              </w:rPr>
            </w:pPr>
            <w:r>
              <w:rPr>
                <w:rFonts w:hint="eastAsia" w:ascii="宋体" w:hAnsi="宋体"/>
                <w:color w:val="auto"/>
                <w:szCs w:val="21"/>
                <w:shd w:val="clear" w:color="auto" w:fill="auto"/>
              </w:rPr>
              <w:t>1、投标文件没有按要求进行投标人法定代表人或授权代表人签字、盖章和加盖投标人公章的；</w:t>
            </w:r>
          </w:p>
          <w:p w14:paraId="47879216">
            <w:pPr>
              <w:spacing w:line="360" w:lineRule="exact"/>
              <w:jc w:val="left"/>
              <w:rPr>
                <w:rFonts w:hint="eastAsia" w:ascii="宋体" w:hAnsi="宋体"/>
                <w:color w:val="auto"/>
                <w:szCs w:val="21"/>
                <w:shd w:val="clear" w:color="auto" w:fill="auto"/>
              </w:rPr>
            </w:pPr>
            <w:r>
              <w:rPr>
                <w:rFonts w:hint="eastAsia" w:ascii="宋体" w:hAnsi="宋体"/>
                <w:color w:val="auto"/>
                <w:szCs w:val="21"/>
                <w:shd w:val="clear" w:color="auto" w:fill="auto"/>
              </w:rPr>
              <w:t>2、投标文件载明的项目完成期限负偏离于招标文件规定的期限的；</w:t>
            </w:r>
          </w:p>
          <w:p w14:paraId="331DA447">
            <w:pPr>
              <w:spacing w:line="360" w:lineRule="exact"/>
              <w:jc w:val="left"/>
              <w:rPr>
                <w:rFonts w:hint="eastAsia" w:ascii="宋体" w:hAnsi="宋体"/>
                <w:color w:val="auto"/>
                <w:szCs w:val="21"/>
                <w:shd w:val="clear" w:color="auto" w:fill="auto"/>
              </w:rPr>
            </w:pPr>
            <w:r>
              <w:rPr>
                <w:rFonts w:hint="eastAsia" w:ascii="宋体" w:hAnsi="宋体"/>
                <w:color w:val="auto"/>
                <w:szCs w:val="21"/>
                <w:shd w:val="clear" w:color="auto" w:fill="auto"/>
              </w:rPr>
              <w:t>3. 明显不符合技术规格、技术标准要求的，偏离使招标人不能接受的；</w:t>
            </w:r>
          </w:p>
          <w:p w14:paraId="5809C125">
            <w:pPr>
              <w:spacing w:line="360" w:lineRule="exact"/>
              <w:jc w:val="left"/>
              <w:rPr>
                <w:rFonts w:hint="eastAsia" w:ascii="宋体" w:hAnsi="宋体"/>
                <w:color w:val="auto"/>
                <w:szCs w:val="21"/>
                <w:shd w:val="clear" w:color="auto" w:fill="auto"/>
              </w:rPr>
            </w:pPr>
            <w:r>
              <w:rPr>
                <w:rFonts w:hint="eastAsia" w:ascii="宋体" w:hAnsi="宋体"/>
                <w:color w:val="auto"/>
                <w:szCs w:val="21"/>
                <w:shd w:val="clear" w:color="auto" w:fill="auto"/>
              </w:rPr>
              <w:t>4、投标文件载明的质量等级达不到招标文件规定的质量等级的；</w:t>
            </w:r>
          </w:p>
          <w:p w14:paraId="78A83BA3">
            <w:pPr>
              <w:spacing w:line="360" w:lineRule="exact"/>
              <w:jc w:val="left"/>
              <w:rPr>
                <w:rFonts w:hint="eastAsia" w:ascii="宋体" w:hAnsi="宋体"/>
                <w:color w:val="auto"/>
                <w:szCs w:val="21"/>
                <w:shd w:val="clear" w:color="auto" w:fill="auto"/>
              </w:rPr>
            </w:pPr>
            <w:r>
              <w:rPr>
                <w:rFonts w:hint="eastAsia" w:ascii="宋体" w:hAnsi="宋体"/>
                <w:color w:val="auto"/>
                <w:szCs w:val="21"/>
                <w:shd w:val="clear" w:color="auto" w:fill="auto"/>
              </w:rPr>
              <w:t>5、投标人拒绝按评标委员会要求对投标文件进行澄清、说明、补正或澄清、说明、补正不能合理说明情况的；</w:t>
            </w:r>
          </w:p>
          <w:p w14:paraId="6FC78358">
            <w:pPr>
              <w:spacing w:line="360" w:lineRule="exact"/>
              <w:jc w:val="left"/>
              <w:rPr>
                <w:rFonts w:hint="eastAsia" w:ascii="宋体" w:hAnsi="宋体"/>
                <w:color w:val="auto"/>
                <w:szCs w:val="21"/>
                <w:shd w:val="clear" w:color="auto" w:fill="auto"/>
              </w:rPr>
            </w:pPr>
            <w:r>
              <w:rPr>
                <w:rFonts w:hint="eastAsia" w:ascii="宋体" w:hAnsi="宋体"/>
                <w:color w:val="auto"/>
                <w:szCs w:val="21"/>
                <w:shd w:val="clear" w:color="auto" w:fill="auto"/>
              </w:rPr>
              <w:t>6、投标文件附加有招标人不能接受的条件的；</w:t>
            </w:r>
          </w:p>
          <w:p w14:paraId="61F9A0C3">
            <w:pPr>
              <w:spacing w:line="360" w:lineRule="exact"/>
              <w:jc w:val="left"/>
              <w:rPr>
                <w:rFonts w:hint="eastAsia" w:ascii="宋体" w:hAnsi="宋体"/>
                <w:color w:val="auto"/>
                <w:szCs w:val="21"/>
                <w:shd w:val="clear" w:color="auto" w:fill="auto"/>
              </w:rPr>
            </w:pPr>
            <w:r>
              <w:rPr>
                <w:rFonts w:hint="eastAsia" w:ascii="宋体" w:hAnsi="宋体"/>
                <w:color w:val="auto"/>
                <w:szCs w:val="21"/>
                <w:shd w:val="clear" w:color="auto" w:fill="auto"/>
              </w:rPr>
              <w:t>7、投标人递交两份或多份内容不同的投标文件，或在一份投标文件中报有两个或多个报价，但未声明哪一个有效的；</w:t>
            </w:r>
          </w:p>
          <w:p w14:paraId="1EA67E0A">
            <w:pPr>
              <w:spacing w:line="360" w:lineRule="exact"/>
              <w:jc w:val="left"/>
              <w:rPr>
                <w:rFonts w:hint="eastAsia" w:ascii="宋体" w:hAnsi="宋体"/>
                <w:color w:val="auto"/>
                <w:szCs w:val="21"/>
                <w:shd w:val="clear" w:color="auto" w:fill="auto"/>
              </w:rPr>
            </w:pPr>
            <w:r>
              <w:rPr>
                <w:rFonts w:hint="eastAsia" w:ascii="宋体" w:hAnsi="宋体"/>
                <w:color w:val="auto"/>
                <w:szCs w:val="21"/>
                <w:shd w:val="clear" w:color="auto" w:fill="auto"/>
              </w:rPr>
              <w:t>8、其他违反招投标法以及相关法律、法规和规定的。</w:t>
            </w:r>
          </w:p>
        </w:tc>
      </w:tr>
      <w:tr w14:paraId="295F9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trPr>
        <w:tc>
          <w:tcPr>
            <w:tcW w:w="862" w:type="dxa"/>
            <w:tcBorders>
              <w:top w:val="single" w:color="auto" w:sz="4" w:space="0"/>
              <w:left w:val="single" w:color="auto" w:sz="4" w:space="0"/>
              <w:bottom w:val="single" w:color="auto" w:sz="4" w:space="0"/>
              <w:right w:val="single" w:color="auto" w:sz="4" w:space="0"/>
            </w:tcBorders>
            <w:noWrap w:val="0"/>
            <w:vAlign w:val="center"/>
          </w:tcPr>
          <w:p w14:paraId="61DDD651">
            <w:pPr>
              <w:spacing w:line="400" w:lineRule="exact"/>
              <w:jc w:val="center"/>
              <w:rPr>
                <w:rFonts w:hint="default" w:ascii="宋体" w:hAnsi="宋体" w:eastAsia="宋体" w:cs="宋体"/>
                <w:color w:val="auto"/>
                <w:szCs w:val="21"/>
                <w:shd w:val="clear" w:color="auto" w:fill="auto"/>
                <w:lang w:val="en-US" w:eastAsia="zh-CN"/>
              </w:rPr>
            </w:pPr>
            <w:r>
              <w:rPr>
                <w:rFonts w:hint="eastAsia" w:ascii="宋体" w:hAnsi="宋体" w:cs="宋体"/>
                <w:color w:val="auto"/>
                <w:szCs w:val="21"/>
                <w:shd w:val="clear" w:color="auto" w:fill="auto"/>
                <w:lang w:val="en-US" w:eastAsia="zh-CN"/>
              </w:rPr>
              <w:t>19</w:t>
            </w:r>
          </w:p>
        </w:tc>
        <w:tc>
          <w:tcPr>
            <w:tcW w:w="1994" w:type="dxa"/>
            <w:tcBorders>
              <w:top w:val="single" w:color="auto" w:sz="4" w:space="0"/>
              <w:left w:val="single" w:color="auto" w:sz="4" w:space="0"/>
              <w:bottom w:val="single" w:color="auto" w:sz="4" w:space="0"/>
              <w:right w:val="single" w:color="auto" w:sz="4" w:space="0"/>
            </w:tcBorders>
            <w:noWrap w:val="0"/>
            <w:vAlign w:val="center"/>
          </w:tcPr>
          <w:p w14:paraId="6DD52CCD">
            <w:pPr>
              <w:spacing w:line="360" w:lineRule="exact"/>
              <w:jc w:val="center"/>
              <w:rPr>
                <w:rFonts w:ascii="宋体" w:hAnsi="宋体" w:cs="宋体"/>
                <w:color w:val="auto"/>
                <w:szCs w:val="21"/>
                <w:shd w:val="clear" w:color="auto" w:fill="auto"/>
              </w:rPr>
            </w:pPr>
            <w:r>
              <w:rPr>
                <w:rFonts w:hint="eastAsia" w:ascii="宋体" w:hAnsi="宋体" w:cs="宋体"/>
                <w:color w:val="auto"/>
                <w:szCs w:val="21"/>
                <w:shd w:val="clear" w:color="auto" w:fill="auto"/>
              </w:rPr>
              <w:t>签字或盖章要求</w:t>
            </w:r>
          </w:p>
        </w:tc>
        <w:tc>
          <w:tcPr>
            <w:tcW w:w="7559" w:type="dxa"/>
            <w:gridSpan w:val="2"/>
            <w:tcBorders>
              <w:top w:val="single" w:color="auto" w:sz="4" w:space="0"/>
              <w:left w:val="single" w:color="auto" w:sz="4" w:space="0"/>
              <w:bottom w:val="single" w:color="auto" w:sz="4" w:space="0"/>
              <w:right w:val="single" w:color="auto" w:sz="4" w:space="0"/>
            </w:tcBorders>
            <w:noWrap w:val="0"/>
            <w:vAlign w:val="top"/>
          </w:tcPr>
          <w:p w14:paraId="3911B1B8">
            <w:pPr>
              <w:spacing w:line="360" w:lineRule="exact"/>
              <w:jc w:val="left"/>
              <w:rPr>
                <w:rFonts w:ascii="宋体" w:hAnsi="宋体" w:cs="宋体"/>
                <w:color w:val="auto"/>
                <w:szCs w:val="21"/>
                <w:shd w:val="clear" w:color="auto" w:fill="auto"/>
              </w:rPr>
            </w:pPr>
            <w:r>
              <w:rPr>
                <w:rFonts w:hint="eastAsia" w:ascii="宋体" w:hAnsi="宋体"/>
                <w:color w:val="auto"/>
                <w:szCs w:val="21"/>
                <w:shd w:val="clear" w:color="auto" w:fill="auto"/>
              </w:rPr>
              <w:t>投标文件应按招标文件中</w:t>
            </w:r>
            <w:r>
              <w:rPr>
                <w:rFonts w:hint="eastAsia" w:ascii="宋体" w:hAnsi="宋体"/>
                <w:color w:val="auto"/>
                <w:szCs w:val="21"/>
                <w:shd w:val="clear" w:color="auto" w:fill="auto"/>
                <w:lang w:eastAsia="zh-CN"/>
              </w:rPr>
              <w:t>响应文件格式</w:t>
            </w:r>
            <w:r>
              <w:rPr>
                <w:rFonts w:hint="eastAsia" w:ascii="宋体" w:hAnsi="宋体"/>
                <w:color w:val="auto"/>
                <w:szCs w:val="21"/>
                <w:shd w:val="clear" w:color="auto" w:fill="auto"/>
              </w:rPr>
              <w:t>要求签字、盖章。投标文件应附法定代表人签署的授权委托书。</w:t>
            </w:r>
          </w:p>
        </w:tc>
      </w:tr>
      <w:tr w14:paraId="6B29A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62" w:type="dxa"/>
            <w:tcBorders>
              <w:top w:val="single" w:color="auto" w:sz="4" w:space="0"/>
              <w:left w:val="single" w:color="auto" w:sz="4" w:space="0"/>
              <w:bottom w:val="single" w:color="auto" w:sz="4" w:space="0"/>
              <w:right w:val="single" w:color="auto" w:sz="4" w:space="0"/>
            </w:tcBorders>
            <w:noWrap w:val="0"/>
            <w:vAlign w:val="center"/>
          </w:tcPr>
          <w:p w14:paraId="13D489DF">
            <w:pPr>
              <w:spacing w:line="380" w:lineRule="exact"/>
              <w:jc w:val="center"/>
              <w:rPr>
                <w:rFonts w:hint="default" w:ascii="宋体" w:hAnsi="宋体" w:eastAsia="宋体" w:cs="宋体"/>
                <w:color w:val="auto"/>
                <w:szCs w:val="21"/>
                <w:shd w:val="clear" w:color="auto" w:fill="auto"/>
                <w:lang w:val="en-US" w:eastAsia="zh-CN"/>
              </w:rPr>
            </w:pPr>
            <w:r>
              <w:rPr>
                <w:rFonts w:hint="eastAsia" w:ascii="宋体" w:hAnsi="宋体" w:cs="宋体"/>
                <w:color w:val="auto"/>
                <w:szCs w:val="21"/>
                <w:shd w:val="clear" w:color="auto" w:fill="auto"/>
                <w:lang w:val="en-US" w:eastAsia="zh-CN"/>
              </w:rPr>
              <w:t>20</w:t>
            </w:r>
          </w:p>
        </w:tc>
        <w:tc>
          <w:tcPr>
            <w:tcW w:w="1994" w:type="dxa"/>
            <w:tcBorders>
              <w:top w:val="single" w:color="auto" w:sz="4" w:space="0"/>
              <w:left w:val="single" w:color="auto" w:sz="4" w:space="0"/>
              <w:bottom w:val="single" w:color="auto" w:sz="4" w:space="0"/>
              <w:right w:val="single" w:color="auto" w:sz="4" w:space="0"/>
            </w:tcBorders>
            <w:noWrap w:val="0"/>
            <w:vAlign w:val="center"/>
          </w:tcPr>
          <w:p w14:paraId="09F52D71">
            <w:pPr>
              <w:spacing w:line="360" w:lineRule="exact"/>
              <w:jc w:val="center"/>
              <w:rPr>
                <w:rFonts w:ascii="宋体" w:hAnsi="宋体" w:cs="宋体"/>
                <w:color w:val="auto"/>
                <w:szCs w:val="21"/>
                <w:shd w:val="clear" w:color="auto" w:fill="auto"/>
              </w:rPr>
            </w:pPr>
            <w:r>
              <w:rPr>
                <w:rFonts w:hint="eastAsia" w:ascii="宋体" w:hAnsi="宋体" w:cs="宋体"/>
                <w:color w:val="auto"/>
                <w:szCs w:val="21"/>
                <w:shd w:val="clear" w:color="auto" w:fill="auto"/>
              </w:rPr>
              <w:t>是否退还投标文件</w:t>
            </w:r>
          </w:p>
        </w:tc>
        <w:tc>
          <w:tcPr>
            <w:tcW w:w="7559" w:type="dxa"/>
            <w:gridSpan w:val="2"/>
            <w:tcBorders>
              <w:top w:val="single" w:color="auto" w:sz="4" w:space="0"/>
              <w:left w:val="single" w:color="auto" w:sz="4" w:space="0"/>
              <w:bottom w:val="single" w:color="auto" w:sz="4" w:space="0"/>
              <w:right w:val="single" w:color="auto" w:sz="4" w:space="0"/>
            </w:tcBorders>
            <w:noWrap w:val="0"/>
            <w:vAlign w:val="center"/>
          </w:tcPr>
          <w:p w14:paraId="702D4E19">
            <w:pPr>
              <w:spacing w:line="360" w:lineRule="exact"/>
              <w:jc w:val="center"/>
              <w:rPr>
                <w:rFonts w:ascii="宋体" w:hAnsi="宋体" w:cs="宋体"/>
                <w:color w:val="auto"/>
                <w:szCs w:val="21"/>
                <w:shd w:val="clear" w:color="auto" w:fill="auto"/>
              </w:rPr>
            </w:pPr>
            <w:r>
              <w:rPr>
                <w:rFonts w:hint="eastAsia" w:ascii="宋体" w:hAnsi="宋体" w:cs="宋体"/>
                <w:color w:val="auto"/>
                <w:szCs w:val="21"/>
                <w:shd w:val="clear" w:color="auto" w:fill="auto"/>
              </w:rPr>
              <w:t>否</w:t>
            </w:r>
          </w:p>
        </w:tc>
      </w:tr>
      <w:tr w14:paraId="0A117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862" w:type="dxa"/>
            <w:tcBorders>
              <w:top w:val="single" w:color="auto" w:sz="4" w:space="0"/>
              <w:left w:val="single" w:color="auto" w:sz="4" w:space="0"/>
              <w:bottom w:val="single" w:color="auto" w:sz="4" w:space="0"/>
              <w:right w:val="single" w:color="auto" w:sz="4" w:space="0"/>
            </w:tcBorders>
            <w:noWrap w:val="0"/>
            <w:vAlign w:val="center"/>
          </w:tcPr>
          <w:p w14:paraId="2DF4AD22">
            <w:pPr>
              <w:spacing w:line="380" w:lineRule="exact"/>
              <w:jc w:val="center"/>
              <w:rPr>
                <w:rFonts w:hint="eastAsia" w:ascii="宋体" w:hAnsi="宋体" w:eastAsia="宋体" w:cs="宋体"/>
                <w:color w:val="auto"/>
                <w:szCs w:val="21"/>
                <w:shd w:val="clear" w:color="auto" w:fill="auto"/>
                <w:lang w:eastAsia="zh-CN"/>
              </w:rPr>
            </w:pPr>
            <w:r>
              <w:rPr>
                <w:rFonts w:hint="eastAsia" w:ascii="宋体" w:hAnsi="宋体" w:cs="宋体"/>
                <w:color w:val="auto"/>
                <w:szCs w:val="21"/>
                <w:shd w:val="clear" w:color="auto" w:fill="auto"/>
              </w:rPr>
              <w:t>2</w:t>
            </w:r>
            <w:r>
              <w:rPr>
                <w:rFonts w:hint="eastAsia" w:ascii="宋体" w:hAnsi="宋体" w:cs="宋体"/>
                <w:color w:val="auto"/>
                <w:szCs w:val="21"/>
                <w:shd w:val="clear" w:color="auto" w:fill="auto"/>
                <w:lang w:val="en-US" w:eastAsia="zh-CN"/>
              </w:rPr>
              <w:t>1</w:t>
            </w:r>
          </w:p>
        </w:tc>
        <w:tc>
          <w:tcPr>
            <w:tcW w:w="1994" w:type="dxa"/>
            <w:tcBorders>
              <w:top w:val="single" w:color="auto" w:sz="4" w:space="0"/>
              <w:left w:val="single" w:color="auto" w:sz="4" w:space="0"/>
              <w:bottom w:val="single" w:color="auto" w:sz="4" w:space="0"/>
              <w:right w:val="single" w:color="auto" w:sz="4" w:space="0"/>
            </w:tcBorders>
            <w:noWrap w:val="0"/>
            <w:vAlign w:val="center"/>
          </w:tcPr>
          <w:p w14:paraId="4FA7F61C">
            <w:pPr>
              <w:spacing w:line="360" w:lineRule="exact"/>
              <w:jc w:val="center"/>
              <w:rPr>
                <w:rFonts w:ascii="宋体" w:hAnsi="宋体" w:cs="宋体"/>
                <w:color w:val="auto"/>
                <w:szCs w:val="21"/>
                <w:shd w:val="clear" w:color="auto" w:fill="auto"/>
              </w:rPr>
            </w:pPr>
            <w:r>
              <w:rPr>
                <w:rFonts w:hint="eastAsia" w:ascii="宋体" w:hAnsi="宋体" w:cs="宋体"/>
                <w:color w:val="auto"/>
                <w:szCs w:val="21"/>
                <w:shd w:val="clear" w:color="auto" w:fill="auto"/>
              </w:rPr>
              <w:t>开标时间和地点</w:t>
            </w:r>
          </w:p>
        </w:tc>
        <w:tc>
          <w:tcPr>
            <w:tcW w:w="7559" w:type="dxa"/>
            <w:gridSpan w:val="2"/>
            <w:tcBorders>
              <w:top w:val="single" w:color="auto" w:sz="4" w:space="0"/>
              <w:left w:val="single" w:color="auto" w:sz="4" w:space="0"/>
              <w:bottom w:val="single" w:color="auto" w:sz="4" w:space="0"/>
              <w:right w:val="single" w:color="auto" w:sz="4" w:space="0"/>
            </w:tcBorders>
            <w:noWrap w:val="0"/>
            <w:vAlign w:val="top"/>
          </w:tcPr>
          <w:p w14:paraId="61374154">
            <w:pPr>
              <w:spacing w:line="360" w:lineRule="exact"/>
              <w:jc w:val="left"/>
              <w:rPr>
                <w:rFonts w:hint="eastAsia"/>
                <w:color w:val="auto"/>
                <w:shd w:val="clear" w:color="auto" w:fill="auto"/>
              </w:rPr>
            </w:pPr>
            <w:r>
              <w:rPr>
                <w:rFonts w:hint="eastAsia"/>
                <w:color w:val="auto"/>
                <w:shd w:val="clear" w:color="auto" w:fill="auto"/>
              </w:rPr>
              <w:t>开标时间：同投标截止时间</w:t>
            </w:r>
          </w:p>
          <w:p w14:paraId="37673D81">
            <w:pPr>
              <w:spacing w:line="360" w:lineRule="exact"/>
              <w:jc w:val="left"/>
              <w:rPr>
                <w:rFonts w:hint="eastAsia" w:eastAsia="宋体"/>
                <w:color w:val="auto"/>
                <w:shd w:val="clear" w:color="auto" w:fill="auto"/>
                <w:lang w:eastAsia="zh-CN"/>
              </w:rPr>
            </w:pPr>
            <w:r>
              <w:rPr>
                <w:rFonts w:hint="eastAsia"/>
                <w:color w:val="auto"/>
                <w:shd w:val="clear" w:color="auto" w:fill="auto"/>
              </w:rPr>
              <w:t xml:space="preserve">开标地点: </w:t>
            </w:r>
            <w:r>
              <w:rPr>
                <w:rFonts w:hint="eastAsia" w:ascii="宋体" w:hAnsi="宋体"/>
                <w:color w:val="auto"/>
                <w:spacing w:val="-2"/>
                <w:szCs w:val="21"/>
              </w:rPr>
              <w:t>杞县综合服务大厦十一楼开标室（金城大道与经四路交叉口东北角杞县便民服务中心）</w:t>
            </w:r>
          </w:p>
          <w:p w14:paraId="08196DF0">
            <w:pPr>
              <w:spacing w:line="360" w:lineRule="exact"/>
              <w:jc w:val="left"/>
              <w:rPr>
                <w:rFonts w:hint="eastAsia"/>
                <w:color w:val="auto"/>
                <w:shd w:val="clear" w:color="auto" w:fill="auto"/>
              </w:rPr>
            </w:pPr>
            <w:r>
              <w:rPr>
                <w:rFonts w:hint="eastAsia"/>
                <w:color w:val="auto"/>
                <w:shd w:val="clear" w:color="auto" w:fill="auto"/>
              </w:rPr>
              <w:t>本项目采用“远程不见面”开标方式，</w:t>
            </w:r>
            <w:r>
              <w:rPr>
                <w:rFonts w:hint="eastAsia"/>
                <w:b/>
                <w:bCs/>
                <w:color w:val="auto"/>
                <w:shd w:val="clear" w:color="auto" w:fill="auto"/>
              </w:rPr>
              <w:t>投标人</w:t>
            </w:r>
            <w:r>
              <w:rPr>
                <w:rFonts w:hint="eastAsia"/>
                <w:color w:val="auto"/>
                <w:shd w:val="clear" w:color="auto" w:fill="auto"/>
              </w:rPr>
              <w:t>无需到达现场提交原件资料、无需到开封市</w:t>
            </w:r>
            <w:r>
              <w:rPr>
                <w:rFonts w:hint="eastAsia"/>
                <w:color w:val="auto"/>
                <w:shd w:val="clear" w:color="auto" w:fill="auto"/>
                <w:lang w:val="en-US" w:eastAsia="zh-CN"/>
              </w:rPr>
              <w:t>杞县</w:t>
            </w:r>
            <w:r>
              <w:rPr>
                <w:rFonts w:hint="eastAsia"/>
                <w:color w:val="auto"/>
                <w:shd w:val="clear" w:color="auto" w:fill="auto"/>
              </w:rPr>
              <w:t>公共资源交易中心现场参加开标会议</w:t>
            </w:r>
            <w:r>
              <w:rPr>
                <w:rFonts w:hint="eastAsia"/>
                <w:color w:val="auto"/>
                <w:shd w:val="clear" w:color="auto" w:fill="auto"/>
                <w:lang w:eastAsia="zh-CN"/>
              </w:rPr>
              <w:t>，</w:t>
            </w:r>
            <w:r>
              <w:rPr>
                <w:rFonts w:hint="eastAsia"/>
                <w:color w:val="auto"/>
                <w:shd w:val="clear" w:color="auto" w:fill="auto"/>
              </w:rPr>
              <w:t>投标人应当在开标时间前,登录</w:t>
            </w:r>
            <w:r>
              <w:rPr>
                <w:rFonts w:hint="eastAsia"/>
                <w:color w:val="auto"/>
                <w:shd w:val="clear" w:color="auto" w:fill="auto"/>
                <w:lang w:eastAsia="zh-CN"/>
              </w:rPr>
              <w:t>（</w:t>
            </w:r>
            <w:r>
              <w:rPr>
                <w:rFonts w:hint="eastAsia"/>
                <w:color w:val="auto"/>
                <w:shd w:val="clear" w:color="auto" w:fill="auto"/>
              </w:rPr>
              <w:t>开封市公共资源交易中心网站</w:t>
            </w:r>
            <w:r>
              <w:rPr>
                <w:rFonts w:hint="eastAsia"/>
                <w:color w:val="auto"/>
                <w:shd w:val="clear" w:color="auto" w:fill="auto"/>
                <w:lang w:eastAsia="zh-CN"/>
              </w:rPr>
              <w:t>）</w:t>
            </w:r>
            <w:r>
              <w:rPr>
                <w:rFonts w:hint="eastAsia"/>
                <w:color w:val="auto"/>
                <w:shd w:val="clear" w:color="auto" w:fill="auto"/>
              </w:rPr>
              <w:t>远程开标大厅,在线准时参加开标活动并进行投标文件解密、答疑澄清等。</w:t>
            </w:r>
          </w:p>
        </w:tc>
      </w:tr>
      <w:tr w14:paraId="0FC65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862" w:type="dxa"/>
            <w:tcBorders>
              <w:top w:val="single" w:color="auto" w:sz="4" w:space="0"/>
              <w:left w:val="single" w:color="auto" w:sz="4" w:space="0"/>
              <w:bottom w:val="single" w:color="auto" w:sz="4" w:space="0"/>
              <w:right w:val="single" w:color="auto" w:sz="4" w:space="0"/>
            </w:tcBorders>
            <w:noWrap w:val="0"/>
            <w:vAlign w:val="center"/>
          </w:tcPr>
          <w:p w14:paraId="104BA5A2">
            <w:pPr>
              <w:spacing w:line="380" w:lineRule="exact"/>
              <w:jc w:val="center"/>
              <w:rPr>
                <w:rFonts w:hint="eastAsia" w:ascii="宋体" w:hAnsi="宋体" w:eastAsia="宋体" w:cs="宋体"/>
                <w:color w:val="auto"/>
                <w:szCs w:val="21"/>
                <w:shd w:val="clear" w:color="auto" w:fill="auto"/>
                <w:lang w:eastAsia="zh-CN"/>
              </w:rPr>
            </w:pPr>
            <w:r>
              <w:rPr>
                <w:rFonts w:hint="eastAsia" w:ascii="宋体" w:hAnsi="宋体" w:cs="宋体"/>
                <w:color w:val="auto"/>
                <w:szCs w:val="21"/>
                <w:shd w:val="clear" w:color="auto" w:fill="auto"/>
              </w:rPr>
              <w:t>2</w:t>
            </w:r>
            <w:r>
              <w:rPr>
                <w:rFonts w:hint="eastAsia" w:ascii="宋体" w:hAnsi="宋体" w:cs="宋体"/>
                <w:color w:val="auto"/>
                <w:szCs w:val="21"/>
                <w:shd w:val="clear" w:color="auto" w:fill="auto"/>
                <w:lang w:val="en-US" w:eastAsia="zh-CN"/>
              </w:rPr>
              <w:t>2</w:t>
            </w:r>
          </w:p>
        </w:tc>
        <w:tc>
          <w:tcPr>
            <w:tcW w:w="1994" w:type="dxa"/>
            <w:tcBorders>
              <w:top w:val="single" w:color="auto" w:sz="4" w:space="0"/>
              <w:left w:val="single" w:color="auto" w:sz="4" w:space="0"/>
              <w:bottom w:val="single" w:color="auto" w:sz="4" w:space="0"/>
              <w:right w:val="single" w:color="auto" w:sz="4" w:space="0"/>
            </w:tcBorders>
            <w:noWrap w:val="0"/>
            <w:vAlign w:val="center"/>
          </w:tcPr>
          <w:p w14:paraId="2EBF6862">
            <w:pPr>
              <w:spacing w:line="360" w:lineRule="exact"/>
              <w:jc w:val="center"/>
              <w:rPr>
                <w:rFonts w:ascii="宋体" w:hAnsi="宋体" w:cs="宋体"/>
                <w:color w:val="auto"/>
                <w:szCs w:val="21"/>
                <w:shd w:val="clear" w:color="auto" w:fill="auto"/>
              </w:rPr>
            </w:pPr>
            <w:r>
              <w:rPr>
                <w:rFonts w:hint="eastAsia" w:ascii="宋体" w:hAnsi="宋体" w:cs="宋体"/>
                <w:color w:val="auto"/>
                <w:szCs w:val="21"/>
                <w:shd w:val="clear" w:color="auto" w:fill="auto"/>
              </w:rPr>
              <w:t>开标程序</w:t>
            </w:r>
          </w:p>
        </w:tc>
        <w:tc>
          <w:tcPr>
            <w:tcW w:w="7559" w:type="dxa"/>
            <w:gridSpan w:val="2"/>
            <w:tcBorders>
              <w:top w:val="single" w:color="auto" w:sz="4" w:space="0"/>
              <w:left w:val="single" w:color="auto" w:sz="4" w:space="0"/>
              <w:bottom w:val="single" w:color="auto" w:sz="4" w:space="0"/>
              <w:right w:val="single" w:color="auto" w:sz="4" w:space="0"/>
            </w:tcBorders>
            <w:noWrap w:val="0"/>
            <w:vAlign w:val="top"/>
          </w:tcPr>
          <w:p w14:paraId="36090082">
            <w:pPr>
              <w:spacing w:line="360" w:lineRule="exact"/>
              <w:jc w:val="left"/>
              <w:rPr>
                <w:rFonts w:ascii="宋体" w:hAnsi="宋体" w:cs="宋体"/>
                <w:color w:val="auto"/>
                <w:spacing w:val="-6"/>
                <w:szCs w:val="21"/>
                <w:shd w:val="clear" w:color="auto" w:fill="auto"/>
              </w:rPr>
            </w:pPr>
            <w:r>
              <w:rPr>
                <w:rFonts w:hint="eastAsia" w:ascii="宋体" w:hAnsi="宋体" w:cs="宋体"/>
                <w:color w:val="auto"/>
                <w:spacing w:val="-6"/>
                <w:szCs w:val="21"/>
                <w:shd w:val="clear" w:color="auto" w:fill="auto"/>
                <w:lang w:eastAsia="zh-CN"/>
              </w:rPr>
              <w:t>投标人到场</w:t>
            </w:r>
            <w:r>
              <w:rPr>
                <w:rFonts w:hint="eastAsia" w:ascii="宋体" w:hAnsi="宋体" w:cs="宋体"/>
                <w:color w:val="auto"/>
                <w:spacing w:val="-6"/>
                <w:szCs w:val="21"/>
                <w:shd w:val="clear" w:color="auto" w:fill="auto"/>
              </w:rPr>
              <w:t>情况检查：招标人代表、投标人代表、监督人员</w:t>
            </w:r>
          </w:p>
          <w:p w14:paraId="37DF4680">
            <w:pPr>
              <w:spacing w:line="360" w:lineRule="exact"/>
              <w:jc w:val="left"/>
              <w:rPr>
                <w:rFonts w:hint="eastAsia" w:ascii="宋体" w:hAnsi="宋体" w:eastAsia="宋体" w:cs="宋体"/>
                <w:color w:val="auto"/>
                <w:szCs w:val="21"/>
                <w:shd w:val="clear" w:color="auto" w:fill="auto"/>
                <w:lang w:eastAsia="zh-CN"/>
              </w:rPr>
            </w:pPr>
            <w:r>
              <w:rPr>
                <w:rFonts w:hint="eastAsia" w:ascii="宋体" w:hAnsi="宋体" w:cs="宋体"/>
                <w:color w:val="auto"/>
                <w:szCs w:val="21"/>
                <w:shd w:val="clear" w:color="auto" w:fill="auto"/>
              </w:rPr>
              <w:t>开标顺序：</w:t>
            </w:r>
            <w:r>
              <w:rPr>
                <w:rFonts w:hint="eastAsia" w:ascii="宋体" w:hAnsi="宋体" w:cs="宋体"/>
                <w:color w:val="auto"/>
                <w:szCs w:val="21"/>
                <w:shd w:val="clear" w:color="auto" w:fill="auto"/>
                <w:lang w:eastAsia="zh-CN"/>
              </w:rPr>
              <w:t>按照招标文件要求参与开标并解锁电子投标文件。</w:t>
            </w:r>
          </w:p>
        </w:tc>
      </w:tr>
      <w:tr w14:paraId="26B8A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trPr>
        <w:tc>
          <w:tcPr>
            <w:tcW w:w="862" w:type="dxa"/>
            <w:tcBorders>
              <w:top w:val="single" w:color="auto" w:sz="4" w:space="0"/>
              <w:left w:val="single" w:color="auto" w:sz="4" w:space="0"/>
              <w:bottom w:val="single" w:color="auto" w:sz="4" w:space="0"/>
              <w:right w:val="single" w:color="auto" w:sz="4" w:space="0"/>
            </w:tcBorders>
            <w:noWrap w:val="0"/>
            <w:vAlign w:val="center"/>
          </w:tcPr>
          <w:p w14:paraId="136E7AD6">
            <w:pPr>
              <w:spacing w:line="380" w:lineRule="exact"/>
              <w:jc w:val="center"/>
              <w:rPr>
                <w:rFonts w:hint="default" w:ascii="宋体" w:hAnsi="宋体" w:eastAsia="宋体" w:cs="宋体"/>
                <w:color w:val="auto"/>
                <w:szCs w:val="21"/>
                <w:shd w:val="clear" w:color="auto" w:fill="auto"/>
                <w:lang w:val="en-US" w:eastAsia="zh-CN"/>
              </w:rPr>
            </w:pPr>
            <w:r>
              <w:rPr>
                <w:rFonts w:hint="eastAsia" w:ascii="宋体" w:hAnsi="宋体" w:cs="宋体"/>
                <w:color w:val="auto"/>
                <w:szCs w:val="21"/>
                <w:shd w:val="clear" w:color="auto" w:fill="auto"/>
              </w:rPr>
              <w:t>2</w:t>
            </w:r>
            <w:r>
              <w:rPr>
                <w:rFonts w:hint="eastAsia" w:ascii="宋体" w:hAnsi="宋体" w:cs="宋体"/>
                <w:color w:val="auto"/>
                <w:szCs w:val="21"/>
                <w:shd w:val="clear" w:color="auto" w:fill="auto"/>
                <w:lang w:val="en-US" w:eastAsia="zh-CN"/>
              </w:rPr>
              <w:t>3</w:t>
            </w:r>
          </w:p>
        </w:tc>
        <w:tc>
          <w:tcPr>
            <w:tcW w:w="1994" w:type="dxa"/>
            <w:tcBorders>
              <w:top w:val="single" w:color="auto" w:sz="4" w:space="0"/>
              <w:left w:val="single" w:color="auto" w:sz="4" w:space="0"/>
              <w:bottom w:val="single" w:color="auto" w:sz="4" w:space="0"/>
              <w:right w:val="single" w:color="auto" w:sz="4" w:space="0"/>
            </w:tcBorders>
            <w:noWrap w:val="0"/>
            <w:vAlign w:val="center"/>
          </w:tcPr>
          <w:p w14:paraId="583E06F2">
            <w:pPr>
              <w:spacing w:line="360" w:lineRule="exact"/>
              <w:jc w:val="center"/>
              <w:rPr>
                <w:rFonts w:ascii="宋体" w:hAnsi="宋体" w:cs="宋体"/>
                <w:color w:val="auto"/>
                <w:szCs w:val="21"/>
                <w:shd w:val="clear" w:color="auto" w:fill="auto"/>
              </w:rPr>
            </w:pPr>
            <w:r>
              <w:rPr>
                <w:rFonts w:hint="eastAsia" w:ascii="宋体" w:hAnsi="宋体" w:cs="宋体"/>
                <w:color w:val="auto"/>
                <w:szCs w:val="21"/>
                <w:shd w:val="clear" w:color="auto" w:fill="auto"/>
              </w:rPr>
              <w:t>评标委员会的组建</w:t>
            </w:r>
          </w:p>
        </w:tc>
        <w:tc>
          <w:tcPr>
            <w:tcW w:w="7559" w:type="dxa"/>
            <w:gridSpan w:val="2"/>
            <w:tcBorders>
              <w:top w:val="single" w:color="auto" w:sz="4" w:space="0"/>
              <w:left w:val="single" w:color="auto" w:sz="4" w:space="0"/>
              <w:bottom w:val="single" w:color="auto" w:sz="4" w:space="0"/>
              <w:right w:val="single" w:color="auto" w:sz="4" w:space="0"/>
            </w:tcBorders>
            <w:noWrap w:val="0"/>
            <w:vAlign w:val="top"/>
          </w:tcPr>
          <w:p w14:paraId="1C3D9DEF">
            <w:pPr>
              <w:spacing w:line="360" w:lineRule="exact"/>
              <w:rPr>
                <w:rFonts w:hint="eastAsia" w:ascii="宋体" w:hAnsi="宋体"/>
                <w:color w:val="auto"/>
                <w:szCs w:val="21"/>
                <w:shd w:val="clear" w:color="auto" w:fill="auto"/>
              </w:rPr>
            </w:pPr>
            <w:r>
              <w:rPr>
                <w:rFonts w:hint="eastAsia" w:ascii="宋体" w:hAnsi="宋体"/>
                <w:color w:val="auto"/>
                <w:szCs w:val="21"/>
                <w:shd w:val="clear" w:color="auto" w:fill="auto"/>
              </w:rPr>
              <w:t xml:space="preserve">招标人将组建评标委员会。评标委员会构成: </w:t>
            </w:r>
            <w:r>
              <w:rPr>
                <w:rFonts w:hint="eastAsia" w:ascii="宋体" w:hAnsi="宋体"/>
                <w:color w:val="auto"/>
                <w:szCs w:val="21"/>
                <w:u w:val="single"/>
                <w:shd w:val="clear" w:color="auto" w:fill="auto"/>
              </w:rPr>
              <w:t xml:space="preserve"> </w:t>
            </w:r>
            <w:r>
              <w:rPr>
                <w:rFonts w:hint="eastAsia" w:ascii="宋体" w:hAnsi="宋体"/>
                <w:color w:val="auto"/>
                <w:szCs w:val="21"/>
                <w:u w:val="single"/>
                <w:shd w:val="clear" w:color="auto" w:fill="auto"/>
                <w:lang w:val="en-US" w:eastAsia="zh-CN"/>
              </w:rPr>
              <w:t>3</w:t>
            </w:r>
            <w:r>
              <w:rPr>
                <w:rFonts w:hint="eastAsia" w:ascii="宋体" w:hAnsi="宋体"/>
                <w:color w:val="auto"/>
                <w:szCs w:val="21"/>
                <w:u w:val="single"/>
                <w:shd w:val="clear" w:color="auto" w:fill="auto"/>
              </w:rPr>
              <w:t xml:space="preserve"> </w:t>
            </w:r>
            <w:r>
              <w:rPr>
                <w:rFonts w:hint="eastAsia" w:ascii="宋体" w:hAnsi="宋体"/>
                <w:color w:val="auto"/>
                <w:szCs w:val="21"/>
                <w:shd w:val="clear" w:color="auto" w:fill="auto"/>
              </w:rPr>
              <w:t xml:space="preserve"> 人，其中招标人代表 </w:t>
            </w:r>
            <w:r>
              <w:rPr>
                <w:rFonts w:hint="eastAsia" w:ascii="宋体" w:hAnsi="宋体"/>
                <w:color w:val="auto"/>
                <w:szCs w:val="21"/>
                <w:u w:val="single"/>
                <w:shd w:val="clear" w:color="auto" w:fill="auto"/>
              </w:rPr>
              <w:t xml:space="preserve"> </w:t>
            </w:r>
            <w:r>
              <w:rPr>
                <w:rFonts w:hint="eastAsia" w:ascii="宋体" w:hAnsi="宋体"/>
                <w:color w:val="auto"/>
                <w:szCs w:val="21"/>
                <w:u w:val="single"/>
                <w:shd w:val="clear" w:color="auto" w:fill="auto"/>
                <w:lang w:val="en-US" w:eastAsia="zh-CN"/>
              </w:rPr>
              <w:t>1</w:t>
            </w:r>
            <w:r>
              <w:rPr>
                <w:rFonts w:hint="eastAsia" w:ascii="宋体" w:hAnsi="宋体"/>
                <w:color w:val="auto"/>
                <w:szCs w:val="21"/>
                <w:u w:val="single"/>
                <w:shd w:val="clear" w:color="auto" w:fill="auto"/>
              </w:rPr>
              <w:t xml:space="preserve"> </w:t>
            </w:r>
            <w:r>
              <w:rPr>
                <w:rFonts w:hint="eastAsia" w:ascii="宋体" w:hAnsi="宋体"/>
                <w:color w:val="auto"/>
                <w:szCs w:val="21"/>
                <w:shd w:val="clear" w:color="auto" w:fill="auto"/>
              </w:rPr>
              <w:t>人,专家</w:t>
            </w:r>
            <w:r>
              <w:rPr>
                <w:rFonts w:hint="eastAsia" w:ascii="宋体" w:hAnsi="宋体"/>
                <w:color w:val="auto"/>
                <w:szCs w:val="21"/>
                <w:u w:val="single"/>
                <w:shd w:val="clear" w:color="auto" w:fill="auto"/>
                <w:lang w:val="en-US" w:eastAsia="zh-CN"/>
              </w:rPr>
              <w:t xml:space="preserve"> 2</w:t>
            </w:r>
            <w:r>
              <w:rPr>
                <w:rFonts w:hint="eastAsia" w:ascii="宋体" w:hAnsi="宋体"/>
                <w:color w:val="auto"/>
                <w:szCs w:val="21"/>
                <w:u w:val="single"/>
                <w:shd w:val="clear" w:color="auto" w:fill="auto"/>
              </w:rPr>
              <w:t xml:space="preserve"> </w:t>
            </w:r>
            <w:r>
              <w:rPr>
                <w:rFonts w:hint="eastAsia" w:ascii="宋体" w:hAnsi="宋体"/>
                <w:color w:val="auto"/>
                <w:szCs w:val="21"/>
                <w:shd w:val="clear" w:color="auto" w:fill="auto"/>
              </w:rPr>
              <w:t>人；评标专家确定方式：在省级相关专家库抽取系统抽取。</w:t>
            </w:r>
          </w:p>
          <w:p w14:paraId="756E9D5F">
            <w:pPr>
              <w:spacing w:line="360" w:lineRule="exact"/>
              <w:rPr>
                <w:rFonts w:ascii="宋体" w:hAnsi="宋体" w:cs="宋体"/>
                <w:color w:val="auto"/>
                <w:spacing w:val="-6"/>
                <w:szCs w:val="21"/>
                <w:shd w:val="clear" w:color="auto" w:fill="auto"/>
              </w:rPr>
            </w:pPr>
            <w:r>
              <w:rPr>
                <w:rFonts w:hint="eastAsia" w:ascii="宋体" w:hAnsi="宋体"/>
                <w:color w:val="auto"/>
                <w:szCs w:val="21"/>
                <w:shd w:val="clear" w:color="auto" w:fill="auto"/>
                <w:lang w:val="en-US" w:eastAsia="zh-CN"/>
              </w:rPr>
              <w:t>招标人代表</w:t>
            </w:r>
            <w:r>
              <w:rPr>
                <w:rFonts w:hint="eastAsia" w:ascii="宋体" w:hAnsi="宋体"/>
                <w:color w:val="auto"/>
                <w:szCs w:val="21"/>
                <w:shd w:val="clear" w:color="auto" w:fill="auto"/>
              </w:rPr>
              <w:t>需由本单位正式工作人员担任，本单位若没有符合条件的评委，将从专家库随机抽取。</w:t>
            </w:r>
          </w:p>
        </w:tc>
      </w:tr>
      <w:tr w14:paraId="210D0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862" w:type="dxa"/>
            <w:tcBorders>
              <w:top w:val="single" w:color="auto" w:sz="4" w:space="0"/>
              <w:left w:val="single" w:color="auto" w:sz="4" w:space="0"/>
              <w:bottom w:val="single" w:color="auto" w:sz="4" w:space="0"/>
              <w:right w:val="single" w:color="auto" w:sz="4" w:space="0"/>
            </w:tcBorders>
            <w:noWrap w:val="0"/>
            <w:vAlign w:val="center"/>
          </w:tcPr>
          <w:p w14:paraId="030E8D64">
            <w:pPr>
              <w:spacing w:line="380" w:lineRule="exact"/>
              <w:jc w:val="center"/>
              <w:rPr>
                <w:rFonts w:hint="eastAsia" w:ascii="宋体" w:hAnsi="宋体" w:eastAsia="宋体" w:cs="宋体"/>
                <w:color w:val="auto"/>
                <w:szCs w:val="21"/>
                <w:shd w:val="clear" w:color="auto" w:fill="auto"/>
                <w:lang w:eastAsia="zh-CN"/>
              </w:rPr>
            </w:pPr>
            <w:r>
              <w:rPr>
                <w:rFonts w:hint="eastAsia" w:ascii="宋体" w:hAnsi="宋体" w:cs="宋体"/>
                <w:color w:val="auto"/>
                <w:szCs w:val="21"/>
                <w:shd w:val="clear" w:color="auto" w:fill="auto"/>
              </w:rPr>
              <w:t>2</w:t>
            </w:r>
            <w:r>
              <w:rPr>
                <w:rFonts w:hint="eastAsia" w:ascii="宋体" w:hAnsi="宋体" w:cs="宋体"/>
                <w:color w:val="auto"/>
                <w:szCs w:val="21"/>
                <w:shd w:val="clear" w:color="auto" w:fill="auto"/>
                <w:lang w:val="en-US" w:eastAsia="zh-CN"/>
              </w:rPr>
              <w:t>4</w:t>
            </w:r>
          </w:p>
        </w:tc>
        <w:tc>
          <w:tcPr>
            <w:tcW w:w="1994" w:type="dxa"/>
            <w:tcBorders>
              <w:top w:val="single" w:color="auto" w:sz="4" w:space="0"/>
              <w:left w:val="single" w:color="auto" w:sz="4" w:space="0"/>
              <w:bottom w:val="single" w:color="auto" w:sz="4" w:space="0"/>
              <w:right w:val="single" w:color="auto" w:sz="4" w:space="0"/>
            </w:tcBorders>
            <w:noWrap w:val="0"/>
            <w:vAlign w:val="center"/>
          </w:tcPr>
          <w:p w14:paraId="7EA2632C">
            <w:pPr>
              <w:spacing w:line="360" w:lineRule="exact"/>
              <w:jc w:val="center"/>
              <w:rPr>
                <w:rFonts w:ascii="宋体" w:hAnsi="宋体" w:cs="宋体"/>
                <w:color w:val="auto"/>
                <w:szCs w:val="21"/>
                <w:shd w:val="clear" w:color="auto" w:fill="auto"/>
              </w:rPr>
            </w:pPr>
            <w:r>
              <w:rPr>
                <w:rFonts w:hint="eastAsia" w:ascii="宋体" w:hAnsi="宋体" w:cs="宋体"/>
                <w:color w:val="auto"/>
                <w:szCs w:val="21"/>
                <w:shd w:val="clear" w:color="auto" w:fill="auto"/>
              </w:rPr>
              <w:t>是否授权评标委员会确定中标人</w:t>
            </w:r>
          </w:p>
        </w:tc>
        <w:tc>
          <w:tcPr>
            <w:tcW w:w="7559" w:type="dxa"/>
            <w:gridSpan w:val="2"/>
            <w:tcBorders>
              <w:top w:val="single" w:color="auto" w:sz="4" w:space="0"/>
              <w:left w:val="single" w:color="auto" w:sz="4" w:space="0"/>
              <w:bottom w:val="single" w:color="auto" w:sz="4" w:space="0"/>
              <w:right w:val="single" w:color="auto" w:sz="4" w:space="0"/>
            </w:tcBorders>
            <w:noWrap w:val="0"/>
            <w:vAlign w:val="top"/>
          </w:tcPr>
          <w:p w14:paraId="3FE8AB51">
            <w:pPr>
              <w:adjustRightInd w:val="0"/>
              <w:spacing w:line="360" w:lineRule="exact"/>
              <w:jc w:val="left"/>
              <w:textAlignment w:val="baseline"/>
              <w:rPr>
                <w:rFonts w:ascii="宋体" w:hAnsi="宋体" w:cs="宋体"/>
                <w:color w:val="auto"/>
                <w:szCs w:val="21"/>
                <w:shd w:val="clear" w:color="auto" w:fill="auto"/>
              </w:rPr>
            </w:pPr>
            <w:r>
              <w:rPr>
                <w:rFonts w:hint="eastAsia" w:ascii="宋体" w:hAnsi="宋体" w:cs="宋体"/>
                <w:color w:val="auto"/>
                <w:szCs w:val="21"/>
                <w:shd w:val="clear" w:color="auto" w:fill="auto"/>
              </w:rPr>
              <w:t>□是</w:t>
            </w:r>
          </w:p>
          <w:p w14:paraId="4B302E29">
            <w:pPr>
              <w:autoSpaceDE w:val="0"/>
              <w:autoSpaceDN w:val="0"/>
              <w:adjustRightInd w:val="0"/>
              <w:spacing w:line="360" w:lineRule="exact"/>
              <w:ind w:right="-491" w:rightChars="0"/>
              <w:rPr>
                <w:rFonts w:ascii="宋体" w:hAnsi="宋体" w:cs="宋体"/>
                <w:color w:val="auto"/>
                <w:szCs w:val="21"/>
                <w:shd w:val="clear" w:color="auto" w:fill="auto"/>
              </w:rPr>
            </w:pPr>
            <w:r>
              <w:rPr>
                <w:rFonts w:ascii="宋体" w:hAnsi="宋体"/>
                <w:color w:val="auto"/>
                <w:szCs w:val="21"/>
                <w:shd w:val="clear" w:color="auto" w:fill="auto"/>
              </w:rPr>
              <w:fldChar w:fldCharType="begin"/>
            </w:r>
            <w:r>
              <w:rPr>
                <w:rFonts w:hint="eastAsia" w:ascii="宋体" w:hAnsi="宋体" w:cs="宋体"/>
                <w:b/>
                <w:color w:val="auto"/>
                <w:szCs w:val="21"/>
                <w:shd w:val="clear" w:color="auto" w:fill="auto"/>
              </w:rPr>
              <w:instrText xml:space="preserve"> eq \o\ac(</w:instrText>
            </w:r>
            <w:r>
              <w:rPr>
                <w:rFonts w:hint="eastAsia" w:ascii="宋体" w:hAnsi="宋体" w:cs="宋体"/>
                <w:b/>
                <w:color w:val="auto"/>
                <w:position w:val="-4"/>
                <w:szCs w:val="21"/>
                <w:shd w:val="clear" w:color="auto" w:fill="auto"/>
              </w:rPr>
              <w:instrText xml:space="preserve">□</w:instrText>
            </w:r>
            <w:r>
              <w:rPr>
                <w:rFonts w:hint="eastAsia" w:ascii="宋体" w:hAnsi="宋体" w:cs="宋体"/>
                <w:b/>
                <w:color w:val="auto"/>
                <w:szCs w:val="21"/>
                <w:shd w:val="clear" w:color="auto" w:fill="auto"/>
              </w:rPr>
              <w:instrText xml:space="preserve">,√)</w:instrText>
            </w:r>
            <w:r>
              <w:rPr>
                <w:rFonts w:ascii="宋体" w:hAnsi="宋体"/>
                <w:color w:val="auto"/>
                <w:szCs w:val="21"/>
                <w:shd w:val="clear" w:color="auto" w:fill="auto"/>
              </w:rPr>
              <w:fldChar w:fldCharType="end"/>
            </w:r>
            <w:r>
              <w:rPr>
                <w:rFonts w:hint="eastAsia" w:ascii="宋体" w:hAnsi="宋体" w:cs="宋体"/>
                <w:color w:val="auto"/>
                <w:szCs w:val="21"/>
                <w:shd w:val="clear" w:color="auto" w:fill="auto"/>
              </w:rPr>
              <w:t>否，推荐的中标候选人数：</w:t>
            </w:r>
            <w:r>
              <w:rPr>
                <w:rFonts w:hint="eastAsia" w:ascii="宋体" w:hAnsi="宋体" w:cs="宋体"/>
                <w:color w:val="auto"/>
                <w:szCs w:val="21"/>
                <w:u w:val="single"/>
                <w:shd w:val="clear" w:color="auto" w:fill="auto"/>
              </w:rPr>
              <w:t xml:space="preserve">3 </w:t>
            </w:r>
            <w:r>
              <w:rPr>
                <w:rFonts w:hint="eastAsia" w:ascii="宋体" w:hAnsi="宋体" w:cs="宋体"/>
                <w:color w:val="auto"/>
                <w:szCs w:val="21"/>
                <w:shd w:val="clear" w:color="auto" w:fill="auto"/>
              </w:rPr>
              <w:t>名</w:t>
            </w:r>
          </w:p>
        </w:tc>
      </w:tr>
      <w:tr w14:paraId="58236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862" w:type="dxa"/>
            <w:tcBorders>
              <w:top w:val="single" w:color="auto" w:sz="4" w:space="0"/>
              <w:left w:val="single" w:color="auto" w:sz="4" w:space="0"/>
              <w:bottom w:val="single" w:color="auto" w:sz="4" w:space="0"/>
              <w:right w:val="single" w:color="auto" w:sz="4" w:space="0"/>
            </w:tcBorders>
            <w:noWrap w:val="0"/>
            <w:vAlign w:val="center"/>
          </w:tcPr>
          <w:p w14:paraId="17B1851D">
            <w:pPr>
              <w:spacing w:line="380" w:lineRule="exact"/>
              <w:jc w:val="center"/>
              <w:rPr>
                <w:rFonts w:hint="eastAsia" w:ascii="宋体" w:hAnsi="宋体" w:eastAsia="宋体" w:cs="宋体"/>
                <w:color w:val="auto"/>
                <w:szCs w:val="21"/>
                <w:shd w:val="clear" w:color="auto" w:fill="auto"/>
                <w:lang w:eastAsia="zh-CN"/>
              </w:rPr>
            </w:pPr>
            <w:r>
              <w:rPr>
                <w:rFonts w:hint="eastAsia" w:ascii="宋体" w:hAnsi="宋体" w:cs="宋体"/>
                <w:color w:val="auto"/>
                <w:szCs w:val="21"/>
                <w:shd w:val="clear" w:color="auto" w:fill="auto"/>
              </w:rPr>
              <w:t>2</w:t>
            </w:r>
            <w:r>
              <w:rPr>
                <w:rFonts w:hint="eastAsia" w:ascii="宋体" w:hAnsi="宋体" w:cs="宋体"/>
                <w:color w:val="auto"/>
                <w:szCs w:val="21"/>
                <w:shd w:val="clear" w:color="auto" w:fill="auto"/>
                <w:lang w:val="en-US" w:eastAsia="zh-CN"/>
              </w:rPr>
              <w:t>5</w:t>
            </w:r>
          </w:p>
        </w:tc>
        <w:tc>
          <w:tcPr>
            <w:tcW w:w="1994" w:type="dxa"/>
            <w:tcBorders>
              <w:top w:val="single" w:color="auto" w:sz="4" w:space="0"/>
              <w:left w:val="single" w:color="auto" w:sz="4" w:space="0"/>
              <w:bottom w:val="single" w:color="auto" w:sz="4" w:space="0"/>
              <w:right w:val="single" w:color="auto" w:sz="4" w:space="0"/>
            </w:tcBorders>
            <w:noWrap w:val="0"/>
            <w:vAlign w:val="center"/>
          </w:tcPr>
          <w:p w14:paraId="7355C633">
            <w:pPr>
              <w:spacing w:line="360" w:lineRule="exact"/>
              <w:jc w:val="center"/>
              <w:rPr>
                <w:rFonts w:ascii="宋体" w:hAnsi="宋体" w:cs="宋体"/>
                <w:color w:val="auto"/>
                <w:szCs w:val="21"/>
                <w:shd w:val="clear" w:color="auto" w:fill="auto"/>
              </w:rPr>
            </w:pPr>
            <w:r>
              <w:rPr>
                <w:rFonts w:hint="eastAsia" w:ascii="宋体" w:hAnsi="宋体" w:cs="宋体"/>
                <w:color w:val="auto"/>
                <w:szCs w:val="21"/>
                <w:shd w:val="clear" w:color="auto" w:fill="auto"/>
              </w:rPr>
              <w:t>招标控制价</w:t>
            </w:r>
          </w:p>
        </w:tc>
        <w:tc>
          <w:tcPr>
            <w:tcW w:w="7559" w:type="dxa"/>
            <w:gridSpan w:val="2"/>
            <w:tcBorders>
              <w:top w:val="single" w:color="auto" w:sz="4" w:space="0"/>
              <w:left w:val="single" w:color="auto" w:sz="4" w:space="0"/>
              <w:bottom w:val="single" w:color="auto" w:sz="4" w:space="0"/>
              <w:right w:val="single" w:color="auto" w:sz="4" w:space="0"/>
            </w:tcBorders>
            <w:noWrap w:val="0"/>
            <w:vAlign w:val="center"/>
          </w:tcPr>
          <w:p w14:paraId="302150B2">
            <w:pPr>
              <w:autoSpaceDE w:val="0"/>
              <w:autoSpaceDN w:val="0"/>
              <w:adjustRightInd w:val="0"/>
              <w:jc w:val="left"/>
              <w:rPr>
                <w:rFonts w:hint="eastAsia" w:ascii="宋体" w:hAnsi="宋体" w:cs="宋体"/>
                <w:color w:val="auto"/>
                <w:szCs w:val="21"/>
                <w:shd w:val="clear" w:color="auto" w:fill="auto"/>
              </w:rPr>
            </w:pPr>
            <w:r>
              <w:rPr>
                <w:rFonts w:hint="eastAsia" w:ascii="宋体" w:hAnsi="宋体" w:cs="宋体"/>
                <w:color w:val="auto"/>
                <w:szCs w:val="21"/>
                <w:shd w:val="clear" w:color="auto" w:fill="auto"/>
              </w:rPr>
              <w:t>招标控制价：</w:t>
            </w:r>
          </w:p>
          <w:p w14:paraId="1303FA28">
            <w:pPr>
              <w:autoSpaceDE w:val="0"/>
              <w:autoSpaceDN w:val="0"/>
              <w:adjustRightInd w:val="0"/>
              <w:jc w:val="left"/>
              <w:rPr>
                <w:b/>
                <w:bCs/>
                <w:color w:val="auto"/>
              </w:rPr>
            </w:pPr>
            <w:r>
              <w:rPr>
                <w:rFonts w:hint="eastAsia"/>
                <w:b/>
                <w:bCs/>
                <w:color w:val="auto"/>
              </w:rPr>
              <w:t>大写：</w:t>
            </w:r>
            <w:r>
              <w:rPr>
                <w:rFonts w:hint="eastAsia"/>
                <w:b/>
                <w:bCs/>
                <w:color w:val="auto"/>
                <w:lang w:val="en-US" w:eastAsia="zh-CN"/>
              </w:rPr>
              <w:t>肆拾贰万</w:t>
            </w:r>
            <w:r>
              <w:rPr>
                <w:rFonts w:hint="eastAsia"/>
                <w:b/>
                <w:bCs/>
                <w:color w:val="auto"/>
              </w:rPr>
              <w:t>元整</w:t>
            </w:r>
          </w:p>
          <w:p w14:paraId="3DD6C345">
            <w:pPr>
              <w:spacing w:line="360" w:lineRule="exact"/>
              <w:rPr>
                <w:rFonts w:hint="eastAsia" w:ascii="宋体" w:hAnsi="宋体" w:cs="宋体"/>
                <w:color w:val="auto"/>
                <w:szCs w:val="21"/>
                <w:shd w:val="clear" w:color="auto" w:fill="auto"/>
              </w:rPr>
            </w:pPr>
            <w:r>
              <w:rPr>
                <w:rFonts w:hint="eastAsia" w:hAnsi="宋体"/>
                <w:b/>
                <w:bCs/>
                <w:color w:val="auto"/>
                <w:sz w:val="21"/>
                <w:szCs w:val="21"/>
              </w:rPr>
              <w:t>小写：</w:t>
            </w:r>
            <w:r>
              <w:rPr>
                <w:rFonts w:hint="eastAsia" w:hAnsi="宋体"/>
                <w:b/>
                <w:bCs/>
                <w:color w:val="auto"/>
                <w:sz w:val="21"/>
                <w:szCs w:val="21"/>
                <w:lang w:val="en-US" w:eastAsia="zh-CN"/>
              </w:rPr>
              <w:t>420000.00.00</w:t>
            </w:r>
            <w:r>
              <w:rPr>
                <w:rFonts w:hint="eastAsia" w:hAnsi="宋体"/>
                <w:b/>
                <w:bCs/>
                <w:color w:val="auto"/>
                <w:sz w:val="21"/>
                <w:szCs w:val="21"/>
              </w:rPr>
              <w:t>元</w:t>
            </w:r>
          </w:p>
          <w:p w14:paraId="7D4C59BD">
            <w:pPr>
              <w:spacing w:line="360" w:lineRule="exact"/>
              <w:rPr>
                <w:rFonts w:ascii="宋体" w:hAnsi="宋体" w:cs="宋体"/>
                <w:color w:val="auto"/>
                <w:szCs w:val="21"/>
                <w:shd w:val="clear" w:color="auto" w:fill="auto"/>
              </w:rPr>
            </w:pPr>
            <w:r>
              <w:rPr>
                <w:rFonts w:hint="eastAsia" w:ascii="宋体" w:hAnsi="宋体" w:cs="宋体"/>
                <w:color w:val="auto"/>
                <w:szCs w:val="21"/>
                <w:shd w:val="clear" w:color="auto" w:fill="auto"/>
              </w:rPr>
              <w:t>投标人报价高于招标控制价的按无效投标处理。</w:t>
            </w:r>
          </w:p>
        </w:tc>
      </w:tr>
      <w:tr w14:paraId="66F12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2" w:type="dxa"/>
            <w:tcBorders>
              <w:top w:val="single" w:color="auto" w:sz="4" w:space="0"/>
              <w:left w:val="single" w:color="auto" w:sz="4" w:space="0"/>
              <w:bottom w:val="single" w:color="auto" w:sz="4" w:space="0"/>
              <w:right w:val="single" w:color="auto" w:sz="4" w:space="0"/>
            </w:tcBorders>
            <w:noWrap w:val="0"/>
            <w:vAlign w:val="center"/>
          </w:tcPr>
          <w:p w14:paraId="43D91BCC">
            <w:pPr>
              <w:spacing w:line="400" w:lineRule="exact"/>
              <w:jc w:val="center"/>
              <w:rPr>
                <w:rFonts w:hint="eastAsia" w:ascii="宋体" w:hAnsi="宋体" w:eastAsia="宋体" w:cs="宋体"/>
                <w:color w:val="auto"/>
                <w:szCs w:val="21"/>
                <w:shd w:val="clear" w:color="auto" w:fill="auto"/>
                <w:lang w:eastAsia="zh-CN"/>
              </w:rPr>
            </w:pPr>
            <w:r>
              <w:rPr>
                <w:rFonts w:hint="eastAsia" w:ascii="宋体" w:hAnsi="宋体" w:cs="宋体"/>
                <w:color w:val="auto"/>
                <w:szCs w:val="21"/>
                <w:shd w:val="clear" w:color="auto" w:fill="auto"/>
              </w:rPr>
              <w:t>2</w:t>
            </w:r>
            <w:r>
              <w:rPr>
                <w:rFonts w:hint="eastAsia" w:ascii="宋体" w:hAnsi="宋体" w:cs="宋体"/>
                <w:color w:val="auto"/>
                <w:szCs w:val="21"/>
                <w:shd w:val="clear" w:color="auto" w:fill="auto"/>
                <w:lang w:val="en-US" w:eastAsia="zh-CN"/>
              </w:rPr>
              <w:t>6</w:t>
            </w:r>
          </w:p>
        </w:tc>
        <w:tc>
          <w:tcPr>
            <w:tcW w:w="9553" w:type="dxa"/>
            <w:gridSpan w:val="3"/>
            <w:tcBorders>
              <w:top w:val="single" w:color="auto" w:sz="4" w:space="0"/>
              <w:left w:val="single" w:color="auto" w:sz="4" w:space="0"/>
              <w:bottom w:val="single" w:color="auto" w:sz="4" w:space="0"/>
              <w:right w:val="single" w:color="auto" w:sz="4" w:space="0"/>
            </w:tcBorders>
            <w:noWrap w:val="0"/>
            <w:vAlign w:val="center"/>
          </w:tcPr>
          <w:p w14:paraId="6C57522A">
            <w:pPr>
              <w:spacing w:line="360" w:lineRule="exact"/>
              <w:jc w:val="center"/>
              <w:rPr>
                <w:rFonts w:hint="eastAsia" w:ascii="宋体" w:hAnsi="宋体"/>
                <w:color w:val="auto"/>
                <w:szCs w:val="21"/>
                <w:shd w:val="clear" w:color="auto" w:fill="auto"/>
              </w:rPr>
            </w:pPr>
            <w:r>
              <w:rPr>
                <w:rFonts w:hint="eastAsia" w:ascii="宋体" w:hAnsi="宋体"/>
                <w:color w:val="auto"/>
                <w:szCs w:val="21"/>
                <w:shd w:val="clear" w:color="auto" w:fill="auto"/>
              </w:rPr>
              <w:t>其他注意事项</w:t>
            </w:r>
          </w:p>
        </w:tc>
      </w:tr>
      <w:tr w14:paraId="4C357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trPr>
        <w:tc>
          <w:tcPr>
            <w:tcW w:w="862" w:type="dxa"/>
            <w:tcBorders>
              <w:top w:val="single" w:color="auto" w:sz="4" w:space="0"/>
              <w:left w:val="single" w:color="auto" w:sz="4" w:space="0"/>
              <w:bottom w:val="single" w:color="auto" w:sz="4" w:space="0"/>
              <w:right w:val="single" w:color="auto" w:sz="4" w:space="0"/>
            </w:tcBorders>
            <w:noWrap w:val="0"/>
            <w:vAlign w:val="center"/>
          </w:tcPr>
          <w:p w14:paraId="4735F58B">
            <w:pPr>
              <w:spacing w:line="400" w:lineRule="exact"/>
              <w:jc w:val="center"/>
              <w:rPr>
                <w:rFonts w:hint="eastAsia" w:ascii="宋体" w:hAnsi="宋体" w:eastAsia="宋体" w:cs="宋体"/>
                <w:color w:val="auto"/>
                <w:szCs w:val="21"/>
                <w:shd w:val="clear" w:color="auto" w:fill="auto"/>
                <w:lang w:val="en-US" w:eastAsia="zh-CN"/>
              </w:rPr>
            </w:pPr>
            <w:r>
              <w:rPr>
                <w:rFonts w:hint="eastAsia" w:ascii="宋体" w:hAnsi="宋体" w:cs="宋体"/>
                <w:color w:val="auto"/>
                <w:szCs w:val="21"/>
                <w:shd w:val="clear" w:color="auto" w:fill="auto"/>
              </w:rPr>
              <w:t>2</w:t>
            </w:r>
            <w:r>
              <w:rPr>
                <w:rFonts w:hint="eastAsia" w:ascii="宋体" w:hAnsi="宋体" w:cs="宋体"/>
                <w:color w:val="auto"/>
                <w:szCs w:val="21"/>
                <w:shd w:val="clear" w:color="auto" w:fill="auto"/>
                <w:lang w:val="en-US" w:eastAsia="zh-CN"/>
              </w:rPr>
              <w:t>7</w:t>
            </w:r>
          </w:p>
        </w:tc>
        <w:tc>
          <w:tcPr>
            <w:tcW w:w="9553" w:type="dxa"/>
            <w:gridSpan w:val="3"/>
            <w:tcBorders>
              <w:top w:val="single" w:color="auto" w:sz="4" w:space="0"/>
              <w:left w:val="single" w:color="auto" w:sz="4" w:space="0"/>
              <w:bottom w:val="single" w:color="auto" w:sz="4" w:space="0"/>
              <w:right w:val="single" w:color="auto" w:sz="4" w:space="0"/>
            </w:tcBorders>
            <w:noWrap w:val="0"/>
            <w:vAlign w:val="center"/>
          </w:tcPr>
          <w:p w14:paraId="04FC9E5F">
            <w:pPr>
              <w:spacing w:line="360" w:lineRule="exact"/>
              <w:rPr>
                <w:rFonts w:hint="eastAsia" w:ascii="宋体" w:hAnsi="宋体" w:cs="宋体"/>
                <w:color w:val="auto"/>
                <w:szCs w:val="21"/>
                <w:shd w:val="clear" w:color="auto" w:fill="auto"/>
              </w:rPr>
            </w:pPr>
            <w:r>
              <w:rPr>
                <w:rFonts w:hint="eastAsia" w:ascii="宋体" w:hAnsi="宋体"/>
                <w:color w:val="auto"/>
                <w:szCs w:val="21"/>
                <w:shd w:val="clear" w:color="auto" w:fill="auto"/>
              </w:rPr>
              <w:t>投标人需独立制作、修改和上传投标文件，因“硬件特征码一致”所造成的不良后果由投标人自行承担。</w:t>
            </w:r>
          </w:p>
        </w:tc>
      </w:tr>
      <w:tr w14:paraId="1CD63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1" w:hRule="atLeast"/>
        </w:trPr>
        <w:tc>
          <w:tcPr>
            <w:tcW w:w="862" w:type="dxa"/>
            <w:tcBorders>
              <w:top w:val="single" w:color="auto" w:sz="4" w:space="0"/>
              <w:left w:val="single" w:color="auto" w:sz="4" w:space="0"/>
              <w:bottom w:val="single" w:color="auto" w:sz="4" w:space="0"/>
              <w:right w:val="single" w:color="auto" w:sz="4" w:space="0"/>
            </w:tcBorders>
            <w:noWrap w:val="0"/>
            <w:vAlign w:val="center"/>
          </w:tcPr>
          <w:p w14:paraId="3997C249">
            <w:pPr>
              <w:spacing w:line="360" w:lineRule="auto"/>
              <w:jc w:val="center"/>
              <w:rPr>
                <w:rFonts w:hint="eastAsia" w:ascii="宋体" w:hAnsi="宋体" w:eastAsia="宋体" w:cs="宋体"/>
                <w:color w:val="auto"/>
                <w:szCs w:val="21"/>
                <w:shd w:val="clear" w:color="auto" w:fill="auto"/>
                <w:lang w:val="en-US" w:eastAsia="zh-CN"/>
              </w:rPr>
            </w:pPr>
            <w:r>
              <w:rPr>
                <w:rFonts w:hint="eastAsia" w:ascii="宋体" w:hAnsi="宋体" w:cs="宋体"/>
                <w:color w:val="auto"/>
                <w:szCs w:val="21"/>
                <w:shd w:val="clear" w:color="auto" w:fill="auto"/>
              </w:rPr>
              <w:t>2</w:t>
            </w:r>
            <w:r>
              <w:rPr>
                <w:rFonts w:hint="eastAsia" w:ascii="宋体" w:hAnsi="宋体" w:cs="宋体"/>
                <w:color w:val="auto"/>
                <w:szCs w:val="21"/>
                <w:shd w:val="clear" w:color="auto" w:fill="auto"/>
                <w:lang w:val="en-US" w:eastAsia="zh-CN"/>
              </w:rPr>
              <w:t>8</w:t>
            </w:r>
          </w:p>
        </w:tc>
        <w:tc>
          <w:tcPr>
            <w:tcW w:w="9553" w:type="dxa"/>
            <w:gridSpan w:val="3"/>
            <w:tcBorders>
              <w:top w:val="single" w:color="auto" w:sz="4" w:space="0"/>
              <w:left w:val="single" w:color="auto" w:sz="4" w:space="0"/>
              <w:bottom w:val="single" w:color="auto" w:sz="4" w:space="0"/>
              <w:right w:val="single" w:color="auto" w:sz="4" w:space="0"/>
            </w:tcBorders>
            <w:noWrap w:val="0"/>
            <w:vAlign w:val="center"/>
          </w:tcPr>
          <w:p w14:paraId="39903106">
            <w:pPr>
              <w:spacing w:line="360" w:lineRule="exact"/>
              <w:ind w:left="74" w:leftChars="35" w:hanging="1"/>
              <w:rPr>
                <w:rFonts w:hint="eastAsia" w:ascii="宋体" w:hAnsi="宋体" w:eastAsia="宋体" w:cs="宋体"/>
                <w:color w:val="auto"/>
                <w:spacing w:val="1"/>
                <w:kern w:val="0"/>
                <w:szCs w:val="21"/>
                <w:shd w:val="clear" w:color="auto" w:fill="auto"/>
              </w:rPr>
            </w:pPr>
            <w:r>
              <w:rPr>
                <w:rFonts w:hint="eastAsia" w:ascii="宋体" w:hAnsi="宋体" w:eastAsia="宋体" w:cs="宋体"/>
                <w:color w:val="auto"/>
                <w:spacing w:val="1"/>
                <w:kern w:val="0"/>
                <w:szCs w:val="21"/>
                <w:shd w:val="clear" w:color="auto" w:fill="auto"/>
              </w:rPr>
              <w:t>根据开封市公共资源交易管理委员会办公室文件（汴公管办【2020】13号）的规定：</w:t>
            </w:r>
          </w:p>
          <w:p w14:paraId="244903E3">
            <w:pPr>
              <w:spacing w:line="360" w:lineRule="exact"/>
              <w:ind w:left="74" w:leftChars="35" w:hanging="1"/>
              <w:rPr>
                <w:rFonts w:hint="eastAsia" w:ascii="宋体" w:hAnsi="宋体" w:eastAsia="宋体" w:cs="宋体"/>
                <w:color w:val="auto"/>
                <w:spacing w:val="1"/>
                <w:kern w:val="0"/>
                <w:szCs w:val="21"/>
                <w:shd w:val="clear" w:color="auto" w:fill="auto"/>
              </w:rPr>
            </w:pPr>
            <w:r>
              <w:rPr>
                <w:rFonts w:hint="eastAsia" w:ascii="宋体" w:hAnsi="宋体" w:eastAsia="宋体" w:cs="宋体"/>
                <w:color w:val="auto"/>
                <w:spacing w:val="1"/>
                <w:kern w:val="0"/>
                <w:szCs w:val="21"/>
                <w:shd w:val="clear" w:color="auto" w:fill="auto"/>
              </w:rPr>
              <w:t>递交质疑或投诉的方式：</w:t>
            </w:r>
          </w:p>
          <w:p w14:paraId="56C8F2B0">
            <w:pPr>
              <w:ind w:left="210" w:hanging="212" w:hangingChars="100"/>
              <w:rPr>
                <w:rFonts w:hint="eastAsia" w:ascii="宋体" w:hAnsi="宋体" w:eastAsia="宋体" w:cs="宋体"/>
                <w:color w:val="auto"/>
                <w:spacing w:val="1"/>
                <w:kern w:val="0"/>
                <w:szCs w:val="21"/>
                <w:shd w:val="clear" w:color="auto" w:fill="auto"/>
              </w:rPr>
            </w:pPr>
            <w:r>
              <w:rPr>
                <w:rFonts w:hint="eastAsia" w:ascii="宋体" w:hAnsi="宋体" w:eastAsia="宋体" w:cs="宋体"/>
                <w:color w:val="auto"/>
                <w:spacing w:val="1"/>
                <w:kern w:val="0"/>
                <w:szCs w:val="21"/>
                <w:shd w:val="clear" w:color="auto" w:fill="auto"/>
              </w:rPr>
              <w:t>1、递交方式：提出质疑（异议）、投诉的方式为线上提起。（格式详见《开封市公共资源交易信息网》重要通知中的“政府采购项目投诉注意事项”/“政府采购项目投诉注意事项”）</w:t>
            </w:r>
          </w:p>
          <w:p w14:paraId="26AE23E6">
            <w:pPr>
              <w:ind w:left="210" w:hanging="212" w:hangingChars="100"/>
              <w:rPr>
                <w:rFonts w:hint="eastAsia" w:ascii="宋体" w:hAnsi="宋体"/>
                <w:color w:val="auto"/>
                <w:szCs w:val="21"/>
                <w:shd w:val="clear" w:color="auto" w:fill="auto"/>
              </w:rPr>
            </w:pPr>
            <w:r>
              <w:rPr>
                <w:rFonts w:hint="eastAsia" w:ascii="宋体" w:hAnsi="宋体" w:eastAsia="宋体" w:cs="宋体"/>
                <w:color w:val="auto"/>
                <w:spacing w:val="1"/>
                <w:kern w:val="0"/>
                <w:szCs w:val="21"/>
                <w:shd w:val="clear" w:color="auto" w:fill="auto"/>
              </w:rPr>
              <w:t>2、递交地址：《开封市公共资源交易信息网》会员投标系统中本项目“质询信息”位置线上直接提起。（如有疑问可拨打服务电话咨询）</w:t>
            </w:r>
          </w:p>
        </w:tc>
      </w:tr>
      <w:tr w14:paraId="607AB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trPr>
        <w:tc>
          <w:tcPr>
            <w:tcW w:w="862" w:type="dxa"/>
            <w:tcBorders>
              <w:top w:val="single" w:color="auto" w:sz="4" w:space="0"/>
              <w:left w:val="single" w:color="auto" w:sz="4" w:space="0"/>
              <w:bottom w:val="single" w:color="auto" w:sz="4" w:space="0"/>
              <w:right w:val="single" w:color="auto" w:sz="4" w:space="0"/>
            </w:tcBorders>
            <w:noWrap w:val="0"/>
            <w:vAlign w:val="center"/>
          </w:tcPr>
          <w:p w14:paraId="03D4E4DB">
            <w:pPr>
              <w:spacing w:line="360" w:lineRule="auto"/>
              <w:jc w:val="center"/>
              <w:rPr>
                <w:rFonts w:hint="default" w:ascii="宋体" w:hAnsi="宋体" w:eastAsia="宋体" w:cs="宋体"/>
                <w:color w:val="auto"/>
                <w:szCs w:val="21"/>
                <w:shd w:val="clear" w:color="auto" w:fill="auto"/>
                <w:lang w:val="en-US" w:eastAsia="zh-CN"/>
              </w:rPr>
            </w:pPr>
            <w:r>
              <w:rPr>
                <w:rFonts w:hint="eastAsia" w:ascii="宋体" w:hAnsi="宋体" w:cs="宋体"/>
                <w:color w:val="auto"/>
                <w:szCs w:val="21"/>
                <w:shd w:val="clear" w:color="auto" w:fill="auto"/>
                <w:lang w:val="en-US" w:eastAsia="zh-CN"/>
              </w:rPr>
              <w:t>29</w:t>
            </w:r>
          </w:p>
        </w:tc>
        <w:tc>
          <w:tcPr>
            <w:tcW w:w="9553" w:type="dxa"/>
            <w:gridSpan w:val="3"/>
            <w:tcBorders>
              <w:top w:val="single" w:color="auto" w:sz="4" w:space="0"/>
              <w:left w:val="single" w:color="auto" w:sz="4" w:space="0"/>
              <w:bottom w:val="single" w:color="auto" w:sz="4" w:space="0"/>
              <w:right w:val="single" w:color="auto" w:sz="4" w:space="0"/>
            </w:tcBorders>
            <w:noWrap w:val="0"/>
            <w:vAlign w:val="center"/>
          </w:tcPr>
          <w:p w14:paraId="55F8561C">
            <w:pPr>
              <w:spacing w:line="360" w:lineRule="exact"/>
              <w:rPr>
                <w:rFonts w:hint="default" w:ascii="宋体" w:hAnsi="宋体" w:cs="宋体"/>
                <w:color w:val="auto"/>
                <w:shd w:val="clear" w:color="auto" w:fill="auto"/>
                <w:lang w:val="en-US"/>
              </w:rPr>
            </w:pPr>
            <w:r>
              <w:rPr>
                <w:color w:val="auto"/>
              </w:rPr>
              <w:drawing>
                <wp:anchor distT="0" distB="0" distL="114300" distR="114300" simplePos="0" relativeHeight="251660288" behindDoc="0" locked="0" layoutInCell="1" allowOverlap="1">
                  <wp:simplePos x="0" y="0"/>
                  <wp:positionH relativeFrom="column">
                    <wp:posOffset>208915</wp:posOffset>
                  </wp:positionH>
                  <wp:positionV relativeFrom="paragraph">
                    <wp:posOffset>589915</wp:posOffset>
                  </wp:positionV>
                  <wp:extent cx="5356860" cy="4100195"/>
                  <wp:effectExtent l="0" t="0" r="15240" b="14605"/>
                  <wp:wrapTopAndBottom/>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17"/>
                          <a:stretch>
                            <a:fillRect/>
                          </a:stretch>
                        </pic:blipFill>
                        <pic:spPr>
                          <a:xfrm>
                            <a:off x="0" y="0"/>
                            <a:ext cx="5356860" cy="4100195"/>
                          </a:xfrm>
                          <a:prstGeom prst="rect">
                            <a:avLst/>
                          </a:prstGeom>
                          <a:noFill/>
                          <a:ln>
                            <a:noFill/>
                          </a:ln>
                        </pic:spPr>
                      </pic:pic>
                    </a:graphicData>
                  </a:graphic>
                </wp:anchor>
              </w:drawing>
            </w:r>
            <w:r>
              <w:rPr>
                <w:rFonts w:hint="eastAsia" w:ascii="宋体" w:hAnsi="宋体" w:cs="宋体"/>
                <w:color w:val="auto"/>
                <w:kern w:val="2"/>
                <w:sz w:val="21"/>
                <w:szCs w:val="21"/>
                <w:lang w:val="zh-CN"/>
              </w:rPr>
              <w:t>代理服务费：参照《河南省招标代理服务收费指导意见》（豫招协【2023】002号）</w:t>
            </w:r>
            <w:r>
              <w:rPr>
                <w:rFonts w:hint="eastAsia" w:ascii="宋体" w:hAnsi="宋体" w:cs="宋体"/>
                <w:color w:val="auto"/>
                <w:kern w:val="2"/>
                <w:sz w:val="21"/>
                <w:szCs w:val="21"/>
                <w:lang w:val="en-US" w:eastAsia="zh-CN"/>
              </w:rPr>
              <w:t>按7140元收取</w:t>
            </w:r>
            <w:r>
              <w:rPr>
                <w:rFonts w:hint="eastAsia" w:ascii="宋体" w:hAnsi="宋体" w:cs="宋体"/>
                <w:color w:val="auto"/>
                <w:kern w:val="2"/>
                <w:sz w:val="21"/>
                <w:szCs w:val="21"/>
                <w:lang w:val="zh-CN"/>
              </w:rPr>
              <w:t>，由中标单位领取成交通知书前一次性支付给招标代理公司。</w:t>
            </w:r>
          </w:p>
        </w:tc>
      </w:tr>
      <w:tr w14:paraId="041B0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0" w:hRule="atLeast"/>
        </w:trPr>
        <w:tc>
          <w:tcPr>
            <w:tcW w:w="862" w:type="dxa"/>
            <w:tcBorders>
              <w:top w:val="single" w:color="auto" w:sz="4" w:space="0"/>
              <w:left w:val="single" w:color="auto" w:sz="4" w:space="0"/>
              <w:bottom w:val="single" w:color="auto" w:sz="4" w:space="0"/>
              <w:right w:val="single" w:color="auto" w:sz="4" w:space="0"/>
            </w:tcBorders>
            <w:noWrap w:val="0"/>
            <w:vAlign w:val="center"/>
          </w:tcPr>
          <w:p w14:paraId="3ECC2999">
            <w:pPr>
              <w:spacing w:line="360" w:lineRule="auto"/>
              <w:jc w:val="center"/>
              <w:rPr>
                <w:rFonts w:hint="eastAsia" w:ascii="宋体" w:hAnsi="宋体" w:eastAsia="宋体" w:cs="宋体"/>
                <w:color w:val="auto"/>
                <w:szCs w:val="21"/>
                <w:shd w:val="clear" w:color="auto" w:fill="auto"/>
                <w:lang w:eastAsia="zh-CN"/>
              </w:rPr>
            </w:pPr>
            <w:r>
              <w:rPr>
                <w:rFonts w:hint="eastAsia" w:ascii="宋体" w:hAnsi="宋体" w:cs="宋体"/>
                <w:color w:val="auto"/>
                <w:szCs w:val="21"/>
                <w:shd w:val="clear" w:color="auto" w:fill="auto"/>
              </w:rPr>
              <w:t>3</w:t>
            </w:r>
            <w:r>
              <w:rPr>
                <w:rFonts w:hint="eastAsia" w:ascii="宋体" w:hAnsi="宋体" w:cs="宋体"/>
                <w:color w:val="auto"/>
                <w:szCs w:val="21"/>
                <w:shd w:val="clear" w:color="auto" w:fill="auto"/>
                <w:lang w:val="en-US" w:eastAsia="zh-CN"/>
              </w:rPr>
              <w:t>0</w:t>
            </w:r>
          </w:p>
        </w:tc>
        <w:tc>
          <w:tcPr>
            <w:tcW w:w="9553" w:type="dxa"/>
            <w:gridSpan w:val="3"/>
            <w:tcBorders>
              <w:top w:val="single" w:color="auto" w:sz="4" w:space="0"/>
              <w:left w:val="single" w:color="auto" w:sz="4" w:space="0"/>
              <w:bottom w:val="single" w:color="auto" w:sz="4" w:space="0"/>
              <w:right w:val="single" w:color="auto" w:sz="4" w:space="0"/>
            </w:tcBorders>
            <w:noWrap w:val="0"/>
            <w:vAlign w:val="center"/>
          </w:tcPr>
          <w:p w14:paraId="1DEEDD3C">
            <w:pPr>
              <w:spacing w:line="320" w:lineRule="exact"/>
              <w:jc w:val="left"/>
              <w:rPr>
                <w:color w:val="auto"/>
                <w:shd w:val="clear" w:color="auto" w:fill="auto"/>
              </w:rPr>
            </w:pPr>
            <w:r>
              <w:rPr>
                <w:rFonts w:hint="eastAsia"/>
                <w:color w:val="auto"/>
                <w:shd w:val="clear" w:color="auto" w:fill="auto"/>
              </w:rPr>
              <w:t>电子投标文件须在投标截止时间前在开封市公共资源交易中心网站（http://www.kfsggzyjyw.cn</w:t>
            </w:r>
            <w:r>
              <w:rPr>
                <w:rFonts w:hint="eastAsia"/>
                <w:color w:val="auto"/>
                <w:shd w:val="clear" w:color="auto" w:fill="auto"/>
                <w:lang w:val="en-US" w:eastAsia="zh-CN"/>
              </w:rPr>
              <w:t>/kfggzy/</w:t>
            </w:r>
            <w:r>
              <w:rPr>
                <w:rFonts w:hint="eastAsia"/>
                <w:color w:val="auto"/>
                <w:shd w:val="clear" w:color="auto" w:fill="auto"/>
              </w:rPr>
              <w:t>）会员系统中加密上传，</w:t>
            </w:r>
            <w:r>
              <w:rPr>
                <w:color w:val="auto"/>
                <w:shd w:val="clear" w:color="auto" w:fill="auto"/>
              </w:rPr>
              <w:t>逾期上传的，招标人不予受理。</w:t>
            </w:r>
          </w:p>
          <w:p w14:paraId="2DC40C59">
            <w:pPr>
              <w:spacing w:line="320" w:lineRule="exact"/>
              <w:jc w:val="left"/>
              <w:rPr>
                <w:color w:val="auto"/>
                <w:shd w:val="clear" w:color="auto" w:fill="auto"/>
              </w:rPr>
            </w:pPr>
            <w:r>
              <w:rPr>
                <w:rFonts w:hint="eastAsia"/>
                <w:color w:val="auto"/>
                <w:shd w:val="clear" w:color="auto" w:fill="auto"/>
              </w:rPr>
              <w:t>a、各投标人应在投标截止时间前上传加密的电子投标文件到会员系统的指定位置。请投标人在上传时认真检查上传投标文件是否完整、正确。</w:t>
            </w:r>
          </w:p>
          <w:p w14:paraId="15C9E079">
            <w:pPr>
              <w:spacing w:line="320" w:lineRule="exact"/>
              <w:rPr>
                <w:rFonts w:hint="eastAsia"/>
                <w:color w:val="auto"/>
                <w:shd w:val="clear" w:color="auto" w:fill="auto"/>
              </w:rPr>
            </w:pPr>
            <w:r>
              <w:rPr>
                <w:rFonts w:hint="eastAsia"/>
                <w:color w:val="auto"/>
                <w:shd w:val="clear" w:color="auto" w:fill="auto"/>
              </w:rPr>
              <w:t>b、投标人因交易中心投标系统问题无法上传电子投标文件时，请在工作时间与开封市公共资源交易中心联系，联系电话：0371-23859291。</w:t>
            </w:r>
          </w:p>
          <w:p w14:paraId="58D5AD2A">
            <w:pPr>
              <w:spacing w:line="420" w:lineRule="exact"/>
              <w:rPr>
                <w:rFonts w:hint="eastAsia"/>
                <w:color w:val="auto"/>
                <w:shd w:val="clear" w:color="auto" w:fill="auto"/>
              </w:rPr>
            </w:pPr>
            <w:r>
              <w:rPr>
                <w:rFonts w:hint="eastAsia"/>
                <w:color w:val="auto"/>
                <w:shd w:val="clear" w:color="auto" w:fill="auto"/>
              </w:rPr>
              <w:t>c、各投标（响应）人从参与项目交易开始至项目交易活动结束止，应时刻关注电子交易系统中的项目进度和状态，特别是项目评审期间。由于自身原因错过变更通知、文件澄清、报价响应（自系统发起</w:t>
            </w:r>
            <w:r>
              <w:rPr>
                <w:rFonts w:hint="eastAsia"/>
                <w:color w:val="auto"/>
                <w:shd w:val="clear" w:color="auto" w:fill="auto"/>
                <w:lang w:val="en-US" w:eastAsia="zh-CN"/>
              </w:rPr>
              <w:t>4</w:t>
            </w:r>
            <w:r>
              <w:rPr>
                <w:rFonts w:hint="eastAsia"/>
                <w:color w:val="auto"/>
                <w:shd w:val="clear" w:color="auto" w:fill="auto"/>
              </w:rPr>
              <w:t>0分钟内做出）等重要信息的，后果由投标（响应）人自行承担。</w:t>
            </w:r>
          </w:p>
        </w:tc>
      </w:tr>
      <w:tr w14:paraId="6DA46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862" w:type="dxa"/>
            <w:tcBorders>
              <w:top w:val="single" w:color="auto" w:sz="4" w:space="0"/>
              <w:left w:val="single" w:color="auto" w:sz="4" w:space="0"/>
              <w:bottom w:val="single" w:color="auto" w:sz="4" w:space="0"/>
              <w:right w:val="single" w:color="auto" w:sz="4" w:space="0"/>
            </w:tcBorders>
            <w:noWrap w:val="0"/>
            <w:vAlign w:val="center"/>
          </w:tcPr>
          <w:p w14:paraId="057C5CF3">
            <w:pPr>
              <w:autoSpaceDE w:val="0"/>
              <w:autoSpaceDN w:val="0"/>
              <w:adjustRightInd w:val="0"/>
              <w:jc w:val="center"/>
              <w:rPr>
                <w:rFonts w:hint="eastAsia" w:ascii="宋体" w:hAnsi="宋体" w:eastAsia="宋体" w:cs="宋体"/>
                <w:color w:val="auto"/>
                <w:szCs w:val="21"/>
                <w:shd w:val="clear" w:color="auto" w:fill="auto"/>
                <w:lang w:eastAsia="zh-CN"/>
              </w:rPr>
            </w:pPr>
            <w:r>
              <w:rPr>
                <w:rFonts w:hint="eastAsia" w:ascii="宋体" w:hAnsi="宋体" w:cs="TimesNewRomanPSMT"/>
                <w:color w:val="auto"/>
                <w:kern w:val="0"/>
                <w:szCs w:val="21"/>
                <w:shd w:val="clear" w:color="auto" w:fill="auto"/>
              </w:rPr>
              <w:t>3</w:t>
            </w:r>
            <w:r>
              <w:rPr>
                <w:rFonts w:hint="eastAsia" w:ascii="宋体" w:hAnsi="宋体" w:cs="TimesNewRomanPSMT"/>
                <w:color w:val="auto"/>
                <w:kern w:val="0"/>
                <w:szCs w:val="21"/>
                <w:shd w:val="clear" w:color="auto" w:fill="auto"/>
                <w:lang w:val="en-US" w:eastAsia="zh-CN"/>
              </w:rPr>
              <w:t>1</w:t>
            </w:r>
          </w:p>
        </w:tc>
        <w:tc>
          <w:tcPr>
            <w:tcW w:w="2109" w:type="dxa"/>
            <w:gridSpan w:val="2"/>
            <w:tcBorders>
              <w:top w:val="single" w:color="auto" w:sz="4" w:space="0"/>
              <w:left w:val="single" w:color="auto" w:sz="4" w:space="0"/>
              <w:bottom w:val="single" w:color="auto" w:sz="4" w:space="0"/>
              <w:right w:val="single" w:color="auto" w:sz="4" w:space="0"/>
            </w:tcBorders>
            <w:noWrap w:val="0"/>
            <w:vAlign w:val="center"/>
          </w:tcPr>
          <w:p w14:paraId="52834CE9">
            <w:pPr>
              <w:jc w:val="center"/>
              <w:rPr>
                <w:rFonts w:hint="eastAsia"/>
                <w:color w:val="auto"/>
                <w:shd w:val="clear" w:color="auto" w:fill="auto"/>
              </w:rPr>
            </w:pPr>
            <w:r>
              <w:rPr>
                <w:rFonts w:hAnsi="宋体"/>
                <w:color w:val="auto"/>
                <w:szCs w:val="21"/>
                <w:shd w:val="clear" w:color="auto" w:fill="auto"/>
              </w:rPr>
              <w:t>招标人其他要求</w:t>
            </w:r>
          </w:p>
        </w:tc>
        <w:tc>
          <w:tcPr>
            <w:tcW w:w="7444" w:type="dxa"/>
            <w:tcBorders>
              <w:top w:val="single" w:color="auto" w:sz="4" w:space="0"/>
              <w:left w:val="single" w:color="auto" w:sz="4" w:space="0"/>
              <w:bottom w:val="single" w:color="auto" w:sz="4" w:space="0"/>
              <w:right w:val="single" w:color="auto" w:sz="4" w:space="0"/>
            </w:tcBorders>
            <w:noWrap w:val="0"/>
            <w:vAlign w:val="center"/>
          </w:tcPr>
          <w:p w14:paraId="2AE63C2A">
            <w:pPr>
              <w:keepNext w:val="0"/>
              <w:keepLines w:val="0"/>
              <w:pageBreakBefore w:val="0"/>
              <w:widowControl/>
              <w:numPr>
                <w:ilvl w:val="0"/>
                <w:numId w:val="0"/>
              </w:numPr>
              <w:kinsoku/>
              <w:wordWrap/>
              <w:overflowPunct/>
              <w:topLinePunct w:val="0"/>
              <w:autoSpaceDE/>
              <w:autoSpaceDN/>
              <w:bidi w:val="0"/>
              <w:adjustRightInd/>
              <w:snapToGrid/>
              <w:spacing w:line="380" w:lineRule="exact"/>
              <w:jc w:val="left"/>
              <w:textAlignment w:val="auto"/>
              <w:rPr>
                <w:rFonts w:hint="eastAsia"/>
                <w:color w:val="auto"/>
                <w:shd w:val="clear" w:color="auto" w:fill="auto"/>
                <w:lang w:eastAsia="zh-CN"/>
              </w:rPr>
            </w:pPr>
            <w:r>
              <w:rPr>
                <w:rFonts w:hint="eastAsia"/>
                <w:color w:val="auto"/>
                <w:shd w:val="clear" w:color="auto" w:fill="auto"/>
                <w:lang w:val="en-US" w:eastAsia="zh-CN"/>
              </w:rPr>
              <w:t>1、</w:t>
            </w:r>
            <w:r>
              <w:rPr>
                <w:color w:val="auto"/>
                <w:shd w:val="clear" w:color="auto" w:fill="auto"/>
              </w:rPr>
              <w:t>投标单位</w:t>
            </w:r>
            <w:r>
              <w:rPr>
                <w:rFonts w:hint="eastAsia"/>
                <w:color w:val="auto"/>
                <w:shd w:val="clear" w:color="auto" w:fill="auto"/>
              </w:rPr>
              <w:t>按</w:t>
            </w:r>
            <w:r>
              <w:rPr>
                <w:rFonts w:hint="eastAsia"/>
                <w:color w:val="auto"/>
                <w:shd w:val="clear" w:color="auto" w:fill="auto"/>
                <w:lang w:eastAsia="zh-CN"/>
              </w:rPr>
              <w:t>“远程不见面”</w:t>
            </w:r>
            <w:r>
              <w:rPr>
                <w:rFonts w:hint="eastAsia"/>
                <w:color w:val="auto"/>
                <w:shd w:val="clear" w:color="auto" w:fill="auto"/>
              </w:rPr>
              <w:t>开标程序</w:t>
            </w:r>
            <w:r>
              <w:rPr>
                <w:rFonts w:hint="eastAsia"/>
                <w:color w:val="auto"/>
                <w:shd w:val="clear" w:color="auto" w:fill="auto"/>
                <w:lang w:eastAsia="zh-CN"/>
              </w:rPr>
              <w:t>准时</w:t>
            </w:r>
            <w:r>
              <w:rPr>
                <w:rFonts w:hint="eastAsia"/>
                <w:color w:val="auto"/>
                <w:shd w:val="clear" w:color="auto" w:fill="auto"/>
              </w:rPr>
              <w:t>自行解密投标文件。（系统解密时长默认为</w:t>
            </w:r>
            <w:r>
              <w:rPr>
                <w:rFonts w:hint="eastAsia"/>
                <w:color w:val="auto"/>
                <w:shd w:val="clear" w:color="auto" w:fill="auto"/>
                <w:lang w:val="en-US"/>
              </w:rPr>
              <w:t>40</w:t>
            </w:r>
            <w:r>
              <w:rPr>
                <w:rFonts w:hint="eastAsia"/>
                <w:color w:val="auto"/>
                <w:shd w:val="clear" w:color="auto" w:fill="auto"/>
                <w:lang w:val="en-US" w:eastAsia="zh-CN"/>
              </w:rPr>
              <w:t>分</w:t>
            </w:r>
            <w:r>
              <w:rPr>
                <w:rFonts w:hint="eastAsia"/>
                <w:color w:val="auto"/>
                <w:shd w:val="clear" w:color="auto" w:fill="auto"/>
              </w:rPr>
              <w:t>钟，错过解密时长者视为自动放弃本次投标）</w:t>
            </w:r>
            <w:r>
              <w:rPr>
                <w:rFonts w:hint="eastAsia"/>
                <w:color w:val="auto"/>
                <w:shd w:val="clear" w:color="auto" w:fill="auto"/>
                <w:lang w:eastAsia="zh-CN"/>
              </w:rPr>
              <w:t>。</w:t>
            </w:r>
          </w:p>
          <w:p w14:paraId="561FA4B1">
            <w:pPr>
              <w:keepNext w:val="0"/>
              <w:keepLines w:val="0"/>
              <w:pageBreakBefore w:val="0"/>
              <w:widowControl/>
              <w:numPr>
                <w:ilvl w:val="0"/>
                <w:numId w:val="0"/>
              </w:numPr>
              <w:kinsoku/>
              <w:wordWrap/>
              <w:overflowPunct/>
              <w:topLinePunct w:val="0"/>
              <w:autoSpaceDE/>
              <w:autoSpaceDN/>
              <w:bidi w:val="0"/>
              <w:adjustRightInd/>
              <w:snapToGrid/>
              <w:spacing w:line="380" w:lineRule="exact"/>
              <w:jc w:val="left"/>
              <w:textAlignment w:val="auto"/>
              <w:rPr>
                <w:rFonts w:hint="eastAsia"/>
                <w:color w:val="auto"/>
                <w:shd w:val="clear" w:color="auto" w:fill="auto"/>
                <w:lang w:val="en-US" w:eastAsia="zh-CN"/>
              </w:rPr>
            </w:pPr>
            <w:r>
              <w:rPr>
                <w:rFonts w:hint="eastAsia"/>
                <w:color w:val="auto"/>
                <w:shd w:val="clear" w:color="auto" w:fill="auto"/>
                <w:lang w:val="en-US" w:eastAsia="zh-CN"/>
              </w:rPr>
              <w:t>2、履约保证金：不收取</w:t>
            </w:r>
          </w:p>
          <w:p w14:paraId="2AC64B03">
            <w:pPr>
              <w:keepNext w:val="0"/>
              <w:keepLines w:val="0"/>
              <w:pageBreakBefore w:val="0"/>
              <w:widowControl/>
              <w:numPr>
                <w:ilvl w:val="0"/>
                <w:numId w:val="0"/>
              </w:numPr>
              <w:kinsoku/>
              <w:wordWrap/>
              <w:overflowPunct/>
              <w:topLinePunct w:val="0"/>
              <w:autoSpaceDE/>
              <w:autoSpaceDN/>
              <w:bidi w:val="0"/>
              <w:adjustRightInd/>
              <w:snapToGrid/>
              <w:spacing w:line="380" w:lineRule="exact"/>
              <w:jc w:val="left"/>
              <w:textAlignment w:val="auto"/>
              <w:rPr>
                <w:rFonts w:hint="eastAsia" w:ascii="Times New Roman" w:hAnsi="Times New Roman" w:eastAsia="宋体" w:cs="Times New Roman"/>
                <w:b/>
                <w:bCs/>
                <w:color w:val="auto"/>
                <w:shd w:val="clear" w:color="auto" w:fill="auto"/>
                <w:lang w:val="en-US" w:eastAsia="zh-CN"/>
              </w:rPr>
            </w:pPr>
            <w:r>
              <w:rPr>
                <w:rFonts w:hint="eastAsia"/>
                <w:color w:val="auto"/>
                <w:shd w:val="clear" w:color="auto" w:fill="auto"/>
                <w:lang w:val="en-US" w:eastAsia="zh-CN"/>
              </w:rPr>
              <w:t>3、质量保证金：不收取</w:t>
            </w:r>
          </w:p>
          <w:p w14:paraId="116DEBDB">
            <w:pPr>
              <w:keepNext w:val="0"/>
              <w:keepLines w:val="0"/>
              <w:pageBreakBefore w:val="0"/>
              <w:widowControl/>
              <w:numPr>
                <w:ilvl w:val="0"/>
                <w:numId w:val="0"/>
              </w:numPr>
              <w:kinsoku/>
              <w:wordWrap/>
              <w:overflowPunct/>
              <w:topLinePunct w:val="0"/>
              <w:autoSpaceDE/>
              <w:autoSpaceDN/>
              <w:bidi w:val="0"/>
              <w:adjustRightInd/>
              <w:snapToGrid/>
              <w:spacing w:line="380" w:lineRule="exact"/>
              <w:jc w:val="left"/>
              <w:textAlignment w:val="auto"/>
              <w:rPr>
                <w:rFonts w:hint="default"/>
                <w:color w:val="auto"/>
                <w:shd w:val="clear" w:color="auto" w:fill="auto"/>
                <w:lang w:val="en-US" w:eastAsia="zh-CN"/>
              </w:rPr>
            </w:pPr>
            <w:r>
              <w:rPr>
                <w:rFonts w:hint="eastAsia"/>
                <w:color w:val="auto"/>
                <w:shd w:val="clear" w:color="auto" w:fill="auto"/>
                <w:lang w:val="en-US" w:eastAsia="zh-CN"/>
              </w:rPr>
              <w:t>4、付款方式：以合同签订为准</w:t>
            </w:r>
          </w:p>
          <w:p w14:paraId="35E2BB6F">
            <w:pPr>
              <w:keepNext w:val="0"/>
              <w:keepLines w:val="0"/>
              <w:pageBreakBefore w:val="0"/>
              <w:widowControl/>
              <w:numPr>
                <w:ilvl w:val="0"/>
                <w:numId w:val="0"/>
              </w:numPr>
              <w:kinsoku/>
              <w:wordWrap/>
              <w:overflowPunct/>
              <w:topLinePunct w:val="0"/>
              <w:autoSpaceDE/>
              <w:autoSpaceDN/>
              <w:bidi w:val="0"/>
              <w:adjustRightInd/>
              <w:snapToGrid/>
              <w:spacing w:line="380" w:lineRule="exact"/>
              <w:jc w:val="left"/>
              <w:textAlignment w:val="auto"/>
              <w:rPr>
                <w:rFonts w:hint="eastAsia" w:ascii="Times New Roman" w:hAnsi="Times New Roman" w:eastAsia="宋体" w:cs="Times New Roman"/>
                <w:color w:val="auto"/>
                <w:shd w:val="clear" w:color="auto" w:fill="auto"/>
                <w:lang w:val="en-US" w:eastAsia="zh-CN"/>
              </w:rPr>
            </w:pPr>
            <w:r>
              <w:rPr>
                <w:rFonts w:hint="eastAsia" w:cs="Times New Roman"/>
                <w:color w:val="auto"/>
                <w:shd w:val="clear" w:color="auto" w:fill="auto"/>
                <w:lang w:val="en-US" w:eastAsia="zh-CN"/>
              </w:rPr>
              <w:t>5</w:t>
            </w:r>
            <w:r>
              <w:rPr>
                <w:rFonts w:hint="eastAsia" w:ascii="Times New Roman" w:hAnsi="Times New Roman" w:eastAsia="宋体" w:cs="Times New Roman"/>
                <w:color w:val="auto"/>
                <w:shd w:val="clear" w:color="auto" w:fill="auto"/>
                <w:lang w:val="en-US" w:eastAsia="zh-CN"/>
              </w:rPr>
              <w:t>、任何一方违约另一方有权依据合同约定终止合同。</w:t>
            </w:r>
          </w:p>
          <w:p w14:paraId="1379AC0D">
            <w:pPr>
              <w:keepNext w:val="0"/>
              <w:keepLines w:val="0"/>
              <w:pageBreakBefore w:val="0"/>
              <w:widowControl/>
              <w:numPr>
                <w:ilvl w:val="0"/>
                <w:numId w:val="0"/>
              </w:numPr>
              <w:kinsoku/>
              <w:wordWrap/>
              <w:overflowPunct/>
              <w:topLinePunct w:val="0"/>
              <w:autoSpaceDE/>
              <w:autoSpaceDN/>
              <w:bidi w:val="0"/>
              <w:adjustRightInd/>
              <w:snapToGrid/>
              <w:spacing w:line="380" w:lineRule="exact"/>
              <w:jc w:val="left"/>
              <w:textAlignment w:val="auto"/>
              <w:rPr>
                <w:rFonts w:hint="default"/>
                <w:color w:val="auto"/>
                <w:shd w:val="clear" w:color="auto" w:fill="auto"/>
                <w:lang w:val="en-US" w:eastAsia="zh-CN"/>
              </w:rPr>
            </w:pPr>
            <w:r>
              <w:rPr>
                <w:rFonts w:hint="eastAsia" w:cs="Times New Roman"/>
                <w:color w:val="auto"/>
                <w:shd w:val="clear" w:color="auto" w:fill="auto"/>
                <w:lang w:val="en-US" w:eastAsia="zh-CN"/>
              </w:rPr>
              <w:t>6</w:t>
            </w:r>
            <w:r>
              <w:rPr>
                <w:rFonts w:hint="eastAsia" w:ascii="Times New Roman" w:hAnsi="Times New Roman" w:eastAsia="宋体" w:cs="Times New Roman"/>
                <w:color w:val="auto"/>
                <w:shd w:val="clear" w:color="auto" w:fill="auto"/>
                <w:lang w:val="en-US" w:eastAsia="zh-CN"/>
              </w:rPr>
              <w:t>、</w:t>
            </w:r>
            <w:r>
              <w:rPr>
                <w:rFonts w:hint="eastAsia" w:ascii="Times New Roman" w:hAnsi="Times New Roman" w:eastAsia="宋体" w:cs="Times New Roman"/>
                <w:b/>
                <w:bCs/>
                <w:color w:val="auto"/>
                <w:shd w:val="clear" w:color="auto" w:fill="auto"/>
                <w:lang w:val="en-US" w:eastAsia="zh-CN"/>
              </w:rPr>
              <w:t>具体实施条款按合同专项约定</w:t>
            </w:r>
          </w:p>
        </w:tc>
      </w:tr>
    </w:tbl>
    <w:p w14:paraId="17179BA6">
      <w:pPr>
        <w:autoSpaceDE w:val="0"/>
        <w:autoSpaceDN w:val="0"/>
        <w:adjustRightInd w:val="0"/>
        <w:spacing w:line="360" w:lineRule="auto"/>
        <w:ind w:firstLine="211"/>
        <w:outlineLvl w:val="1"/>
        <w:rPr>
          <w:rFonts w:hint="eastAsia" w:ascii="宋体" w:hAnsi="宋体" w:cs="宋体"/>
          <w:b/>
          <w:color w:val="000000"/>
          <w:sz w:val="21"/>
          <w:szCs w:val="21"/>
          <w:highlight w:val="none"/>
        </w:rPr>
      </w:pPr>
      <w:bookmarkStart w:id="9" w:name="_Toc30362"/>
      <w:bookmarkStart w:id="10" w:name="_Toc16776777"/>
      <w:bookmarkStart w:id="11" w:name="_Toc14570"/>
      <w:bookmarkStart w:id="12" w:name="_Toc58228271"/>
      <w:bookmarkStart w:id="13" w:name="_Toc2235"/>
      <w:bookmarkStart w:id="14" w:name="_Toc17427"/>
      <w:bookmarkStart w:id="15" w:name="_Toc48573048"/>
      <w:bookmarkStart w:id="16" w:name="_Toc445450456"/>
      <w:r>
        <w:rPr>
          <w:rFonts w:hint="eastAsia" w:ascii="宋体" w:hAnsi="宋体" w:cs="宋体"/>
          <w:b/>
          <w:color w:val="000000"/>
          <w:sz w:val="21"/>
          <w:szCs w:val="21"/>
          <w:highlight w:val="none"/>
        </w:rPr>
        <w:t>1.总则</w:t>
      </w:r>
      <w:bookmarkEnd w:id="9"/>
      <w:bookmarkEnd w:id="10"/>
      <w:bookmarkEnd w:id="11"/>
      <w:bookmarkEnd w:id="12"/>
      <w:bookmarkEnd w:id="13"/>
      <w:bookmarkEnd w:id="14"/>
      <w:bookmarkEnd w:id="15"/>
    </w:p>
    <w:p w14:paraId="1BB60BAF">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1.1项目概况</w:t>
      </w:r>
    </w:p>
    <w:p w14:paraId="592A479E">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1.1.1根据《中华人民共和国政府采购法》、《中华人民共和国政府采购法实施条例》等有关法律、法规和规章的规定，本招标项目已具备招标条件，现对本项目进行竞争性磋商。</w:t>
      </w:r>
    </w:p>
    <w:p w14:paraId="0DE058F8">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1.1.2本磋商项目采购人：见磋商响应人须知前附表。</w:t>
      </w:r>
    </w:p>
    <w:p w14:paraId="6A735B16">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1.1.3本磋商项目采购代理机构：见磋商响应人须知前附表。</w:t>
      </w:r>
    </w:p>
    <w:p w14:paraId="30308146">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1.1.4本磋商项目名称：见磋商响应人须知前附表。</w:t>
      </w:r>
    </w:p>
    <w:p w14:paraId="0612C39D">
      <w:pPr>
        <w:autoSpaceDE w:val="0"/>
        <w:autoSpaceDN w:val="0"/>
        <w:adjustRightInd w:val="0"/>
        <w:spacing w:line="360" w:lineRule="auto"/>
        <w:ind w:firstLine="210"/>
        <w:rPr>
          <w:rFonts w:hint="eastAsia" w:ascii="宋体" w:hAnsi="宋体" w:cs="宋体"/>
          <w:b/>
          <w:bCs/>
          <w:color w:val="000000"/>
          <w:sz w:val="21"/>
          <w:szCs w:val="21"/>
          <w:highlight w:val="none"/>
        </w:rPr>
      </w:pPr>
      <w:r>
        <w:rPr>
          <w:rFonts w:hint="eastAsia" w:ascii="宋体" w:hAnsi="宋体" w:cs="宋体"/>
          <w:b/>
          <w:bCs/>
          <w:color w:val="000000"/>
          <w:sz w:val="21"/>
          <w:szCs w:val="21"/>
          <w:highlight w:val="none"/>
        </w:rPr>
        <w:t>1.2资金来源和落实情况</w:t>
      </w:r>
    </w:p>
    <w:p w14:paraId="072100BB">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1.2.1本磋商项目的资金来源：见磋商响应人须知前附表。</w:t>
      </w:r>
    </w:p>
    <w:p w14:paraId="7B1A7836">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1.2.2本磋商项目的资金落实情况：见磋商响应人须知前附表。</w:t>
      </w:r>
    </w:p>
    <w:p w14:paraId="6EEBB014">
      <w:pPr>
        <w:autoSpaceDE w:val="0"/>
        <w:autoSpaceDN w:val="0"/>
        <w:adjustRightInd w:val="0"/>
        <w:spacing w:line="360" w:lineRule="auto"/>
        <w:ind w:firstLine="210"/>
        <w:rPr>
          <w:rFonts w:hint="eastAsia" w:ascii="宋体" w:hAnsi="宋体" w:cs="宋体"/>
          <w:b/>
          <w:bCs/>
          <w:color w:val="000000"/>
          <w:sz w:val="21"/>
          <w:szCs w:val="21"/>
          <w:highlight w:val="none"/>
        </w:rPr>
      </w:pPr>
      <w:r>
        <w:rPr>
          <w:rFonts w:hint="eastAsia" w:ascii="宋体" w:hAnsi="宋体" w:cs="宋体"/>
          <w:b/>
          <w:bCs/>
          <w:color w:val="000000"/>
          <w:sz w:val="21"/>
          <w:szCs w:val="21"/>
          <w:highlight w:val="none"/>
        </w:rPr>
        <w:t>1.3磋商范围、</w:t>
      </w:r>
      <w:r>
        <w:rPr>
          <w:rFonts w:hint="eastAsia" w:ascii="宋体" w:hAnsi="宋体" w:cs="宋体"/>
          <w:b/>
          <w:bCs/>
          <w:color w:val="000000"/>
          <w:sz w:val="21"/>
          <w:szCs w:val="21"/>
          <w:highlight w:val="none"/>
          <w:lang w:eastAsia="zh-CN"/>
        </w:rPr>
        <w:t>供货安装期限</w:t>
      </w:r>
      <w:r>
        <w:rPr>
          <w:rFonts w:hint="eastAsia" w:ascii="宋体" w:hAnsi="宋体" w:cs="宋体"/>
          <w:b/>
          <w:bCs/>
          <w:color w:val="000000"/>
          <w:sz w:val="21"/>
          <w:szCs w:val="21"/>
          <w:highlight w:val="none"/>
        </w:rPr>
        <w:t>和质量要求</w:t>
      </w:r>
    </w:p>
    <w:p w14:paraId="20E80E52">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1.3.1本次磋商范围：见磋商响应人须知前附表。</w:t>
      </w:r>
    </w:p>
    <w:p w14:paraId="00E31D1F">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1.3.2本次</w:t>
      </w:r>
      <w:r>
        <w:rPr>
          <w:rFonts w:hint="eastAsia" w:ascii="宋体" w:hAnsi="宋体" w:cs="宋体"/>
          <w:color w:val="000000"/>
          <w:sz w:val="21"/>
          <w:szCs w:val="21"/>
          <w:highlight w:val="none"/>
          <w:lang w:val="en-US" w:eastAsia="zh-CN"/>
        </w:rPr>
        <w:t>供货安装</w:t>
      </w:r>
      <w:r>
        <w:rPr>
          <w:rFonts w:hint="eastAsia" w:ascii="宋体" w:hAnsi="宋体" w:cs="宋体"/>
          <w:color w:val="000000"/>
          <w:sz w:val="21"/>
          <w:szCs w:val="21"/>
          <w:highlight w:val="none"/>
          <w:lang w:eastAsia="zh-CN"/>
        </w:rPr>
        <w:t>期限</w:t>
      </w:r>
      <w:r>
        <w:rPr>
          <w:rFonts w:hint="eastAsia" w:ascii="宋体" w:hAnsi="宋体" w:cs="宋体"/>
          <w:color w:val="000000"/>
          <w:sz w:val="21"/>
          <w:szCs w:val="21"/>
          <w:highlight w:val="none"/>
        </w:rPr>
        <w:t>：见磋商响应人须知前附表。</w:t>
      </w:r>
    </w:p>
    <w:p w14:paraId="416CBA87">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1.3.3本次的质量要求：见磋商响应人须知前附表。</w:t>
      </w:r>
    </w:p>
    <w:p w14:paraId="4940FD22">
      <w:pPr>
        <w:autoSpaceDE w:val="0"/>
        <w:autoSpaceDN w:val="0"/>
        <w:adjustRightInd w:val="0"/>
        <w:spacing w:line="360" w:lineRule="auto"/>
        <w:ind w:firstLine="210"/>
        <w:rPr>
          <w:rFonts w:hint="eastAsia" w:ascii="宋体" w:hAnsi="宋体" w:cs="宋体"/>
          <w:b/>
          <w:bCs/>
          <w:color w:val="000000"/>
          <w:sz w:val="21"/>
          <w:szCs w:val="21"/>
          <w:highlight w:val="none"/>
        </w:rPr>
      </w:pPr>
      <w:r>
        <w:rPr>
          <w:rFonts w:hint="eastAsia" w:ascii="宋体" w:hAnsi="宋体" w:cs="宋体"/>
          <w:b/>
          <w:bCs/>
          <w:color w:val="000000"/>
          <w:sz w:val="21"/>
          <w:szCs w:val="21"/>
          <w:highlight w:val="none"/>
        </w:rPr>
        <w:t>1.4响应人资格要求</w:t>
      </w:r>
    </w:p>
    <w:p w14:paraId="2D52C495">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1.4.1响应人应具备承担本项目的资格条件、能力和信誉。</w:t>
      </w:r>
    </w:p>
    <w:p w14:paraId="60144D2D">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（1）资质要求：见磋商响应人须知前附表；</w:t>
      </w:r>
    </w:p>
    <w:p w14:paraId="6D3B85EB">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（2）其他要求：见磋商响应人须知前附表。</w:t>
      </w:r>
    </w:p>
    <w:p w14:paraId="3A3B4A04">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1.4.2磋商响应人须知前附表规定是否接受联合体投标。</w:t>
      </w:r>
    </w:p>
    <w:p w14:paraId="1B0FE52E">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1.4.3响应人不得存在下列情形之一：</w:t>
      </w:r>
    </w:p>
    <w:p w14:paraId="529BE812">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（1）为采购人不具有独立承担民事责任的能力（单位）；</w:t>
      </w:r>
    </w:p>
    <w:p w14:paraId="67FBA2D0">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（2）为本项目提供招标代理服务的；</w:t>
      </w:r>
    </w:p>
    <w:p w14:paraId="51E6886C">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（3）与本项目的采购代理机构同为一个法定代表人的；</w:t>
      </w:r>
    </w:p>
    <w:p w14:paraId="56298C2E">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（4）与本项目的采购代理机构相互控股或参股的；</w:t>
      </w:r>
    </w:p>
    <w:p w14:paraId="71834571">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（5）与本项目的采购代理机构相互任职或工作的；</w:t>
      </w:r>
    </w:p>
    <w:p w14:paraId="20080DFF">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（6）被责令停业的；</w:t>
      </w:r>
    </w:p>
    <w:p w14:paraId="44C8AE15">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（7）被暂停或取消投标资格的；</w:t>
      </w:r>
    </w:p>
    <w:p w14:paraId="7368F10B">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（8）财产被接管或冻结的；</w:t>
      </w:r>
    </w:p>
    <w:p w14:paraId="10DFBE7C">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（9）在最近三年内有骗取成交或严重违约或重大质量问题的。</w:t>
      </w:r>
    </w:p>
    <w:p w14:paraId="7085CBF1">
      <w:pPr>
        <w:autoSpaceDE w:val="0"/>
        <w:autoSpaceDN w:val="0"/>
        <w:adjustRightInd w:val="0"/>
        <w:spacing w:line="360" w:lineRule="auto"/>
        <w:ind w:firstLine="210"/>
        <w:rPr>
          <w:rFonts w:hint="eastAsia" w:ascii="宋体" w:hAnsi="宋体" w:cs="宋体"/>
          <w:b/>
          <w:bCs/>
          <w:color w:val="000000"/>
          <w:sz w:val="21"/>
          <w:szCs w:val="21"/>
          <w:highlight w:val="none"/>
        </w:rPr>
      </w:pPr>
      <w:r>
        <w:rPr>
          <w:rFonts w:hint="eastAsia" w:ascii="宋体" w:hAnsi="宋体" w:cs="宋体"/>
          <w:b/>
          <w:bCs/>
          <w:color w:val="000000"/>
          <w:sz w:val="21"/>
          <w:szCs w:val="21"/>
          <w:highlight w:val="none"/>
        </w:rPr>
        <w:t>1.5费用承担</w:t>
      </w:r>
    </w:p>
    <w:p w14:paraId="52C484E8">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响应人准备和参加投标活动发生的费用自理。</w:t>
      </w:r>
    </w:p>
    <w:p w14:paraId="6772375E">
      <w:pPr>
        <w:autoSpaceDE w:val="0"/>
        <w:autoSpaceDN w:val="0"/>
        <w:adjustRightInd w:val="0"/>
        <w:spacing w:line="360" w:lineRule="auto"/>
        <w:ind w:firstLine="210"/>
        <w:rPr>
          <w:rFonts w:hint="eastAsia" w:ascii="宋体" w:hAnsi="宋体" w:cs="宋体"/>
          <w:b/>
          <w:bCs/>
          <w:color w:val="000000"/>
          <w:sz w:val="21"/>
          <w:szCs w:val="21"/>
          <w:highlight w:val="none"/>
        </w:rPr>
      </w:pPr>
      <w:r>
        <w:rPr>
          <w:rFonts w:hint="eastAsia" w:ascii="宋体" w:hAnsi="宋体" w:cs="宋体"/>
          <w:b/>
          <w:bCs/>
          <w:color w:val="000000"/>
          <w:sz w:val="21"/>
          <w:szCs w:val="21"/>
          <w:highlight w:val="none"/>
        </w:rPr>
        <w:t>1.6保密</w:t>
      </w:r>
    </w:p>
    <w:p w14:paraId="059A2715">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1.6.1磋商期间，直到授予成交的响应人合同止，凡是与磋商响应文件审查、澄清、评价、比较以及推荐成交候选人等方面的情况，均不得向响应人或其他无关的人员透露。</w:t>
      </w:r>
    </w:p>
    <w:p w14:paraId="73257706">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1.6.2在磋商过程中，响应人如向磋商小组成员施加任何影响，都将会导致其磋商被拒绝。</w:t>
      </w:r>
    </w:p>
    <w:p w14:paraId="018CC895">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1.6.3为保证成交结果的公正性，磋商期间直至授予成交人合同时，磋商组成员不得与响应人私下交换意见。在磋商结束后，凡与磋商情况有接触的任何人不得也不应将磋商情况扩散出磋商组成员之外。</w:t>
      </w:r>
    </w:p>
    <w:p w14:paraId="2DE7CCE0">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1.6.4采购人原则上不向落选方解释落选原因，参加本项目磋商的响应人如对本次磋商推荐的拟成交响应人有异议或发现违规违纪行为，请以书面署名形式向采购人及采购代理机构提出质疑，并提供有关书面证明材料，超过法律规定时间将不再受理。</w:t>
      </w:r>
    </w:p>
    <w:p w14:paraId="07366E74">
      <w:pPr>
        <w:autoSpaceDE w:val="0"/>
        <w:autoSpaceDN w:val="0"/>
        <w:adjustRightInd w:val="0"/>
        <w:spacing w:line="360" w:lineRule="auto"/>
        <w:ind w:firstLine="210"/>
        <w:rPr>
          <w:rFonts w:hint="eastAsia" w:ascii="宋体" w:hAnsi="宋体" w:cs="宋体"/>
          <w:b/>
          <w:bCs/>
          <w:color w:val="000000"/>
          <w:sz w:val="21"/>
          <w:szCs w:val="21"/>
          <w:highlight w:val="none"/>
        </w:rPr>
      </w:pPr>
      <w:r>
        <w:rPr>
          <w:rFonts w:hint="eastAsia" w:ascii="宋体" w:hAnsi="宋体" w:cs="宋体"/>
          <w:b/>
          <w:bCs/>
          <w:color w:val="000000"/>
          <w:sz w:val="21"/>
          <w:szCs w:val="21"/>
          <w:highlight w:val="none"/>
        </w:rPr>
        <w:t>1.7语言文字</w:t>
      </w:r>
    </w:p>
    <w:p w14:paraId="404D5E7B">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除专用术语外，与招标投标有关的语言均使用中文。必要时专用术语应附有中文注释。</w:t>
      </w:r>
    </w:p>
    <w:p w14:paraId="73635363">
      <w:pPr>
        <w:autoSpaceDE w:val="0"/>
        <w:autoSpaceDN w:val="0"/>
        <w:adjustRightInd w:val="0"/>
        <w:spacing w:line="360" w:lineRule="auto"/>
        <w:ind w:firstLine="210"/>
        <w:rPr>
          <w:rFonts w:hint="eastAsia" w:ascii="宋体" w:hAnsi="宋体" w:cs="宋体"/>
          <w:b/>
          <w:bCs/>
          <w:color w:val="000000"/>
          <w:sz w:val="21"/>
          <w:szCs w:val="21"/>
          <w:highlight w:val="none"/>
        </w:rPr>
      </w:pPr>
      <w:r>
        <w:rPr>
          <w:rFonts w:hint="eastAsia" w:ascii="宋体" w:hAnsi="宋体" w:cs="宋体"/>
          <w:b/>
          <w:bCs/>
          <w:color w:val="000000"/>
          <w:sz w:val="21"/>
          <w:szCs w:val="21"/>
          <w:highlight w:val="none"/>
        </w:rPr>
        <w:t>1.8计量单位</w:t>
      </w:r>
    </w:p>
    <w:p w14:paraId="3369CB26">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所有计量均采用中华人民共和国法定计量单位。</w:t>
      </w:r>
    </w:p>
    <w:p w14:paraId="54411E4F">
      <w:pPr>
        <w:autoSpaceDE w:val="0"/>
        <w:autoSpaceDN w:val="0"/>
        <w:adjustRightInd w:val="0"/>
        <w:spacing w:line="360" w:lineRule="auto"/>
        <w:ind w:firstLine="210"/>
        <w:rPr>
          <w:rFonts w:hint="eastAsia" w:ascii="宋体" w:hAnsi="宋体" w:cs="宋体"/>
          <w:b/>
          <w:bCs/>
          <w:color w:val="000000"/>
          <w:sz w:val="21"/>
          <w:szCs w:val="21"/>
          <w:highlight w:val="none"/>
        </w:rPr>
      </w:pPr>
      <w:r>
        <w:rPr>
          <w:rFonts w:hint="eastAsia" w:ascii="宋体" w:hAnsi="宋体" w:cs="宋体"/>
          <w:b/>
          <w:bCs/>
          <w:color w:val="000000"/>
          <w:sz w:val="21"/>
          <w:szCs w:val="21"/>
          <w:highlight w:val="none"/>
        </w:rPr>
        <w:t>1.9踏勘现场</w:t>
      </w:r>
    </w:p>
    <w:p w14:paraId="58398308">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1.9.1磋商响应人须知前附表规定组织踏勘现场的，采购人按磋商响应人须知前附表规定的时间、地点组织响应人踏勘项目现场。</w:t>
      </w:r>
    </w:p>
    <w:p w14:paraId="2F2E8DFA">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1.9.2响应人踏勘现场发生的费用自理。</w:t>
      </w:r>
    </w:p>
    <w:p w14:paraId="59B2B9FC">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1.9.3除采购人的原因外，响应人自行负责在踏勘现场中所发生的人员伤亡和财产损失。</w:t>
      </w:r>
    </w:p>
    <w:p w14:paraId="67D9A16B">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1.9.4采购人在踏勘现场中介绍的工程场地和相关的周边环境情况，供响应人在编制磋商响应文件时参考，采购人不对响应人据此作出的判断和决策负责。</w:t>
      </w:r>
    </w:p>
    <w:p w14:paraId="55EAFED4">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1.10投标预备会</w:t>
      </w:r>
    </w:p>
    <w:p w14:paraId="10F4A082">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1.10.1磋商响应人须知前附表规定召开投标预备会的，采购人按磋商响应人须知前附表规定的时间和地点召开投标预备会，澄清响应人提出的问题。</w:t>
      </w:r>
    </w:p>
    <w:p w14:paraId="10969A4F">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1.10.2响应人应在磋商响应人须知前附表规定的时间前，以书面形式将提出的问题送达采购人，以便采购人在会议期间澄清。</w:t>
      </w:r>
    </w:p>
    <w:p w14:paraId="4D9A6482">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1.10.3磋商预备会后，采购人在磋商响应人须知前附表规定的时间内，将对响应人所提问题的澄清，以书面方式通知所有购买竞争性磋商文件的响应人。该澄清内容为竞争性磋商文件的组成部分。</w:t>
      </w:r>
    </w:p>
    <w:p w14:paraId="7C3C91A5">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1.11分包</w:t>
      </w:r>
    </w:p>
    <w:p w14:paraId="35D32F93">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本项目不允许分包。</w:t>
      </w:r>
    </w:p>
    <w:p w14:paraId="657ED59C">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1.12偏离</w:t>
      </w:r>
    </w:p>
    <w:p w14:paraId="1022EDE4">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本项目不允许重大偏离。</w:t>
      </w:r>
    </w:p>
    <w:p w14:paraId="75F46755">
      <w:pPr>
        <w:autoSpaceDE w:val="0"/>
        <w:autoSpaceDN w:val="0"/>
        <w:adjustRightInd w:val="0"/>
        <w:spacing w:line="360" w:lineRule="auto"/>
        <w:ind w:firstLine="211"/>
        <w:outlineLvl w:val="1"/>
        <w:rPr>
          <w:rFonts w:hint="eastAsia" w:ascii="宋体" w:hAnsi="宋体" w:cs="宋体"/>
          <w:b/>
          <w:color w:val="000000"/>
          <w:sz w:val="21"/>
          <w:szCs w:val="21"/>
          <w:highlight w:val="none"/>
        </w:rPr>
      </w:pPr>
      <w:bookmarkStart w:id="17" w:name="_Toc16776778"/>
      <w:bookmarkStart w:id="18" w:name="_Toc18754"/>
      <w:bookmarkStart w:id="19" w:name="_Toc9912"/>
      <w:bookmarkStart w:id="20" w:name="_Toc48573049"/>
      <w:bookmarkStart w:id="21" w:name="_Toc989"/>
      <w:bookmarkStart w:id="22" w:name="_Toc381868439"/>
      <w:bookmarkStart w:id="23" w:name="_Toc58228272"/>
      <w:bookmarkStart w:id="24" w:name="_Toc336254823"/>
      <w:bookmarkStart w:id="25" w:name="_Toc21766"/>
      <w:r>
        <w:rPr>
          <w:rFonts w:hint="eastAsia" w:ascii="宋体" w:hAnsi="宋体" w:cs="宋体"/>
          <w:b/>
          <w:color w:val="000000"/>
          <w:sz w:val="21"/>
          <w:szCs w:val="21"/>
          <w:highlight w:val="none"/>
        </w:rPr>
        <w:t>2.竞争性磋商文件</w:t>
      </w:r>
      <w:bookmarkEnd w:id="17"/>
      <w:bookmarkEnd w:id="18"/>
      <w:bookmarkEnd w:id="19"/>
      <w:bookmarkEnd w:id="20"/>
      <w:bookmarkEnd w:id="21"/>
      <w:bookmarkEnd w:id="22"/>
      <w:bookmarkEnd w:id="23"/>
      <w:bookmarkEnd w:id="24"/>
      <w:bookmarkEnd w:id="25"/>
    </w:p>
    <w:p w14:paraId="4D8C718F">
      <w:pPr>
        <w:autoSpaceDE w:val="0"/>
        <w:autoSpaceDN w:val="0"/>
        <w:adjustRightInd w:val="0"/>
        <w:spacing w:line="360" w:lineRule="auto"/>
        <w:ind w:firstLine="210"/>
        <w:rPr>
          <w:rFonts w:hint="eastAsia" w:ascii="宋体" w:hAnsi="宋体" w:cs="宋体"/>
          <w:b/>
          <w:bCs/>
          <w:color w:val="000000"/>
          <w:sz w:val="21"/>
          <w:szCs w:val="21"/>
          <w:highlight w:val="none"/>
        </w:rPr>
      </w:pPr>
      <w:r>
        <w:rPr>
          <w:rFonts w:hint="eastAsia" w:ascii="宋体" w:hAnsi="宋体" w:cs="宋体"/>
          <w:b/>
          <w:bCs/>
          <w:color w:val="000000"/>
          <w:sz w:val="21"/>
          <w:szCs w:val="21"/>
          <w:highlight w:val="none"/>
        </w:rPr>
        <w:t>2.1竞争性磋商文件的组成</w:t>
      </w:r>
    </w:p>
    <w:p w14:paraId="2641BC5C">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本竞争性磋商文件包括：</w:t>
      </w:r>
    </w:p>
    <w:p w14:paraId="4DC960AD">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（1）竞争性磋商公告；</w:t>
      </w:r>
    </w:p>
    <w:p w14:paraId="1ED5C6B2">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（2）响应人须知；</w:t>
      </w:r>
    </w:p>
    <w:p w14:paraId="333DBAB3">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（3）磋商办法；</w:t>
      </w:r>
    </w:p>
    <w:p w14:paraId="4344B690">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（4）合同条款；</w:t>
      </w:r>
    </w:p>
    <w:p w14:paraId="4CE77CE4">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（5）</w:t>
      </w:r>
      <w:r>
        <w:rPr>
          <w:rFonts w:hint="eastAsia" w:ascii="宋体" w:hAnsi="宋体" w:cs="宋体"/>
          <w:color w:val="000000"/>
          <w:sz w:val="21"/>
          <w:szCs w:val="21"/>
          <w:highlight w:val="none"/>
          <w:lang w:eastAsia="zh-CN"/>
        </w:rPr>
        <w:t>采购需求</w:t>
      </w:r>
      <w:r>
        <w:rPr>
          <w:rFonts w:hint="eastAsia" w:ascii="宋体" w:hAnsi="宋体" w:cs="宋体"/>
          <w:color w:val="000000"/>
          <w:sz w:val="21"/>
          <w:szCs w:val="21"/>
          <w:highlight w:val="none"/>
        </w:rPr>
        <w:t>；</w:t>
      </w:r>
    </w:p>
    <w:p w14:paraId="3634D954">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（6）磋商响应文件格式。</w:t>
      </w:r>
    </w:p>
    <w:p w14:paraId="7C72CA53">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根据本章第1.10款、第2.2款和第2.3款对竞争性磋商文件所作的澄清、修改，构成竞争性磋商文件的组成部分。</w:t>
      </w:r>
    </w:p>
    <w:p w14:paraId="3EB6A52A">
      <w:pPr>
        <w:autoSpaceDE w:val="0"/>
        <w:autoSpaceDN w:val="0"/>
        <w:adjustRightInd w:val="0"/>
        <w:spacing w:line="360" w:lineRule="auto"/>
        <w:ind w:firstLine="210"/>
        <w:rPr>
          <w:rFonts w:hint="eastAsia" w:ascii="宋体" w:hAnsi="宋体" w:cs="宋体"/>
          <w:b/>
          <w:bCs/>
          <w:color w:val="000000"/>
          <w:sz w:val="21"/>
          <w:szCs w:val="21"/>
          <w:highlight w:val="none"/>
        </w:rPr>
      </w:pPr>
      <w:r>
        <w:rPr>
          <w:rFonts w:hint="eastAsia" w:ascii="宋体" w:hAnsi="宋体" w:cs="宋体"/>
          <w:b/>
          <w:bCs/>
          <w:color w:val="000000"/>
          <w:sz w:val="21"/>
          <w:szCs w:val="21"/>
          <w:highlight w:val="none"/>
        </w:rPr>
        <w:t>2.2竞争性磋商文件的澄清</w:t>
      </w:r>
    </w:p>
    <w:p w14:paraId="5008A5A7">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2.2.1响应人应仔细阅读和检查竞争性磋商文件的全部内容。如发现缺页或附件不全，应及时向采购人提出，以便补齐。如有疑问，应在本须知前附表规定的时间前以线上提交，要求采购人对竞争性磋商文件予以澄清。</w:t>
      </w:r>
    </w:p>
    <w:p w14:paraId="41AEC48A">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2.2.2竞争性磋商文件的澄清将在本须知前附表规定的时间前进行线上澄清，但不指明澄清问题的来源。如果澄清发出的时间不满足相关要求，则按规定相应延长投标截止时间。</w:t>
      </w:r>
    </w:p>
    <w:p w14:paraId="756123B7">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2.2.3线上澄清发出后，响应人即为默认收到。</w:t>
      </w:r>
    </w:p>
    <w:p w14:paraId="6F727A53">
      <w:pPr>
        <w:autoSpaceDE w:val="0"/>
        <w:autoSpaceDN w:val="0"/>
        <w:adjustRightInd w:val="0"/>
        <w:spacing w:line="360" w:lineRule="auto"/>
        <w:ind w:firstLine="210"/>
        <w:rPr>
          <w:rFonts w:hint="eastAsia" w:ascii="宋体" w:hAnsi="宋体" w:cs="宋体"/>
          <w:b/>
          <w:bCs/>
          <w:color w:val="000000"/>
          <w:sz w:val="21"/>
          <w:szCs w:val="21"/>
          <w:highlight w:val="none"/>
        </w:rPr>
      </w:pPr>
      <w:r>
        <w:rPr>
          <w:rFonts w:hint="eastAsia" w:ascii="宋体" w:hAnsi="宋体" w:cs="宋体"/>
          <w:b/>
          <w:bCs/>
          <w:color w:val="000000"/>
          <w:sz w:val="21"/>
          <w:szCs w:val="21"/>
          <w:highlight w:val="none"/>
        </w:rPr>
        <w:t>2.3竞争性磋商文件的修改</w:t>
      </w:r>
    </w:p>
    <w:p w14:paraId="4D7DB167">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2.3.1在投标截止时间5天前，采购人可以修改竞争性磋商文件。如果修改竞争性磋商文件的时间距投标截止时间不足5天，相应延长投标截止时间。</w:t>
      </w:r>
    </w:p>
    <w:p w14:paraId="6BD7CEC7">
      <w:pPr>
        <w:autoSpaceDE w:val="0"/>
        <w:autoSpaceDN w:val="0"/>
        <w:adjustRightInd w:val="0"/>
        <w:spacing w:line="360" w:lineRule="auto"/>
        <w:ind w:firstLine="211"/>
        <w:outlineLvl w:val="1"/>
        <w:rPr>
          <w:rFonts w:hint="eastAsia" w:ascii="宋体" w:hAnsi="宋体" w:cs="宋体"/>
          <w:b/>
          <w:color w:val="000000"/>
          <w:sz w:val="21"/>
          <w:szCs w:val="21"/>
          <w:highlight w:val="none"/>
        </w:rPr>
      </w:pPr>
      <w:bookmarkStart w:id="26" w:name="_Toc336254824"/>
      <w:bookmarkStart w:id="27" w:name="_Toc381868440"/>
      <w:bookmarkStart w:id="28" w:name="_Toc13775"/>
      <w:bookmarkStart w:id="29" w:name="_Toc11379"/>
      <w:bookmarkStart w:id="30" w:name="_Toc30367"/>
      <w:bookmarkStart w:id="31" w:name="_Toc7944"/>
      <w:bookmarkStart w:id="32" w:name="_Toc58228273"/>
      <w:bookmarkStart w:id="33" w:name="_Toc48573050"/>
      <w:bookmarkStart w:id="34" w:name="_Toc16776779"/>
      <w:r>
        <w:rPr>
          <w:rFonts w:hint="eastAsia" w:ascii="宋体" w:hAnsi="宋体" w:cs="宋体"/>
          <w:b/>
          <w:color w:val="000000"/>
          <w:sz w:val="21"/>
          <w:szCs w:val="21"/>
          <w:highlight w:val="none"/>
        </w:rPr>
        <w:t>3.</w:t>
      </w:r>
      <w:bookmarkEnd w:id="26"/>
      <w:bookmarkEnd w:id="27"/>
      <w:bookmarkEnd w:id="28"/>
      <w:bookmarkEnd w:id="29"/>
      <w:r>
        <w:rPr>
          <w:rFonts w:hint="eastAsia" w:ascii="宋体" w:hAnsi="宋体" w:cs="宋体"/>
          <w:b/>
          <w:color w:val="000000"/>
          <w:sz w:val="21"/>
          <w:szCs w:val="21"/>
          <w:highlight w:val="none"/>
        </w:rPr>
        <w:t>磋商响应文件</w:t>
      </w:r>
      <w:bookmarkEnd w:id="30"/>
      <w:bookmarkEnd w:id="31"/>
      <w:bookmarkEnd w:id="32"/>
      <w:bookmarkEnd w:id="33"/>
      <w:bookmarkEnd w:id="34"/>
    </w:p>
    <w:p w14:paraId="269E9ABE">
      <w:pPr>
        <w:autoSpaceDE w:val="0"/>
        <w:autoSpaceDN w:val="0"/>
        <w:adjustRightInd w:val="0"/>
        <w:spacing w:line="360" w:lineRule="auto"/>
        <w:ind w:firstLine="210"/>
        <w:rPr>
          <w:rFonts w:hint="eastAsia" w:ascii="宋体" w:hAnsi="宋体" w:cs="宋体"/>
          <w:b/>
          <w:bCs/>
          <w:color w:val="000000"/>
          <w:sz w:val="21"/>
          <w:szCs w:val="21"/>
          <w:highlight w:val="none"/>
        </w:rPr>
      </w:pPr>
      <w:r>
        <w:rPr>
          <w:rFonts w:hint="eastAsia" w:ascii="宋体" w:hAnsi="宋体" w:cs="宋体"/>
          <w:b/>
          <w:bCs/>
          <w:color w:val="000000"/>
          <w:sz w:val="21"/>
          <w:szCs w:val="21"/>
          <w:highlight w:val="none"/>
        </w:rPr>
        <w:t>3.1磋商响应文件的组成</w:t>
      </w:r>
    </w:p>
    <w:p w14:paraId="5236D605">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3.1.1磋商响应文件应包括下列内容：</w:t>
      </w:r>
    </w:p>
    <w:p w14:paraId="79A9F0C9">
      <w:pPr>
        <w:autoSpaceDE w:val="0"/>
        <w:autoSpaceDN w:val="0"/>
        <w:adjustRightInd w:val="0"/>
        <w:spacing w:line="360" w:lineRule="auto"/>
        <w:ind w:firstLine="210"/>
        <w:rPr>
          <w:rFonts w:hint="eastAsia"/>
          <w:color w:val="auto"/>
          <w:sz w:val="21"/>
          <w:szCs w:val="21"/>
          <w:highlight w:val="none"/>
        </w:rPr>
      </w:pPr>
      <w:r>
        <w:rPr>
          <w:rFonts w:hint="eastAsia"/>
          <w:color w:val="auto"/>
          <w:sz w:val="21"/>
          <w:szCs w:val="21"/>
          <w:highlight w:val="none"/>
        </w:rPr>
        <w:t>一、投标函</w:t>
      </w:r>
      <w:r>
        <w:rPr>
          <w:rFonts w:hint="eastAsia"/>
          <w:color w:val="auto"/>
          <w:sz w:val="21"/>
          <w:szCs w:val="21"/>
          <w:highlight w:val="none"/>
        </w:rPr>
        <w:tab/>
      </w:r>
    </w:p>
    <w:p w14:paraId="58DC4CC9">
      <w:pPr>
        <w:autoSpaceDE w:val="0"/>
        <w:autoSpaceDN w:val="0"/>
        <w:adjustRightInd w:val="0"/>
        <w:spacing w:line="360" w:lineRule="auto"/>
        <w:ind w:firstLine="210"/>
        <w:rPr>
          <w:rFonts w:hint="eastAsia"/>
          <w:color w:val="auto"/>
          <w:sz w:val="21"/>
          <w:szCs w:val="21"/>
          <w:highlight w:val="none"/>
        </w:rPr>
      </w:pPr>
      <w:r>
        <w:rPr>
          <w:rFonts w:hint="eastAsia"/>
          <w:color w:val="auto"/>
          <w:sz w:val="21"/>
          <w:szCs w:val="21"/>
          <w:highlight w:val="none"/>
        </w:rPr>
        <w:t>二、投标函附录</w:t>
      </w:r>
      <w:r>
        <w:rPr>
          <w:rFonts w:hint="eastAsia"/>
          <w:color w:val="auto"/>
          <w:sz w:val="21"/>
          <w:szCs w:val="21"/>
          <w:highlight w:val="none"/>
        </w:rPr>
        <w:tab/>
      </w:r>
    </w:p>
    <w:p w14:paraId="24784696">
      <w:pPr>
        <w:autoSpaceDE w:val="0"/>
        <w:autoSpaceDN w:val="0"/>
        <w:adjustRightInd w:val="0"/>
        <w:spacing w:line="360" w:lineRule="auto"/>
        <w:ind w:firstLine="210"/>
        <w:rPr>
          <w:rFonts w:hint="eastAsia"/>
          <w:color w:val="auto"/>
          <w:sz w:val="21"/>
          <w:szCs w:val="21"/>
          <w:highlight w:val="none"/>
        </w:rPr>
      </w:pPr>
      <w:r>
        <w:rPr>
          <w:rFonts w:hint="eastAsia"/>
          <w:color w:val="auto"/>
          <w:sz w:val="21"/>
          <w:szCs w:val="21"/>
          <w:highlight w:val="none"/>
        </w:rPr>
        <w:t>三、法定代表人身份证明</w:t>
      </w:r>
      <w:r>
        <w:rPr>
          <w:rFonts w:hint="eastAsia"/>
          <w:color w:val="auto"/>
          <w:sz w:val="21"/>
          <w:szCs w:val="21"/>
          <w:highlight w:val="none"/>
        </w:rPr>
        <w:tab/>
      </w:r>
    </w:p>
    <w:p w14:paraId="5B3B4645">
      <w:pPr>
        <w:autoSpaceDE w:val="0"/>
        <w:autoSpaceDN w:val="0"/>
        <w:adjustRightInd w:val="0"/>
        <w:spacing w:line="360" w:lineRule="auto"/>
        <w:ind w:firstLine="210"/>
        <w:rPr>
          <w:rFonts w:hint="eastAsia"/>
          <w:color w:val="auto"/>
          <w:sz w:val="21"/>
          <w:szCs w:val="21"/>
          <w:highlight w:val="none"/>
        </w:rPr>
      </w:pPr>
      <w:r>
        <w:rPr>
          <w:rFonts w:hint="eastAsia"/>
          <w:color w:val="auto"/>
          <w:sz w:val="21"/>
          <w:szCs w:val="21"/>
          <w:highlight w:val="none"/>
        </w:rPr>
        <w:t>四、法定代表人授权书</w:t>
      </w:r>
      <w:r>
        <w:rPr>
          <w:rFonts w:hint="eastAsia"/>
          <w:color w:val="auto"/>
          <w:sz w:val="21"/>
          <w:szCs w:val="21"/>
          <w:highlight w:val="none"/>
        </w:rPr>
        <w:tab/>
      </w:r>
    </w:p>
    <w:p w14:paraId="6BF4E17D">
      <w:pPr>
        <w:autoSpaceDE w:val="0"/>
        <w:autoSpaceDN w:val="0"/>
        <w:adjustRightInd w:val="0"/>
        <w:spacing w:line="360" w:lineRule="auto"/>
        <w:ind w:firstLine="210"/>
        <w:rPr>
          <w:rFonts w:hint="eastAsia"/>
          <w:color w:val="auto"/>
          <w:sz w:val="21"/>
          <w:szCs w:val="21"/>
          <w:highlight w:val="none"/>
        </w:rPr>
      </w:pPr>
      <w:r>
        <w:rPr>
          <w:rFonts w:hint="eastAsia"/>
          <w:color w:val="auto"/>
          <w:sz w:val="21"/>
          <w:szCs w:val="21"/>
          <w:highlight w:val="none"/>
        </w:rPr>
        <w:t>五、投标人资格证明文件</w:t>
      </w:r>
      <w:r>
        <w:rPr>
          <w:rFonts w:hint="eastAsia"/>
          <w:color w:val="auto"/>
          <w:sz w:val="21"/>
          <w:szCs w:val="21"/>
          <w:highlight w:val="none"/>
        </w:rPr>
        <w:tab/>
      </w:r>
    </w:p>
    <w:p w14:paraId="57874735">
      <w:pPr>
        <w:autoSpaceDE w:val="0"/>
        <w:autoSpaceDN w:val="0"/>
        <w:adjustRightInd w:val="0"/>
        <w:spacing w:line="360" w:lineRule="auto"/>
        <w:ind w:firstLine="210"/>
        <w:rPr>
          <w:rFonts w:hint="eastAsia"/>
          <w:color w:val="auto"/>
          <w:sz w:val="21"/>
          <w:szCs w:val="21"/>
          <w:highlight w:val="none"/>
        </w:rPr>
      </w:pPr>
      <w:r>
        <w:rPr>
          <w:rFonts w:hint="eastAsia"/>
          <w:color w:val="auto"/>
          <w:sz w:val="21"/>
          <w:szCs w:val="21"/>
          <w:highlight w:val="none"/>
        </w:rPr>
        <w:t>六、反商业贿赂承诺书</w:t>
      </w:r>
    </w:p>
    <w:p w14:paraId="7A19D1C6">
      <w:pPr>
        <w:autoSpaceDE w:val="0"/>
        <w:autoSpaceDN w:val="0"/>
        <w:adjustRightInd w:val="0"/>
        <w:spacing w:line="360" w:lineRule="auto"/>
        <w:ind w:firstLine="210"/>
        <w:rPr>
          <w:rFonts w:hint="eastAsia"/>
          <w:color w:val="auto"/>
          <w:sz w:val="21"/>
          <w:szCs w:val="21"/>
          <w:highlight w:val="none"/>
        </w:rPr>
      </w:pPr>
      <w:r>
        <w:rPr>
          <w:rFonts w:hint="eastAsia"/>
          <w:color w:val="auto"/>
          <w:sz w:val="21"/>
          <w:szCs w:val="21"/>
          <w:highlight w:val="none"/>
        </w:rPr>
        <w:t>七、技术标</w:t>
      </w:r>
    </w:p>
    <w:p w14:paraId="319D5D65">
      <w:pPr>
        <w:autoSpaceDE w:val="0"/>
        <w:autoSpaceDN w:val="0"/>
        <w:adjustRightInd w:val="0"/>
        <w:spacing w:line="360" w:lineRule="auto"/>
        <w:ind w:firstLine="210"/>
        <w:rPr>
          <w:rFonts w:hint="eastAsia"/>
          <w:color w:val="auto"/>
          <w:sz w:val="21"/>
          <w:szCs w:val="21"/>
          <w:highlight w:val="none"/>
        </w:rPr>
      </w:pPr>
      <w:r>
        <w:rPr>
          <w:rFonts w:hint="eastAsia"/>
          <w:color w:val="auto"/>
          <w:sz w:val="21"/>
          <w:szCs w:val="21"/>
          <w:highlight w:val="none"/>
        </w:rPr>
        <w:t>八、综合标</w:t>
      </w:r>
    </w:p>
    <w:p w14:paraId="3A0A7E67">
      <w:pPr>
        <w:autoSpaceDE w:val="0"/>
        <w:autoSpaceDN w:val="0"/>
        <w:adjustRightInd w:val="0"/>
        <w:spacing w:line="360" w:lineRule="auto"/>
        <w:ind w:firstLine="210"/>
        <w:rPr>
          <w:rFonts w:hint="eastAsia"/>
          <w:color w:val="auto"/>
          <w:sz w:val="21"/>
          <w:szCs w:val="21"/>
          <w:highlight w:val="none"/>
        </w:rPr>
      </w:pPr>
      <w:r>
        <w:rPr>
          <w:rFonts w:hint="eastAsia"/>
          <w:color w:val="auto"/>
          <w:sz w:val="21"/>
          <w:szCs w:val="21"/>
          <w:highlight w:val="none"/>
        </w:rPr>
        <w:t>九、竞争性磋商文件要求的其它材料及投标人认为有必要提供的材料</w:t>
      </w:r>
    </w:p>
    <w:p w14:paraId="5A4E702E">
      <w:pPr>
        <w:autoSpaceDE w:val="0"/>
        <w:autoSpaceDN w:val="0"/>
        <w:adjustRightInd w:val="0"/>
        <w:spacing w:line="360" w:lineRule="auto"/>
        <w:ind w:firstLine="210"/>
        <w:rPr>
          <w:rFonts w:hint="eastAsia"/>
          <w:color w:val="auto"/>
          <w:sz w:val="21"/>
          <w:szCs w:val="21"/>
          <w:highlight w:val="none"/>
        </w:rPr>
      </w:pPr>
      <w:r>
        <w:rPr>
          <w:rFonts w:hint="eastAsia"/>
          <w:color w:val="auto"/>
          <w:sz w:val="21"/>
          <w:szCs w:val="21"/>
          <w:highlight w:val="none"/>
        </w:rPr>
        <w:t>十、政府采购政策</w:t>
      </w:r>
    </w:p>
    <w:p w14:paraId="55EAFD35">
      <w:pPr>
        <w:autoSpaceDE w:val="0"/>
        <w:autoSpaceDN w:val="0"/>
        <w:adjustRightInd w:val="0"/>
        <w:spacing w:line="360" w:lineRule="auto"/>
        <w:ind w:firstLine="210"/>
        <w:rPr>
          <w:rFonts w:hint="eastAsia" w:ascii="宋体" w:hAnsi="宋体" w:cs="宋体"/>
          <w:b/>
          <w:bCs/>
          <w:color w:val="000000"/>
          <w:sz w:val="21"/>
          <w:szCs w:val="21"/>
          <w:highlight w:val="none"/>
        </w:rPr>
      </w:pPr>
      <w:r>
        <w:rPr>
          <w:rFonts w:hint="eastAsia" w:ascii="宋体" w:hAnsi="宋体" w:cs="宋体"/>
          <w:b/>
          <w:bCs/>
          <w:color w:val="000000"/>
          <w:sz w:val="21"/>
          <w:szCs w:val="21"/>
          <w:highlight w:val="none"/>
        </w:rPr>
        <w:t>3.2投标报价</w:t>
      </w:r>
    </w:p>
    <w:p w14:paraId="72981142">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3.2.1本次磋商报价不得超过最高限价。</w:t>
      </w:r>
    </w:p>
    <w:p w14:paraId="12B3FDF4">
      <w:pPr>
        <w:autoSpaceDE w:val="0"/>
        <w:autoSpaceDN w:val="0"/>
        <w:adjustRightInd w:val="0"/>
        <w:spacing w:line="360" w:lineRule="auto"/>
        <w:ind w:firstLine="210"/>
        <w:rPr>
          <w:rFonts w:hint="eastAsia" w:ascii="宋体" w:hAnsi="宋体" w:cs="宋体"/>
          <w:b/>
          <w:bCs/>
          <w:color w:val="000000"/>
          <w:sz w:val="21"/>
          <w:szCs w:val="21"/>
          <w:highlight w:val="none"/>
        </w:rPr>
      </w:pPr>
      <w:r>
        <w:rPr>
          <w:rFonts w:hint="eastAsia" w:ascii="宋体" w:hAnsi="宋体" w:cs="宋体"/>
          <w:b/>
          <w:bCs/>
          <w:color w:val="000000"/>
          <w:sz w:val="21"/>
          <w:szCs w:val="21"/>
          <w:highlight w:val="none"/>
        </w:rPr>
        <w:t>3.3投标有效期</w:t>
      </w:r>
    </w:p>
    <w:p w14:paraId="0E359B1F">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3.3.1在磋商响应人须知前附表规定的投标有效期内，响应人不得要求撤销或修改其磋商响应文件。</w:t>
      </w:r>
    </w:p>
    <w:p w14:paraId="3349D75D">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3.3.2出现特殊情况需要延长投标有效期的，采购人以线上提交形式通知所有响应人延长投标有效期。</w:t>
      </w:r>
    </w:p>
    <w:p w14:paraId="4B8E55A1">
      <w:pPr>
        <w:autoSpaceDE w:val="0"/>
        <w:autoSpaceDN w:val="0"/>
        <w:adjustRightInd w:val="0"/>
        <w:spacing w:line="360" w:lineRule="auto"/>
        <w:ind w:firstLine="210"/>
        <w:rPr>
          <w:rFonts w:hint="eastAsia" w:ascii="宋体" w:hAnsi="宋体" w:cs="宋体"/>
          <w:b/>
          <w:bCs/>
          <w:color w:val="000000"/>
          <w:sz w:val="21"/>
          <w:szCs w:val="21"/>
          <w:highlight w:val="none"/>
        </w:rPr>
      </w:pPr>
      <w:r>
        <w:rPr>
          <w:rFonts w:hint="eastAsia" w:ascii="宋体" w:hAnsi="宋体" w:cs="宋体"/>
          <w:b/>
          <w:bCs/>
          <w:color w:val="000000"/>
          <w:sz w:val="21"/>
          <w:szCs w:val="21"/>
          <w:highlight w:val="none"/>
        </w:rPr>
        <w:t>3.5资格审查资料</w:t>
      </w:r>
    </w:p>
    <w:p w14:paraId="7E5D8A74">
      <w:pPr>
        <w:autoSpaceDE w:val="0"/>
        <w:autoSpaceDN w:val="0"/>
        <w:adjustRightInd w:val="0"/>
        <w:spacing w:line="360" w:lineRule="auto"/>
        <w:ind w:firstLine="210"/>
        <w:rPr>
          <w:rFonts w:hint="eastAsia" w:ascii="宋体" w:hAnsi="宋体" w:cs="宋体"/>
          <w:b w:val="0"/>
          <w:bCs w:val="0"/>
          <w:color w:val="000000"/>
          <w:sz w:val="21"/>
          <w:szCs w:val="21"/>
          <w:highlight w:val="none"/>
        </w:rPr>
      </w:pPr>
      <w:r>
        <w:rPr>
          <w:rFonts w:hint="eastAsia" w:ascii="宋体" w:hAnsi="宋体" w:cs="宋体"/>
          <w:b w:val="0"/>
          <w:bCs w:val="0"/>
          <w:color w:val="000000"/>
          <w:sz w:val="21"/>
          <w:szCs w:val="21"/>
          <w:highlight w:val="none"/>
        </w:rPr>
        <w:t>详见磋商响应人须知前附表</w:t>
      </w:r>
    </w:p>
    <w:p w14:paraId="526C3A7A">
      <w:pPr>
        <w:autoSpaceDE w:val="0"/>
        <w:autoSpaceDN w:val="0"/>
        <w:adjustRightInd w:val="0"/>
        <w:spacing w:line="360" w:lineRule="auto"/>
        <w:ind w:firstLine="210"/>
        <w:rPr>
          <w:rFonts w:hint="eastAsia" w:ascii="宋体" w:hAnsi="宋体" w:cs="宋体"/>
          <w:b/>
          <w:bCs/>
          <w:color w:val="000000"/>
          <w:sz w:val="21"/>
          <w:szCs w:val="21"/>
          <w:highlight w:val="none"/>
        </w:rPr>
      </w:pPr>
      <w:r>
        <w:rPr>
          <w:rFonts w:hint="eastAsia" w:ascii="宋体" w:hAnsi="宋体" w:cs="宋体"/>
          <w:b/>
          <w:bCs/>
          <w:color w:val="000000"/>
          <w:sz w:val="21"/>
          <w:szCs w:val="21"/>
          <w:highlight w:val="none"/>
        </w:rPr>
        <w:t>3.6备选投标方案</w:t>
      </w:r>
    </w:p>
    <w:p w14:paraId="712A0934">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除磋商响应人须知前附表另有规定外，响应人不得递交备选投标方案。</w:t>
      </w:r>
    </w:p>
    <w:p w14:paraId="0CC84FA7">
      <w:pPr>
        <w:autoSpaceDE w:val="0"/>
        <w:autoSpaceDN w:val="0"/>
        <w:adjustRightInd w:val="0"/>
        <w:spacing w:line="360" w:lineRule="auto"/>
        <w:ind w:firstLine="210"/>
        <w:rPr>
          <w:rFonts w:hint="eastAsia" w:ascii="宋体" w:hAnsi="宋体" w:cs="宋体"/>
          <w:b/>
          <w:bCs/>
          <w:color w:val="000000"/>
          <w:sz w:val="21"/>
          <w:szCs w:val="21"/>
          <w:highlight w:val="none"/>
        </w:rPr>
      </w:pPr>
      <w:r>
        <w:rPr>
          <w:rFonts w:hint="eastAsia" w:ascii="宋体" w:hAnsi="宋体" w:cs="宋体"/>
          <w:b/>
          <w:bCs/>
          <w:color w:val="000000"/>
          <w:sz w:val="21"/>
          <w:szCs w:val="21"/>
          <w:highlight w:val="none"/>
        </w:rPr>
        <w:t>3.7磋商响应文件的编制</w:t>
      </w:r>
    </w:p>
    <w:p w14:paraId="0B280B35">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3.7.1磋商响应文件应按第</w:t>
      </w:r>
      <w:r>
        <w:rPr>
          <w:rFonts w:hint="eastAsia" w:ascii="宋体" w:hAnsi="宋体" w:cs="宋体"/>
          <w:color w:val="000000"/>
          <w:sz w:val="21"/>
          <w:szCs w:val="21"/>
          <w:highlight w:val="none"/>
          <w:lang w:val="en-US" w:eastAsia="zh-CN"/>
        </w:rPr>
        <w:t>六</w:t>
      </w:r>
      <w:r>
        <w:rPr>
          <w:rFonts w:hint="eastAsia" w:ascii="宋体" w:hAnsi="宋体" w:cs="宋体"/>
          <w:color w:val="000000"/>
          <w:sz w:val="21"/>
          <w:szCs w:val="21"/>
          <w:highlight w:val="none"/>
        </w:rPr>
        <w:t>章“磋商响应文件格式”进行编写，如有必要，可以增加附页，作为磋商响应文件的组成部分。其中，首次报价一览表在满足竞争性磋商文件实质性要求的基础上，可以提出比竞争性磋商文件要求更有利于采购人的承诺。</w:t>
      </w:r>
    </w:p>
    <w:p w14:paraId="32B40258">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3.7.2磋商响应文件应当对竞争性磋商文件有关</w:t>
      </w:r>
      <w:r>
        <w:rPr>
          <w:rFonts w:hint="eastAsia" w:ascii="宋体" w:hAnsi="宋体" w:cs="宋体"/>
          <w:color w:val="000000"/>
          <w:sz w:val="21"/>
          <w:szCs w:val="21"/>
          <w:highlight w:val="none"/>
          <w:lang w:val="en-US" w:eastAsia="zh-CN"/>
        </w:rPr>
        <w:t>供货安装期限</w:t>
      </w:r>
      <w:r>
        <w:rPr>
          <w:rFonts w:hint="eastAsia" w:ascii="宋体" w:hAnsi="宋体" w:cs="宋体"/>
          <w:color w:val="000000"/>
          <w:sz w:val="21"/>
          <w:szCs w:val="21"/>
          <w:highlight w:val="none"/>
        </w:rPr>
        <w:t>、磋商有效期、质量要求等实质性内容作出响应。</w:t>
      </w:r>
    </w:p>
    <w:p w14:paraId="1466D6D3">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3.7.3响应文件签章要求见磋商响应人须知前附表。</w:t>
      </w:r>
    </w:p>
    <w:p w14:paraId="25942FA3">
      <w:pPr>
        <w:autoSpaceDE w:val="0"/>
        <w:autoSpaceDN w:val="0"/>
        <w:adjustRightInd w:val="0"/>
        <w:spacing w:line="360" w:lineRule="auto"/>
        <w:ind w:firstLine="211"/>
        <w:outlineLvl w:val="1"/>
        <w:rPr>
          <w:rFonts w:hint="eastAsia" w:ascii="宋体" w:hAnsi="宋体" w:cs="宋体"/>
          <w:b/>
          <w:color w:val="000000"/>
          <w:sz w:val="21"/>
          <w:szCs w:val="21"/>
          <w:highlight w:val="none"/>
        </w:rPr>
      </w:pPr>
      <w:bookmarkStart w:id="35" w:name="_Toc336254825"/>
      <w:bookmarkStart w:id="36" w:name="_Toc26978"/>
      <w:bookmarkStart w:id="37" w:name="_Toc5406"/>
      <w:bookmarkStart w:id="38" w:name="_Toc6012"/>
      <w:bookmarkStart w:id="39" w:name="_Toc381868441"/>
      <w:bookmarkStart w:id="40" w:name="_Toc58228274"/>
      <w:bookmarkStart w:id="41" w:name="_Toc48573051"/>
      <w:bookmarkStart w:id="42" w:name="_Toc14"/>
      <w:bookmarkStart w:id="43" w:name="_Toc16776780"/>
      <w:r>
        <w:rPr>
          <w:rFonts w:hint="eastAsia" w:ascii="宋体" w:hAnsi="宋体" w:cs="宋体"/>
          <w:b/>
          <w:color w:val="000000"/>
          <w:sz w:val="21"/>
          <w:szCs w:val="21"/>
          <w:highlight w:val="none"/>
        </w:rPr>
        <w:t>4.投标</w:t>
      </w:r>
      <w:bookmarkEnd w:id="35"/>
      <w:bookmarkEnd w:id="36"/>
      <w:bookmarkEnd w:id="37"/>
      <w:bookmarkEnd w:id="38"/>
      <w:bookmarkEnd w:id="39"/>
      <w:bookmarkEnd w:id="40"/>
      <w:bookmarkEnd w:id="41"/>
      <w:bookmarkEnd w:id="42"/>
      <w:bookmarkEnd w:id="43"/>
    </w:p>
    <w:p w14:paraId="7A9549D8">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4.2.1响应人应在本章前附表规定的响应文件上传截止时间前递交磋商响应文件。</w:t>
      </w:r>
    </w:p>
    <w:p w14:paraId="7419E0B5">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4.2.2响应人递交磋商响应文件的地点：见磋商响应人须知前附表。</w:t>
      </w:r>
    </w:p>
    <w:p w14:paraId="20054C9D">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4.2.3除磋商响应人须知前附表另有规定外，响应人所递交的磋商响应文件不予退还。</w:t>
      </w:r>
    </w:p>
    <w:p w14:paraId="7CBD6983">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4.2.4逾期送达的或者未送达指定地点的磋商响应文件，采购人不予受理。</w:t>
      </w:r>
    </w:p>
    <w:p w14:paraId="314BC069">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4.3磋商响应文件的修改与撤回</w:t>
      </w:r>
    </w:p>
    <w:p w14:paraId="0F743E33">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4.3.1在本章前附表规定的响应文件上传截止时间前，响应人可以修改或撤回已递交的磋商响应文件。</w:t>
      </w:r>
    </w:p>
    <w:p w14:paraId="30F11D90">
      <w:pPr>
        <w:autoSpaceDE w:val="0"/>
        <w:autoSpaceDN w:val="0"/>
        <w:adjustRightInd w:val="0"/>
        <w:spacing w:line="360" w:lineRule="auto"/>
        <w:ind w:firstLine="211"/>
        <w:outlineLvl w:val="1"/>
        <w:rPr>
          <w:rFonts w:hint="eastAsia" w:ascii="宋体" w:hAnsi="宋体" w:cs="宋体"/>
          <w:b/>
          <w:color w:val="000000"/>
          <w:sz w:val="21"/>
          <w:szCs w:val="21"/>
          <w:highlight w:val="none"/>
        </w:rPr>
      </w:pPr>
      <w:bookmarkStart w:id="44" w:name="_Toc58228275"/>
      <w:bookmarkStart w:id="45" w:name="_Toc25274"/>
      <w:bookmarkStart w:id="46" w:name="_Toc15833"/>
      <w:bookmarkStart w:id="47" w:name="_Toc26911"/>
      <w:bookmarkStart w:id="48" w:name="_Toc336254826"/>
      <w:bookmarkStart w:id="49" w:name="_Toc29798"/>
      <w:bookmarkStart w:id="50" w:name="_Toc48573052"/>
      <w:bookmarkStart w:id="51" w:name="_Toc16776781"/>
      <w:bookmarkStart w:id="52" w:name="_Toc381868442"/>
      <w:r>
        <w:rPr>
          <w:rFonts w:hint="eastAsia" w:ascii="宋体" w:hAnsi="宋体" w:cs="宋体"/>
          <w:b/>
          <w:color w:val="000000"/>
          <w:sz w:val="21"/>
          <w:szCs w:val="21"/>
          <w:highlight w:val="none"/>
        </w:rPr>
        <w:t>5.开标</w:t>
      </w:r>
      <w:bookmarkEnd w:id="44"/>
      <w:bookmarkEnd w:id="45"/>
      <w:bookmarkEnd w:id="46"/>
      <w:bookmarkEnd w:id="47"/>
      <w:bookmarkEnd w:id="48"/>
      <w:bookmarkEnd w:id="49"/>
      <w:bookmarkEnd w:id="50"/>
      <w:bookmarkEnd w:id="51"/>
      <w:bookmarkEnd w:id="52"/>
    </w:p>
    <w:p w14:paraId="002701DD">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5.1开标时间和地点</w:t>
      </w:r>
    </w:p>
    <w:p w14:paraId="50659D6C">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采购人在本章前附表规定的投标截止时间（开标时间）和磋商响应人须知前附表规定的地点开标</w:t>
      </w:r>
    </w:p>
    <w:p w14:paraId="69BEF4AF">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5.2开标程序</w:t>
      </w:r>
      <w:bookmarkStart w:id="53" w:name="_Toc17278"/>
      <w:bookmarkStart w:id="54" w:name="_Toc4803"/>
      <w:bookmarkStart w:id="55" w:name="_Toc381868443"/>
      <w:bookmarkStart w:id="56" w:name="_Toc336254827"/>
    </w:p>
    <w:p w14:paraId="1FA8177B">
      <w:pPr>
        <w:autoSpaceDE w:val="0"/>
        <w:autoSpaceDN w:val="0"/>
        <w:adjustRightInd w:val="0"/>
        <w:spacing w:line="360" w:lineRule="auto"/>
        <w:ind w:firstLine="211"/>
        <w:outlineLvl w:val="1"/>
        <w:rPr>
          <w:rFonts w:hint="eastAsia" w:ascii="宋体" w:hAnsi="宋体" w:cs="宋体"/>
          <w:b/>
          <w:color w:val="000000"/>
          <w:sz w:val="21"/>
          <w:szCs w:val="21"/>
          <w:highlight w:val="none"/>
        </w:rPr>
      </w:pPr>
      <w:bookmarkStart w:id="57" w:name="_Toc16776782"/>
      <w:bookmarkStart w:id="58" w:name="_Toc12288"/>
      <w:bookmarkStart w:id="59" w:name="_Toc58228276"/>
      <w:bookmarkStart w:id="60" w:name="_Toc11154"/>
      <w:bookmarkStart w:id="61" w:name="_Toc48573053"/>
      <w:r>
        <w:rPr>
          <w:rFonts w:hint="eastAsia" w:ascii="宋体" w:hAnsi="宋体" w:cs="宋体"/>
          <w:color w:val="000000"/>
          <w:sz w:val="21"/>
          <w:szCs w:val="21"/>
          <w:highlight w:val="none"/>
        </w:rPr>
        <w:t>详见响应人须知前附表规定</w:t>
      </w:r>
    </w:p>
    <w:p w14:paraId="0F65F84E">
      <w:pPr>
        <w:autoSpaceDE w:val="0"/>
        <w:autoSpaceDN w:val="0"/>
        <w:adjustRightInd w:val="0"/>
        <w:spacing w:line="360" w:lineRule="auto"/>
        <w:ind w:firstLine="211"/>
        <w:outlineLvl w:val="1"/>
        <w:rPr>
          <w:rFonts w:hint="eastAsia" w:ascii="宋体" w:hAnsi="宋体" w:cs="宋体"/>
          <w:b/>
          <w:color w:val="000000"/>
          <w:sz w:val="21"/>
          <w:szCs w:val="21"/>
          <w:highlight w:val="none"/>
        </w:rPr>
      </w:pPr>
      <w:r>
        <w:rPr>
          <w:rFonts w:hint="eastAsia" w:ascii="宋体" w:hAnsi="宋体" w:cs="宋体"/>
          <w:b/>
          <w:color w:val="000000"/>
          <w:sz w:val="21"/>
          <w:szCs w:val="21"/>
          <w:highlight w:val="none"/>
        </w:rPr>
        <w:t>6.</w:t>
      </w:r>
      <w:bookmarkEnd w:id="53"/>
      <w:bookmarkEnd w:id="54"/>
      <w:bookmarkEnd w:id="55"/>
      <w:bookmarkEnd w:id="56"/>
      <w:r>
        <w:rPr>
          <w:rFonts w:hint="eastAsia" w:ascii="宋体" w:hAnsi="宋体" w:cs="宋体"/>
          <w:b/>
          <w:color w:val="000000"/>
          <w:sz w:val="21"/>
          <w:szCs w:val="21"/>
          <w:highlight w:val="none"/>
        </w:rPr>
        <w:t>磋商</w:t>
      </w:r>
      <w:bookmarkEnd w:id="57"/>
      <w:bookmarkEnd w:id="58"/>
      <w:bookmarkEnd w:id="59"/>
      <w:bookmarkEnd w:id="60"/>
      <w:bookmarkEnd w:id="61"/>
    </w:p>
    <w:p w14:paraId="785331AD">
      <w:pPr>
        <w:autoSpaceDE w:val="0"/>
        <w:autoSpaceDN w:val="0"/>
        <w:adjustRightInd w:val="0"/>
        <w:spacing w:line="360" w:lineRule="auto"/>
        <w:ind w:firstLine="210"/>
        <w:rPr>
          <w:rFonts w:hint="eastAsia" w:ascii="宋体" w:hAnsi="宋体" w:cs="宋体"/>
          <w:color w:val="000000"/>
          <w:sz w:val="21"/>
          <w:szCs w:val="21"/>
          <w:highlight w:val="none"/>
        </w:rPr>
      </w:pPr>
      <w:bookmarkStart w:id="62" w:name="_Toc25369"/>
      <w:bookmarkStart w:id="63" w:name="_Toc381868444"/>
      <w:bookmarkStart w:id="64" w:name="_Toc336254828"/>
      <w:r>
        <w:rPr>
          <w:rFonts w:hint="eastAsia" w:ascii="宋体" w:hAnsi="宋体" w:cs="宋体"/>
          <w:color w:val="000000"/>
          <w:sz w:val="21"/>
          <w:szCs w:val="21"/>
          <w:highlight w:val="none"/>
        </w:rPr>
        <w:t>6.1磋商组织</w:t>
      </w:r>
    </w:p>
    <w:p w14:paraId="7CB99B23">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6.1.1磋商工作由采购人依法组建的磋商小组负责。磋商小组由采购人或其委托的采购代理机构熟悉相关业务的代表，以及有关技术、经济等方面的专家组成。磋商小组成员人数以及技术、经济等方面专家的确定方式见磋商响应人须知前附表。</w:t>
      </w:r>
    </w:p>
    <w:p w14:paraId="113B7652">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6.1.2磋商小组成员有下列情形之一的，应当回避：</w:t>
      </w:r>
    </w:p>
    <w:p w14:paraId="7357CE61">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（1）采购人或响应人的主要负责人的近亲属；</w:t>
      </w:r>
    </w:p>
    <w:p w14:paraId="163C9723">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（2）项目主管部门或者行政监督部门的人员；</w:t>
      </w:r>
    </w:p>
    <w:p w14:paraId="6FE190E4">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（3）与响应人有经济利益关系，可能影响对磋商公正评审的；</w:t>
      </w:r>
    </w:p>
    <w:p w14:paraId="5EF3BC79">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（4）曾因在招标、评标以及其他与招标投标有关活动中从事违法行为而受过行政处罚或刑事处罚的。</w:t>
      </w:r>
    </w:p>
    <w:p w14:paraId="2FAE5A4F">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6.2磋商原则</w:t>
      </w:r>
    </w:p>
    <w:p w14:paraId="151869F4">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磋商活动遵循公平、公正、科学和择优的原则。</w:t>
      </w:r>
    </w:p>
    <w:p w14:paraId="3DBAB970">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6.3磋商</w:t>
      </w:r>
    </w:p>
    <w:p w14:paraId="17D2A6A9">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6.3.1磋商小组按照</w:t>
      </w:r>
      <w:r>
        <w:rPr>
          <w:rFonts w:hint="eastAsia" w:ascii="宋体" w:hAnsi="宋体" w:cs="宋体"/>
          <w:color w:val="000000"/>
          <w:sz w:val="21"/>
          <w:szCs w:val="21"/>
          <w:highlight w:val="none"/>
          <w:lang w:eastAsia="zh-CN"/>
        </w:rPr>
        <w:t>第四章“磋商办法”</w:t>
      </w:r>
      <w:r>
        <w:rPr>
          <w:rFonts w:hint="eastAsia" w:ascii="宋体" w:hAnsi="宋体" w:cs="宋体"/>
          <w:color w:val="000000"/>
          <w:sz w:val="21"/>
          <w:szCs w:val="21"/>
          <w:highlight w:val="none"/>
        </w:rPr>
        <w:t>规定的方法、评审因素、标准和程序对磋商响应文件进行评审。</w:t>
      </w:r>
      <w:r>
        <w:rPr>
          <w:rFonts w:hint="eastAsia" w:ascii="宋体" w:hAnsi="宋体" w:cs="宋体"/>
          <w:color w:val="000000"/>
          <w:sz w:val="21"/>
          <w:szCs w:val="21"/>
          <w:highlight w:val="none"/>
          <w:lang w:eastAsia="zh-CN"/>
        </w:rPr>
        <w:t>第四章“磋商办法”</w:t>
      </w:r>
      <w:r>
        <w:rPr>
          <w:rFonts w:hint="eastAsia" w:ascii="宋体" w:hAnsi="宋体" w:cs="宋体"/>
          <w:color w:val="000000"/>
          <w:sz w:val="21"/>
          <w:szCs w:val="21"/>
          <w:highlight w:val="none"/>
        </w:rPr>
        <w:t>没有规定的方法、评审因素和标准，不作为磋商依据。</w:t>
      </w:r>
    </w:p>
    <w:p w14:paraId="74F5BCFB">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6.3.2详细磋商</w:t>
      </w:r>
    </w:p>
    <w:p w14:paraId="1B072ADB">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1）磋商小组成员集中与通过初步评审的单一投标人分别进行磋商。在磋商中，磋商双方可以就磋商项目所涉及的价格、技术、服务等进行实质性磋商，但磋商的任何一方不得透露与磋商有关的其他投标人的技术资料、价格和其他信息，不得变动磋商文件中的其他内容。</w:t>
      </w:r>
    </w:p>
    <w:p w14:paraId="092775BC">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2）磋商小组将允许投标人修改其磋商响应文件中不构成重大偏离的微小的、非正规的、不一致的或不规则的地方，但这些修改不能影响任何投标人的名次相应排列。为有助于对磋商响应文件的审查、评价和比较，磋商小组可分别要求投标人对磋商响应文件中含义不清的内容进行澄清。有关澄清的要求和答复均须以书面形式，但磋商的实质性内容不得更改。</w:t>
      </w:r>
    </w:p>
    <w:p w14:paraId="3EB8E5D5">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（3）若磋商内容有实质性变动的，磋商小组应当以书面形式通知所有参加磋商的投标人。</w:t>
      </w:r>
    </w:p>
    <w:p w14:paraId="51B0FE0D">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（4）所有响应人磋商结束后，磋商小组将要求所有符合招标需求的响应人在规定的时间内同时进行最终报价（二次报价）。按最终报价计算响应人的报价得分。</w:t>
      </w:r>
      <w:r>
        <w:rPr>
          <w:rFonts w:hint="eastAsia" w:ascii="宋体" w:hAnsi="宋体" w:cs="宋体"/>
          <w:b/>
          <w:bCs/>
          <w:color w:val="000000"/>
          <w:sz w:val="21"/>
          <w:szCs w:val="21"/>
          <w:highlight w:val="none"/>
        </w:rPr>
        <w:t>【注：成交价格为该磋商投标人的最终报价】</w:t>
      </w:r>
      <w:r>
        <w:rPr>
          <w:rFonts w:hint="eastAsia" w:ascii="宋体" w:hAnsi="宋体" w:cs="宋体"/>
          <w:color w:val="000000"/>
          <w:sz w:val="21"/>
          <w:szCs w:val="21"/>
          <w:highlight w:val="none"/>
        </w:rPr>
        <w:t>。</w:t>
      </w:r>
    </w:p>
    <w:p w14:paraId="2C7B1659">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（5）磋商小组按照磋商文件采用综合评分法对通过初步评审的有效响应人的磋商响应文件进行综合评分，按综合得分由高到低的顺序推荐成交候选人，由磋商小组在磋商记录上签字。</w:t>
      </w:r>
    </w:p>
    <w:p w14:paraId="26496C98">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6.4磋商过程的保密性</w:t>
      </w:r>
    </w:p>
    <w:p w14:paraId="67634A86">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6.4.1磋商期间，直到授予成交人合同止，凡是与磋商响应文件审查、澄清、评价、比较以及推荐成交人等方面的情况，均不得向响应人或其他无关的人员透露。</w:t>
      </w:r>
    </w:p>
    <w:p w14:paraId="2B35C49A">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6.4.2在磋商过程中，响应人如向磋商小组成员施加任何影响，都将会导致其磋商被拒绝。</w:t>
      </w:r>
    </w:p>
    <w:p w14:paraId="282E66B5">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6.5评定标准</w:t>
      </w:r>
    </w:p>
    <w:p w14:paraId="6ED2F70B">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6.5.1依据相关法律法规的要求，根据符合项目需求、质量和服务的前提，磋商小组按照综合得分由高到低的顺序推荐1—3名成交候选人。评审得分相同的，按照最终报价由低到高的顺序推荐。评审得分且最终报价相同的，按照技术指标优劣顺序推荐。采购人根据磋商小组的推荐意见，最终确定成交投标人。</w:t>
      </w:r>
    </w:p>
    <w:p w14:paraId="1C2C8075">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6.6磋商结果公示</w:t>
      </w:r>
    </w:p>
    <w:p w14:paraId="64500B33">
      <w:pPr>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6.6.1在磋商有效期内，采购人确定成交人后，以书面形式向成交人发出中标通知书，同时将成交结果通知未成交的投标人。</w:t>
      </w:r>
    </w:p>
    <w:p w14:paraId="65DD1BB2">
      <w:pPr>
        <w:autoSpaceDE w:val="0"/>
        <w:autoSpaceDN w:val="0"/>
        <w:adjustRightInd w:val="0"/>
        <w:spacing w:line="360" w:lineRule="auto"/>
        <w:ind w:firstLine="211"/>
        <w:outlineLvl w:val="1"/>
        <w:rPr>
          <w:rFonts w:hint="eastAsia" w:ascii="宋体" w:hAnsi="宋体" w:cs="宋体"/>
          <w:b/>
          <w:color w:val="000000"/>
          <w:sz w:val="21"/>
          <w:szCs w:val="21"/>
          <w:highlight w:val="none"/>
        </w:rPr>
      </w:pPr>
      <w:bookmarkStart w:id="65" w:name="_Toc24210"/>
      <w:bookmarkStart w:id="66" w:name="_Toc58228277"/>
      <w:bookmarkStart w:id="67" w:name="_Toc31256"/>
      <w:bookmarkStart w:id="68" w:name="_Toc48573054"/>
      <w:bookmarkStart w:id="69" w:name="_Toc16776783"/>
      <w:r>
        <w:rPr>
          <w:rFonts w:hint="eastAsia" w:ascii="宋体" w:hAnsi="宋体" w:cs="宋体"/>
          <w:b/>
          <w:color w:val="000000"/>
          <w:sz w:val="21"/>
          <w:szCs w:val="21"/>
          <w:highlight w:val="none"/>
        </w:rPr>
        <w:t>7.合同授予</w:t>
      </w:r>
      <w:bookmarkEnd w:id="62"/>
      <w:bookmarkEnd w:id="63"/>
      <w:bookmarkEnd w:id="64"/>
      <w:bookmarkEnd w:id="65"/>
      <w:bookmarkEnd w:id="66"/>
      <w:bookmarkEnd w:id="67"/>
      <w:bookmarkEnd w:id="68"/>
      <w:bookmarkEnd w:id="69"/>
    </w:p>
    <w:p w14:paraId="268780C2">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7.1定标方式</w:t>
      </w:r>
    </w:p>
    <w:p w14:paraId="4E2D2800">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除磋商响应人须知前附表规定磋商小组直接确定成交人外，采购人依据磋商小组推荐的成交候选人确定成交人，磋商小组推荐成交候选人的人数见磋商响应人须知前附表。</w:t>
      </w:r>
    </w:p>
    <w:p w14:paraId="6C5F98A8">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7.2成交通知</w:t>
      </w:r>
    </w:p>
    <w:p w14:paraId="776E5C7C">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在磋商有效期内，以书面形式通知成交人。</w:t>
      </w:r>
    </w:p>
    <w:p w14:paraId="5ADE491C">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中标通知书是合同的组成部分。</w:t>
      </w:r>
    </w:p>
    <w:p w14:paraId="2D5ED860">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对未成交的响应人，不做任何未成交原因的解释。</w:t>
      </w:r>
    </w:p>
    <w:p w14:paraId="354207AB">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7.3签订合同</w:t>
      </w:r>
    </w:p>
    <w:p w14:paraId="2A0E72AB">
      <w:pPr>
        <w:autoSpaceDE w:val="0"/>
        <w:autoSpaceDN w:val="0"/>
        <w:adjustRightInd w:val="0"/>
        <w:spacing w:line="360" w:lineRule="auto"/>
        <w:ind w:firstLine="210"/>
        <w:rPr>
          <w:rFonts w:hint="eastAsia" w:ascii="宋体" w:hAnsi="宋体" w:cs="宋体"/>
          <w:color w:val="000000"/>
          <w:sz w:val="21"/>
          <w:szCs w:val="21"/>
          <w:highlight w:val="none"/>
        </w:rPr>
      </w:pPr>
      <w:bookmarkStart w:id="70" w:name="_Toc381868445"/>
      <w:bookmarkStart w:id="71" w:name="_Toc31831"/>
      <w:bookmarkStart w:id="72" w:name="_Toc16776784"/>
      <w:bookmarkStart w:id="73" w:name="_Toc31954"/>
      <w:bookmarkStart w:id="74" w:name="_Toc48573055"/>
      <w:bookmarkStart w:id="75" w:name="_Toc8832"/>
      <w:bookmarkStart w:id="76" w:name="_Toc336254829"/>
      <w:bookmarkStart w:id="77" w:name="_Toc27885"/>
      <w:r>
        <w:rPr>
          <w:rFonts w:hint="eastAsia" w:ascii="宋体" w:hAnsi="宋体" w:cs="宋体"/>
          <w:color w:val="000000"/>
          <w:sz w:val="21"/>
          <w:szCs w:val="21"/>
          <w:highlight w:val="none"/>
        </w:rPr>
        <w:t>7.3.1采购人和成交人应当自中标通知书发出之日起</w:t>
      </w:r>
      <w:r>
        <w:rPr>
          <w:rFonts w:hint="eastAsia" w:ascii="宋体" w:hAnsi="宋体" w:cs="宋体"/>
          <w:color w:val="000000"/>
          <w:sz w:val="21"/>
          <w:szCs w:val="21"/>
          <w:highlight w:val="none"/>
          <w:lang w:val="en-US" w:eastAsia="zh-CN"/>
        </w:rPr>
        <w:t>7</w:t>
      </w:r>
      <w:r>
        <w:rPr>
          <w:rFonts w:hint="eastAsia" w:ascii="宋体" w:hAnsi="宋体" w:cs="宋体"/>
          <w:color w:val="000000"/>
          <w:sz w:val="21"/>
          <w:szCs w:val="21"/>
          <w:highlight w:val="none"/>
        </w:rPr>
        <w:t>天内（响应人须知前附表另有规定者从其规定），根据磋商文件和成交人的响应文件订立书面合同。成交人无正当理由拒签合同的，采购人取消其成交资格，给采购人造成的损失的，成交人还应予以赔偿。</w:t>
      </w:r>
    </w:p>
    <w:p w14:paraId="18C20F61">
      <w:pPr>
        <w:autoSpaceDE w:val="0"/>
        <w:autoSpaceDN w:val="0"/>
        <w:adjustRightInd w:val="0"/>
        <w:spacing w:line="360" w:lineRule="auto"/>
        <w:ind w:firstLine="210"/>
        <w:rPr>
          <w:rFonts w:hint="eastAsia" w:ascii="宋体" w:hAnsi="宋体" w:cs="宋体"/>
          <w:b/>
          <w:bCs/>
          <w:color w:val="000000"/>
          <w:sz w:val="21"/>
          <w:szCs w:val="21"/>
          <w:highlight w:val="none"/>
        </w:rPr>
      </w:pPr>
      <w:r>
        <w:rPr>
          <w:rFonts w:hint="eastAsia" w:ascii="宋体" w:hAnsi="宋体" w:cs="宋体"/>
          <w:color w:val="000000"/>
          <w:sz w:val="21"/>
          <w:szCs w:val="21"/>
          <w:highlight w:val="none"/>
        </w:rPr>
        <w:t>7.3.2发出中标通知书后，采购人无正当理由拒签合同的，给成交人造成损失的，还应当赔偿损失</w:t>
      </w:r>
      <w:r>
        <w:rPr>
          <w:rFonts w:hint="eastAsia" w:ascii="宋体" w:hAnsi="宋体" w:cs="宋体"/>
          <w:b/>
          <w:bCs/>
          <w:color w:val="000000"/>
          <w:sz w:val="21"/>
          <w:szCs w:val="21"/>
          <w:highlight w:val="none"/>
        </w:rPr>
        <w:t>。</w:t>
      </w:r>
    </w:p>
    <w:p w14:paraId="58EB9398">
      <w:pPr>
        <w:autoSpaceDE w:val="0"/>
        <w:autoSpaceDN w:val="0"/>
        <w:adjustRightInd w:val="0"/>
        <w:spacing w:line="360" w:lineRule="auto"/>
        <w:ind w:firstLine="211"/>
        <w:outlineLvl w:val="1"/>
        <w:rPr>
          <w:rFonts w:hint="eastAsia" w:ascii="宋体" w:hAnsi="宋体" w:cs="宋体"/>
          <w:b/>
          <w:bCs/>
          <w:color w:val="000000"/>
          <w:sz w:val="21"/>
          <w:szCs w:val="21"/>
          <w:highlight w:val="none"/>
        </w:rPr>
      </w:pPr>
      <w:bookmarkStart w:id="78" w:name="_Toc58228278"/>
      <w:r>
        <w:rPr>
          <w:rFonts w:hint="eastAsia" w:ascii="宋体" w:hAnsi="宋体" w:cs="宋体"/>
          <w:b/>
          <w:bCs/>
          <w:color w:val="000000"/>
          <w:sz w:val="21"/>
          <w:szCs w:val="21"/>
          <w:highlight w:val="none"/>
        </w:rPr>
        <w:t>8.重新招标和不再招标</w:t>
      </w:r>
      <w:bookmarkEnd w:id="70"/>
      <w:bookmarkEnd w:id="71"/>
      <w:bookmarkEnd w:id="72"/>
      <w:bookmarkEnd w:id="73"/>
      <w:bookmarkEnd w:id="74"/>
      <w:bookmarkEnd w:id="75"/>
      <w:bookmarkEnd w:id="76"/>
      <w:bookmarkEnd w:id="77"/>
      <w:bookmarkEnd w:id="78"/>
    </w:p>
    <w:p w14:paraId="4B88CCAD">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8.1重新招标</w:t>
      </w:r>
    </w:p>
    <w:p w14:paraId="62FB74B8">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有下列情形之一的，采购人将重新招标：</w:t>
      </w:r>
    </w:p>
    <w:p w14:paraId="410A6F4E">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（1）至磋商截止时间止，响应人少于3个的；</w:t>
      </w:r>
    </w:p>
    <w:p w14:paraId="69D1DD33">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（2）经磋商小组评审后否决所有投标的；</w:t>
      </w:r>
    </w:p>
    <w:p w14:paraId="324D0604">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3）排名第一的成交候选人放弃成交、因不可抗力不能履行合同、不按照竞争性磋商文件要求提交履约保证金，或者被查实存在影响成交结果的违法行为等情形，不符合成交条件的，采购人可以按照磋商小组提出的成交候选人名单排序依次确定其他成交候选人为成交人，也可以重新招标。</w:t>
      </w:r>
    </w:p>
    <w:p w14:paraId="63DC8097">
      <w:pPr>
        <w:autoSpaceDE w:val="0"/>
        <w:autoSpaceDN w:val="0"/>
        <w:adjustRightInd w:val="0"/>
        <w:spacing w:line="360" w:lineRule="auto"/>
        <w:ind w:firstLine="211"/>
        <w:outlineLvl w:val="1"/>
        <w:rPr>
          <w:rFonts w:hint="eastAsia" w:ascii="宋体" w:hAnsi="宋体" w:cs="宋体"/>
          <w:b/>
          <w:color w:val="000000"/>
          <w:sz w:val="21"/>
          <w:szCs w:val="21"/>
          <w:highlight w:val="none"/>
        </w:rPr>
      </w:pPr>
      <w:bookmarkStart w:id="79" w:name="_Toc58228279"/>
      <w:bookmarkStart w:id="80" w:name="_Toc7637"/>
      <w:bookmarkStart w:id="81" w:name="_Toc3416"/>
      <w:bookmarkStart w:id="82" w:name="_Toc16776785"/>
      <w:bookmarkStart w:id="83" w:name="_Toc381868446"/>
      <w:bookmarkStart w:id="84" w:name="_Toc48573056"/>
      <w:bookmarkStart w:id="85" w:name="_Toc3668"/>
      <w:bookmarkStart w:id="86" w:name="_Toc18587"/>
      <w:bookmarkStart w:id="87" w:name="_Toc336254830"/>
      <w:r>
        <w:rPr>
          <w:rFonts w:hint="eastAsia" w:ascii="宋体" w:hAnsi="宋体" w:cs="宋体"/>
          <w:b/>
          <w:color w:val="000000"/>
          <w:sz w:val="21"/>
          <w:szCs w:val="21"/>
          <w:highlight w:val="none"/>
        </w:rPr>
        <w:t>9.纪律和监督</w:t>
      </w:r>
      <w:bookmarkEnd w:id="79"/>
      <w:bookmarkEnd w:id="80"/>
      <w:bookmarkEnd w:id="81"/>
      <w:bookmarkEnd w:id="82"/>
      <w:bookmarkEnd w:id="83"/>
      <w:bookmarkEnd w:id="84"/>
      <w:bookmarkEnd w:id="85"/>
      <w:bookmarkEnd w:id="86"/>
      <w:bookmarkEnd w:id="87"/>
    </w:p>
    <w:p w14:paraId="01B02262">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9.1对采购人的纪律要求</w:t>
      </w:r>
    </w:p>
    <w:p w14:paraId="3965D24D">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采购人不得泄漏招标投标活动中应当保密的情况和资料，不得与响应人串通损害国家利益、社会公共利益或者他人合法权益。</w:t>
      </w:r>
    </w:p>
    <w:p w14:paraId="77832889">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9.2对响应人的纪律要求</w:t>
      </w:r>
    </w:p>
    <w:p w14:paraId="0CD90A31">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响应人不得相互串通投标或者与采购人串通投标，不得向采购人或者磋商小组成员行贿谋取成交，不得以他人名义投标或者以其他方式弄虚作假骗取成交；响应人不得以任何方式干扰、影响评标工作。</w:t>
      </w:r>
    </w:p>
    <w:p w14:paraId="0F76B535">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9.3对磋商小组成员的纪律要求</w:t>
      </w:r>
    </w:p>
    <w:p w14:paraId="213348C0">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磋商小组成员不得收受他人的财物或者其他好处，不得向他人透漏对磋商响应文件的评审和比较、成交候选人的推荐情况以及评标有关的其他情况。在磋商活动中，磋商小组成员不得擅离职守，影响评标程序正常进行，不得使用</w:t>
      </w:r>
      <w:r>
        <w:rPr>
          <w:rFonts w:hint="eastAsia" w:ascii="宋体" w:hAnsi="宋体" w:cs="宋体"/>
          <w:color w:val="000000"/>
          <w:sz w:val="21"/>
          <w:szCs w:val="21"/>
          <w:highlight w:val="none"/>
          <w:lang w:eastAsia="zh-CN"/>
        </w:rPr>
        <w:t>第四章“磋商办法”</w:t>
      </w:r>
      <w:r>
        <w:rPr>
          <w:rFonts w:hint="eastAsia" w:ascii="宋体" w:hAnsi="宋体" w:cs="宋体"/>
          <w:color w:val="000000"/>
          <w:sz w:val="21"/>
          <w:szCs w:val="21"/>
          <w:highlight w:val="none"/>
        </w:rPr>
        <w:t>没有规定的评审因素和标准进行评标。</w:t>
      </w:r>
    </w:p>
    <w:p w14:paraId="54AE71C7">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9.4对与磋商活动有关的工作人员的纪律要求</w:t>
      </w:r>
    </w:p>
    <w:p w14:paraId="0AF06990">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与磋商活动有关的工作人员不得收受他人的财物或者其他好处，不得向他人透漏对磋商响应文件的评审和比较、成交候选人的推荐情况以及评标有关的其他情况。在磋商活动中，与磋商活动有关的工作人员不得擅离职守，影响评标程序正常进行。</w:t>
      </w:r>
    </w:p>
    <w:p w14:paraId="59643ED2">
      <w:pPr>
        <w:autoSpaceDE w:val="0"/>
        <w:autoSpaceDN w:val="0"/>
        <w:adjustRightInd w:val="0"/>
        <w:spacing w:line="360" w:lineRule="auto"/>
        <w:rPr>
          <w:rFonts w:hint="eastAsia" w:ascii="宋体" w:hAnsi="宋体" w:cs="宋体"/>
          <w:color w:val="000000"/>
          <w:sz w:val="21"/>
          <w:szCs w:val="21"/>
          <w:highlight w:val="none"/>
        </w:rPr>
      </w:pPr>
      <w:r>
        <w:rPr>
          <w:rFonts w:hint="eastAsia" w:ascii="宋体" w:hAnsi="宋体" w:cs="宋体"/>
          <w:color w:val="000000"/>
          <w:sz w:val="21"/>
          <w:szCs w:val="21"/>
          <w:highlight w:val="none"/>
        </w:rPr>
        <w:t>9.5质疑、投诉</w:t>
      </w:r>
    </w:p>
    <w:p w14:paraId="54D82F46">
      <w:pPr>
        <w:autoSpaceDE w:val="0"/>
        <w:autoSpaceDN w:val="0"/>
        <w:adjustRightInd w:val="0"/>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具体内容见响应人须知前附表。</w:t>
      </w:r>
    </w:p>
    <w:p w14:paraId="46834111">
      <w:pPr>
        <w:spacing w:line="360" w:lineRule="auto"/>
        <w:rPr>
          <w:rFonts w:hint="eastAsia" w:ascii="宋体" w:hAnsi="宋体" w:cs="宋体"/>
          <w:b/>
          <w:color w:val="000000"/>
          <w:sz w:val="21"/>
          <w:szCs w:val="21"/>
          <w:highlight w:val="none"/>
        </w:rPr>
      </w:pPr>
      <w:r>
        <w:rPr>
          <w:rFonts w:hint="eastAsia" w:ascii="宋体" w:hAnsi="宋体" w:cs="宋体"/>
          <w:color w:val="000000"/>
          <w:sz w:val="21"/>
          <w:szCs w:val="21"/>
          <w:highlight w:val="none"/>
        </w:rPr>
        <w:t>10</w:t>
      </w:r>
      <w:r>
        <w:rPr>
          <w:rFonts w:hint="eastAsia" w:ascii="宋体" w:hAnsi="宋体" w:cs="宋体"/>
          <w:b/>
          <w:color w:val="000000"/>
          <w:sz w:val="21"/>
          <w:szCs w:val="21"/>
          <w:highlight w:val="none"/>
        </w:rPr>
        <w:t>.</w:t>
      </w:r>
      <w:bookmarkStart w:id="88" w:name="_Toc419645323"/>
      <w:r>
        <w:rPr>
          <w:rFonts w:hint="eastAsia" w:ascii="宋体" w:hAnsi="宋体" w:cs="宋体"/>
          <w:b/>
          <w:color w:val="000000"/>
          <w:sz w:val="21"/>
          <w:szCs w:val="21"/>
          <w:highlight w:val="none"/>
        </w:rPr>
        <w:t>政府采购政策</w:t>
      </w:r>
    </w:p>
    <w:p w14:paraId="73483355">
      <w:pPr>
        <w:spacing w:before="120" w:line="360" w:lineRule="auto"/>
        <w:rPr>
          <w:rFonts w:hint="eastAsia" w:ascii="宋体" w:hAnsi="宋体" w:cs="宋体"/>
          <w:b/>
          <w:bCs/>
          <w:color w:val="000000"/>
          <w:sz w:val="21"/>
          <w:szCs w:val="21"/>
          <w:highlight w:val="none"/>
        </w:rPr>
      </w:pPr>
      <w:r>
        <w:rPr>
          <w:rFonts w:hint="eastAsia" w:ascii="宋体" w:hAnsi="宋体" w:cs="宋体"/>
          <w:b/>
          <w:bCs/>
          <w:color w:val="000000"/>
          <w:sz w:val="21"/>
          <w:szCs w:val="21"/>
          <w:highlight w:val="none"/>
        </w:rPr>
        <w:t>10.1</w:t>
      </w:r>
      <w:r>
        <w:rPr>
          <w:rFonts w:hint="eastAsia" w:ascii="宋体" w:hAnsi="宋体" w:cs="宋体"/>
          <w:b/>
          <w:color w:val="000000"/>
          <w:sz w:val="21"/>
          <w:szCs w:val="21"/>
          <w:highlight w:val="none"/>
        </w:rPr>
        <w:t>政府采购政策</w:t>
      </w:r>
      <w:r>
        <w:rPr>
          <w:rFonts w:hint="eastAsia" w:ascii="宋体" w:hAnsi="宋体" w:cs="宋体"/>
          <w:b/>
          <w:bCs/>
          <w:color w:val="000000"/>
          <w:sz w:val="21"/>
          <w:szCs w:val="21"/>
          <w:highlight w:val="none"/>
        </w:rPr>
        <w:t>的规定</w:t>
      </w:r>
      <w:bookmarkEnd w:id="88"/>
    </w:p>
    <w:p w14:paraId="2FDF62AC">
      <w:pPr>
        <w:spacing w:line="360" w:lineRule="auto"/>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10.1.1根据《政府采购促进中小企业发展管理办法》(财库[2020]46号)的规定，对小型和微型企业制造产品的价格给予</w:t>
      </w:r>
      <w:r>
        <w:rPr>
          <w:rFonts w:hint="eastAsia" w:ascii="宋体" w:hAnsi="宋体" w:cs="宋体"/>
          <w:color w:val="000000"/>
          <w:sz w:val="21"/>
          <w:szCs w:val="21"/>
          <w:highlight w:val="none"/>
          <w:lang w:val="en-US" w:eastAsia="zh-CN"/>
        </w:rPr>
        <w:t>20</w:t>
      </w:r>
      <w:r>
        <w:rPr>
          <w:rFonts w:hint="eastAsia" w:ascii="宋体" w:hAnsi="宋体" w:cs="宋体"/>
          <w:color w:val="000000"/>
          <w:sz w:val="21"/>
          <w:szCs w:val="21"/>
          <w:highlight w:val="none"/>
        </w:rPr>
        <w:t>%的扣除，用扣除后的价格参与评审，但不作为成交价和合同签约价，成交价和合同签约价仍以其最终报价为准。</w:t>
      </w:r>
    </w:p>
    <w:p w14:paraId="20244CD4">
      <w:pPr>
        <w:spacing w:line="360" w:lineRule="auto"/>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注：本办法所称中小企业，是指在中华人民共和国境内依法设立，依据国务院批准的中小企业划分标准确定的中型企业、小型企业和微型企业，但与大企业的负责人为同一人，或者与大企业存在直接控股、管理关系的除外。</w:t>
      </w:r>
    </w:p>
    <w:p w14:paraId="64EF8D8E">
      <w:pPr>
        <w:spacing w:line="360" w:lineRule="auto"/>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符合中小企业划分标准的个体工商户，在政府采购活动中视同中小企业。中小企业参加政府采购活动，应当出具《中小企业声明函》（详见响应文件格式），否则不得享受相关中小企业扶持政策。</w:t>
      </w:r>
    </w:p>
    <w:p w14:paraId="7FDC0791">
      <w:pPr>
        <w:spacing w:line="360" w:lineRule="auto"/>
        <w:jc w:val="left"/>
        <w:rPr>
          <w:rFonts w:hint="eastAsia" w:ascii="宋体" w:hAnsi="宋体" w:cs="宋体"/>
          <w:color w:val="000000"/>
          <w:sz w:val="21"/>
          <w:szCs w:val="21"/>
          <w:highlight w:val="none"/>
        </w:rPr>
      </w:pPr>
      <w:r>
        <w:rPr>
          <w:rFonts w:hint="eastAsia" w:ascii="宋体" w:hAnsi="宋体" w:cs="宋体"/>
          <w:color w:val="000000"/>
          <w:sz w:val="21"/>
          <w:szCs w:val="21"/>
          <w:highlight w:val="none"/>
        </w:rPr>
        <w:t>10.1.2享受扶持政策获得政府采购合同的，小微企业不得将合同分包给大中型企业，中型企业不得将合同分包给大型企业。</w:t>
      </w:r>
    </w:p>
    <w:p w14:paraId="2DF45719">
      <w:pPr>
        <w:spacing w:line="360" w:lineRule="auto"/>
        <w:rPr>
          <w:rFonts w:hint="eastAsia" w:ascii="宋体" w:hAnsi="宋体" w:cs="宋体"/>
          <w:color w:val="000000"/>
          <w:sz w:val="21"/>
          <w:szCs w:val="21"/>
          <w:highlight w:val="none"/>
        </w:rPr>
      </w:pPr>
      <w:r>
        <w:rPr>
          <w:rFonts w:hint="eastAsia" w:ascii="宋体" w:hAnsi="宋体" w:cs="宋体"/>
          <w:color w:val="000000"/>
          <w:sz w:val="21"/>
          <w:szCs w:val="21"/>
          <w:highlight w:val="none"/>
        </w:rPr>
        <w:t>10.1.3本次采购标的对应的中小企业划分标准符合小型、微型企业划分标准（按照“关于印发中小企业划型标准规定的通知”（工信部联企业【2011】300号）的规定划分）；所属行业为</w:t>
      </w:r>
      <w:r>
        <w:rPr>
          <w:rFonts w:hint="eastAsia" w:ascii="宋体" w:hAnsi="宋体" w:cs="宋体"/>
          <w:b/>
          <w:bCs/>
          <w:color w:val="000000"/>
          <w:szCs w:val="21"/>
          <w:highlight w:val="none"/>
          <w:lang w:val="en-US" w:eastAsia="zh-CN"/>
        </w:rPr>
        <w:t>零售业</w:t>
      </w:r>
      <w:r>
        <w:rPr>
          <w:rFonts w:hint="eastAsia" w:ascii="宋体" w:hAnsi="宋体" w:cs="宋体"/>
          <w:color w:val="000000"/>
          <w:sz w:val="21"/>
          <w:szCs w:val="21"/>
          <w:highlight w:val="none"/>
        </w:rPr>
        <w:t>。</w:t>
      </w:r>
    </w:p>
    <w:p w14:paraId="1F1C12B8">
      <w:pPr>
        <w:spacing w:line="360" w:lineRule="auto"/>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10.1.4中标、成交供应商享受本办法规定的中小企业扶持政策的，采购人、采购代理机构随中标、成交结果公开中标、成交供应商的《中小企业声明函》。供应商按照本办法规定提供声明函内容不实的，属于提供虚假材料谋取中标、成交，依照《中华人民共和国政府采购法》等国家有关规定追究相应责任。</w:t>
      </w:r>
    </w:p>
    <w:p w14:paraId="0AF6D634">
      <w:pPr>
        <w:spacing w:line="360" w:lineRule="auto"/>
        <w:rPr>
          <w:rFonts w:hint="eastAsia" w:ascii="宋体" w:hAnsi="宋体" w:cs="宋体"/>
          <w:color w:val="000000"/>
          <w:sz w:val="21"/>
          <w:szCs w:val="21"/>
          <w:highlight w:val="none"/>
        </w:rPr>
      </w:pPr>
      <w:r>
        <w:rPr>
          <w:rFonts w:hint="eastAsia" w:ascii="宋体" w:hAnsi="宋体" w:cs="宋体"/>
          <w:color w:val="000000"/>
          <w:sz w:val="21"/>
          <w:szCs w:val="21"/>
          <w:highlight w:val="none"/>
        </w:rPr>
        <w:t>10.1.5根据《财政部、司法部关于政府采购支持监狱企业发展有关问题的通知》（财库[2014]68号）规定，本项目支持监狱企业参与政府采购活动。提供由省级以上监狱管理局、戒毒管理局（含新疆生产建设兵团）出具的属于监狱企业的证明文件的，视同小型、微型企业，享受评审中价格扣除等政府采购促进中小企业发展的政府采购政策</w:t>
      </w:r>
      <w:r>
        <w:rPr>
          <w:rFonts w:hint="eastAsia" w:ascii="宋体" w:hAnsi="宋体" w:cs="宋体"/>
          <w:b/>
          <w:color w:val="000000"/>
          <w:sz w:val="21"/>
          <w:szCs w:val="21"/>
          <w:highlight w:val="none"/>
        </w:rPr>
        <w:t>。</w:t>
      </w:r>
    </w:p>
    <w:p w14:paraId="4BF25D17">
      <w:pPr>
        <w:spacing w:line="360" w:lineRule="auto"/>
        <w:rPr>
          <w:rFonts w:hint="eastAsia" w:ascii="宋体" w:hAnsi="宋体" w:cs="宋体"/>
          <w:color w:val="000000"/>
          <w:sz w:val="21"/>
          <w:szCs w:val="21"/>
          <w:highlight w:val="none"/>
        </w:rPr>
      </w:pPr>
      <w:r>
        <w:rPr>
          <w:rFonts w:hint="eastAsia" w:ascii="宋体" w:hAnsi="宋体" w:cs="宋体"/>
          <w:color w:val="000000"/>
          <w:sz w:val="21"/>
          <w:szCs w:val="21"/>
          <w:highlight w:val="none"/>
        </w:rPr>
        <w:t>10.1.6根据《财政部民政部中国残疾人联合会关于促进残疾人就业政府采购政策的通知》(财库〔2017〕141号)的规定，在政府采购活动中，残疾人福利性单位符合本通知规定的条件、提供本通知规定的《残疾人福利性单位声明函》，并对声明的真实性负责的，视同小型、微型企业，享受评审中价格扣除等促进中小企业发展的政府采购政策</w:t>
      </w:r>
      <w:r>
        <w:rPr>
          <w:rFonts w:hint="eastAsia" w:ascii="宋体" w:hAnsi="宋体" w:cs="宋体"/>
          <w:b/>
          <w:color w:val="000000"/>
          <w:sz w:val="21"/>
          <w:szCs w:val="21"/>
          <w:highlight w:val="none"/>
        </w:rPr>
        <w:t>。</w:t>
      </w:r>
    </w:p>
    <w:p w14:paraId="51946BB2">
      <w:pPr>
        <w:spacing w:line="360" w:lineRule="auto"/>
        <w:rPr>
          <w:rFonts w:hint="eastAsia" w:ascii="宋体" w:hAnsi="宋体" w:cs="宋体"/>
          <w:color w:val="000000"/>
          <w:sz w:val="21"/>
          <w:szCs w:val="21"/>
          <w:highlight w:val="none"/>
        </w:rPr>
      </w:pPr>
      <w:r>
        <w:rPr>
          <w:rFonts w:hint="eastAsia" w:ascii="宋体" w:hAnsi="宋体" w:cs="宋体"/>
          <w:color w:val="000000"/>
          <w:sz w:val="21"/>
          <w:szCs w:val="21"/>
          <w:highlight w:val="none"/>
        </w:rPr>
        <w:t>10.1.7涉及节能产品的，将按根据《财政部发展改革委生态环境部市场监管总局关于调整优化节能产品环境标志产品政府采购执行机制的通知》（财库〔2019〕9号），的规定执行。</w:t>
      </w:r>
    </w:p>
    <w:p w14:paraId="4005D539">
      <w:pPr>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采购人拟采购的产品如属于品目清单范围的，采购人及其委托的采购代理机构应当根据国家确定的认证机构出具的、处于有效期之内的节能产品、环境标志产品认证证书，对获得证书的产品实施政府优先采购或强制采购。</w:t>
      </w:r>
    </w:p>
    <w:p w14:paraId="445B527A">
      <w:pPr>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10.1.8</w:t>
      </w:r>
      <w:r>
        <w:rPr>
          <w:rFonts w:hint="eastAsia" w:ascii="宋体" w:hAnsi="宋体" w:cs="宋体"/>
          <w:bCs/>
          <w:color w:val="000000"/>
          <w:sz w:val="21"/>
          <w:szCs w:val="21"/>
          <w:highlight w:val="none"/>
        </w:rPr>
        <w:t>根据财政部、国家环保总局联合印发《关于环境标志产品政府采购实施的意见》（财库[2006]90号），如供应商所提供产品属于被列入最新一期环境标志产品政府采购清单产品，将给以优先采购。</w:t>
      </w:r>
    </w:p>
    <w:p w14:paraId="3E04458A">
      <w:pPr>
        <w:spacing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10.1.9根据《政府采购进口产品管理办法》（财库[2007]119号）规定，政府采购应当采购本国产品，不允许采购进口产品，确需采购进口产品的，实行审核管理。本办法所称进口产品是指通过中国海关报关验放进入中国境内且产自关境外的产品。根据《财政部办公厅关于政府采购进口产品管理有关问题的通知》（财办库[2008]248号）规定，凡在海关特殊监管区域内企业生产或加工（包括从境外进口料件）销往境内其他地区的产品，不作为政府采购项下进口产品。对从境外进入海关特殊监管区域，再经办理报关手续后从海关特殊监管区进入境内其他地区的产品，应当视为进口产品；未在采购文件中明确规定不允许进口产品参加的，视为拒绝进口产品参加。财政部门审核同意购买进口产品的，将在采购文件中明确规定可以采购进口产品。</w:t>
      </w:r>
    </w:p>
    <w:p w14:paraId="4E10005C">
      <w:pPr>
        <w:spacing w:before="120" w:line="360" w:lineRule="auto"/>
        <w:ind w:firstLine="210"/>
        <w:rPr>
          <w:rFonts w:hint="eastAsia" w:ascii="宋体" w:hAnsi="宋体" w:cs="宋体"/>
          <w:color w:val="000000"/>
          <w:sz w:val="21"/>
          <w:szCs w:val="21"/>
          <w:highlight w:val="none"/>
        </w:rPr>
      </w:pPr>
      <w:r>
        <w:rPr>
          <w:rFonts w:hint="eastAsia" w:ascii="宋体" w:hAnsi="宋体" w:cs="宋体"/>
          <w:color w:val="000000"/>
          <w:sz w:val="21"/>
          <w:szCs w:val="21"/>
          <w:highlight w:val="none"/>
        </w:rPr>
        <w:t>10.1.10其它未尽事宜，按国家有关法律、法规执行。</w:t>
      </w:r>
    </w:p>
    <w:p w14:paraId="054F3AE2">
      <w:pPr>
        <w:rPr>
          <w:rFonts w:hint="eastAsia" w:ascii="宋体" w:hAnsi="宋体" w:cs="宋体"/>
          <w:color w:val="auto"/>
          <w:sz w:val="48"/>
          <w:szCs w:val="48"/>
        </w:rPr>
      </w:pPr>
    </w:p>
    <w:p w14:paraId="1FD5B8E8">
      <w:pPr>
        <w:rPr>
          <w:rFonts w:hint="eastAsia" w:ascii="宋体" w:hAnsi="宋体" w:cs="宋体"/>
          <w:color w:val="auto"/>
          <w:sz w:val="48"/>
          <w:szCs w:val="48"/>
        </w:rPr>
      </w:pPr>
      <w:bookmarkStart w:id="89" w:name="_Toc17800"/>
      <w:r>
        <w:rPr>
          <w:rFonts w:hint="eastAsia" w:ascii="宋体" w:hAnsi="宋体" w:cs="宋体"/>
          <w:color w:val="auto"/>
          <w:sz w:val="48"/>
          <w:szCs w:val="48"/>
        </w:rPr>
        <w:br w:type="page"/>
      </w:r>
    </w:p>
    <w:p w14:paraId="016D819A">
      <w:pPr>
        <w:pStyle w:val="2"/>
        <w:widowControl/>
        <w:spacing w:line="240" w:lineRule="auto"/>
        <w:ind w:right="-4"/>
        <w:jc w:val="center"/>
        <w:rPr>
          <w:rFonts w:hint="eastAsia" w:ascii="宋体" w:hAnsi="宋体" w:eastAsia="宋体" w:cs="宋体"/>
          <w:color w:val="auto"/>
          <w:sz w:val="48"/>
          <w:szCs w:val="48"/>
          <w:lang w:eastAsia="zh-CN"/>
        </w:rPr>
      </w:pPr>
      <w:r>
        <w:rPr>
          <w:rFonts w:hint="eastAsia" w:ascii="宋体" w:hAnsi="宋体" w:cs="宋体"/>
          <w:color w:val="auto"/>
          <w:sz w:val="48"/>
          <w:szCs w:val="48"/>
        </w:rPr>
        <w:t xml:space="preserve">第三章  </w:t>
      </w:r>
      <w:bookmarkEnd w:id="16"/>
      <w:r>
        <w:rPr>
          <w:rFonts w:hint="eastAsia" w:ascii="宋体" w:hAnsi="宋体" w:cs="宋体"/>
          <w:color w:val="auto"/>
          <w:sz w:val="48"/>
          <w:szCs w:val="48"/>
          <w:lang w:eastAsia="zh-CN"/>
        </w:rPr>
        <w:t>货物需求及技术要求</w:t>
      </w:r>
      <w:bookmarkEnd w:id="89"/>
    </w:p>
    <w:p w14:paraId="43698A17">
      <w:pPr>
        <w:jc w:val="center"/>
        <w:rPr>
          <w:rFonts w:ascii="宋体" w:hAnsi="宋体" w:eastAsia="宋体" w:cs="宋体"/>
          <w:b/>
          <w:sz w:val="24"/>
          <w:szCs w:val="24"/>
          <w:shd w:val="pct10" w:color="auto" w:fill="FFFFFF"/>
        </w:rPr>
      </w:pPr>
      <w:bookmarkStart w:id="90" w:name="_Toc445450458"/>
      <w:r>
        <w:rPr>
          <w:rFonts w:hint="eastAsia" w:ascii="楷体" w:hAnsi="楷体" w:eastAsia="楷体"/>
          <w:b/>
          <w:sz w:val="32"/>
          <w:szCs w:val="32"/>
          <w:lang w:eastAsia="zh-CN"/>
        </w:rPr>
        <w:t>（</w:t>
      </w:r>
      <w:r>
        <w:rPr>
          <w:rFonts w:hint="eastAsia" w:ascii="楷体" w:hAnsi="楷体" w:eastAsia="楷体"/>
          <w:b/>
          <w:sz w:val="32"/>
          <w:szCs w:val="32"/>
          <w:lang w:val="en-US" w:eastAsia="zh-CN"/>
        </w:rPr>
        <w:t>一</w:t>
      </w:r>
      <w:r>
        <w:rPr>
          <w:rFonts w:hint="eastAsia" w:ascii="楷体" w:hAnsi="楷体" w:eastAsia="楷体"/>
          <w:b/>
          <w:sz w:val="32"/>
          <w:szCs w:val="32"/>
          <w:lang w:eastAsia="zh-CN"/>
        </w:rPr>
        <w:t>）</w:t>
      </w:r>
      <w:r>
        <w:rPr>
          <w:rFonts w:hint="eastAsia" w:ascii="楷体" w:hAnsi="楷体" w:eastAsia="楷体"/>
          <w:b/>
          <w:sz w:val="32"/>
          <w:szCs w:val="32"/>
        </w:rPr>
        <w:t xml:space="preserve"> </w:t>
      </w:r>
      <w:bookmarkStart w:id="91" w:name="_Toc8051"/>
      <w:r>
        <w:rPr>
          <w:rFonts w:hint="eastAsia" w:ascii="楷体" w:hAnsi="楷体" w:eastAsia="楷体"/>
          <w:b/>
          <w:sz w:val="32"/>
          <w:szCs w:val="32"/>
          <w:lang w:val="en-US" w:eastAsia="zh-CN"/>
        </w:rPr>
        <w:t>吸顶式</w:t>
      </w:r>
      <w:r>
        <w:rPr>
          <w:rFonts w:hint="eastAsia" w:ascii="楷体" w:hAnsi="楷体" w:eastAsia="楷体"/>
          <w:b/>
          <w:sz w:val="32"/>
          <w:szCs w:val="32"/>
        </w:rPr>
        <w:t>等离子空气消毒机</w:t>
      </w:r>
      <w:r>
        <w:rPr>
          <w:rFonts w:hint="eastAsia" w:ascii="楷体" w:hAnsi="楷体" w:eastAsia="楷体"/>
          <w:b/>
          <w:sz w:val="32"/>
          <w:szCs w:val="32"/>
          <w:lang w:eastAsia="zh-CN"/>
        </w:rPr>
        <w:t>（</w:t>
      </w:r>
      <w:r>
        <w:rPr>
          <w:rFonts w:hint="eastAsia" w:ascii="楷体" w:hAnsi="楷体" w:eastAsia="楷体"/>
          <w:b/>
          <w:sz w:val="32"/>
          <w:szCs w:val="32"/>
          <w:lang w:val="en-US" w:eastAsia="zh-CN"/>
        </w:rPr>
        <w:t>17台</w:t>
      </w:r>
      <w:r>
        <w:rPr>
          <w:rFonts w:hint="eastAsia" w:ascii="楷体" w:hAnsi="楷体" w:eastAsia="楷体"/>
          <w:b/>
          <w:sz w:val="32"/>
          <w:szCs w:val="32"/>
          <w:lang w:eastAsia="zh-CN"/>
        </w:rPr>
        <w:t>）</w:t>
      </w:r>
    </w:p>
    <w:p w14:paraId="5A2221A9">
      <w:pPr>
        <w:tabs>
          <w:tab w:val="left" w:pos="840"/>
        </w:tabs>
        <w:spacing w:line="500" w:lineRule="exac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 xml:space="preserve"> 核心部件采用自主研发的等离子体除尘、杀菌,可以有效去除空气中的尘埃及微生物</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动态消毒机,人机共存使用,不生成二次污染；</w:t>
      </w:r>
    </w:p>
    <w:p w14:paraId="2B9D962E">
      <w:pPr>
        <w:tabs>
          <w:tab w:val="left" w:pos="840"/>
        </w:tabs>
        <w:spacing w:line="500" w:lineRule="exac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 xml:space="preserve"> 智能故障提示：具有风机，电机及等离子体故障自动报警、整机工作寿命计时及清洗保养提醒等功能；风速高、中、低档可调,适应各种环境</w:t>
      </w:r>
    </w:p>
    <w:p w14:paraId="3B556A06">
      <w:pPr>
        <w:tabs>
          <w:tab w:val="left" w:pos="840"/>
        </w:tabs>
        <w:spacing w:line="500" w:lineRule="exact"/>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采用微电脑程序控制，中文液晶显示</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提供手动、遥控器远程操控、程控定时工作模式供用户自由选择；</w:t>
      </w:r>
      <w:r>
        <w:rPr>
          <w:rFonts w:hint="eastAsia" w:asciiTheme="minorEastAsia" w:hAnsiTheme="minorEastAsia" w:eastAsiaTheme="minorEastAsia" w:cstheme="minorEastAsia"/>
          <w:sz w:val="24"/>
          <w:szCs w:val="24"/>
          <w:lang w:eastAsia="zh-CN"/>
        </w:rPr>
        <w:t>不低于</w:t>
      </w:r>
      <w:r>
        <w:rPr>
          <w:rFonts w:hint="eastAsia" w:asciiTheme="minorEastAsia" w:hAnsiTheme="minorEastAsia" w:eastAsiaTheme="minorEastAsia" w:cstheme="minorEastAsia"/>
          <w:sz w:val="24"/>
          <w:szCs w:val="24"/>
        </w:rPr>
        <w:t>6组程控定时</w:t>
      </w:r>
      <w:r>
        <w:rPr>
          <w:rFonts w:hint="eastAsia" w:asciiTheme="minorEastAsia" w:hAnsiTheme="minorEastAsia" w:eastAsiaTheme="minorEastAsia" w:cstheme="minorEastAsia"/>
          <w:sz w:val="24"/>
          <w:szCs w:val="24"/>
          <w:lang w:eastAsia="zh-CN"/>
        </w:rPr>
        <w:t>自动启停</w:t>
      </w:r>
      <w:r>
        <w:rPr>
          <w:rFonts w:hint="eastAsia" w:asciiTheme="minorEastAsia" w:hAnsiTheme="minorEastAsia" w:eastAsiaTheme="minorEastAsia" w:cstheme="minorEastAsia"/>
          <w:sz w:val="24"/>
          <w:szCs w:val="24"/>
        </w:rPr>
        <w:t>模式；</w:t>
      </w:r>
    </w:p>
    <w:p w14:paraId="0A45F7B0">
      <w:pPr>
        <w:tabs>
          <w:tab w:val="left" w:pos="840"/>
        </w:tabs>
        <w:spacing w:line="500" w:lineRule="exac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主机壳体选用全金属材质经现代防潮工艺制成,面饰层采用水晶面板,避免藏污纳垢减少交叉感染,方便于日常清洗、保养、维护；</w:t>
      </w:r>
    </w:p>
    <w:p w14:paraId="7C9EB71A">
      <w:pPr>
        <w:tabs>
          <w:tab w:val="left" w:pos="840"/>
        </w:tabs>
        <w:spacing w:line="500" w:lineRule="exact"/>
        <w:jc w:val="both"/>
        <w:rPr>
          <w:rFonts w:hint="eastAsia" w:asciiTheme="minorEastAsia" w:hAnsiTheme="minorEastAsia" w:eastAsiaTheme="minorEastAsia" w:cstheme="minorEastAsia"/>
          <w:b/>
          <w:bCs/>
          <w:sz w:val="24"/>
          <w:szCs w:val="24"/>
        </w:rPr>
      </w:pPr>
      <w:r>
        <w:rPr>
          <w:rFonts w:hint="eastAsia" w:ascii="宋体" w:hAnsi="宋体" w:eastAsia="宋体" w:cs="宋体"/>
          <w:sz w:val="24"/>
          <w:szCs w:val="24"/>
          <w:lang w:val="en-US" w:eastAsia="zh-CN"/>
        </w:rPr>
        <w:t>▲</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消毒效果:设备持续工作2小时,可使</w:t>
      </w:r>
      <w:r>
        <w:rPr>
          <w:rFonts w:hint="eastAsia" w:asciiTheme="minorEastAsia" w:hAnsiTheme="minorEastAsia" w:eastAsiaTheme="minorEastAsia" w:cstheme="minorEastAsia"/>
          <w:sz w:val="24"/>
          <w:szCs w:val="24"/>
          <w:lang w:val="en-US" w:eastAsia="zh-CN"/>
        </w:rPr>
        <w:t>15</w:t>
      </w:r>
      <w:r>
        <w:rPr>
          <w:rFonts w:hint="eastAsia" w:asciiTheme="minorEastAsia" w:hAnsiTheme="minorEastAsia" w:eastAsiaTheme="minorEastAsia" w:cstheme="minorEastAsia"/>
          <w:sz w:val="24"/>
          <w:szCs w:val="24"/>
        </w:rPr>
        <w:t>0m³房间对空气中自然菌平均的消亡率≥90%,</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40min空气中白葡萄菌杀灭率≥99.</w:t>
      </w:r>
      <w:r>
        <w:rPr>
          <w:rFonts w:hint="eastAsia" w:asciiTheme="minorEastAsia" w:hAnsiTheme="minorEastAsia" w:eastAsiaTheme="minorEastAsia" w:cstheme="minorEastAsia"/>
          <w:sz w:val="24"/>
          <w:szCs w:val="24"/>
          <w:lang w:val="en-US" w:eastAsia="zh-CN"/>
        </w:rPr>
        <w:t>98</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b/>
          <w:bCs/>
          <w:sz w:val="24"/>
          <w:szCs w:val="24"/>
        </w:rPr>
        <w:t>（提供检测报告）</w:t>
      </w:r>
    </w:p>
    <w:p w14:paraId="464BBDF7">
      <w:pPr>
        <w:tabs>
          <w:tab w:val="left" w:pos="840"/>
        </w:tabs>
        <w:spacing w:line="500" w:lineRule="exac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 xml:space="preserve"> 安装方式:嵌入式;</w:t>
      </w:r>
      <w:r>
        <w:rPr>
          <w:rFonts w:hint="eastAsia" w:asciiTheme="minorEastAsia" w:hAnsiTheme="minorEastAsia" w:eastAsiaTheme="minorEastAsia" w:cstheme="minorEastAsia"/>
          <w:sz w:val="24"/>
          <w:szCs w:val="24"/>
          <w:lang w:eastAsia="zh-CN"/>
        </w:rPr>
        <w:t>（机器完全嵌入，外部与天花板齐平，无外露，无凸出）</w:t>
      </w:r>
    </w:p>
    <w:p w14:paraId="5266DD35">
      <w:pPr>
        <w:tabs>
          <w:tab w:val="left" w:pos="840"/>
        </w:tabs>
        <w:spacing w:line="500" w:lineRule="exac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7、 </w:t>
      </w:r>
      <w:r>
        <w:rPr>
          <w:rFonts w:hint="eastAsia" w:asciiTheme="minorEastAsia" w:hAnsiTheme="minorEastAsia" w:eastAsiaTheme="minorEastAsia" w:cstheme="minorEastAsia"/>
          <w:sz w:val="24"/>
          <w:szCs w:val="24"/>
        </w:rPr>
        <w:t>输入功率:≤</w:t>
      </w:r>
      <w:r>
        <w:rPr>
          <w:rFonts w:hint="eastAsia" w:asciiTheme="minorEastAsia" w:hAnsiTheme="minorEastAsia" w:eastAsiaTheme="minorEastAsia" w:cstheme="minorEastAsia"/>
          <w:sz w:val="24"/>
          <w:szCs w:val="24"/>
          <w:lang w:val="en-US" w:eastAsia="zh-CN"/>
        </w:rPr>
        <w:t>280</w:t>
      </w:r>
      <w:r>
        <w:rPr>
          <w:rFonts w:hint="eastAsia" w:asciiTheme="minorEastAsia" w:hAnsiTheme="minorEastAsia" w:eastAsiaTheme="minorEastAsia" w:cstheme="minorEastAsia"/>
          <w:sz w:val="24"/>
          <w:szCs w:val="24"/>
        </w:rPr>
        <w:t>W;</w:t>
      </w:r>
    </w:p>
    <w:p w14:paraId="1AF0BA93">
      <w:pPr>
        <w:tabs>
          <w:tab w:val="left" w:pos="840"/>
        </w:tabs>
        <w:spacing w:line="500" w:lineRule="exact"/>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循环风量:≥1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00m³/h;</w:t>
      </w:r>
      <w:r>
        <w:rPr>
          <w:rFonts w:hint="eastAsia" w:asciiTheme="minorEastAsia" w:hAnsiTheme="minorEastAsia" w:eastAsiaTheme="minorEastAsia" w:cstheme="minorEastAsia"/>
          <w:sz w:val="24"/>
          <w:szCs w:val="24"/>
          <w:lang w:eastAsia="zh-CN"/>
        </w:rPr>
        <w:t>消毒范围：≤</w:t>
      </w:r>
      <w:r>
        <w:rPr>
          <w:rFonts w:hint="eastAsia" w:asciiTheme="minorEastAsia" w:hAnsiTheme="minorEastAsia" w:eastAsiaTheme="minorEastAsia" w:cstheme="minorEastAsia"/>
          <w:sz w:val="24"/>
          <w:szCs w:val="24"/>
          <w:lang w:val="en-US" w:eastAsia="zh-CN"/>
        </w:rPr>
        <w:t>150m³</w:t>
      </w:r>
    </w:p>
    <w:p w14:paraId="3EDA33D5">
      <w:pPr>
        <w:tabs>
          <w:tab w:val="left" w:pos="840"/>
        </w:tabs>
        <w:spacing w:line="500" w:lineRule="exac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9、</w:t>
      </w:r>
      <w:r>
        <w:rPr>
          <w:rFonts w:hint="eastAsia" w:asciiTheme="minorEastAsia" w:hAnsiTheme="minorEastAsia" w:eastAsiaTheme="minorEastAsia" w:cstheme="minorEastAsia"/>
          <w:sz w:val="24"/>
          <w:szCs w:val="24"/>
        </w:rPr>
        <w:t>工作电源: 220V±22V 50Hz±1Hz; 噪声:≤55dB（A）</w:t>
      </w:r>
    </w:p>
    <w:p w14:paraId="5ED7591C">
      <w:pPr>
        <w:numPr>
          <w:ilvl w:val="0"/>
          <w:numId w:val="0"/>
        </w:numPr>
        <w:tabs>
          <w:tab w:val="left" w:pos="840"/>
        </w:tabs>
        <w:spacing w:line="500" w:lineRule="exac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#10、</w:t>
      </w:r>
      <w:r>
        <w:rPr>
          <w:rFonts w:hint="eastAsia" w:asciiTheme="minorEastAsia" w:hAnsiTheme="minorEastAsia" w:eastAsiaTheme="minorEastAsia" w:cstheme="minorEastAsia"/>
          <w:sz w:val="24"/>
          <w:szCs w:val="24"/>
        </w:rPr>
        <w:t>工作环境中臭氧残留量:≤0.0</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mg/m³;消毒后平均菌数≤</w:t>
      </w:r>
      <w:r>
        <w:rPr>
          <w:rFonts w:hint="eastAsia" w:asciiTheme="minorEastAsia" w:hAnsiTheme="minorEastAsia" w:eastAsiaTheme="minorEastAsia" w:cstheme="minorEastAsia"/>
          <w:sz w:val="24"/>
          <w:szCs w:val="24"/>
          <w:lang w:val="en-US" w:eastAsia="zh-CN"/>
        </w:rPr>
        <w:t>136</w:t>
      </w:r>
      <w:r>
        <w:rPr>
          <w:rFonts w:hint="eastAsia" w:asciiTheme="minorEastAsia" w:hAnsiTheme="minorEastAsia" w:eastAsiaTheme="minorEastAsia" w:cstheme="minorEastAsia"/>
          <w:sz w:val="24"/>
          <w:szCs w:val="24"/>
        </w:rPr>
        <w:t>cfu/m³</w:t>
      </w:r>
      <w:r>
        <w:rPr>
          <w:rFonts w:hint="eastAsia" w:asciiTheme="minorEastAsia" w:hAnsiTheme="minorEastAsia" w:eastAsiaTheme="minorEastAsia" w:cstheme="minorEastAsia"/>
          <w:b/>
          <w:sz w:val="24"/>
          <w:szCs w:val="24"/>
        </w:rPr>
        <w:t>(提供</w:t>
      </w:r>
      <w:r>
        <w:rPr>
          <w:rFonts w:hint="eastAsia" w:asciiTheme="minorEastAsia" w:hAnsiTheme="minorEastAsia" w:eastAsiaTheme="minorEastAsia" w:cstheme="minorEastAsia"/>
          <w:b/>
          <w:bCs/>
          <w:sz w:val="24"/>
          <w:szCs w:val="24"/>
        </w:rPr>
        <w:t>检测报告</w:t>
      </w:r>
      <w:r>
        <w:rPr>
          <w:rFonts w:hint="eastAsia" w:asciiTheme="minorEastAsia" w:hAnsiTheme="minorEastAsia" w:eastAsiaTheme="minorEastAsia" w:cstheme="minorEastAsia"/>
          <w:b/>
          <w:sz w:val="24"/>
          <w:szCs w:val="24"/>
        </w:rPr>
        <w:t>)</w:t>
      </w:r>
    </w:p>
    <w:p w14:paraId="6270FDFF">
      <w:pPr>
        <w:tabs>
          <w:tab w:val="left" w:pos="840"/>
        </w:tabs>
        <w:spacing w:line="500" w:lineRule="exact"/>
        <w:jc w:val="both"/>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lang w:val="en-US" w:eastAsia="zh-CN"/>
        </w:rPr>
        <w:t>#11、</w:t>
      </w:r>
      <w:r>
        <w:rPr>
          <w:rFonts w:hint="eastAsia" w:asciiTheme="minorEastAsia" w:hAnsiTheme="minorEastAsia" w:eastAsiaTheme="minorEastAsia" w:cstheme="minorEastAsia"/>
          <w:sz w:val="24"/>
          <w:szCs w:val="24"/>
        </w:rPr>
        <w:t>负离子发生器:≥2</w:t>
      </w:r>
      <w:r>
        <w:rPr>
          <w:rFonts w:hint="eastAsia" w:asciiTheme="minorEastAsia" w:hAnsiTheme="minorEastAsia" w:eastAsiaTheme="minorEastAsia" w:cstheme="minorEastAsia"/>
          <w:sz w:val="24"/>
          <w:szCs w:val="24"/>
          <w:lang w:val="en-US" w:eastAsia="zh-CN"/>
        </w:rPr>
        <w:t>.38</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color w:val="000000"/>
          <w:sz w:val="24"/>
          <w:szCs w:val="24"/>
        </w:rPr>
        <w:t>10</w:t>
      </w:r>
      <w:r>
        <w:rPr>
          <w:rFonts w:hint="eastAsia" w:asciiTheme="minorEastAsia" w:hAnsiTheme="minorEastAsia" w:eastAsiaTheme="minorEastAsia" w:cstheme="minorEastAsia"/>
          <w:color w:val="000000"/>
          <w:kern w:val="10"/>
          <w:position w:val="6"/>
          <w:sz w:val="24"/>
          <w:szCs w:val="24"/>
          <w:vertAlign w:val="superscript"/>
        </w:rPr>
        <w:t>7</w:t>
      </w:r>
      <w:r>
        <w:rPr>
          <w:rFonts w:hint="eastAsia" w:asciiTheme="minorEastAsia" w:hAnsiTheme="minorEastAsia" w:eastAsiaTheme="minorEastAsia" w:cstheme="minorEastAsia"/>
          <w:sz w:val="24"/>
          <w:szCs w:val="24"/>
        </w:rPr>
        <w:t>个/cm3</w:t>
      </w:r>
      <w:r>
        <w:rPr>
          <w:rFonts w:hint="eastAsia" w:asciiTheme="minorEastAsia" w:hAnsiTheme="minorEastAsia" w:eastAsiaTheme="minorEastAsia" w:cstheme="minorEastAsia"/>
          <w:b/>
          <w:sz w:val="24"/>
          <w:szCs w:val="24"/>
        </w:rPr>
        <w:t>(提供</w:t>
      </w:r>
      <w:r>
        <w:rPr>
          <w:rFonts w:hint="eastAsia" w:asciiTheme="minorEastAsia" w:hAnsiTheme="minorEastAsia" w:eastAsiaTheme="minorEastAsia" w:cstheme="minorEastAsia"/>
          <w:b/>
          <w:bCs/>
          <w:sz w:val="24"/>
          <w:szCs w:val="24"/>
        </w:rPr>
        <w:t>检测报告</w:t>
      </w:r>
      <w:r>
        <w:rPr>
          <w:rFonts w:hint="eastAsia" w:asciiTheme="minorEastAsia" w:hAnsiTheme="minorEastAsia" w:eastAsiaTheme="minorEastAsia" w:cstheme="minorEastAsia"/>
          <w:b/>
          <w:sz w:val="24"/>
          <w:szCs w:val="24"/>
        </w:rPr>
        <w:t>);</w:t>
      </w:r>
    </w:p>
    <w:p w14:paraId="6B5AEA8A">
      <w:pPr>
        <w:tabs>
          <w:tab w:val="left" w:pos="840"/>
        </w:tabs>
        <w:spacing w:line="500" w:lineRule="exact"/>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12、</w:t>
      </w:r>
      <w:r>
        <w:rPr>
          <w:rFonts w:hint="eastAsia" w:asciiTheme="minorEastAsia" w:hAnsiTheme="minorEastAsia" w:eastAsiaTheme="minorEastAsia" w:cstheme="minorEastAsia"/>
          <w:sz w:val="24"/>
          <w:szCs w:val="24"/>
        </w:rPr>
        <w:t>等离子体密度分布:4.27×10</w:t>
      </w:r>
      <w:r>
        <w:rPr>
          <w:rFonts w:hint="eastAsia" w:asciiTheme="minorEastAsia" w:hAnsiTheme="minorEastAsia" w:eastAsiaTheme="minorEastAsia" w:cstheme="minorEastAsia"/>
          <w:sz w:val="24"/>
          <w:szCs w:val="24"/>
          <w:vertAlign w:val="superscript"/>
        </w:rPr>
        <w:t xml:space="preserve">17 </w:t>
      </w:r>
      <w:r>
        <w:rPr>
          <w:rFonts w:hint="eastAsia" w:asciiTheme="minorEastAsia" w:hAnsiTheme="minorEastAsia" w:eastAsiaTheme="minorEastAsia" w:cstheme="minorEastAsia"/>
          <w:sz w:val="24"/>
          <w:szCs w:val="24"/>
        </w:rPr>
        <w:t>m</w:t>
      </w:r>
      <w:r>
        <w:rPr>
          <w:rFonts w:hint="eastAsia" w:asciiTheme="minorEastAsia" w:hAnsiTheme="minorEastAsia" w:eastAsiaTheme="minorEastAsia" w:cstheme="minorEastAsia"/>
          <w:sz w:val="24"/>
          <w:szCs w:val="24"/>
          <w:vertAlign w:val="superscript"/>
        </w:rPr>
        <w:t>-3</w:t>
      </w:r>
      <w:r>
        <w:rPr>
          <w:rFonts w:hint="eastAsia" w:asciiTheme="minorEastAsia" w:hAnsiTheme="minorEastAsia" w:eastAsiaTheme="minorEastAsia" w:cstheme="minorEastAsia"/>
          <w:sz w:val="24"/>
          <w:szCs w:val="24"/>
        </w:rPr>
        <w:t>∼5.16×10</w:t>
      </w:r>
      <w:r>
        <w:rPr>
          <w:rFonts w:hint="eastAsia" w:asciiTheme="minorEastAsia" w:hAnsiTheme="minorEastAsia" w:eastAsiaTheme="minorEastAsia" w:cstheme="minorEastAsia"/>
          <w:sz w:val="24"/>
          <w:szCs w:val="24"/>
          <w:vertAlign w:val="superscript"/>
        </w:rPr>
        <w:t xml:space="preserve">18 </w:t>
      </w:r>
      <w:r>
        <w:rPr>
          <w:rFonts w:hint="eastAsia" w:asciiTheme="minorEastAsia" w:hAnsiTheme="minorEastAsia" w:eastAsiaTheme="minorEastAsia" w:cstheme="minorEastAsia"/>
          <w:sz w:val="24"/>
          <w:szCs w:val="24"/>
        </w:rPr>
        <w:t>m</w:t>
      </w:r>
      <w:r>
        <w:rPr>
          <w:rFonts w:hint="eastAsia" w:asciiTheme="minorEastAsia" w:hAnsiTheme="minorEastAsia" w:eastAsiaTheme="minorEastAsia" w:cstheme="minorEastAsia"/>
          <w:sz w:val="24"/>
          <w:szCs w:val="24"/>
          <w:vertAlign w:val="superscript"/>
        </w:rPr>
        <w:t>-3</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b/>
          <w:sz w:val="24"/>
          <w:szCs w:val="24"/>
        </w:rPr>
        <w:t>(提供</w:t>
      </w:r>
      <w:r>
        <w:rPr>
          <w:rFonts w:hint="eastAsia" w:asciiTheme="minorEastAsia" w:hAnsiTheme="minorEastAsia" w:eastAsiaTheme="minorEastAsia" w:cstheme="minorEastAsia"/>
          <w:b/>
          <w:bCs/>
          <w:sz w:val="24"/>
          <w:szCs w:val="24"/>
        </w:rPr>
        <w:t>检测报告</w:t>
      </w: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sz w:val="24"/>
          <w:szCs w:val="24"/>
        </w:rPr>
        <w:t>等离子体发生器寿命≥</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0000小时（</w:t>
      </w:r>
      <w:r>
        <w:rPr>
          <w:rFonts w:hint="eastAsia" w:asciiTheme="minorEastAsia" w:hAnsiTheme="minorEastAsia" w:eastAsiaTheme="minorEastAsia" w:cstheme="minorEastAsia"/>
          <w:b/>
          <w:bCs/>
          <w:sz w:val="24"/>
          <w:szCs w:val="24"/>
        </w:rPr>
        <w:t>提供检测报告</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等离子体发生器工作过程中静电模块输出电压≥10000V</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b/>
          <w:bCs/>
          <w:sz w:val="24"/>
          <w:szCs w:val="24"/>
        </w:rPr>
        <w:t>提供检测报告</w:t>
      </w:r>
      <w:r>
        <w:rPr>
          <w:rFonts w:hint="eastAsia" w:asciiTheme="minorEastAsia" w:hAnsiTheme="minorEastAsia" w:eastAsiaTheme="minorEastAsia" w:cstheme="minorEastAsia"/>
          <w:sz w:val="24"/>
          <w:szCs w:val="24"/>
        </w:rPr>
        <w:t>）</w:t>
      </w:r>
    </w:p>
    <w:p w14:paraId="3EB66692">
      <w:pPr>
        <w:rPr>
          <w:rFonts w:hint="eastAsia" w:ascii="宋体" w:hAnsi="宋体" w:cs="宋体"/>
          <w:color w:val="auto"/>
          <w:sz w:val="48"/>
          <w:szCs w:val="48"/>
          <w:lang w:eastAsia="zh-CN"/>
        </w:rPr>
      </w:pPr>
    </w:p>
    <w:p w14:paraId="1B058BBA">
      <w:pPr>
        <w:rPr>
          <w:rFonts w:hint="eastAsia" w:ascii="楷体" w:hAnsi="楷体" w:eastAsia="楷体"/>
          <w:b/>
          <w:sz w:val="32"/>
          <w:szCs w:val="32"/>
          <w:lang w:eastAsia="zh-CN"/>
        </w:rPr>
      </w:pPr>
    </w:p>
    <w:p w14:paraId="7F999D37">
      <w:pPr>
        <w:rPr>
          <w:rFonts w:hint="eastAsia" w:ascii="楷体" w:hAnsi="楷体" w:eastAsia="楷体"/>
          <w:b/>
          <w:sz w:val="32"/>
          <w:szCs w:val="32"/>
          <w:lang w:eastAsia="zh-CN"/>
        </w:rPr>
      </w:pPr>
      <w:r>
        <w:rPr>
          <w:rFonts w:hint="eastAsia" w:ascii="楷体" w:hAnsi="楷体" w:eastAsia="楷体"/>
          <w:b/>
          <w:sz w:val="32"/>
          <w:szCs w:val="32"/>
          <w:lang w:eastAsia="zh-CN"/>
        </w:rPr>
        <w:br w:type="page"/>
      </w:r>
    </w:p>
    <w:p w14:paraId="307D69A9">
      <w:pPr>
        <w:jc w:val="center"/>
        <w:rPr>
          <w:rFonts w:ascii="宋体" w:hAnsi="宋体" w:eastAsia="宋体" w:cs="宋体"/>
          <w:b/>
          <w:sz w:val="24"/>
          <w:szCs w:val="24"/>
          <w:shd w:val="pct10" w:color="auto" w:fill="FFFFFF"/>
        </w:rPr>
      </w:pPr>
      <w:r>
        <w:rPr>
          <w:rFonts w:hint="eastAsia" w:ascii="楷体" w:hAnsi="楷体" w:eastAsia="楷体"/>
          <w:b/>
          <w:sz w:val="32"/>
          <w:szCs w:val="32"/>
          <w:lang w:eastAsia="zh-CN"/>
        </w:rPr>
        <w:t>（</w:t>
      </w:r>
      <w:r>
        <w:rPr>
          <w:rFonts w:hint="eastAsia" w:ascii="楷体" w:hAnsi="楷体" w:eastAsia="楷体"/>
          <w:b/>
          <w:sz w:val="32"/>
          <w:szCs w:val="32"/>
          <w:lang w:val="en-US" w:eastAsia="zh-CN"/>
        </w:rPr>
        <w:t>二</w:t>
      </w:r>
      <w:r>
        <w:rPr>
          <w:rFonts w:hint="eastAsia" w:ascii="楷体" w:hAnsi="楷体" w:eastAsia="楷体"/>
          <w:b/>
          <w:sz w:val="32"/>
          <w:szCs w:val="32"/>
          <w:lang w:eastAsia="zh-CN"/>
        </w:rPr>
        <w:t>）</w:t>
      </w:r>
      <w:r>
        <w:rPr>
          <w:rFonts w:hint="eastAsia" w:ascii="楷体" w:hAnsi="楷体" w:eastAsia="楷体"/>
          <w:b/>
          <w:sz w:val="32"/>
          <w:szCs w:val="32"/>
          <w:lang w:val="en-US" w:eastAsia="zh-CN"/>
        </w:rPr>
        <w:t>吸顶式</w:t>
      </w:r>
      <w:r>
        <w:rPr>
          <w:rFonts w:hint="eastAsia" w:ascii="楷体" w:hAnsi="楷体" w:eastAsia="楷体"/>
          <w:b/>
          <w:sz w:val="32"/>
          <w:szCs w:val="32"/>
        </w:rPr>
        <w:t>等离子空气消毒机</w:t>
      </w:r>
      <w:r>
        <w:rPr>
          <w:rFonts w:hint="eastAsia" w:ascii="楷体" w:hAnsi="楷体" w:eastAsia="楷体"/>
          <w:b/>
          <w:sz w:val="32"/>
          <w:szCs w:val="32"/>
          <w:lang w:eastAsia="zh-CN"/>
        </w:rPr>
        <w:t>（</w:t>
      </w:r>
      <w:r>
        <w:rPr>
          <w:rFonts w:hint="eastAsia" w:ascii="楷体" w:hAnsi="楷体" w:eastAsia="楷体"/>
          <w:b/>
          <w:sz w:val="32"/>
          <w:szCs w:val="32"/>
          <w:lang w:val="en-US" w:eastAsia="zh-CN"/>
        </w:rPr>
        <w:t>13台</w:t>
      </w:r>
      <w:r>
        <w:rPr>
          <w:rFonts w:hint="eastAsia" w:ascii="楷体" w:hAnsi="楷体" w:eastAsia="楷体"/>
          <w:b/>
          <w:sz w:val="32"/>
          <w:szCs w:val="32"/>
          <w:lang w:eastAsia="zh-CN"/>
        </w:rPr>
        <w:t>）</w:t>
      </w:r>
      <w:r>
        <w:rPr>
          <w:rFonts w:hint="eastAsia" w:ascii="宋体" w:hAnsi="宋体" w:cs="宋体"/>
          <w:sz w:val="24"/>
          <w:szCs w:val="24"/>
        </w:rPr>
        <w:t xml:space="preserve">                                              </w:t>
      </w:r>
    </w:p>
    <w:p w14:paraId="7ED9CF72">
      <w:pPr>
        <w:tabs>
          <w:tab w:val="left" w:pos="840"/>
        </w:tabs>
        <w:spacing w:line="500" w:lineRule="exac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核心部件采用自主研发的等离子体除尘、杀菌,可以有效去除空气中的尘埃及微生物</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动态消毒机,人机共存使用,不生成二次污染；</w:t>
      </w:r>
    </w:p>
    <w:p w14:paraId="3FD2F394">
      <w:pPr>
        <w:tabs>
          <w:tab w:val="left" w:pos="840"/>
        </w:tabs>
        <w:spacing w:line="500" w:lineRule="exac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 xml:space="preserve"> 智能故障提示：具有风机，电机及等离子体故障自动报警、整机工作寿命计时及清洗保养提醒等功能；风速高、中、低档可调,适应各种环境</w:t>
      </w:r>
    </w:p>
    <w:p w14:paraId="4D0F2A02">
      <w:pPr>
        <w:tabs>
          <w:tab w:val="left" w:pos="840"/>
        </w:tabs>
        <w:spacing w:line="500" w:lineRule="exact"/>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采用微电脑程序控制，中文液晶显示</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提供手动、遥控器远程操控、程控定时工作模式供用户自由选择；</w:t>
      </w:r>
      <w:r>
        <w:rPr>
          <w:rFonts w:hint="eastAsia" w:asciiTheme="minorEastAsia" w:hAnsiTheme="minorEastAsia" w:eastAsiaTheme="minorEastAsia" w:cstheme="minorEastAsia"/>
          <w:sz w:val="24"/>
          <w:szCs w:val="24"/>
          <w:lang w:eastAsia="zh-CN"/>
        </w:rPr>
        <w:t>不低于</w:t>
      </w:r>
      <w:r>
        <w:rPr>
          <w:rFonts w:hint="eastAsia" w:asciiTheme="minorEastAsia" w:hAnsiTheme="minorEastAsia" w:eastAsiaTheme="minorEastAsia" w:cstheme="minorEastAsia"/>
          <w:sz w:val="24"/>
          <w:szCs w:val="24"/>
        </w:rPr>
        <w:t>6组程控定时</w:t>
      </w:r>
      <w:r>
        <w:rPr>
          <w:rFonts w:hint="eastAsia" w:asciiTheme="minorEastAsia" w:hAnsiTheme="minorEastAsia" w:eastAsiaTheme="minorEastAsia" w:cstheme="minorEastAsia"/>
          <w:sz w:val="24"/>
          <w:szCs w:val="24"/>
          <w:lang w:eastAsia="zh-CN"/>
        </w:rPr>
        <w:t>自动启停</w:t>
      </w:r>
      <w:r>
        <w:rPr>
          <w:rFonts w:hint="eastAsia" w:asciiTheme="minorEastAsia" w:hAnsiTheme="minorEastAsia" w:eastAsiaTheme="minorEastAsia" w:cstheme="minorEastAsia"/>
          <w:sz w:val="24"/>
          <w:szCs w:val="24"/>
        </w:rPr>
        <w:t>模式；</w:t>
      </w:r>
    </w:p>
    <w:p w14:paraId="0EF409C0">
      <w:pPr>
        <w:tabs>
          <w:tab w:val="left" w:pos="840"/>
        </w:tabs>
        <w:spacing w:line="500" w:lineRule="exac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主机壳体选用全金属材质经现代防潮工艺制成,面饰层采用水晶面板,避免藏污纳垢减少交叉感染,方便于日常清洗、保养、维护；</w:t>
      </w:r>
    </w:p>
    <w:p w14:paraId="57F65A22">
      <w:pPr>
        <w:tabs>
          <w:tab w:val="left" w:pos="840"/>
        </w:tabs>
        <w:spacing w:line="500" w:lineRule="exact"/>
        <w:jc w:val="both"/>
        <w:rPr>
          <w:rFonts w:hint="eastAsia" w:asciiTheme="minorEastAsia" w:hAnsiTheme="minorEastAsia" w:eastAsiaTheme="minorEastAsia" w:cstheme="minorEastAsia"/>
          <w:b/>
          <w:bCs/>
          <w:sz w:val="24"/>
          <w:szCs w:val="24"/>
        </w:rPr>
      </w:pPr>
      <w:r>
        <w:rPr>
          <w:rFonts w:hint="eastAsia" w:ascii="宋体" w:hAnsi="宋体" w:eastAsia="宋体" w:cs="宋体"/>
          <w:sz w:val="24"/>
          <w:szCs w:val="24"/>
          <w:lang w:val="en-US" w:eastAsia="zh-CN"/>
        </w:rPr>
        <w:t>▲</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消毒效果:设备持续工作2小时,可使</w:t>
      </w:r>
      <w:r>
        <w:rPr>
          <w:rFonts w:hint="eastAsia" w:asciiTheme="minorEastAsia" w:hAnsiTheme="minorEastAsia" w:eastAsiaTheme="minorEastAsia" w:cstheme="minorEastAsia"/>
          <w:sz w:val="24"/>
          <w:szCs w:val="24"/>
          <w:lang w:val="en-US" w:eastAsia="zh-CN"/>
        </w:rPr>
        <w:t>10</w:t>
      </w:r>
      <w:r>
        <w:rPr>
          <w:rFonts w:hint="eastAsia" w:asciiTheme="minorEastAsia" w:hAnsiTheme="minorEastAsia" w:eastAsiaTheme="minorEastAsia" w:cstheme="minorEastAsia"/>
          <w:sz w:val="24"/>
          <w:szCs w:val="24"/>
        </w:rPr>
        <w:t>0m³房间对空气中自然菌平均的消亡率≥90%,</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40min空气中白葡萄菌杀灭率≥99.</w:t>
      </w:r>
      <w:r>
        <w:rPr>
          <w:rFonts w:hint="eastAsia" w:asciiTheme="minorEastAsia" w:hAnsiTheme="minorEastAsia" w:eastAsiaTheme="minorEastAsia" w:cstheme="minorEastAsia"/>
          <w:sz w:val="24"/>
          <w:szCs w:val="24"/>
          <w:lang w:val="en-US" w:eastAsia="zh-CN"/>
        </w:rPr>
        <w:t>92</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b/>
          <w:bCs/>
          <w:sz w:val="24"/>
          <w:szCs w:val="24"/>
        </w:rPr>
        <w:t>（提供检测报告）</w:t>
      </w:r>
    </w:p>
    <w:p w14:paraId="1DBECB83">
      <w:pPr>
        <w:tabs>
          <w:tab w:val="left" w:pos="840"/>
        </w:tabs>
        <w:spacing w:line="500" w:lineRule="exac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安装方式:嵌入式;</w:t>
      </w:r>
      <w:r>
        <w:rPr>
          <w:rFonts w:hint="eastAsia" w:asciiTheme="minorEastAsia" w:hAnsiTheme="minorEastAsia" w:eastAsiaTheme="minorEastAsia" w:cstheme="minorEastAsia"/>
          <w:sz w:val="24"/>
          <w:szCs w:val="24"/>
          <w:lang w:eastAsia="zh-CN"/>
        </w:rPr>
        <w:t>（机器完全嵌入，外部与天花板齐平，无外露，无凸出）</w:t>
      </w:r>
    </w:p>
    <w:p w14:paraId="7B5760C6">
      <w:pPr>
        <w:tabs>
          <w:tab w:val="left" w:pos="840"/>
        </w:tabs>
        <w:spacing w:line="500" w:lineRule="exac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输入功率:≤</w:t>
      </w:r>
      <w:r>
        <w:rPr>
          <w:rFonts w:hint="eastAsia" w:asciiTheme="minorEastAsia" w:hAnsiTheme="minorEastAsia" w:eastAsiaTheme="minorEastAsia" w:cstheme="minorEastAsia"/>
          <w:sz w:val="24"/>
          <w:szCs w:val="24"/>
          <w:lang w:val="en-US" w:eastAsia="zh-CN"/>
        </w:rPr>
        <w:t>280</w:t>
      </w:r>
      <w:r>
        <w:rPr>
          <w:rFonts w:hint="eastAsia" w:asciiTheme="minorEastAsia" w:hAnsiTheme="minorEastAsia" w:eastAsiaTheme="minorEastAsia" w:cstheme="minorEastAsia"/>
          <w:sz w:val="24"/>
          <w:szCs w:val="24"/>
        </w:rPr>
        <w:t>W;</w:t>
      </w:r>
    </w:p>
    <w:p w14:paraId="05CBF8C8">
      <w:pPr>
        <w:tabs>
          <w:tab w:val="left" w:pos="840"/>
        </w:tabs>
        <w:spacing w:line="500" w:lineRule="exact"/>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循环风量:≥</w:t>
      </w: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rPr>
        <w:t>00m³/h;</w:t>
      </w:r>
      <w:r>
        <w:rPr>
          <w:rFonts w:hint="eastAsia" w:asciiTheme="minorEastAsia" w:hAnsiTheme="minorEastAsia" w:eastAsiaTheme="minorEastAsia" w:cstheme="minorEastAsia"/>
          <w:sz w:val="24"/>
          <w:szCs w:val="24"/>
          <w:lang w:eastAsia="zh-CN"/>
        </w:rPr>
        <w:t>消毒范围：≤</w:t>
      </w:r>
      <w:r>
        <w:rPr>
          <w:rFonts w:hint="eastAsia" w:asciiTheme="minorEastAsia" w:hAnsiTheme="minorEastAsia" w:eastAsiaTheme="minorEastAsia" w:cstheme="minorEastAsia"/>
          <w:sz w:val="24"/>
          <w:szCs w:val="24"/>
          <w:lang w:val="en-US" w:eastAsia="zh-CN"/>
        </w:rPr>
        <w:t>100m³</w:t>
      </w:r>
    </w:p>
    <w:p w14:paraId="39BB88BE">
      <w:pPr>
        <w:tabs>
          <w:tab w:val="left" w:pos="840"/>
        </w:tabs>
        <w:spacing w:line="500" w:lineRule="exac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9、</w:t>
      </w:r>
      <w:r>
        <w:rPr>
          <w:rFonts w:hint="eastAsia" w:asciiTheme="minorEastAsia" w:hAnsiTheme="minorEastAsia" w:eastAsiaTheme="minorEastAsia" w:cstheme="minorEastAsia"/>
          <w:sz w:val="24"/>
          <w:szCs w:val="24"/>
        </w:rPr>
        <w:t>工作电源: 220V±22V 50Hz±1Hz; 噪声:≤55dB（A）</w:t>
      </w:r>
    </w:p>
    <w:p w14:paraId="44801169">
      <w:pPr>
        <w:numPr>
          <w:ilvl w:val="0"/>
          <w:numId w:val="0"/>
        </w:numPr>
        <w:tabs>
          <w:tab w:val="left" w:pos="840"/>
        </w:tabs>
        <w:spacing w:line="500" w:lineRule="exact"/>
        <w:jc w:val="both"/>
        <w:rPr>
          <w:rFonts w:hint="eastAsia" w:asciiTheme="minorEastAsia" w:hAnsiTheme="minorEastAsia" w:eastAsiaTheme="minorEastAsia" w:cstheme="minorEastAsia"/>
          <w:sz w:val="24"/>
          <w:szCs w:val="24"/>
        </w:rPr>
      </w:pPr>
      <w:r>
        <w:rPr>
          <w:rFonts w:hint="eastAsia" w:ascii="宋体" w:hAnsi="宋体" w:eastAsia="宋体" w:cs="宋体"/>
          <w:sz w:val="24"/>
          <w:szCs w:val="24"/>
          <w:lang w:val="en-US" w:eastAsia="zh-CN"/>
        </w:rPr>
        <w:t>▲</w:t>
      </w:r>
      <w:r>
        <w:rPr>
          <w:rFonts w:hint="eastAsia" w:asciiTheme="minorEastAsia" w:hAnsiTheme="minorEastAsia" w:eastAsiaTheme="minorEastAsia" w:cstheme="minorEastAsia"/>
          <w:sz w:val="24"/>
          <w:szCs w:val="24"/>
          <w:lang w:val="en-US" w:eastAsia="zh-CN"/>
        </w:rPr>
        <w:t>10、</w:t>
      </w:r>
      <w:r>
        <w:rPr>
          <w:rFonts w:hint="eastAsia" w:asciiTheme="minorEastAsia" w:hAnsiTheme="minorEastAsia" w:eastAsiaTheme="minorEastAsia" w:cstheme="minorEastAsia"/>
          <w:sz w:val="24"/>
          <w:szCs w:val="24"/>
        </w:rPr>
        <w:t>工作环境中臭氧残留量:≤0.0</w:t>
      </w:r>
      <w:r>
        <w:rPr>
          <w:rFonts w:hint="eastAsia" w:asciiTheme="minorEastAsia" w:hAnsiTheme="minorEastAsia" w:eastAsiaTheme="minorEastAsia" w:cstheme="minorEastAsia"/>
          <w:sz w:val="24"/>
          <w:szCs w:val="24"/>
          <w:lang w:val="en-US" w:eastAsia="zh-CN"/>
        </w:rPr>
        <w:t>27</w:t>
      </w:r>
      <w:r>
        <w:rPr>
          <w:rFonts w:hint="eastAsia" w:asciiTheme="minorEastAsia" w:hAnsiTheme="minorEastAsia" w:eastAsiaTheme="minorEastAsia" w:cstheme="minorEastAsia"/>
          <w:sz w:val="24"/>
          <w:szCs w:val="24"/>
        </w:rPr>
        <w:t>mg/m³;消毒后平均菌数≤</w:t>
      </w:r>
      <w:r>
        <w:rPr>
          <w:rFonts w:hint="eastAsia" w:asciiTheme="minorEastAsia" w:hAnsiTheme="minorEastAsia" w:eastAsiaTheme="minorEastAsia" w:cstheme="minorEastAsia"/>
          <w:sz w:val="24"/>
          <w:szCs w:val="24"/>
          <w:lang w:val="en-US" w:eastAsia="zh-CN"/>
        </w:rPr>
        <w:t>103</w:t>
      </w:r>
      <w:r>
        <w:rPr>
          <w:rFonts w:hint="eastAsia" w:asciiTheme="minorEastAsia" w:hAnsiTheme="minorEastAsia" w:eastAsiaTheme="minorEastAsia" w:cstheme="minorEastAsia"/>
          <w:sz w:val="24"/>
          <w:szCs w:val="24"/>
        </w:rPr>
        <w:t>cfu/m³</w:t>
      </w:r>
      <w:r>
        <w:rPr>
          <w:rFonts w:hint="eastAsia" w:asciiTheme="minorEastAsia" w:hAnsiTheme="minorEastAsia" w:eastAsiaTheme="minorEastAsia" w:cstheme="minorEastAsia"/>
          <w:b/>
          <w:sz w:val="24"/>
          <w:szCs w:val="24"/>
        </w:rPr>
        <w:t>(提供</w:t>
      </w:r>
      <w:r>
        <w:rPr>
          <w:rFonts w:hint="eastAsia" w:asciiTheme="minorEastAsia" w:hAnsiTheme="minorEastAsia" w:eastAsiaTheme="minorEastAsia" w:cstheme="minorEastAsia"/>
          <w:b/>
          <w:bCs/>
          <w:sz w:val="24"/>
          <w:szCs w:val="24"/>
        </w:rPr>
        <w:t>检测报告</w:t>
      </w:r>
      <w:r>
        <w:rPr>
          <w:rFonts w:hint="eastAsia" w:asciiTheme="minorEastAsia" w:hAnsiTheme="minorEastAsia" w:eastAsiaTheme="minorEastAsia" w:cstheme="minorEastAsia"/>
          <w:b/>
          <w:sz w:val="24"/>
          <w:szCs w:val="24"/>
        </w:rPr>
        <w:t>)</w:t>
      </w:r>
    </w:p>
    <w:p w14:paraId="087C05E2">
      <w:pPr>
        <w:tabs>
          <w:tab w:val="left" w:pos="840"/>
        </w:tabs>
        <w:spacing w:line="500" w:lineRule="exact"/>
        <w:jc w:val="both"/>
        <w:rPr>
          <w:rFonts w:hint="eastAsia" w:asciiTheme="minorEastAsia" w:hAnsiTheme="minorEastAsia" w:eastAsiaTheme="minorEastAsia" w:cstheme="minorEastAsia"/>
          <w:b/>
          <w:sz w:val="24"/>
          <w:szCs w:val="24"/>
        </w:rPr>
      </w:pPr>
      <w:r>
        <w:rPr>
          <w:rFonts w:hint="eastAsia" w:ascii="宋体" w:hAnsi="宋体" w:eastAsia="宋体" w:cs="宋体"/>
          <w:sz w:val="24"/>
          <w:szCs w:val="24"/>
          <w:lang w:val="en-US" w:eastAsia="zh-CN"/>
        </w:rPr>
        <w:t>▲</w:t>
      </w:r>
      <w:r>
        <w:rPr>
          <w:rFonts w:hint="eastAsia" w:asciiTheme="minorEastAsia" w:hAnsiTheme="minorEastAsia" w:eastAsiaTheme="minorEastAsia" w:cstheme="minorEastAsia"/>
          <w:sz w:val="24"/>
          <w:szCs w:val="24"/>
          <w:lang w:val="en-US" w:eastAsia="zh-CN"/>
        </w:rPr>
        <w:t>11、</w:t>
      </w:r>
      <w:r>
        <w:rPr>
          <w:rFonts w:hint="eastAsia" w:asciiTheme="minorEastAsia" w:hAnsiTheme="minorEastAsia" w:eastAsiaTheme="minorEastAsia" w:cstheme="minorEastAsia"/>
          <w:sz w:val="24"/>
          <w:szCs w:val="24"/>
        </w:rPr>
        <w:t>负离子发生器:≥2</w:t>
      </w:r>
      <w:r>
        <w:rPr>
          <w:rFonts w:hint="eastAsia" w:asciiTheme="minorEastAsia" w:hAnsiTheme="minorEastAsia" w:eastAsiaTheme="minorEastAsia" w:cstheme="minorEastAsia"/>
          <w:sz w:val="24"/>
          <w:szCs w:val="24"/>
          <w:lang w:val="en-US" w:eastAsia="zh-CN"/>
        </w:rPr>
        <w:t>.38</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color w:val="000000"/>
          <w:sz w:val="24"/>
          <w:szCs w:val="24"/>
        </w:rPr>
        <w:t>10</w:t>
      </w:r>
      <w:r>
        <w:rPr>
          <w:rFonts w:hint="eastAsia" w:asciiTheme="minorEastAsia" w:hAnsiTheme="minorEastAsia" w:eastAsiaTheme="minorEastAsia" w:cstheme="minorEastAsia"/>
          <w:color w:val="000000"/>
          <w:kern w:val="10"/>
          <w:position w:val="6"/>
          <w:sz w:val="24"/>
          <w:szCs w:val="24"/>
          <w:vertAlign w:val="superscript"/>
        </w:rPr>
        <w:t>7</w:t>
      </w:r>
      <w:r>
        <w:rPr>
          <w:rFonts w:hint="eastAsia" w:asciiTheme="minorEastAsia" w:hAnsiTheme="minorEastAsia" w:eastAsiaTheme="minorEastAsia" w:cstheme="minorEastAsia"/>
          <w:sz w:val="24"/>
          <w:szCs w:val="24"/>
        </w:rPr>
        <w:t>个/cm3</w:t>
      </w:r>
      <w:r>
        <w:rPr>
          <w:rFonts w:hint="eastAsia" w:asciiTheme="minorEastAsia" w:hAnsiTheme="minorEastAsia" w:eastAsiaTheme="minorEastAsia" w:cstheme="minorEastAsia"/>
          <w:b/>
          <w:sz w:val="24"/>
          <w:szCs w:val="24"/>
        </w:rPr>
        <w:t>(提供</w:t>
      </w:r>
      <w:r>
        <w:rPr>
          <w:rFonts w:hint="eastAsia" w:asciiTheme="minorEastAsia" w:hAnsiTheme="minorEastAsia" w:eastAsiaTheme="minorEastAsia" w:cstheme="minorEastAsia"/>
          <w:b/>
          <w:bCs/>
          <w:sz w:val="24"/>
          <w:szCs w:val="24"/>
        </w:rPr>
        <w:t>检测报告</w:t>
      </w:r>
      <w:r>
        <w:rPr>
          <w:rFonts w:hint="eastAsia" w:asciiTheme="minorEastAsia" w:hAnsiTheme="minorEastAsia" w:eastAsiaTheme="minorEastAsia" w:cstheme="minorEastAsia"/>
          <w:b/>
          <w:sz w:val="24"/>
          <w:szCs w:val="24"/>
        </w:rPr>
        <w:t>);</w:t>
      </w:r>
    </w:p>
    <w:p w14:paraId="52769A94">
      <w:pPr>
        <w:tabs>
          <w:tab w:val="left" w:pos="840"/>
        </w:tabs>
        <w:spacing w:line="500" w:lineRule="exact"/>
        <w:jc w:val="both"/>
        <w:rPr>
          <w:rFonts w:hint="eastAsia" w:asciiTheme="minorEastAsia" w:hAnsiTheme="minorEastAsia" w:eastAsiaTheme="minorEastAsia" w:cstheme="minorEastAsia"/>
          <w:sz w:val="24"/>
          <w:szCs w:val="24"/>
          <w:lang w:val="en-US" w:eastAsia="zh-CN"/>
        </w:rPr>
      </w:pPr>
      <w:r>
        <w:rPr>
          <w:rFonts w:hint="eastAsia" w:ascii="宋体" w:hAnsi="宋体" w:eastAsia="宋体" w:cs="宋体"/>
          <w:sz w:val="24"/>
          <w:szCs w:val="24"/>
          <w:lang w:val="en-US" w:eastAsia="zh-CN"/>
        </w:rPr>
        <w:t>▲</w:t>
      </w:r>
      <w:r>
        <w:rPr>
          <w:rFonts w:hint="eastAsia" w:asciiTheme="minorEastAsia" w:hAnsiTheme="minorEastAsia" w:eastAsiaTheme="minorEastAsia" w:cstheme="minorEastAsia"/>
          <w:sz w:val="24"/>
          <w:szCs w:val="24"/>
          <w:lang w:val="en-US" w:eastAsia="zh-CN"/>
        </w:rPr>
        <w:t>12、</w:t>
      </w:r>
      <w:r>
        <w:rPr>
          <w:rFonts w:hint="eastAsia" w:asciiTheme="minorEastAsia" w:hAnsiTheme="minorEastAsia" w:eastAsiaTheme="minorEastAsia" w:cstheme="minorEastAsia"/>
          <w:sz w:val="24"/>
          <w:szCs w:val="24"/>
        </w:rPr>
        <w:t>等离子体密度分布:4.27×10</w:t>
      </w:r>
      <w:r>
        <w:rPr>
          <w:rFonts w:hint="eastAsia" w:asciiTheme="minorEastAsia" w:hAnsiTheme="minorEastAsia" w:eastAsiaTheme="minorEastAsia" w:cstheme="minorEastAsia"/>
          <w:sz w:val="24"/>
          <w:szCs w:val="24"/>
          <w:vertAlign w:val="superscript"/>
        </w:rPr>
        <w:t xml:space="preserve">17 </w:t>
      </w:r>
      <w:r>
        <w:rPr>
          <w:rFonts w:hint="eastAsia" w:asciiTheme="minorEastAsia" w:hAnsiTheme="minorEastAsia" w:eastAsiaTheme="minorEastAsia" w:cstheme="minorEastAsia"/>
          <w:sz w:val="24"/>
          <w:szCs w:val="24"/>
        </w:rPr>
        <w:t>m</w:t>
      </w:r>
      <w:r>
        <w:rPr>
          <w:rFonts w:hint="eastAsia" w:asciiTheme="minorEastAsia" w:hAnsiTheme="minorEastAsia" w:eastAsiaTheme="minorEastAsia" w:cstheme="minorEastAsia"/>
          <w:sz w:val="24"/>
          <w:szCs w:val="24"/>
          <w:vertAlign w:val="superscript"/>
        </w:rPr>
        <w:t>-3</w:t>
      </w:r>
      <w:r>
        <w:rPr>
          <w:rFonts w:hint="eastAsia" w:asciiTheme="minorEastAsia" w:hAnsiTheme="minorEastAsia" w:eastAsiaTheme="minorEastAsia" w:cstheme="minorEastAsia"/>
          <w:sz w:val="24"/>
          <w:szCs w:val="24"/>
        </w:rPr>
        <w:t>∼5.16×10</w:t>
      </w:r>
      <w:r>
        <w:rPr>
          <w:rFonts w:hint="eastAsia" w:asciiTheme="minorEastAsia" w:hAnsiTheme="minorEastAsia" w:eastAsiaTheme="minorEastAsia" w:cstheme="minorEastAsia"/>
          <w:sz w:val="24"/>
          <w:szCs w:val="24"/>
          <w:vertAlign w:val="superscript"/>
        </w:rPr>
        <w:t xml:space="preserve">18 </w:t>
      </w:r>
      <w:r>
        <w:rPr>
          <w:rFonts w:hint="eastAsia" w:asciiTheme="minorEastAsia" w:hAnsiTheme="minorEastAsia" w:eastAsiaTheme="minorEastAsia" w:cstheme="minorEastAsia"/>
          <w:sz w:val="24"/>
          <w:szCs w:val="24"/>
        </w:rPr>
        <w:t>m</w:t>
      </w:r>
      <w:r>
        <w:rPr>
          <w:rFonts w:hint="eastAsia" w:asciiTheme="minorEastAsia" w:hAnsiTheme="minorEastAsia" w:eastAsiaTheme="minorEastAsia" w:cstheme="minorEastAsia"/>
          <w:sz w:val="24"/>
          <w:szCs w:val="24"/>
          <w:vertAlign w:val="superscript"/>
        </w:rPr>
        <w:t>-3</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b/>
          <w:sz w:val="24"/>
          <w:szCs w:val="24"/>
        </w:rPr>
        <w:t>(提供</w:t>
      </w:r>
      <w:r>
        <w:rPr>
          <w:rFonts w:hint="eastAsia" w:asciiTheme="minorEastAsia" w:hAnsiTheme="minorEastAsia" w:eastAsiaTheme="minorEastAsia" w:cstheme="minorEastAsia"/>
          <w:b/>
          <w:bCs/>
          <w:sz w:val="24"/>
          <w:szCs w:val="24"/>
        </w:rPr>
        <w:t>检测报告</w:t>
      </w: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sz w:val="24"/>
          <w:szCs w:val="24"/>
        </w:rPr>
        <w:t>等离子体发生器寿命≥</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0000小时（</w:t>
      </w:r>
      <w:r>
        <w:rPr>
          <w:rFonts w:hint="eastAsia" w:asciiTheme="minorEastAsia" w:hAnsiTheme="minorEastAsia" w:eastAsiaTheme="minorEastAsia" w:cstheme="minorEastAsia"/>
          <w:b/>
          <w:bCs/>
          <w:sz w:val="24"/>
          <w:szCs w:val="24"/>
        </w:rPr>
        <w:t>提供检测报告</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等离子体发生器工作过程中静电模块输出电压≥10000V</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b/>
          <w:bCs/>
          <w:sz w:val="24"/>
          <w:szCs w:val="24"/>
        </w:rPr>
        <w:t>提供具检测报告</w:t>
      </w:r>
      <w:r>
        <w:rPr>
          <w:rFonts w:hint="eastAsia" w:asciiTheme="minorEastAsia" w:hAnsiTheme="minorEastAsia" w:eastAsiaTheme="minorEastAsia" w:cstheme="minorEastAsia"/>
          <w:sz w:val="24"/>
          <w:szCs w:val="24"/>
        </w:rPr>
        <w:t>）</w:t>
      </w:r>
    </w:p>
    <w:p w14:paraId="2C8C20A1">
      <w:pPr>
        <w:rPr>
          <w:rFonts w:hint="eastAsia" w:ascii="宋体" w:hAnsi="宋体" w:cs="宋体"/>
          <w:color w:val="auto"/>
          <w:sz w:val="48"/>
          <w:szCs w:val="48"/>
          <w:lang w:eastAsia="zh-CN"/>
        </w:rPr>
      </w:pPr>
      <w:r>
        <w:rPr>
          <w:rFonts w:hint="eastAsia" w:ascii="宋体" w:hAnsi="宋体" w:cs="宋体"/>
          <w:color w:val="auto"/>
          <w:sz w:val="48"/>
          <w:szCs w:val="48"/>
          <w:lang w:eastAsia="zh-CN"/>
        </w:rPr>
        <w:br w:type="page"/>
      </w:r>
    </w:p>
    <w:p w14:paraId="34DFB7D5">
      <w:pPr>
        <w:jc w:val="center"/>
        <w:rPr>
          <w:rFonts w:hint="default" w:ascii="楷体" w:hAnsi="楷体" w:eastAsia="楷体"/>
          <w:b/>
          <w:sz w:val="36"/>
          <w:szCs w:val="36"/>
          <w:lang w:val="en-US" w:eastAsia="zh-CN"/>
        </w:rPr>
      </w:pPr>
      <w:r>
        <w:rPr>
          <w:rFonts w:hint="eastAsia" w:ascii="楷体" w:hAnsi="楷体" w:eastAsia="楷体"/>
          <w:b/>
          <w:sz w:val="32"/>
          <w:szCs w:val="32"/>
          <w:lang w:eastAsia="zh-CN"/>
        </w:rPr>
        <w:t>（</w:t>
      </w:r>
      <w:r>
        <w:rPr>
          <w:rFonts w:hint="eastAsia" w:ascii="楷体" w:hAnsi="楷体" w:eastAsia="楷体"/>
          <w:b/>
          <w:sz w:val="32"/>
          <w:szCs w:val="32"/>
          <w:lang w:val="en-US" w:eastAsia="zh-CN"/>
        </w:rPr>
        <w:t>三</w:t>
      </w:r>
      <w:r>
        <w:rPr>
          <w:rFonts w:hint="eastAsia" w:ascii="楷体" w:hAnsi="楷体" w:eastAsia="楷体"/>
          <w:b/>
          <w:sz w:val="32"/>
          <w:szCs w:val="32"/>
          <w:lang w:eastAsia="zh-CN"/>
        </w:rPr>
        <w:t>）</w:t>
      </w:r>
      <w:r>
        <w:rPr>
          <w:rFonts w:hint="eastAsia" w:ascii="楷体" w:hAnsi="楷体" w:eastAsia="楷体"/>
          <w:b/>
          <w:sz w:val="32"/>
          <w:szCs w:val="32"/>
          <w:lang w:val="en-US" w:eastAsia="zh-CN"/>
        </w:rPr>
        <w:t>吸顶式</w:t>
      </w:r>
      <w:r>
        <w:rPr>
          <w:rFonts w:hint="eastAsia" w:ascii="楷体" w:hAnsi="楷体" w:eastAsia="楷体"/>
          <w:b/>
          <w:sz w:val="32"/>
          <w:szCs w:val="32"/>
        </w:rPr>
        <w:t>等离子空气消毒机</w:t>
      </w:r>
      <w:r>
        <w:rPr>
          <w:rFonts w:hint="eastAsia" w:ascii="楷体" w:hAnsi="楷体" w:eastAsia="楷体"/>
          <w:b/>
          <w:sz w:val="32"/>
          <w:szCs w:val="32"/>
          <w:lang w:eastAsia="zh-CN"/>
        </w:rPr>
        <w:t>（</w:t>
      </w:r>
      <w:r>
        <w:rPr>
          <w:rFonts w:hint="eastAsia" w:ascii="楷体" w:hAnsi="楷体" w:eastAsia="楷体"/>
          <w:b/>
          <w:sz w:val="32"/>
          <w:szCs w:val="32"/>
          <w:lang w:val="en-US" w:eastAsia="zh-CN"/>
        </w:rPr>
        <w:t>10台</w:t>
      </w:r>
      <w:r>
        <w:rPr>
          <w:rFonts w:hint="eastAsia" w:ascii="楷体" w:hAnsi="楷体" w:eastAsia="楷体"/>
          <w:b/>
          <w:sz w:val="32"/>
          <w:szCs w:val="32"/>
          <w:lang w:eastAsia="zh-CN"/>
        </w:rPr>
        <w:t>）</w:t>
      </w:r>
    </w:p>
    <w:p w14:paraId="4F1BDADC">
      <w:pPr>
        <w:tabs>
          <w:tab w:val="left" w:pos="840"/>
        </w:tabs>
        <w:spacing w:line="500" w:lineRule="exact"/>
        <w:jc w:val="both"/>
        <w:rPr>
          <w:rFonts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 xml:space="preserve"> 核心部件采用自主研发的等离子体除尘、杀菌,可以有效去除空气中的尘埃及微生物</w:t>
      </w:r>
      <w:r>
        <w:rPr>
          <w:rFonts w:hint="eastAsia" w:ascii="宋体" w:hAnsi="宋体" w:eastAsia="宋体" w:cs="宋体"/>
          <w:sz w:val="24"/>
          <w:szCs w:val="24"/>
          <w:lang w:eastAsia="zh-CN"/>
        </w:rPr>
        <w:t>，</w:t>
      </w:r>
      <w:r>
        <w:rPr>
          <w:rFonts w:hint="eastAsia" w:ascii="宋体" w:hAnsi="宋体" w:eastAsia="宋体" w:cs="宋体"/>
          <w:sz w:val="24"/>
          <w:szCs w:val="24"/>
        </w:rPr>
        <w:t>动态消毒机,人机共存使用,不生成二次污染；</w:t>
      </w:r>
    </w:p>
    <w:p w14:paraId="794AB67B">
      <w:pPr>
        <w:tabs>
          <w:tab w:val="left" w:pos="840"/>
        </w:tabs>
        <w:spacing w:line="500" w:lineRule="exact"/>
        <w:jc w:val="both"/>
        <w:rPr>
          <w:rFonts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 xml:space="preserve"> 智能故障提示：具有风机，电机及等离子体故障自动报警、整机工作寿命计时及清洗保养提醒等功能；风速高、中、低档可调,适应各种环境</w:t>
      </w:r>
    </w:p>
    <w:p w14:paraId="08AAC94B">
      <w:pPr>
        <w:tabs>
          <w:tab w:val="left" w:pos="840"/>
        </w:tabs>
        <w:spacing w:line="500" w:lineRule="exact"/>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rPr>
        <w:t>采用微电脑程序控制，中文液晶显示</w:t>
      </w:r>
      <w:r>
        <w:rPr>
          <w:rFonts w:hint="eastAsia" w:ascii="宋体" w:hAnsi="宋体" w:eastAsia="宋体" w:cs="宋体"/>
          <w:sz w:val="24"/>
          <w:szCs w:val="24"/>
          <w:lang w:eastAsia="zh-CN"/>
        </w:rPr>
        <w:t>，</w:t>
      </w:r>
      <w:r>
        <w:rPr>
          <w:rFonts w:hint="eastAsia" w:ascii="宋体" w:hAnsi="宋体" w:eastAsia="宋体" w:cs="宋体"/>
          <w:sz w:val="24"/>
          <w:szCs w:val="24"/>
        </w:rPr>
        <w:t>提供手动、遥控器远程操控、程控定时工作模式供用户自由选择；</w:t>
      </w:r>
      <w:r>
        <w:rPr>
          <w:rFonts w:hint="eastAsia" w:ascii="宋体" w:hAnsi="宋体" w:eastAsia="宋体" w:cs="宋体"/>
          <w:sz w:val="24"/>
          <w:szCs w:val="24"/>
          <w:lang w:eastAsia="zh-CN"/>
        </w:rPr>
        <w:t>不低于</w:t>
      </w:r>
      <w:r>
        <w:rPr>
          <w:rFonts w:hint="eastAsia" w:ascii="宋体" w:hAnsi="宋体" w:eastAsia="宋体" w:cs="宋体"/>
          <w:sz w:val="24"/>
          <w:szCs w:val="24"/>
        </w:rPr>
        <w:t>6组程控定时</w:t>
      </w:r>
      <w:r>
        <w:rPr>
          <w:rFonts w:hint="eastAsia" w:ascii="宋体" w:hAnsi="宋体" w:eastAsia="宋体" w:cs="宋体"/>
          <w:sz w:val="24"/>
          <w:szCs w:val="24"/>
          <w:lang w:eastAsia="zh-CN"/>
        </w:rPr>
        <w:t>自动启停</w:t>
      </w:r>
      <w:r>
        <w:rPr>
          <w:rFonts w:hint="eastAsia" w:ascii="宋体" w:hAnsi="宋体" w:eastAsia="宋体" w:cs="宋体"/>
          <w:sz w:val="24"/>
          <w:szCs w:val="24"/>
        </w:rPr>
        <w:t>模式；</w:t>
      </w:r>
    </w:p>
    <w:p w14:paraId="6C0AC037">
      <w:pPr>
        <w:tabs>
          <w:tab w:val="left" w:pos="840"/>
        </w:tabs>
        <w:spacing w:line="500" w:lineRule="exact"/>
        <w:jc w:val="both"/>
        <w:rPr>
          <w:rFonts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主机壳体选用全金属材质经现代防潮工艺制成,面饰层采用水晶面板,避免藏污纳垢减少交叉感染,方便于日常清洗、保养、维护；</w:t>
      </w:r>
    </w:p>
    <w:p w14:paraId="7F07CCFA">
      <w:pPr>
        <w:tabs>
          <w:tab w:val="left" w:pos="840"/>
        </w:tabs>
        <w:spacing w:line="500" w:lineRule="exact"/>
        <w:jc w:val="both"/>
        <w:rPr>
          <w:rFonts w:ascii="宋体" w:hAnsi="宋体" w:eastAsia="宋体" w:cs="宋体"/>
          <w:b/>
          <w:bCs/>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消毒效果:设备持续工作2小时,可使60m³房间对空气中自然菌平均的消亡率≥9</w:t>
      </w:r>
      <w:r>
        <w:rPr>
          <w:rFonts w:hint="eastAsia" w:ascii="宋体" w:hAnsi="宋体" w:eastAsia="宋体" w:cs="宋体"/>
          <w:sz w:val="24"/>
          <w:szCs w:val="24"/>
          <w:lang w:val="en-US" w:eastAsia="zh-CN"/>
        </w:rPr>
        <w:t>2.8</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eastAsia="宋体" w:cs="宋体"/>
          <w:sz w:val="24"/>
          <w:szCs w:val="24"/>
        </w:rPr>
        <w:t>40min空气中白葡萄菌杀灭率≥99.97%。</w:t>
      </w:r>
      <w:r>
        <w:rPr>
          <w:rFonts w:hint="eastAsia" w:ascii="宋体" w:hAnsi="宋体" w:eastAsia="宋体" w:cs="宋体"/>
          <w:b/>
          <w:bCs/>
          <w:sz w:val="24"/>
          <w:szCs w:val="24"/>
        </w:rPr>
        <w:t>（提供检测报告）</w:t>
      </w:r>
    </w:p>
    <w:p w14:paraId="67BAFD40">
      <w:pPr>
        <w:tabs>
          <w:tab w:val="left" w:pos="840"/>
        </w:tabs>
        <w:spacing w:line="500" w:lineRule="exact"/>
        <w:jc w:val="both"/>
        <w:rPr>
          <w:rFonts w:hint="eastAsia" w:ascii="宋体" w:hAnsi="宋体" w:eastAsia="宋体" w:cs="宋体"/>
          <w:sz w:val="24"/>
          <w:szCs w:val="24"/>
          <w:lang w:eastAsia="zh-CN"/>
        </w:rPr>
      </w:pPr>
      <w:r>
        <w:rPr>
          <w:rFonts w:hint="eastAsia" w:ascii="宋体" w:hAnsi="宋体" w:eastAsia="宋体" w:cs="宋体"/>
          <w:sz w:val="24"/>
          <w:szCs w:val="24"/>
          <w:lang w:val="en-US" w:eastAsia="zh-CN"/>
        </w:rPr>
        <w:t>▲</w:t>
      </w: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t>6、</w:t>
      </w:r>
      <w:r>
        <w:rPr>
          <w:rFonts w:hint="eastAsia" w:ascii="宋体" w:hAnsi="宋体" w:eastAsia="宋体" w:cs="宋体"/>
          <w:sz w:val="24"/>
          <w:szCs w:val="24"/>
        </w:rPr>
        <w:t xml:space="preserve"> 安装方式:嵌入式;</w:t>
      </w:r>
      <w:r>
        <w:rPr>
          <w:rFonts w:hint="eastAsia" w:ascii="宋体" w:hAnsi="宋体" w:eastAsia="宋体" w:cs="宋体"/>
          <w:sz w:val="24"/>
          <w:szCs w:val="24"/>
          <w:lang w:eastAsia="zh-CN"/>
        </w:rPr>
        <w:t>（机器完全嵌入，外部与天花板齐平，无外露，无凸出）</w:t>
      </w:r>
    </w:p>
    <w:p w14:paraId="012D8178">
      <w:pPr>
        <w:tabs>
          <w:tab w:val="left" w:pos="840"/>
        </w:tabs>
        <w:spacing w:line="500" w:lineRule="exact"/>
        <w:jc w:val="both"/>
        <w:rPr>
          <w:rFonts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输入功率:≤1</w:t>
      </w:r>
      <w:r>
        <w:rPr>
          <w:rFonts w:hint="eastAsia" w:ascii="宋体" w:hAnsi="宋体" w:eastAsia="宋体" w:cs="宋体"/>
          <w:sz w:val="24"/>
          <w:szCs w:val="24"/>
          <w:lang w:val="en-US" w:eastAsia="zh-CN"/>
        </w:rPr>
        <w:t>3</w:t>
      </w:r>
      <w:r>
        <w:rPr>
          <w:rFonts w:hint="eastAsia" w:ascii="宋体" w:hAnsi="宋体" w:eastAsia="宋体" w:cs="宋体"/>
          <w:sz w:val="24"/>
          <w:szCs w:val="24"/>
        </w:rPr>
        <w:t>0W;</w:t>
      </w:r>
    </w:p>
    <w:p w14:paraId="20555CB3">
      <w:pPr>
        <w:tabs>
          <w:tab w:val="left" w:pos="840"/>
        </w:tabs>
        <w:spacing w:line="500" w:lineRule="exact"/>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8</w:t>
      </w:r>
      <w:r>
        <w:rPr>
          <w:rFonts w:hint="eastAsia" w:ascii="宋体" w:hAnsi="宋体" w:eastAsia="宋体" w:cs="宋体"/>
          <w:sz w:val="24"/>
          <w:szCs w:val="24"/>
          <w:lang w:eastAsia="zh-CN"/>
        </w:rPr>
        <w:t>、循环</w:t>
      </w:r>
      <w:r>
        <w:rPr>
          <w:rFonts w:hint="eastAsia" w:ascii="宋体" w:hAnsi="宋体" w:eastAsia="宋体" w:cs="宋体"/>
          <w:sz w:val="24"/>
          <w:szCs w:val="24"/>
          <w:lang w:val="en-US" w:eastAsia="zh-CN"/>
        </w:rPr>
        <w:t>风量：≥480m³/h</w:t>
      </w:r>
      <w:r>
        <w:rPr>
          <w:rFonts w:hint="eastAsia" w:ascii="宋体" w:hAnsi="宋体" w:eastAsia="宋体" w:cs="宋体"/>
          <w:sz w:val="24"/>
          <w:szCs w:val="24"/>
          <w:lang w:eastAsia="zh-CN"/>
        </w:rPr>
        <w:t>消毒范围</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60m³</w:t>
      </w:r>
    </w:p>
    <w:p w14:paraId="2E94CB32">
      <w:pPr>
        <w:tabs>
          <w:tab w:val="left" w:pos="840"/>
        </w:tabs>
        <w:spacing w:line="500" w:lineRule="exact"/>
        <w:jc w:val="both"/>
        <w:rPr>
          <w:rFonts w:hint="eastAsia" w:ascii="宋体" w:hAnsi="宋体" w:eastAsia="宋体" w:cs="宋体"/>
          <w:sz w:val="24"/>
          <w:szCs w:val="24"/>
          <w:lang w:eastAsia="zh-CN"/>
        </w:rPr>
      </w:pPr>
      <w:r>
        <w:rPr>
          <w:rFonts w:hint="eastAsia" w:ascii="宋体" w:hAnsi="宋体" w:eastAsia="宋体" w:cs="宋体"/>
          <w:sz w:val="24"/>
          <w:szCs w:val="24"/>
          <w:lang w:val="en-US" w:eastAsia="zh-CN"/>
        </w:rPr>
        <w:t>9、</w:t>
      </w:r>
      <w:r>
        <w:rPr>
          <w:rFonts w:hint="eastAsia" w:ascii="宋体" w:hAnsi="宋体" w:eastAsia="宋体" w:cs="宋体"/>
          <w:sz w:val="24"/>
          <w:szCs w:val="24"/>
        </w:rPr>
        <w:t>工作电源: 220V±22V 50Hz±1Hz; 噪声:≤55dB</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A</w:t>
      </w:r>
      <w:r>
        <w:rPr>
          <w:rFonts w:hint="eastAsia" w:ascii="宋体" w:hAnsi="宋体" w:eastAsia="宋体" w:cs="宋体"/>
          <w:sz w:val="24"/>
          <w:szCs w:val="24"/>
          <w:lang w:eastAsia="zh-CN"/>
        </w:rPr>
        <w:t>）</w:t>
      </w:r>
    </w:p>
    <w:p w14:paraId="5C7CDF81">
      <w:pPr>
        <w:numPr>
          <w:ilvl w:val="0"/>
          <w:numId w:val="0"/>
        </w:numPr>
        <w:tabs>
          <w:tab w:val="left" w:pos="840"/>
        </w:tabs>
        <w:spacing w:line="500" w:lineRule="exact"/>
        <w:jc w:val="both"/>
        <w:rPr>
          <w:rFonts w:ascii="宋体" w:hAnsi="宋体" w:eastAsia="宋体" w:cs="宋体"/>
          <w:sz w:val="24"/>
          <w:szCs w:val="24"/>
        </w:rPr>
      </w:pPr>
      <w:r>
        <w:rPr>
          <w:rFonts w:hint="eastAsia" w:ascii="宋体" w:hAnsi="宋体" w:eastAsia="宋体" w:cs="宋体"/>
          <w:sz w:val="24"/>
          <w:szCs w:val="24"/>
          <w:lang w:val="en-US" w:eastAsia="zh-CN"/>
        </w:rPr>
        <w:t>▲10、</w:t>
      </w:r>
      <w:r>
        <w:rPr>
          <w:rFonts w:hint="eastAsia" w:ascii="宋体" w:hAnsi="宋体" w:eastAsia="宋体" w:cs="宋体"/>
          <w:sz w:val="24"/>
          <w:szCs w:val="24"/>
        </w:rPr>
        <w:t>工作环境中臭氧残留量:≤0.05mg/m³;消毒后平均菌数≤84cfu/m³</w:t>
      </w:r>
      <w:r>
        <w:rPr>
          <w:rFonts w:hint="eastAsia" w:ascii="宋体" w:hAnsi="宋体" w:eastAsia="宋体" w:cs="宋体"/>
          <w:b/>
          <w:sz w:val="24"/>
          <w:szCs w:val="24"/>
        </w:rPr>
        <w:t>(提供</w:t>
      </w:r>
      <w:r>
        <w:rPr>
          <w:rFonts w:hint="eastAsia" w:ascii="宋体" w:hAnsi="宋体" w:eastAsia="宋体" w:cs="宋体"/>
          <w:b/>
          <w:bCs/>
          <w:sz w:val="24"/>
          <w:szCs w:val="24"/>
        </w:rPr>
        <w:t>检测报告</w:t>
      </w:r>
      <w:r>
        <w:rPr>
          <w:rFonts w:hint="eastAsia" w:ascii="宋体" w:hAnsi="宋体" w:eastAsia="宋体" w:cs="宋体"/>
          <w:b/>
          <w:sz w:val="24"/>
          <w:szCs w:val="24"/>
        </w:rPr>
        <w:t>)</w:t>
      </w:r>
    </w:p>
    <w:p w14:paraId="1EBA43C3">
      <w:pPr>
        <w:tabs>
          <w:tab w:val="left" w:pos="840"/>
        </w:tabs>
        <w:spacing w:line="500" w:lineRule="exact"/>
        <w:jc w:val="both"/>
        <w:rPr>
          <w:rFonts w:ascii="宋体" w:hAnsi="宋体" w:eastAsia="宋体" w:cs="宋体"/>
          <w:b/>
          <w:sz w:val="24"/>
          <w:szCs w:val="24"/>
        </w:rPr>
      </w:pPr>
      <w:r>
        <w:rPr>
          <w:rFonts w:hint="eastAsia" w:ascii="宋体" w:hAnsi="宋体" w:eastAsia="宋体" w:cs="宋体"/>
          <w:sz w:val="24"/>
          <w:szCs w:val="24"/>
          <w:lang w:val="en-US" w:eastAsia="zh-CN"/>
        </w:rPr>
        <w:t>▲11、</w:t>
      </w:r>
      <w:r>
        <w:rPr>
          <w:rFonts w:hint="eastAsia" w:ascii="宋体" w:hAnsi="宋体" w:eastAsia="宋体" w:cs="宋体"/>
          <w:sz w:val="24"/>
          <w:szCs w:val="24"/>
        </w:rPr>
        <w:t>负离子发生器:≥2</w:t>
      </w:r>
      <w:r>
        <w:rPr>
          <w:rFonts w:hint="eastAsia" w:ascii="宋体" w:hAnsi="宋体" w:eastAsia="宋体" w:cs="宋体"/>
          <w:sz w:val="24"/>
          <w:szCs w:val="24"/>
          <w:lang w:val="en-US" w:eastAsia="zh-CN"/>
        </w:rPr>
        <w:t>.38</w:t>
      </w:r>
      <w:r>
        <w:rPr>
          <w:rFonts w:hint="eastAsia" w:ascii="宋体" w:hAnsi="宋体" w:eastAsia="宋体" w:cs="宋体"/>
          <w:sz w:val="24"/>
          <w:szCs w:val="24"/>
        </w:rPr>
        <w:t>×</w:t>
      </w:r>
      <w:r>
        <w:rPr>
          <w:rFonts w:hint="eastAsia" w:ascii="微软雅黑" w:hAnsi="微软雅黑" w:eastAsia="微软雅黑"/>
          <w:color w:val="000000"/>
          <w:sz w:val="24"/>
          <w:szCs w:val="24"/>
        </w:rPr>
        <w:t>10</w:t>
      </w:r>
      <w:r>
        <w:rPr>
          <w:rFonts w:hint="eastAsia" w:ascii="微软雅黑" w:hAnsi="微软雅黑" w:eastAsia="微软雅黑"/>
          <w:color w:val="000000"/>
          <w:kern w:val="10"/>
          <w:position w:val="6"/>
          <w:sz w:val="24"/>
          <w:szCs w:val="24"/>
          <w:vertAlign w:val="superscript"/>
        </w:rPr>
        <w:t>7</w:t>
      </w:r>
      <w:r>
        <w:rPr>
          <w:rFonts w:hint="eastAsia" w:ascii="宋体" w:hAnsi="宋体" w:eastAsia="宋体" w:cs="宋体"/>
          <w:sz w:val="24"/>
          <w:szCs w:val="24"/>
        </w:rPr>
        <w:t>个/cm3</w:t>
      </w:r>
      <w:r>
        <w:rPr>
          <w:rFonts w:hint="eastAsia" w:ascii="宋体" w:hAnsi="宋体" w:eastAsia="宋体" w:cs="宋体"/>
          <w:b/>
          <w:sz w:val="24"/>
          <w:szCs w:val="24"/>
        </w:rPr>
        <w:t>(提供</w:t>
      </w:r>
      <w:r>
        <w:rPr>
          <w:rFonts w:hint="eastAsia" w:ascii="宋体" w:hAnsi="宋体" w:eastAsia="宋体" w:cs="宋体"/>
          <w:b/>
          <w:bCs/>
          <w:sz w:val="24"/>
          <w:szCs w:val="24"/>
        </w:rPr>
        <w:t>检测报告</w:t>
      </w:r>
      <w:r>
        <w:rPr>
          <w:rFonts w:hint="eastAsia" w:ascii="宋体" w:hAnsi="宋体" w:eastAsia="宋体" w:cs="宋体"/>
          <w:b/>
          <w:sz w:val="24"/>
          <w:szCs w:val="24"/>
        </w:rPr>
        <w:t>);</w:t>
      </w:r>
    </w:p>
    <w:p w14:paraId="6F2983AF">
      <w:pPr>
        <w:tabs>
          <w:tab w:val="left" w:pos="840"/>
        </w:tabs>
        <w:spacing w:line="500" w:lineRule="exact"/>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w:t>
      </w:r>
      <w:r>
        <w:rPr>
          <w:rFonts w:hint="eastAsia" w:ascii="宋体" w:hAnsi="宋体" w:eastAsia="宋体" w:cs="宋体"/>
          <w:sz w:val="24"/>
          <w:szCs w:val="24"/>
        </w:rPr>
        <w:t xml:space="preserve"> 等离子体密度分布:</w:t>
      </w:r>
      <w:r>
        <w:rPr>
          <w:rFonts w:hint="eastAsia" w:ascii="宋体" w:hAnsi="宋体" w:eastAsia="宋体" w:cs="宋体"/>
          <w:sz w:val="24"/>
          <w:szCs w:val="24"/>
          <w:lang w:val="en-US" w:eastAsia="zh-CN"/>
        </w:rPr>
        <w:t>3.34</w:t>
      </w:r>
      <w:r>
        <w:rPr>
          <w:rFonts w:hint="eastAsia" w:ascii="宋体" w:hAnsi="宋体" w:eastAsia="宋体" w:cs="宋体"/>
          <w:sz w:val="24"/>
          <w:szCs w:val="24"/>
        </w:rPr>
        <w:t>×10</w:t>
      </w:r>
      <w:r>
        <w:rPr>
          <w:rFonts w:hint="eastAsia" w:ascii="宋体" w:hAnsi="宋体" w:eastAsia="宋体" w:cs="宋体"/>
          <w:sz w:val="24"/>
          <w:szCs w:val="24"/>
          <w:vertAlign w:val="superscript"/>
        </w:rPr>
        <w:t xml:space="preserve">17 </w:t>
      </w:r>
      <w:r>
        <w:rPr>
          <w:rFonts w:hint="eastAsia" w:ascii="宋体" w:hAnsi="宋体" w:eastAsia="宋体" w:cs="宋体"/>
          <w:sz w:val="24"/>
          <w:szCs w:val="24"/>
        </w:rPr>
        <w:t>m</w:t>
      </w:r>
      <w:r>
        <w:rPr>
          <w:rFonts w:hint="eastAsia" w:ascii="宋体" w:hAnsi="宋体" w:eastAsia="宋体" w:cs="宋体"/>
          <w:sz w:val="24"/>
          <w:szCs w:val="24"/>
          <w:vertAlign w:val="superscript"/>
        </w:rPr>
        <w:t>-3</w:t>
      </w:r>
      <w:r>
        <w:rPr>
          <w:rFonts w:hint="eastAsia" w:ascii="宋体" w:hAnsi="宋体" w:eastAsia="宋体" w:cs="宋体"/>
          <w:sz w:val="24"/>
          <w:szCs w:val="24"/>
        </w:rPr>
        <w:t>∼</w:t>
      </w:r>
      <w:r>
        <w:rPr>
          <w:rFonts w:hint="eastAsia" w:ascii="宋体" w:hAnsi="宋体" w:eastAsia="宋体" w:cs="宋体"/>
          <w:sz w:val="24"/>
          <w:szCs w:val="24"/>
          <w:lang w:val="en-US" w:eastAsia="zh-CN"/>
        </w:rPr>
        <w:t>1.14</w:t>
      </w:r>
      <w:r>
        <w:rPr>
          <w:rFonts w:hint="eastAsia" w:ascii="宋体" w:hAnsi="宋体" w:eastAsia="宋体" w:cs="宋体"/>
          <w:sz w:val="24"/>
          <w:szCs w:val="24"/>
        </w:rPr>
        <w:t>×10</w:t>
      </w:r>
      <w:r>
        <w:rPr>
          <w:rFonts w:hint="eastAsia" w:ascii="宋体" w:hAnsi="宋体" w:eastAsia="宋体" w:cs="宋体"/>
          <w:sz w:val="24"/>
          <w:szCs w:val="24"/>
          <w:vertAlign w:val="superscript"/>
        </w:rPr>
        <w:t xml:space="preserve">18 </w:t>
      </w:r>
      <w:r>
        <w:rPr>
          <w:rFonts w:hint="eastAsia" w:ascii="宋体" w:hAnsi="宋体" w:eastAsia="宋体" w:cs="宋体"/>
          <w:sz w:val="24"/>
          <w:szCs w:val="24"/>
        </w:rPr>
        <w:t>m</w:t>
      </w:r>
      <w:r>
        <w:rPr>
          <w:rFonts w:hint="eastAsia" w:ascii="宋体" w:hAnsi="宋体" w:eastAsia="宋体" w:cs="宋体"/>
          <w:sz w:val="24"/>
          <w:szCs w:val="24"/>
          <w:vertAlign w:val="superscript"/>
        </w:rPr>
        <w:t>-3</w:t>
      </w:r>
      <w:r>
        <w:rPr>
          <w:rFonts w:hint="eastAsia" w:ascii="宋体" w:hAnsi="宋体" w:eastAsia="宋体" w:cs="宋体"/>
          <w:sz w:val="24"/>
          <w:szCs w:val="24"/>
        </w:rPr>
        <w:t xml:space="preserve"> </w:t>
      </w:r>
      <w:r>
        <w:rPr>
          <w:rFonts w:hint="eastAsia" w:ascii="宋体" w:hAnsi="宋体" w:eastAsia="宋体" w:cs="宋体"/>
          <w:b/>
          <w:sz w:val="24"/>
          <w:szCs w:val="24"/>
        </w:rPr>
        <w:t>(提供</w:t>
      </w:r>
      <w:r>
        <w:rPr>
          <w:rFonts w:hint="eastAsia" w:ascii="宋体" w:hAnsi="宋体" w:eastAsia="宋体" w:cs="宋体"/>
          <w:b/>
          <w:bCs/>
          <w:sz w:val="24"/>
          <w:szCs w:val="24"/>
        </w:rPr>
        <w:t>检测报告</w:t>
      </w:r>
      <w:r>
        <w:rPr>
          <w:rFonts w:hint="eastAsia" w:ascii="宋体" w:hAnsi="宋体" w:eastAsia="宋体" w:cs="宋体"/>
          <w:b/>
          <w:sz w:val="24"/>
          <w:szCs w:val="24"/>
        </w:rPr>
        <w:t>);</w:t>
      </w:r>
      <w:r>
        <w:rPr>
          <w:rFonts w:hint="eastAsia" w:ascii="宋体" w:hAnsi="宋体" w:eastAsia="宋体" w:cs="宋体"/>
          <w:sz w:val="24"/>
          <w:szCs w:val="24"/>
        </w:rPr>
        <w:t>等离子体发生器寿命≥</w:t>
      </w:r>
      <w:r>
        <w:rPr>
          <w:rFonts w:hint="eastAsia" w:ascii="宋体" w:hAnsi="宋体" w:eastAsia="宋体" w:cs="宋体"/>
          <w:sz w:val="24"/>
          <w:szCs w:val="24"/>
          <w:lang w:val="en-US" w:eastAsia="zh-CN"/>
        </w:rPr>
        <w:t>4</w:t>
      </w:r>
      <w:r>
        <w:rPr>
          <w:rFonts w:hint="eastAsia" w:ascii="宋体" w:hAnsi="宋体" w:eastAsia="宋体" w:cs="宋体"/>
          <w:sz w:val="24"/>
          <w:szCs w:val="24"/>
        </w:rPr>
        <w:t>0000小时（</w:t>
      </w:r>
      <w:r>
        <w:rPr>
          <w:rFonts w:hint="eastAsia" w:ascii="宋体" w:hAnsi="宋体" w:eastAsia="宋体" w:cs="宋体"/>
          <w:b/>
          <w:bCs/>
          <w:sz w:val="24"/>
          <w:szCs w:val="24"/>
        </w:rPr>
        <w:t>提供检测报告</w:t>
      </w:r>
      <w:r>
        <w:rPr>
          <w:rFonts w:hint="eastAsia" w:ascii="宋体" w:hAnsi="宋体" w:eastAsia="宋体" w:cs="宋体"/>
          <w:sz w:val="24"/>
          <w:szCs w:val="24"/>
        </w:rPr>
        <w:t>）；</w:t>
      </w:r>
      <w:r>
        <w:rPr>
          <w:rFonts w:hint="eastAsia" w:ascii="宋体" w:hAnsi="宋体" w:eastAsia="宋体" w:cs="宋体"/>
          <w:sz w:val="24"/>
          <w:szCs w:val="24"/>
          <w:lang w:val="en-US" w:eastAsia="zh-CN"/>
        </w:rPr>
        <w:t>等离子体发生器工作过程中静电模块输出电压≥10000V</w:t>
      </w:r>
      <w:r>
        <w:rPr>
          <w:rFonts w:hint="eastAsia" w:ascii="宋体" w:hAnsi="宋体" w:eastAsia="宋体" w:cs="宋体"/>
          <w:sz w:val="24"/>
          <w:szCs w:val="24"/>
        </w:rPr>
        <w:t>（</w:t>
      </w:r>
      <w:r>
        <w:rPr>
          <w:rFonts w:hint="eastAsia" w:ascii="宋体" w:hAnsi="宋体" w:eastAsia="宋体" w:cs="宋体"/>
          <w:b/>
          <w:bCs/>
          <w:sz w:val="24"/>
          <w:szCs w:val="24"/>
        </w:rPr>
        <w:t>提供检测报告</w:t>
      </w:r>
      <w:r>
        <w:rPr>
          <w:rFonts w:hint="eastAsia" w:ascii="宋体" w:hAnsi="宋体" w:eastAsia="宋体" w:cs="宋体"/>
          <w:sz w:val="24"/>
          <w:szCs w:val="24"/>
        </w:rPr>
        <w:t>）</w:t>
      </w:r>
    </w:p>
    <w:p w14:paraId="212EABE9">
      <w:pPr>
        <w:rPr>
          <w:rFonts w:hint="eastAsia" w:ascii="宋体" w:hAnsi="宋体" w:cs="宋体"/>
          <w:color w:val="auto"/>
          <w:sz w:val="48"/>
          <w:szCs w:val="48"/>
          <w:lang w:eastAsia="zh-CN"/>
        </w:rPr>
      </w:pPr>
      <w:r>
        <w:rPr>
          <w:rFonts w:hint="eastAsia" w:ascii="宋体" w:hAnsi="宋体" w:cs="宋体"/>
          <w:color w:val="auto"/>
          <w:sz w:val="48"/>
          <w:szCs w:val="48"/>
          <w:lang w:eastAsia="zh-CN"/>
        </w:rPr>
        <w:br w:type="page"/>
      </w:r>
    </w:p>
    <w:p w14:paraId="3224225E">
      <w:pPr>
        <w:tabs>
          <w:tab w:val="left" w:pos="567"/>
        </w:tabs>
        <w:spacing w:line="600" w:lineRule="auto"/>
        <w:jc w:val="center"/>
        <w:rPr>
          <w:rFonts w:hint="eastAsia" w:ascii="楷体" w:hAnsi="楷体" w:eastAsia="楷体"/>
          <w:b/>
          <w:sz w:val="28"/>
          <w:szCs w:val="28"/>
          <w:lang w:val="en-US" w:eastAsia="zh-CN"/>
        </w:rPr>
      </w:pPr>
      <w:r>
        <w:rPr>
          <w:rFonts w:hint="eastAsia" w:ascii="楷体" w:hAnsi="楷体" w:eastAsia="楷体"/>
          <w:b/>
          <w:sz w:val="36"/>
          <w:szCs w:val="36"/>
          <w:lang w:eastAsia="zh-CN"/>
        </w:rPr>
        <w:t>（</w:t>
      </w:r>
      <w:r>
        <w:rPr>
          <w:rFonts w:hint="eastAsia" w:ascii="楷体" w:hAnsi="楷体" w:eastAsia="楷体"/>
          <w:b/>
          <w:sz w:val="36"/>
          <w:szCs w:val="36"/>
          <w:lang w:val="en-US" w:eastAsia="zh-CN"/>
        </w:rPr>
        <w:t>四</w:t>
      </w:r>
      <w:r>
        <w:rPr>
          <w:rFonts w:hint="eastAsia" w:ascii="楷体" w:hAnsi="楷体" w:eastAsia="楷体"/>
          <w:b/>
          <w:sz w:val="36"/>
          <w:szCs w:val="36"/>
          <w:lang w:eastAsia="zh-CN"/>
        </w:rPr>
        <w:t>）</w:t>
      </w:r>
      <w:r>
        <w:rPr>
          <w:rFonts w:hint="eastAsia" w:ascii="楷体" w:hAnsi="楷体" w:eastAsia="楷体"/>
          <w:b/>
          <w:sz w:val="36"/>
          <w:szCs w:val="36"/>
          <w:lang w:val="en-US" w:eastAsia="zh-CN"/>
        </w:rPr>
        <w:t>移动式</w:t>
      </w:r>
      <w:r>
        <w:rPr>
          <w:rFonts w:hint="eastAsia" w:ascii="楷体" w:hAnsi="楷体" w:eastAsia="楷体"/>
          <w:b/>
          <w:sz w:val="36"/>
          <w:szCs w:val="36"/>
        </w:rPr>
        <w:t>等离子</w:t>
      </w:r>
      <w:r>
        <w:rPr>
          <w:rFonts w:hint="eastAsia" w:ascii="楷体" w:hAnsi="楷体" w:eastAsia="楷体"/>
          <w:b/>
          <w:sz w:val="36"/>
          <w:szCs w:val="36"/>
          <w:lang w:eastAsia="zh-CN"/>
        </w:rPr>
        <w:t>体</w:t>
      </w:r>
      <w:r>
        <w:rPr>
          <w:rFonts w:hint="eastAsia" w:ascii="楷体" w:hAnsi="楷体" w:eastAsia="楷体"/>
          <w:b/>
          <w:sz w:val="36"/>
          <w:szCs w:val="36"/>
        </w:rPr>
        <w:t>空气消毒机</w:t>
      </w:r>
      <w:r>
        <w:rPr>
          <w:rFonts w:hint="eastAsia" w:ascii="楷体" w:hAnsi="楷体" w:eastAsia="楷体"/>
          <w:b/>
          <w:sz w:val="36"/>
          <w:szCs w:val="36"/>
          <w:lang w:eastAsia="zh-CN"/>
        </w:rPr>
        <w:t>（</w:t>
      </w:r>
      <w:r>
        <w:rPr>
          <w:rFonts w:hint="eastAsia" w:ascii="楷体" w:hAnsi="楷体" w:eastAsia="楷体"/>
          <w:b/>
          <w:sz w:val="36"/>
          <w:szCs w:val="36"/>
          <w:lang w:val="en-US" w:eastAsia="zh-CN"/>
        </w:rPr>
        <w:t>5台</w:t>
      </w:r>
      <w:r>
        <w:rPr>
          <w:rFonts w:hint="eastAsia" w:ascii="楷体" w:hAnsi="楷体" w:eastAsia="楷体"/>
          <w:b/>
          <w:sz w:val="36"/>
          <w:szCs w:val="36"/>
          <w:lang w:eastAsia="zh-CN"/>
        </w:rPr>
        <w:t>）</w:t>
      </w:r>
    </w:p>
    <w:p w14:paraId="4B287C8E">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、外形：移动式；</w:t>
      </w:r>
    </w:p>
    <w:p w14:paraId="4A13EC9A">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、消毒空间</w:t>
      </w:r>
      <w:r>
        <w:rPr>
          <w:rFonts w:hint="eastAsia" w:ascii="宋体" w:hAnsi="宋体" w:eastAsia="宋体" w:cs="宋体"/>
          <w:sz w:val="24"/>
          <w:szCs w:val="24"/>
          <w:lang w:val="en-US" w:eastAsia="zh-CN"/>
        </w:rPr>
        <w:t>:≤</w:t>
      </w:r>
      <w:r>
        <w:rPr>
          <w:rFonts w:hint="eastAsia" w:ascii="宋体" w:hAnsi="宋体" w:eastAsia="宋体" w:cs="宋体"/>
          <w:sz w:val="24"/>
          <w:szCs w:val="24"/>
        </w:rPr>
        <w:t>100</w:t>
      </w:r>
      <w:r>
        <w:rPr>
          <w:rFonts w:hint="eastAsia" w:ascii="宋体" w:hAnsi="宋体" w:eastAsia="宋体" w:cs="宋体"/>
          <w:sz w:val="24"/>
          <w:szCs w:val="24"/>
          <w:lang w:val="en-US" w:eastAsia="zh-CN"/>
        </w:rPr>
        <w:t>m³</w:t>
      </w:r>
      <w:r>
        <w:rPr>
          <w:rFonts w:hint="eastAsia" w:ascii="宋体" w:hAnsi="宋体" w:eastAsia="宋体" w:cs="宋体"/>
          <w:sz w:val="24"/>
          <w:szCs w:val="24"/>
        </w:rPr>
        <w:t>；</w:t>
      </w:r>
    </w:p>
    <w:p w14:paraId="59C16CEE">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3、风量：≥1000m³/h；</w:t>
      </w:r>
    </w:p>
    <w:p w14:paraId="281B80D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rightChars="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4、核心部件采用自主研发的等离子体除尘、杀菌，可以有效去除空气中的尘埃及微生物，获国家专利；</w:t>
      </w:r>
    </w:p>
    <w:p w14:paraId="4D95183F">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▲5、等离子体密度分布：1.28</w:t>
      </w:r>
      <w:r>
        <w:rPr>
          <w:rFonts w:hint="eastAsia" w:ascii="宋体" w:hAnsi="宋体" w:eastAsia="宋体" w:cs="宋体"/>
          <w:sz w:val="24"/>
          <w:szCs w:val="24"/>
        </w:rPr>
        <w:t>×10</w:t>
      </w:r>
      <w:r>
        <w:rPr>
          <w:rFonts w:hint="eastAsia" w:ascii="宋体" w:hAnsi="宋体" w:eastAsia="宋体" w:cs="宋体"/>
          <w:sz w:val="24"/>
          <w:szCs w:val="24"/>
          <w:vertAlign w:val="superscript"/>
          <w:lang w:val="en-US" w:eastAsia="zh-CN"/>
        </w:rPr>
        <w:t>19</w:t>
      </w:r>
      <w:r>
        <w:rPr>
          <w:rFonts w:hint="eastAsia" w:ascii="宋体" w:hAnsi="宋体" w:eastAsia="宋体" w:cs="宋体"/>
          <w:sz w:val="24"/>
          <w:szCs w:val="24"/>
          <w:vertAlign w:val="baseline"/>
          <w:lang w:val="en-US" w:eastAsia="zh-CN"/>
        </w:rPr>
        <w:t>m</w:t>
      </w:r>
      <w:r>
        <w:rPr>
          <w:rFonts w:hint="eastAsia" w:ascii="宋体" w:hAnsi="宋体" w:eastAsia="宋体" w:cs="宋体"/>
          <w:sz w:val="24"/>
          <w:szCs w:val="24"/>
          <w:vertAlign w:val="superscript"/>
          <w:lang w:val="en-US" w:eastAsia="zh-CN"/>
        </w:rPr>
        <w:t>-3</w:t>
      </w:r>
      <w:r>
        <w:rPr>
          <w:rFonts w:hint="eastAsia" w:ascii="宋体" w:hAnsi="宋体" w:eastAsia="宋体" w:cs="宋体"/>
          <w:sz w:val="24"/>
          <w:szCs w:val="24"/>
          <w:vertAlign w:val="baseline"/>
          <w:lang w:val="en-US" w:eastAsia="zh-CN"/>
        </w:rPr>
        <w:t>-5.26×10</w:t>
      </w:r>
      <w:r>
        <w:rPr>
          <w:rFonts w:hint="eastAsia" w:ascii="宋体" w:hAnsi="宋体" w:eastAsia="宋体" w:cs="宋体"/>
          <w:sz w:val="24"/>
          <w:szCs w:val="24"/>
          <w:vertAlign w:val="superscript"/>
          <w:lang w:val="en-US" w:eastAsia="zh-CN"/>
        </w:rPr>
        <w:t>19</w:t>
      </w:r>
      <w:r>
        <w:rPr>
          <w:rFonts w:hint="eastAsia" w:ascii="宋体" w:hAnsi="宋体" w:eastAsia="宋体" w:cs="宋体"/>
          <w:sz w:val="24"/>
          <w:szCs w:val="24"/>
          <w:vertAlign w:val="baseline"/>
          <w:lang w:val="en-US" w:eastAsia="zh-CN"/>
        </w:rPr>
        <w:t>m</w:t>
      </w:r>
      <w:r>
        <w:rPr>
          <w:rFonts w:hint="eastAsia" w:ascii="宋体" w:hAnsi="宋体" w:eastAsia="宋体" w:cs="宋体"/>
          <w:sz w:val="24"/>
          <w:szCs w:val="24"/>
          <w:vertAlign w:val="superscript"/>
          <w:lang w:val="en-US" w:eastAsia="zh-CN"/>
        </w:rPr>
        <w:t>-3</w:t>
      </w:r>
      <w:r>
        <w:rPr>
          <w:rFonts w:hint="eastAsia" w:ascii="宋体" w:hAnsi="宋体" w:eastAsia="宋体" w:cs="宋体"/>
          <w:sz w:val="24"/>
          <w:szCs w:val="24"/>
          <w:vertAlign w:val="baseline"/>
          <w:lang w:val="en-US" w:eastAsia="zh-CN"/>
        </w:rPr>
        <w:t>;</w:t>
      </w:r>
      <w:r>
        <w:rPr>
          <w:rFonts w:hint="eastAsia" w:ascii="宋体" w:hAnsi="宋体" w:eastAsia="宋体" w:cs="宋体"/>
          <w:b/>
          <w:bCs/>
          <w:sz w:val="24"/>
          <w:szCs w:val="24"/>
          <w:vertAlign w:val="baseline"/>
          <w:lang w:val="en-US" w:eastAsia="zh-CN"/>
        </w:rPr>
        <w:t>（提供测试报告）</w:t>
      </w:r>
    </w:p>
    <w:p w14:paraId="6F011685">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6、LED数码直观显示，时间任意设置；整机工作寿命计时；临时消毒功能及程控自动运行消毒设定，程控不低于6个时间段消毒；</w:t>
      </w:r>
    </w:p>
    <w:p w14:paraId="4B699145">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7、采用初中效及活性炭过滤；双通道立体式出风，循环风量大，风速高、中、低可选；</w:t>
      </w:r>
    </w:p>
    <w:p w14:paraId="6FD86007">
      <w:pPr>
        <w:keepNext w:val="0"/>
        <w:keepLines w:val="0"/>
        <w:pageBreakBefore w:val="0"/>
        <w:kinsoku/>
        <w:wordWrap/>
        <w:overflowPunct/>
        <w:topLinePunct w:val="0"/>
        <w:autoSpaceDE/>
        <w:autoSpaceDN/>
        <w:bidi w:val="0"/>
        <w:adjustRightInd/>
        <w:snapToGrid/>
        <w:spacing w:line="440" w:lineRule="exact"/>
        <w:ind w:left="669" w:leftChars="0" w:hanging="669" w:hangingChars="279"/>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8、隐藏式配件盒，遥控器具有防丢失功能，外设扶手，推拉移动自如； </w:t>
      </w:r>
    </w:p>
    <w:p w14:paraId="31DA5B3E">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▲9、消毒后空气中平均菌数：≤23cfu/m³；</w:t>
      </w:r>
    </w:p>
    <w:p w14:paraId="6C8FE95F">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10、本产品产生高浓度负离子，可净化室内空气;（提供负离子发生装置专利证书）</w:t>
      </w:r>
    </w:p>
    <w:p w14:paraId="4BA60891">
      <w:pPr>
        <w:keepNext w:val="0"/>
        <w:keepLines w:val="0"/>
        <w:pageBreakBefore w:val="0"/>
        <w:tabs>
          <w:tab w:val="left" w:pos="567"/>
          <w:tab w:val="left" w:pos="851"/>
          <w:tab w:val="left" w:pos="993"/>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11</w:t>
      </w:r>
      <w:r>
        <w:rPr>
          <w:rFonts w:hint="eastAsia" w:ascii="宋体" w:hAnsi="宋体" w:eastAsia="宋体" w:cs="宋体"/>
          <w:sz w:val="24"/>
          <w:szCs w:val="24"/>
        </w:rPr>
        <w:t>、工作电源：220V±22V，50Hz±1Hz；</w:t>
      </w:r>
    </w:p>
    <w:p w14:paraId="5BE4CA3D">
      <w:pPr>
        <w:keepNext w:val="0"/>
        <w:keepLines w:val="0"/>
        <w:pageBreakBefore w:val="0"/>
        <w:tabs>
          <w:tab w:val="left" w:pos="567"/>
          <w:tab w:val="left" w:pos="851"/>
          <w:tab w:val="left" w:pos="993"/>
        </w:tabs>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12</w:t>
      </w:r>
      <w:r>
        <w:rPr>
          <w:rFonts w:hint="eastAsia" w:ascii="宋体" w:hAnsi="宋体" w:eastAsia="宋体" w:cs="宋体"/>
          <w:sz w:val="24"/>
          <w:szCs w:val="24"/>
        </w:rPr>
        <w:t>、功率</w:t>
      </w:r>
      <w:r>
        <w:rPr>
          <w:rFonts w:hint="eastAsia" w:ascii="宋体" w:hAnsi="宋体" w:eastAsia="宋体" w:cs="宋体"/>
          <w:sz w:val="24"/>
          <w:szCs w:val="24"/>
          <w:lang w:val="en-US" w:eastAsia="zh-CN"/>
        </w:rPr>
        <w:t>:≤125</w:t>
      </w:r>
      <w:r>
        <w:rPr>
          <w:rFonts w:hint="eastAsia" w:ascii="宋体" w:hAnsi="宋体" w:eastAsia="宋体" w:cs="宋体"/>
          <w:sz w:val="24"/>
          <w:szCs w:val="24"/>
        </w:rPr>
        <w:t>W，噪音</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≤60</w:t>
      </w:r>
      <w:r>
        <w:rPr>
          <w:rFonts w:hint="eastAsia" w:ascii="宋体" w:hAnsi="宋体" w:eastAsia="宋体" w:cs="宋体"/>
          <w:sz w:val="24"/>
          <w:szCs w:val="24"/>
        </w:rPr>
        <w:t>d</w:t>
      </w:r>
      <w:r>
        <w:rPr>
          <w:rFonts w:hint="eastAsia" w:ascii="宋体" w:hAnsi="宋体" w:eastAsia="宋体" w:cs="宋体"/>
          <w:sz w:val="24"/>
          <w:szCs w:val="24"/>
          <w:lang w:val="en-US" w:eastAsia="zh-CN"/>
        </w:rPr>
        <w:t>B</w:t>
      </w:r>
      <w:r>
        <w:rPr>
          <w:rFonts w:hint="eastAsia" w:ascii="宋体" w:hAnsi="宋体" w:eastAsia="宋体" w:cs="宋体"/>
          <w:sz w:val="24"/>
          <w:szCs w:val="24"/>
        </w:rPr>
        <w:t>；</w:t>
      </w:r>
    </w:p>
    <w:p w14:paraId="7C297FE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13、</w:t>
      </w:r>
      <w:r>
        <w:rPr>
          <w:rFonts w:hint="eastAsia" w:ascii="宋体" w:hAnsi="宋体" w:eastAsia="宋体" w:cs="宋体"/>
          <w:sz w:val="24"/>
          <w:szCs w:val="24"/>
        </w:rPr>
        <w:t>消毒时空气中臭氧</w:t>
      </w:r>
      <w:r>
        <w:rPr>
          <w:rFonts w:hint="eastAsia" w:ascii="宋体" w:hAnsi="宋体" w:eastAsia="宋体" w:cs="宋体"/>
          <w:sz w:val="24"/>
          <w:szCs w:val="24"/>
          <w:lang w:val="en-US" w:eastAsia="zh-CN"/>
        </w:rPr>
        <w:t>浓度</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w:t>
      </w:r>
      <w:r>
        <w:rPr>
          <w:rFonts w:hint="eastAsia" w:ascii="宋体" w:hAnsi="宋体" w:eastAsia="宋体" w:cs="宋体"/>
          <w:sz w:val="24"/>
          <w:szCs w:val="24"/>
        </w:rPr>
        <w:t>0.</w:t>
      </w:r>
      <w:r>
        <w:rPr>
          <w:rFonts w:hint="eastAsia" w:ascii="宋体" w:hAnsi="宋体" w:eastAsia="宋体" w:cs="宋体"/>
          <w:sz w:val="24"/>
          <w:szCs w:val="24"/>
          <w:lang w:val="en-US" w:eastAsia="zh-CN"/>
        </w:rPr>
        <w:t>025mg</w:t>
      </w:r>
      <w:r>
        <w:rPr>
          <w:rFonts w:hint="eastAsia" w:ascii="宋体" w:hAnsi="宋体" w:eastAsia="宋体" w:cs="宋体"/>
          <w:sz w:val="24"/>
          <w:szCs w:val="24"/>
        </w:rPr>
        <w:t>/</w:t>
      </w:r>
      <w:r>
        <w:rPr>
          <w:rFonts w:hint="eastAsia" w:ascii="宋体" w:hAnsi="宋体" w:eastAsia="宋体" w:cs="宋体"/>
          <w:sz w:val="24"/>
          <w:szCs w:val="24"/>
          <w:lang w:val="en-US" w:eastAsia="zh-CN"/>
        </w:rPr>
        <w:t>m³</w:t>
      </w:r>
      <w:r>
        <w:rPr>
          <w:rFonts w:hint="eastAsia" w:ascii="宋体" w:hAnsi="宋体" w:eastAsia="宋体" w:cs="宋体"/>
          <w:sz w:val="24"/>
          <w:szCs w:val="24"/>
        </w:rPr>
        <w:t>；</w:t>
      </w:r>
    </w:p>
    <w:p w14:paraId="6EAE7FD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w:t>
      </w:r>
      <w:r>
        <w:rPr>
          <w:rFonts w:hint="eastAsia" w:ascii="宋体" w:hAnsi="宋体" w:eastAsia="宋体" w:cs="宋体"/>
          <w:sz w:val="24"/>
          <w:szCs w:val="24"/>
        </w:rPr>
        <w:t>1</w:t>
      </w:r>
      <w:r>
        <w:rPr>
          <w:rFonts w:hint="eastAsia" w:ascii="宋体" w:hAnsi="宋体" w:eastAsia="宋体" w:cs="宋体"/>
          <w:sz w:val="24"/>
          <w:szCs w:val="24"/>
          <w:lang w:val="en-US" w:eastAsia="zh-CN"/>
        </w:rPr>
        <w:t>4</w:t>
      </w:r>
      <w:r>
        <w:rPr>
          <w:rFonts w:hint="eastAsia" w:ascii="宋体" w:hAnsi="宋体" w:eastAsia="宋体" w:cs="宋体"/>
          <w:sz w:val="24"/>
          <w:szCs w:val="24"/>
        </w:rPr>
        <w:t>、</w:t>
      </w:r>
      <w:r>
        <w:rPr>
          <w:rFonts w:hint="eastAsia" w:ascii="宋体" w:hAnsi="宋体" w:eastAsia="宋体" w:cs="宋体"/>
          <w:sz w:val="24"/>
          <w:szCs w:val="24"/>
          <w:lang w:val="en-US" w:eastAsia="zh-CN"/>
        </w:rPr>
        <w:t>消毒效果:</w:t>
      </w:r>
      <w:r>
        <w:rPr>
          <w:rFonts w:hint="eastAsia" w:ascii="宋体" w:hAnsi="宋体" w:eastAsia="宋体" w:cs="宋体"/>
          <w:b/>
          <w:bCs/>
          <w:sz w:val="24"/>
          <w:szCs w:val="24"/>
          <w:vertAlign w:val="baseline"/>
          <w:lang w:val="en-US" w:eastAsia="zh-CN"/>
        </w:rPr>
        <w:t>（提供测试报告）</w:t>
      </w:r>
    </w:p>
    <w:p w14:paraId="0847294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①开机作用60min，对空气中自然菌的平均消亡率为98.79%；</w:t>
      </w:r>
    </w:p>
    <w:p w14:paraId="7A763C0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②开机作用40min，对空气中白色葡萄球菌气溶胶的平均杀灭率为99.99%；</w:t>
      </w:r>
    </w:p>
    <w:p w14:paraId="5F4F291C">
      <w:pPr>
        <w:pStyle w:val="51"/>
        <w:keepNext w:val="0"/>
        <w:keepLines w:val="0"/>
        <w:pageBreakBefore w:val="0"/>
        <w:widowControl w:val="0"/>
        <w:numPr>
          <w:ilvl w:val="0"/>
          <w:numId w:val="0"/>
        </w:numPr>
        <w:tabs>
          <w:tab w:val="left" w:pos="1418"/>
          <w:tab w:val="left" w:pos="1560"/>
        </w:tabs>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00"/>
          <w:kern w:val="10"/>
          <w:position w:val="6"/>
          <w:sz w:val="24"/>
          <w:szCs w:val="24"/>
          <w:lang w:val="en-US" w:eastAsia="zh-CN"/>
        </w:rPr>
      </w:pPr>
      <w:r>
        <w:rPr>
          <w:rFonts w:hint="eastAsia" w:ascii="宋体" w:hAnsi="宋体" w:eastAsia="宋体" w:cs="宋体"/>
          <w:color w:val="000000"/>
          <w:kern w:val="10"/>
          <w:position w:val="6"/>
          <w:sz w:val="24"/>
          <w:szCs w:val="24"/>
          <w:lang w:val="en-US" w:eastAsia="zh-CN"/>
        </w:rPr>
        <w:t>③开机作用60min，对空气中铜绿假单胞菌气溶胶的平均杀灭率为99.99%；</w:t>
      </w:r>
    </w:p>
    <w:p w14:paraId="41B32561">
      <w:pPr>
        <w:pStyle w:val="51"/>
        <w:keepNext w:val="0"/>
        <w:keepLines w:val="0"/>
        <w:pageBreakBefore w:val="0"/>
        <w:widowControl w:val="0"/>
        <w:numPr>
          <w:ilvl w:val="0"/>
          <w:numId w:val="0"/>
        </w:numPr>
        <w:tabs>
          <w:tab w:val="left" w:pos="1418"/>
          <w:tab w:val="left" w:pos="1560"/>
        </w:tabs>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00"/>
          <w:kern w:val="10"/>
          <w:position w:val="6"/>
          <w:sz w:val="24"/>
          <w:szCs w:val="24"/>
          <w:lang w:val="en-US" w:eastAsia="zh-CN"/>
        </w:rPr>
      </w:pPr>
      <w:r>
        <w:rPr>
          <w:rFonts w:hint="eastAsia" w:ascii="宋体" w:hAnsi="宋体" w:eastAsia="宋体" w:cs="宋体"/>
          <w:color w:val="000000"/>
          <w:kern w:val="10"/>
          <w:position w:val="6"/>
          <w:sz w:val="24"/>
          <w:szCs w:val="24"/>
          <w:lang w:val="en-US" w:eastAsia="zh-CN"/>
        </w:rPr>
        <w:t>④开机作用60min，对空气中黑曲霉菌气溶胶的平均杀灭率为99.99%；</w:t>
      </w:r>
    </w:p>
    <w:p w14:paraId="2D511FD1">
      <w:pPr>
        <w:pStyle w:val="51"/>
        <w:keepNext w:val="0"/>
        <w:keepLines w:val="0"/>
        <w:pageBreakBefore w:val="0"/>
        <w:widowControl w:val="0"/>
        <w:numPr>
          <w:ilvl w:val="0"/>
          <w:numId w:val="0"/>
        </w:numPr>
        <w:tabs>
          <w:tab w:val="left" w:pos="1418"/>
          <w:tab w:val="left" w:pos="1560"/>
        </w:tabs>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00"/>
          <w:kern w:val="10"/>
          <w:position w:val="6"/>
          <w:sz w:val="24"/>
          <w:szCs w:val="24"/>
          <w:lang w:val="en-US" w:eastAsia="zh-CN"/>
        </w:rPr>
      </w:pPr>
      <w:r>
        <w:rPr>
          <w:rFonts w:hint="eastAsia" w:ascii="宋体" w:hAnsi="宋体" w:eastAsia="宋体" w:cs="宋体"/>
          <w:color w:val="000000"/>
          <w:kern w:val="10"/>
          <w:position w:val="6"/>
          <w:sz w:val="24"/>
          <w:szCs w:val="24"/>
          <w:lang w:val="en-US" w:eastAsia="zh-CN"/>
        </w:rPr>
        <w:t>⑤开机作用60min，对空气中金黄色葡萄球菌气溶胶的平均杀灭率为99.99%；</w:t>
      </w:r>
    </w:p>
    <w:p w14:paraId="0669BD42">
      <w:pPr>
        <w:pStyle w:val="51"/>
        <w:keepNext w:val="0"/>
        <w:keepLines w:val="0"/>
        <w:pageBreakBefore w:val="0"/>
        <w:widowControl w:val="0"/>
        <w:numPr>
          <w:ilvl w:val="0"/>
          <w:numId w:val="0"/>
        </w:numPr>
        <w:tabs>
          <w:tab w:val="left" w:pos="1418"/>
          <w:tab w:val="left" w:pos="1560"/>
        </w:tabs>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00"/>
          <w:kern w:val="10"/>
          <w:position w:val="6"/>
          <w:sz w:val="24"/>
          <w:szCs w:val="24"/>
          <w:lang w:val="en-US" w:eastAsia="zh-CN"/>
        </w:rPr>
      </w:pPr>
      <w:r>
        <w:rPr>
          <w:rFonts w:hint="eastAsia" w:ascii="宋体" w:hAnsi="宋体" w:eastAsia="宋体" w:cs="宋体"/>
          <w:color w:val="000000"/>
          <w:kern w:val="10"/>
          <w:position w:val="6"/>
          <w:sz w:val="24"/>
          <w:szCs w:val="24"/>
          <w:lang w:val="en-US" w:eastAsia="zh-CN"/>
        </w:rPr>
        <w:t>⑥开机作用60min， 对空气中枯草杆菌黑色变种芽孢气溶胶的平均杀灭率为99.99%；</w:t>
      </w:r>
    </w:p>
    <w:p w14:paraId="3697C444">
      <w:pPr>
        <w:pStyle w:val="51"/>
        <w:keepNext w:val="0"/>
        <w:keepLines w:val="0"/>
        <w:pageBreakBefore w:val="0"/>
        <w:widowControl w:val="0"/>
        <w:numPr>
          <w:ilvl w:val="0"/>
          <w:numId w:val="0"/>
        </w:numPr>
        <w:tabs>
          <w:tab w:val="left" w:pos="1418"/>
          <w:tab w:val="left" w:pos="1560"/>
        </w:tabs>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00"/>
          <w:kern w:val="10"/>
          <w:position w:val="6"/>
          <w:sz w:val="24"/>
          <w:szCs w:val="24"/>
          <w:lang w:val="en-US" w:eastAsia="zh-CN"/>
        </w:rPr>
      </w:pPr>
      <w:r>
        <w:rPr>
          <w:rFonts w:hint="eastAsia" w:ascii="宋体" w:hAnsi="宋体" w:eastAsia="宋体" w:cs="宋体"/>
          <w:color w:val="000000"/>
          <w:kern w:val="10"/>
          <w:position w:val="6"/>
          <w:sz w:val="24"/>
          <w:szCs w:val="24"/>
          <w:lang w:val="en-US" w:eastAsia="zh-CN"/>
        </w:rPr>
        <w:t>⑦开机作用40min，对空气中大肠杆菌气溶胶的平均杀灭率为99.99%；</w:t>
      </w:r>
    </w:p>
    <w:p w14:paraId="33E7C771">
      <w:pPr>
        <w:keepNext w:val="0"/>
        <w:keepLines w:val="0"/>
        <w:pageBreakBefore w:val="0"/>
        <w:widowControl/>
        <w:numPr>
          <w:ilvl w:val="0"/>
          <w:numId w:val="0"/>
        </w:numPr>
        <w:kinsoku/>
        <w:wordWrap/>
        <w:overflowPunct/>
        <w:topLinePunct w:val="0"/>
        <w:autoSpaceDE/>
        <w:autoSpaceDN/>
        <w:bidi w:val="0"/>
        <w:adjustRightInd/>
        <w:snapToGrid/>
        <w:spacing w:line="440" w:lineRule="exact"/>
        <w:ind w:left="0" w:leftChars="0" w:right="0" w:rightChars="0" w:firstLine="0" w:firstLineChars="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eastAsia="zh-CN"/>
        </w:rPr>
        <w:t>▲</w:t>
      </w:r>
      <w:r>
        <w:rPr>
          <w:rFonts w:hint="eastAsia" w:ascii="宋体" w:hAnsi="宋体" w:eastAsia="宋体" w:cs="宋体"/>
          <w:kern w:val="2"/>
          <w:sz w:val="24"/>
          <w:szCs w:val="24"/>
          <w:lang w:val="en-US" w:eastAsia="zh-CN" w:bidi="ar-SA"/>
        </w:rPr>
        <w:t>15、</w:t>
      </w:r>
      <w:r>
        <w:rPr>
          <w:rFonts w:hint="eastAsia" w:ascii="宋体" w:hAnsi="宋体" w:eastAsia="宋体" w:cs="宋体"/>
          <w:sz w:val="24"/>
          <w:szCs w:val="24"/>
          <w:lang w:val="en-US" w:eastAsia="zh-CN"/>
        </w:rPr>
        <w:t>等离子体发生器寿命时间：40000h</w:t>
      </w:r>
      <w:r>
        <w:rPr>
          <w:rFonts w:hint="eastAsia" w:ascii="宋体" w:hAnsi="宋体" w:eastAsia="宋体" w:cs="宋体"/>
          <w:b/>
          <w:bCs/>
          <w:sz w:val="24"/>
          <w:szCs w:val="24"/>
          <w:vertAlign w:val="baseline"/>
          <w:lang w:val="en-US" w:eastAsia="zh-CN"/>
        </w:rPr>
        <w:t>（提供测试报告）</w:t>
      </w:r>
      <w:r>
        <w:rPr>
          <w:rFonts w:hint="eastAsia" w:ascii="宋体" w:hAnsi="宋体" w:eastAsia="宋体" w:cs="宋体"/>
          <w:sz w:val="24"/>
          <w:szCs w:val="24"/>
          <w:lang w:val="en-US" w:eastAsia="zh-CN"/>
        </w:rPr>
        <w:t>。</w:t>
      </w:r>
    </w:p>
    <w:p w14:paraId="514B066A">
      <w:pPr>
        <w:rPr>
          <w:rFonts w:hint="eastAsia" w:ascii="宋体" w:hAnsi="宋体" w:cs="宋体"/>
          <w:color w:val="auto"/>
          <w:sz w:val="48"/>
          <w:szCs w:val="48"/>
          <w:lang w:eastAsia="zh-CN"/>
        </w:rPr>
      </w:pPr>
    </w:p>
    <w:p w14:paraId="0FCACAF8">
      <w:pPr>
        <w:rPr>
          <w:rFonts w:hint="eastAsia" w:ascii="宋体" w:hAnsi="宋体" w:cs="宋体"/>
          <w:color w:val="auto"/>
          <w:sz w:val="48"/>
          <w:szCs w:val="48"/>
          <w:lang w:eastAsia="zh-CN"/>
        </w:rPr>
      </w:pPr>
      <w:r>
        <w:rPr>
          <w:rFonts w:hint="eastAsia" w:ascii="宋体" w:hAnsi="宋体" w:cs="宋体"/>
          <w:color w:val="auto"/>
          <w:sz w:val="48"/>
          <w:szCs w:val="48"/>
          <w:lang w:eastAsia="zh-CN"/>
        </w:rPr>
        <w:br w:type="page"/>
      </w:r>
    </w:p>
    <w:p w14:paraId="20962CD8">
      <w:pPr>
        <w:pStyle w:val="2"/>
        <w:widowControl/>
        <w:spacing w:line="240" w:lineRule="auto"/>
        <w:ind w:right="-4"/>
        <w:jc w:val="center"/>
        <w:rPr>
          <w:rFonts w:hint="eastAsia" w:ascii="宋体" w:hAnsi="宋体" w:cs="宋体"/>
          <w:color w:val="auto"/>
          <w:sz w:val="48"/>
          <w:szCs w:val="48"/>
          <w:lang w:eastAsia="zh-CN"/>
        </w:rPr>
      </w:pPr>
      <w:r>
        <w:rPr>
          <w:rFonts w:hint="eastAsia" w:ascii="宋体" w:hAnsi="宋体" w:cs="宋体"/>
          <w:color w:val="auto"/>
          <w:sz w:val="48"/>
          <w:szCs w:val="48"/>
          <w:lang w:eastAsia="zh-CN"/>
        </w:rPr>
        <w:t xml:space="preserve">第四章   </w:t>
      </w:r>
      <w:bookmarkEnd w:id="90"/>
      <w:bookmarkEnd w:id="91"/>
      <w:bookmarkStart w:id="92" w:name="_Toc414112650"/>
      <w:bookmarkStart w:id="93" w:name="_Toc445450459"/>
      <w:bookmarkStart w:id="94" w:name="_Toc144974566"/>
      <w:bookmarkStart w:id="95" w:name="_Toc414277162"/>
      <w:bookmarkStart w:id="96" w:name="_Toc152045599"/>
      <w:bookmarkStart w:id="97" w:name="_Toc415575789"/>
      <w:bookmarkStart w:id="98" w:name="_Toc152042376"/>
      <w:r>
        <w:rPr>
          <w:rFonts w:hint="eastAsia" w:ascii="宋体" w:hAnsi="宋体" w:cs="宋体"/>
          <w:color w:val="auto"/>
          <w:sz w:val="48"/>
          <w:szCs w:val="48"/>
          <w:lang w:eastAsia="zh-CN"/>
        </w:rPr>
        <w:t>磋商办法</w:t>
      </w:r>
    </w:p>
    <w:bookmarkEnd w:id="92"/>
    <w:bookmarkEnd w:id="93"/>
    <w:bookmarkEnd w:id="94"/>
    <w:bookmarkEnd w:id="95"/>
    <w:bookmarkEnd w:id="96"/>
    <w:bookmarkEnd w:id="97"/>
    <w:bookmarkEnd w:id="98"/>
    <w:tbl>
      <w:tblPr>
        <w:tblStyle w:val="27"/>
        <w:tblpPr w:leftFromText="180" w:rightFromText="180" w:vertAnchor="text" w:horzAnchor="page" w:tblpX="1270" w:tblpY="313"/>
        <w:tblOverlap w:val="never"/>
        <w:tblW w:w="9540" w:type="dxa"/>
        <w:tblInd w:w="0" w:type="dxa"/>
        <w:tblLayout w:type="fixed"/>
        <w:tblCellMar>
          <w:top w:w="0" w:type="dxa"/>
          <w:left w:w="108" w:type="dxa"/>
          <w:bottom w:w="0" w:type="dxa"/>
          <w:right w:w="108" w:type="dxa"/>
        </w:tblCellMar>
      </w:tblPr>
      <w:tblGrid>
        <w:gridCol w:w="534"/>
        <w:gridCol w:w="1460"/>
        <w:gridCol w:w="2611"/>
        <w:gridCol w:w="4935"/>
      </w:tblGrid>
      <w:tr w14:paraId="3B491AD8">
        <w:tblPrEx>
          <w:tblCellMar>
            <w:top w:w="0" w:type="dxa"/>
            <w:left w:w="108" w:type="dxa"/>
            <w:bottom w:w="0" w:type="dxa"/>
            <w:right w:w="108" w:type="dxa"/>
          </w:tblCellMar>
        </w:tblPrEx>
        <w:trPr>
          <w:trHeight w:val="680" w:hRule="atLeast"/>
        </w:trPr>
        <w:tc>
          <w:tcPr>
            <w:tcW w:w="1994" w:type="dxa"/>
            <w:gridSpan w:val="2"/>
            <w:tcBorders>
              <w:top w:val="single" w:color="auto" w:sz="4" w:space="0"/>
              <w:left w:val="single" w:color="auto" w:sz="4" w:space="0"/>
              <w:bottom w:val="single" w:color="auto" w:sz="4" w:space="0"/>
              <w:right w:val="single" w:color="000000" w:sz="2" w:space="0"/>
            </w:tcBorders>
            <w:shd w:val="clear" w:color="auto" w:fill="FFFFFF"/>
            <w:vAlign w:val="center"/>
          </w:tcPr>
          <w:p w14:paraId="3E023558">
            <w:pPr>
              <w:autoSpaceDE w:val="0"/>
              <w:autoSpaceDN w:val="0"/>
              <w:adjustRightInd w:val="0"/>
              <w:jc w:val="center"/>
              <w:rPr>
                <w:rFonts w:ascii="宋体" w:hAnsi="宋体" w:cs="宋体"/>
                <w:color w:val="auto"/>
                <w:szCs w:val="21"/>
                <w:lang w:val="zh-CN"/>
              </w:rPr>
            </w:pPr>
            <w:bookmarkStart w:id="99" w:name="_Toc11184"/>
            <w:bookmarkStart w:id="100" w:name="_Toc457735651"/>
            <w:bookmarkStart w:id="101" w:name="_Toc8657"/>
            <w:bookmarkStart w:id="102" w:name="_Toc30355"/>
            <w:bookmarkStart w:id="103" w:name="_Toc17430"/>
            <w:bookmarkStart w:id="104" w:name="_Toc32043"/>
            <w:bookmarkStart w:id="105" w:name="_Toc9707"/>
            <w:bookmarkStart w:id="106" w:name="_Toc457761147"/>
            <w:bookmarkStart w:id="107" w:name="_Toc20718"/>
            <w:bookmarkStart w:id="108" w:name="_Toc31547"/>
            <w:bookmarkStart w:id="109" w:name="_Toc16748"/>
            <w:bookmarkStart w:id="110" w:name="_Toc5008"/>
            <w:bookmarkStart w:id="111" w:name="_Toc152045601"/>
            <w:bookmarkStart w:id="112" w:name="_Toc152042378"/>
            <w:bookmarkStart w:id="113" w:name="_Toc415575791"/>
            <w:bookmarkStart w:id="114" w:name="_Toc414277164"/>
            <w:bookmarkStart w:id="115" w:name="_Toc144974568"/>
            <w:bookmarkStart w:id="116" w:name="_Toc414112652"/>
            <w:bookmarkStart w:id="117" w:name="_Toc445450461"/>
            <w:r>
              <w:rPr>
                <w:rFonts w:hint="eastAsia" w:ascii="宋体" w:hAnsi="宋体" w:cs="宋体"/>
                <w:b/>
                <w:color w:val="auto"/>
                <w:szCs w:val="21"/>
                <w:lang w:val="zh-CN"/>
              </w:rPr>
              <w:t>条款号</w:t>
            </w:r>
          </w:p>
        </w:tc>
        <w:tc>
          <w:tcPr>
            <w:tcW w:w="2611" w:type="dxa"/>
            <w:tcBorders>
              <w:top w:val="single" w:color="auto" w:sz="4" w:space="0"/>
              <w:left w:val="single" w:color="000000" w:sz="2" w:space="0"/>
              <w:bottom w:val="single" w:color="000000" w:sz="2" w:space="0"/>
              <w:right w:val="single" w:color="000000" w:sz="2" w:space="0"/>
            </w:tcBorders>
            <w:shd w:val="clear" w:color="auto" w:fill="FFFFFF"/>
            <w:vAlign w:val="center"/>
          </w:tcPr>
          <w:p w14:paraId="3BAFCFD3">
            <w:pPr>
              <w:autoSpaceDE w:val="0"/>
              <w:autoSpaceDN w:val="0"/>
              <w:adjustRightInd w:val="0"/>
              <w:jc w:val="center"/>
              <w:rPr>
                <w:rFonts w:ascii="宋体" w:hAnsi="宋体" w:cs="宋体"/>
                <w:color w:val="auto"/>
                <w:szCs w:val="21"/>
                <w:lang w:val="zh-CN"/>
              </w:rPr>
            </w:pPr>
            <w:r>
              <w:rPr>
                <w:rFonts w:hint="eastAsia" w:ascii="宋体" w:hAnsi="宋体" w:cs="宋体"/>
                <w:b/>
                <w:color w:val="auto"/>
                <w:szCs w:val="21"/>
                <w:lang w:val="zh-CN"/>
              </w:rPr>
              <w:t>评审因素</w:t>
            </w:r>
          </w:p>
        </w:tc>
        <w:tc>
          <w:tcPr>
            <w:tcW w:w="4935" w:type="dxa"/>
            <w:tcBorders>
              <w:top w:val="single" w:color="auto" w:sz="4" w:space="0"/>
              <w:left w:val="single" w:color="000000" w:sz="2" w:space="0"/>
              <w:bottom w:val="single" w:color="000000" w:sz="2" w:space="0"/>
              <w:right w:val="single" w:color="auto" w:sz="4" w:space="0"/>
            </w:tcBorders>
            <w:shd w:val="clear" w:color="auto" w:fill="FFFFFF"/>
            <w:vAlign w:val="center"/>
          </w:tcPr>
          <w:p w14:paraId="13472842">
            <w:pPr>
              <w:autoSpaceDE w:val="0"/>
              <w:autoSpaceDN w:val="0"/>
              <w:adjustRightInd w:val="0"/>
              <w:jc w:val="center"/>
              <w:rPr>
                <w:rFonts w:ascii="宋体" w:hAnsi="宋体" w:cs="宋体"/>
                <w:color w:val="auto"/>
                <w:szCs w:val="21"/>
                <w:lang w:val="zh-CN"/>
              </w:rPr>
            </w:pPr>
            <w:r>
              <w:rPr>
                <w:rFonts w:hint="eastAsia" w:ascii="宋体" w:hAnsi="宋体" w:cs="宋体"/>
                <w:b/>
                <w:color w:val="auto"/>
                <w:szCs w:val="21"/>
                <w:lang w:val="zh-CN"/>
              </w:rPr>
              <w:t>评审标准</w:t>
            </w:r>
          </w:p>
        </w:tc>
      </w:tr>
      <w:tr w14:paraId="4D72D2AC">
        <w:tblPrEx>
          <w:tblCellMar>
            <w:top w:w="0" w:type="dxa"/>
            <w:left w:w="108" w:type="dxa"/>
            <w:bottom w:w="0" w:type="dxa"/>
            <w:right w:w="108" w:type="dxa"/>
          </w:tblCellMar>
        </w:tblPrEx>
        <w:trPr>
          <w:trHeight w:val="680" w:hRule="atLeast"/>
        </w:trPr>
        <w:tc>
          <w:tcPr>
            <w:tcW w:w="534" w:type="dxa"/>
            <w:vMerge w:val="restart"/>
            <w:tcBorders>
              <w:top w:val="single" w:color="auto" w:sz="4" w:space="0"/>
              <w:left w:val="single" w:color="auto" w:sz="4" w:space="0"/>
              <w:right w:val="single" w:color="auto" w:sz="4" w:space="0"/>
            </w:tcBorders>
            <w:shd w:val="clear" w:color="auto" w:fill="FFFFFF"/>
            <w:vAlign w:val="center"/>
          </w:tcPr>
          <w:p w14:paraId="04BE1EF7">
            <w:pPr>
              <w:autoSpaceDE w:val="0"/>
              <w:autoSpaceDN w:val="0"/>
              <w:adjustRightInd w:val="0"/>
              <w:jc w:val="center"/>
              <w:rPr>
                <w:rFonts w:ascii="宋体" w:hAnsi="宋体" w:cs="宋体"/>
                <w:color w:val="auto"/>
                <w:szCs w:val="21"/>
                <w:lang w:val="zh-CN"/>
              </w:rPr>
            </w:pPr>
            <w:r>
              <w:rPr>
                <w:rFonts w:hint="eastAsia" w:ascii="宋体" w:hAnsi="宋体" w:cs="宋体"/>
                <w:b/>
                <w:bCs/>
                <w:color w:val="auto"/>
                <w:szCs w:val="21"/>
              </w:rPr>
              <w:t>2.1</w:t>
            </w:r>
            <w:r>
              <w:rPr>
                <w:rFonts w:hint="eastAsia" w:ascii="宋体" w:hAnsi="宋体" w:cs="宋体"/>
                <w:b/>
                <w:bCs/>
                <w:color w:val="auto"/>
                <w:szCs w:val="21"/>
                <w:lang w:val="zh-CN"/>
              </w:rPr>
              <w:t>初步评审</w:t>
            </w:r>
          </w:p>
        </w:tc>
        <w:tc>
          <w:tcPr>
            <w:tcW w:w="1460" w:type="dxa"/>
            <w:vMerge w:val="restart"/>
            <w:tcBorders>
              <w:top w:val="single" w:color="auto" w:sz="4" w:space="0"/>
              <w:left w:val="single" w:color="auto" w:sz="4" w:space="0"/>
              <w:right w:val="single" w:color="auto" w:sz="4" w:space="0"/>
            </w:tcBorders>
            <w:shd w:val="clear" w:color="auto" w:fill="FFFFFF"/>
            <w:vAlign w:val="center"/>
          </w:tcPr>
          <w:p w14:paraId="78953F8F">
            <w:pPr>
              <w:autoSpaceDE w:val="0"/>
              <w:autoSpaceDN w:val="0"/>
              <w:adjustRightInd w:val="0"/>
              <w:jc w:val="center"/>
              <w:rPr>
                <w:rFonts w:ascii="宋体" w:hAnsi="宋体" w:cs="宋体"/>
                <w:color w:val="auto"/>
                <w:szCs w:val="21"/>
                <w:lang w:val="zh-CN"/>
              </w:rPr>
            </w:pPr>
            <w:r>
              <w:rPr>
                <w:rFonts w:hint="eastAsia" w:ascii="宋体" w:hAnsi="宋体" w:cs="宋体"/>
                <w:color w:val="auto"/>
                <w:szCs w:val="21"/>
                <w:lang w:val="zh-CN"/>
              </w:rPr>
              <w:t>2.1.1</w:t>
            </w:r>
          </w:p>
          <w:p w14:paraId="64DD78D0">
            <w:pPr>
              <w:autoSpaceDE w:val="0"/>
              <w:autoSpaceDN w:val="0"/>
              <w:adjustRightInd w:val="0"/>
              <w:jc w:val="center"/>
              <w:rPr>
                <w:rFonts w:ascii="宋体" w:hAnsi="宋体" w:cs="宋体"/>
                <w:color w:val="auto"/>
                <w:szCs w:val="21"/>
                <w:lang w:val="zh-CN"/>
              </w:rPr>
            </w:pPr>
            <w:r>
              <w:rPr>
                <w:rFonts w:hint="eastAsia" w:ascii="宋体" w:hAnsi="宋体" w:cs="宋体"/>
                <w:color w:val="auto"/>
                <w:szCs w:val="21"/>
                <w:lang w:val="en-US" w:eastAsia="zh-CN"/>
              </w:rPr>
              <w:t>资格</w:t>
            </w:r>
            <w:r>
              <w:rPr>
                <w:rFonts w:hint="eastAsia" w:ascii="宋体" w:hAnsi="宋体" w:cs="宋体"/>
                <w:color w:val="auto"/>
                <w:szCs w:val="21"/>
                <w:lang w:val="zh-CN"/>
              </w:rPr>
              <w:t>评审标准</w:t>
            </w:r>
          </w:p>
        </w:tc>
        <w:tc>
          <w:tcPr>
            <w:tcW w:w="2611" w:type="dxa"/>
            <w:tcBorders>
              <w:top w:val="single" w:color="000000" w:sz="2" w:space="0"/>
              <w:left w:val="single" w:color="auto" w:sz="4" w:space="0"/>
              <w:bottom w:val="single" w:color="000000" w:sz="2" w:space="0"/>
              <w:right w:val="single" w:color="000000" w:sz="2" w:space="0"/>
            </w:tcBorders>
            <w:shd w:val="clear" w:color="auto" w:fill="FFFFFF"/>
            <w:vAlign w:val="center"/>
          </w:tcPr>
          <w:p w14:paraId="4B0A8590">
            <w:pPr>
              <w:spacing w:line="360" w:lineRule="exact"/>
              <w:ind w:left="107" w:leftChars="0" w:hanging="107" w:hangingChars="51"/>
              <w:jc w:val="center"/>
              <w:rPr>
                <w:rFonts w:ascii="宋体" w:hAnsi="宋体" w:cs="宋体"/>
                <w:color w:val="auto"/>
                <w:szCs w:val="21"/>
                <w:lang w:val="zh-CN"/>
              </w:rPr>
            </w:pPr>
            <w:r>
              <w:rPr>
                <w:rFonts w:hint="eastAsia" w:ascii="宋体" w:hAnsi="宋体"/>
                <w:color w:val="auto"/>
                <w:szCs w:val="21"/>
                <w:shd w:val="clear" w:color="auto" w:fill="auto"/>
              </w:rPr>
              <w:t>营业执照</w:t>
            </w:r>
          </w:p>
        </w:tc>
        <w:tc>
          <w:tcPr>
            <w:tcW w:w="4935" w:type="dxa"/>
            <w:tcBorders>
              <w:top w:val="single" w:color="000000" w:sz="2" w:space="0"/>
              <w:left w:val="single" w:color="000000" w:sz="2" w:space="0"/>
              <w:bottom w:val="single" w:color="000000" w:sz="2" w:space="0"/>
              <w:right w:val="single" w:color="auto" w:sz="4" w:space="0"/>
            </w:tcBorders>
            <w:shd w:val="clear" w:color="auto" w:fill="FFFFFF"/>
            <w:vAlign w:val="center"/>
          </w:tcPr>
          <w:p w14:paraId="7CEB704A">
            <w:pPr>
              <w:shd w:val="clear" w:color="auto" w:fill="FFFFFF"/>
              <w:spacing w:line="360" w:lineRule="auto"/>
              <w:rPr>
                <w:rFonts w:ascii="宋体" w:hAnsi="宋体" w:cs="宋体"/>
                <w:color w:val="auto"/>
                <w:szCs w:val="21"/>
                <w:lang w:val="zh-CN"/>
              </w:rPr>
            </w:pPr>
            <w:r>
              <w:rPr>
                <w:rFonts w:hint="eastAsia" w:ascii="Times New Roman" w:hAnsi="Times New Roman" w:eastAsia="宋体" w:cs="Times New Roman"/>
                <w:color w:val="auto"/>
                <w:shd w:val="clear" w:color="auto" w:fill="auto"/>
              </w:rPr>
              <w:t>提供有效的营业执照</w:t>
            </w:r>
          </w:p>
        </w:tc>
      </w:tr>
      <w:tr w14:paraId="7CCF59C8">
        <w:tblPrEx>
          <w:tblCellMar>
            <w:top w:w="0" w:type="dxa"/>
            <w:left w:w="108" w:type="dxa"/>
            <w:bottom w:w="0" w:type="dxa"/>
            <w:right w:w="108" w:type="dxa"/>
          </w:tblCellMar>
        </w:tblPrEx>
        <w:trPr>
          <w:trHeight w:val="680" w:hRule="atLeast"/>
        </w:trPr>
        <w:tc>
          <w:tcPr>
            <w:tcW w:w="534" w:type="dxa"/>
            <w:vMerge w:val="continue"/>
            <w:tcBorders>
              <w:left w:val="single" w:color="auto" w:sz="4" w:space="0"/>
              <w:right w:val="single" w:color="auto" w:sz="4" w:space="0"/>
            </w:tcBorders>
            <w:shd w:val="clear" w:color="auto" w:fill="FFFFFF"/>
            <w:vAlign w:val="center"/>
          </w:tcPr>
          <w:p w14:paraId="50C0D32F">
            <w:pPr>
              <w:autoSpaceDE w:val="0"/>
              <w:autoSpaceDN w:val="0"/>
              <w:adjustRightInd w:val="0"/>
              <w:jc w:val="left"/>
              <w:rPr>
                <w:rFonts w:ascii="宋体" w:hAnsi="宋体" w:cs="宋体"/>
                <w:color w:val="auto"/>
                <w:szCs w:val="21"/>
                <w:lang w:val="zh-CN"/>
              </w:rPr>
            </w:pPr>
          </w:p>
        </w:tc>
        <w:tc>
          <w:tcPr>
            <w:tcW w:w="1460" w:type="dxa"/>
            <w:vMerge w:val="continue"/>
            <w:tcBorders>
              <w:left w:val="single" w:color="auto" w:sz="4" w:space="0"/>
              <w:bottom w:val="single" w:color="000000" w:sz="2" w:space="0"/>
              <w:right w:val="single" w:color="auto" w:sz="4" w:space="0"/>
            </w:tcBorders>
            <w:shd w:val="clear" w:color="auto" w:fill="FFFFFF"/>
            <w:vAlign w:val="center"/>
          </w:tcPr>
          <w:p w14:paraId="26C9DA42">
            <w:pPr>
              <w:rPr>
                <w:rFonts w:ascii="宋体" w:hAnsi="宋体" w:cs="宋体"/>
                <w:color w:val="auto"/>
                <w:szCs w:val="21"/>
              </w:rPr>
            </w:pPr>
          </w:p>
        </w:tc>
        <w:tc>
          <w:tcPr>
            <w:tcW w:w="2611" w:type="dxa"/>
            <w:tcBorders>
              <w:top w:val="single" w:color="000000" w:sz="2" w:space="0"/>
              <w:left w:val="single" w:color="auto" w:sz="4" w:space="0"/>
              <w:bottom w:val="single" w:color="000000" w:sz="2" w:space="0"/>
              <w:right w:val="single" w:color="000000" w:sz="2" w:space="0"/>
            </w:tcBorders>
            <w:shd w:val="clear" w:color="auto" w:fill="FFFFFF"/>
            <w:vAlign w:val="center"/>
          </w:tcPr>
          <w:p w14:paraId="280C106E">
            <w:pPr>
              <w:spacing w:line="420" w:lineRule="exact"/>
              <w:ind w:left="0" w:leftChars="-51" w:hanging="107" w:hangingChars="51"/>
              <w:jc w:val="center"/>
              <w:rPr>
                <w:rFonts w:ascii="宋体" w:hAnsi="宋体" w:cs="宋体"/>
                <w:color w:val="auto"/>
                <w:szCs w:val="21"/>
                <w:lang w:val="zh-CN"/>
              </w:rPr>
            </w:pPr>
            <w:r>
              <w:rPr>
                <w:rFonts w:hint="eastAsia" w:ascii="宋体" w:hAnsi="宋体"/>
                <w:color w:val="auto"/>
                <w:kern w:val="0"/>
                <w:szCs w:val="21"/>
                <w:shd w:val="clear" w:color="auto" w:fill="auto"/>
              </w:rPr>
              <w:t>其他资料</w:t>
            </w:r>
          </w:p>
        </w:tc>
        <w:tc>
          <w:tcPr>
            <w:tcW w:w="4935" w:type="dxa"/>
            <w:tcBorders>
              <w:top w:val="single" w:color="000000" w:sz="2" w:space="0"/>
              <w:left w:val="single" w:color="000000" w:sz="2" w:space="0"/>
              <w:bottom w:val="single" w:color="000000" w:sz="2" w:space="0"/>
              <w:right w:val="single" w:color="auto" w:sz="4" w:space="0"/>
            </w:tcBorders>
            <w:shd w:val="clear" w:color="auto" w:fill="FFFFFF"/>
            <w:vAlign w:val="center"/>
          </w:tcPr>
          <w:p w14:paraId="166F92D1">
            <w:pPr>
              <w:spacing w:line="420" w:lineRule="exact"/>
              <w:rPr>
                <w:rFonts w:ascii="宋体" w:hAnsi="宋体" w:cs="宋体"/>
                <w:color w:val="auto"/>
                <w:szCs w:val="21"/>
                <w:lang w:val="zh-CN"/>
              </w:rPr>
            </w:pPr>
            <w:r>
              <w:rPr>
                <w:rFonts w:hint="eastAsia" w:ascii="宋体" w:hAnsi="宋体"/>
                <w:color w:val="auto"/>
                <w:szCs w:val="21"/>
                <w:shd w:val="clear" w:color="auto" w:fill="auto"/>
              </w:rPr>
              <w:t>符合“投标人须知</w:t>
            </w:r>
            <w:r>
              <w:rPr>
                <w:rFonts w:hint="eastAsia" w:ascii="宋体" w:hAnsi="宋体"/>
                <w:color w:val="auto"/>
                <w:szCs w:val="21"/>
                <w:shd w:val="clear" w:color="auto" w:fill="auto"/>
                <w:lang w:val="en-US" w:eastAsia="zh-CN"/>
              </w:rPr>
              <w:t>前附表</w:t>
            </w:r>
            <w:r>
              <w:rPr>
                <w:rFonts w:hint="eastAsia" w:ascii="宋体" w:hAnsi="宋体"/>
                <w:color w:val="auto"/>
                <w:szCs w:val="21"/>
                <w:shd w:val="clear" w:color="auto" w:fill="auto"/>
              </w:rPr>
              <w:t>”第1</w:t>
            </w:r>
            <w:r>
              <w:rPr>
                <w:rFonts w:hint="eastAsia" w:ascii="宋体" w:hAnsi="宋体"/>
                <w:color w:val="auto"/>
                <w:szCs w:val="21"/>
                <w:shd w:val="clear" w:color="auto" w:fill="auto"/>
                <w:lang w:val="en-US" w:eastAsia="zh-CN"/>
              </w:rPr>
              <w:t>2</w:t>
            </w:r>
            <w:r>
              <w:rPr>
                <w:rFonts w:hint="eastAsia" w:ascii="宋体" w:hAnsi="宋体"/>
                <w:color w:val="auto"/>
                <w:szCs w:val="21"/>
                <w:shd w:val="clear" w:color="auto" w:fill="auto"/>
              </w:rPr>
              <w:t>项规定的其他内容</w:t>
            </w:r>
          </w:p>
        </w:tc>
      </w:tr>
      <w:tr w14:paraId="7CE6561A">
        <w:tblPrEx>
          <w:tblCellMar>
            <w:top w:w="0" w:type="dxa"/>
            <w:left w:w="108" w:type="dxa"/>
            <w:bottom w:w="0" w:type="dxa"/>
            <w:right w:w="108" w:type="dxa"/>
          </w:tblCellMar>
        </w:tblPrEx>
        <w:trPr>
          <w:trHeight w:val="680" w:hRule="atLeast"/>
        </w:trPr>
        <w:tc>
          <w:tcPr>
            <w:tcW w:w="534" w:type="dxa"/>
            <w:vMerge w:val="continue"/>
            <w:tcBorders>
              <w:left w:val="single" w:color="auto" w:sz="4" w:space="0"/>
              <w:right w:val="single" w:color="auto" w:sz="4" w:space="0"/>
            </w:tcBorders>
            <w:shd w:val="clear" w:color="auto" w:fill="FFFFFF"/>
            <w:vAlign w:val="center"/>
          </w:tcPr>
          <w:p w14:paraId="35BDA631">
            <w:pPr>
              <w:autoSpaceDE w:val="0"/>
              <w:autoSpaceDN w:val="0"/>
              <w:adjustRightInd w:val="0"/>
              <w:jc w:val="center"/>
              <w:rPr>
                <w:rFonts w:ascii="宋体" w:hAnsi="宋体" w:cs="宋体"/>
                <w:color w:val="auto"/>
                <w:szCs w:val="21"/>
                <w:lang w:val="zh-CN"/>
              </w:rPr>
            </w:pPr>
          </w:p>
        </w:tc>
        <w:tc>
          <w:tcPr>
            <w:tcW w:w="1460" w:type="dxa"/>
            <w:vMerge w:val="restart"/>
            <w:tcBorders>
              <w:top w:val="single" w:color="000000" w:sz="2" w:space="0"/>
              <w:left w:val="single" w:color="auto" w:sz="4" w:space="0"/>
              <w:right w:val="single" w:color="auto" w:sz="4" w:space="0"/>
            </w:tcBorders>
            <w:shd w:val="clear" w:color="auto" w:fill="FFFFFF"/>
            <w:vAlign w:val="center"/>
          </w:tcPr>
          <w:p w14:paraId="51EA4D94">
            <w:pPr>
              <w:autoSpaceDE w:val="0"/>
              <w:autoSpaceDN w:val="0"/>
              <w:adjustRightInd w:val="0"/>
              <w:jc w:val="center"/>
              <w:rPr>
                <w:rFonts w:ascii="宋体" w:hAnsi="宋体" w:cs="宋体"/>
                <w:color w:val="auto"/>
                <w:szCs w:val="21"/>
                <w:lang w:val="zh-CN"/>
              </w:rPr>
            </w:pPr>
            <w:r>
              <w:rPr>
                <w:rFonts w:hint="eastAsia" w:ascii="宋体" w:hAnsi="宋体" w:cs="宋体"/>
                <w:color w:val="auto"/>
                <w:szCs w:val="21"/>
                <w:lang w:val="zh-CN"/>
              </w:rPr>
              <w:t>2.1.2</w:t>
            </w:r>
          </w:p>
          <w:p w14:paraId="0C6CE858">
            <w:pPr>
              <w:autoSpaceDE w:val="0"/>
              <w:autoSpaceDN w:val="0"/>
              <w:adjustRightInd w:val="0"/>
              <w:jc w:val="center"/>
              <w:rPr>
                <w:rFonts w:ascii="宋体" w:hAnsi="宋体" w:cs="宋体"/>
                <w:color w:val="auto"/>
                <w:szCs w:val="21"/>
                <w:lang w:val="zh-CN"/>
              </w:rPr>
            </w:pPr>
            <w:r>
              <w:rPr>
                <w:rFonts w:hint="eastAsia" w:ascii="宋体" w:hAnsi="宋体" w:cs="宋体"/>
                <w:color w:val="auto"/>
                <w:szCs w:val="21"/>
                <w:lang w:val="en-US" w:eastAsia="zh-CN"/>
              </w:rPr>
              <w:t>符合性</w:t>
            </w:r>
            <w:r>
              <w:rPr>
                <w:rFonts w:hint="eastAsia" w:ascii="宋体" w:hAnsi="宋体" w:cs="宋体"/>
                <w:color w:val="auto"/>
                <w:szCs w:val="21"/>
                <w:lang w:val="zh-CN"/>
              </w:rPr>
              <w:t>评审标准</w:t>
            </w:r>
          </w:p>
        </w:tc>
        <w:tc>
          <w:tcPr>
            <w:tcW w:w="2611" w:type="dxa"/>
            <w:tcBorders>
              <w:top w:val="single" w:color="000000" w:sz="2" w:space="0"/>
              <w:left w:val="single" w:color="auto" w:sz="4" w:space="0"/>
              <w:bottom w:val="single" w:color="000000" w:sz="2" w:space="0"/>
              <w:right w:val="single" w:color="000000" w:sz="2" w:space="0"/>
            </w:tcBorders>
            <w:shd w:val="clear" w:color="auto" w:fill="FFFFFF"/>
            <w:vAlign w:val="center"/>
          </w:tcPr>
          <w:p w14:paraId="1B155486">
            <w:pPr>
              <w:spacing w:line="360" w:lineRule="exact"/>
              <w:ind w:left="107" w:leftChars="0" w:hanging="107" w:hangingChars="51"/>
              <w:jc w:val="center"/>
              <w:rPr>
                <w:rFonts w:ascii="宋体" w:hAnsi="宋体" w:cs="宋体"/>
                <w:color w:val="auto"/>
                <w:szCs w:val="21"/>
                <w:lang w:val="zh-CN"/>
              </w:rPr>
            </w:pPr>
            <w:r>
              <w:rPr>
                <w:rFonts w:hint="eastAsia" w:ascii="宋体" w:hAnsi="宋体"/>
                <w:color w:val="auto"/>
                <w:szCs w:val="21"/>
                <w:shd w:val="clear" w:color="auto" w:fill="auto"/>
              </w:rPr>
              <w:t>投标人名称</w:t>
            </w:r>
          </w:p>
        </w:tc>
        <w:tc>
          <w:tcPr>
            <w:tcW w:w="4935" w:type="dxa"/>
            <w:tcBorders>
              <w:top w:val="single" w:color="000000" w:sz="2" w:space="0"/>
              <w:left w:val="single" w:color="000000" w:sz="2" w:space="0"/>
              <w:bottom w:val="single" w:color="000000" w:sz="2" w:space="0"/>
              <w:right w:val="single" w:color="auto" w:sz="4" w:space="0"/>
            </w:tcBorders>
            <w:shd w:val="clear" w:color="auto" w:fill="FFFFFF"/>
            <w:vAlign w:val="center"/>
          </w:tcPr>
          <w:p w14:paraId="51DBA2C6">
            <w:pPr>
              <w:spacing w:line="360" w:lineRule="exact"/>
              <w:rPr>
                <w:rFonts w:ascii="宋体" w:hAnsi="宋体" w:cs="宋体"/>
                <w:color w:val="auto"/>
                <w:szCs w:val="21"/>
                <w:lang w:val="zh-CN"/>
              </w:rPr>
            </w:pPr>
            <w:r>
              <w:rPr>
                <w:rFonts w:hint="eastAsia" w:ascii="宋体" w:hAnsi="宋体"/>
                <w:color w:val="auto"/>
                <w:szCs w:val="21"/>
                <w:shd w:val="clear" w:color="auto" w:fill="auto"/>
              </w:rPr>
              <w:t>与营业执照一致</w:t>
            </w:r>
          </w:p>
        </w:tc>
      </w:tr>
      <w:tr w14:paraId="6292F89C">
        <w:tblPrEx>
          <w:tblCellMar>
            <w:top w:w="0" w:type="dxa"/>
            <w:left w:w="108" w:type="dxa"/>
            <w:bottom w:w="0" w:type="dxa"/>
            <w:right w:w="108" w:type="dxa"/>
          </w:tblCellMar>
        </w:tblPrEx>
        <w:trPr>
          <w:trHeight w:val="680" w:hRule="atLeast"/>
        </w:trPr>
        <w:tc>
          <w:tcPr>
            <w:tcW w:w="534" w:type="dxa"/>
            <w:vMerge w:val="continue"/>
            <w:tcBorders>
              <w:left w:val="single" w:color="auto" w:sz="4" w:space="0"/>
              <w:right w:val="single" w:color="auto" w:sz="4" w:space="0"/>
            </w:tcBorders>
            <w:shd w:val="clear" w:color="auto" w:fill="FFFFFF"/>
            <w:vAlign w:val="center"/>
          </w:tcPr>
          <w:p w14:paraId="7A8F06CC">
            <w:pPr>
              <w:autoSpaceDE w:val="0"/>
              <w:autoSpaceDN w:val="0"/>
              <w:adjustRightInd w:val="0"/>
              <w:jc w:val="left"/>
              <w:rPr>
                <w:rFonts w:ascii="宋体" w:hAnsi="宋体" w:cs="宋体"/>
                <w:color w:val="auto"/>
                <w:szCs w:val="21"/>
              </w:rPr>
            </w:pPr>
          </w:p>
        </w:tc>
        <w:tc>
          <w:tcPr>
            <w:tcW w:w="1460" w:type="dxa"/>
            <w:vMerge w:val="continue"/>
            <w:tcBorders>
              <w:left w:val="single" w:color="auto" w:sz="4" w:space="0"/>
              <w:right w:val="single" w:color="auto" w:sz="4" w:space="0"/>
            </w:tcBorders>
            <w:shd w:val="clear" w:color="auto" w:fill="FFFFFF"/>
            <w:vAlign w:val="center"/>
          </w:tcPr>
          <w:p w14:paraId="0065AC5B">
            <w:pPr>
              <w:rPr>
                <w:rFonts w:ascii="宋体" w:hAnsi="宋体" w:cs="宋体"/>
                <w:color w:val="auto"/>
                <w:szCs w:val="21"/>
              </w:rPr>
            </w:pPr>
          </w:p>
        </w:tc>
        <w:tc>
          <w:tcPr>
            <w:tcW w:w="2611" w:type="dxa"/>
            <w:tcBorders>
              <w:top w:val="single" w:color="000000" w:sz="2" w:space="0"/>
              <w:left w:val="single" w:color="auto" w:sz="4" w:space="0"/>
              <w:bottom w:val="single" w:color="000000" w:sz="2" w:space="0"/>
              <w:right w:val="single" w:color="000000" w:sz="2" w:space="0"/>
            </w:tcBorders>
            <w:shd w:val="clear" w:color="auto" w:fill="FFFFFF"/>
            <w:vAlign w:val="center"/>
          </w:tcPr>
          <w:p w14:paraId="098881FD">
            <w:pPr>
              <w:spacing w:line="360" w:lineRule="exact"/>
              <w:ind w:left="107" w:leftChars="0" w:hanging="107" w:hangingChars="51"/>
              <w:jc w:val="center"/>
              <w:rPr>
                <w:rFonts w:ascii="宋体" w:hAnsi="宋体" w:cs="宋体"/>
                <w:color w:val="auto"/>
                <w:szCs w:val="21"/>
                <w:lang w:val="zh-CN"/>
              </w:rPr>
            </w:pPr>
            <w:r>
              <w:rPr>
                <w:rFonts w:hint="eastAsia" w:ascii="宋体" w:hAnsi="宋体"/>
                <w:color w:val="auto"/>
                <w:szCs w:val="21"/>
                <w:shd w:val="clear" w:color="auto" w:fill="auto"/>
              </w:rPr>
              <w:t>投标函签字盖章</w:t>
            </w:r>
          </w:p>
        </w:tc>
        <w:tc>
          <w:tcPr>
            <w:tcW w:w="4935" w:type="dxa"/>
            <w:tcBorders>
              <w:top w:val="single" w:color="000000" w:sz="2" w:space="0"/>
              <w:left w:val="single" w:color="000000" w:sz="2" w:space="0"/>
              <w:bottom w:val="single" w:color="000000" w:sz="2" w:space="0"/>
              <w:right w:val="single" w:color="auto" w:sz="4" w:space="0"/>
            </w:tcBorders>
            <w:shd w:val="clear" w:color="auto" w:fill="FFFFFF"/>
            <w:vAlign w:val="center"/>
          </w:tcPr>
          <w:p w14:paraId="174AB8A7">
            <w:pPr>
              <w:spacing w:line="360" w:lineRule="exact"/>
              <w:jc w:val="left"/>
              <w:rPr>
                <w:rFonts w:ascii="宋体" w:hAnsi="宋体" w:cs="宋体"/>
                <w:color w:val="auto"/>
                <w:szCs w:val="21"/>
                <w:lang w:val="zh-CN"/>
              </w:rPr>
            </w:pPr>
            <w:r>
              <w:rPr>
                <w:rFonts w:hint="eastAsia" w:ascii="宋体" w:hAnsi="宋体" w:cs="宋体"/>
                <w:color w:val="auto"/>
                <w:spacing w:val="1"/>
                <w:kern w:val="0"/>
                <w:szCs w:val="21"/>
                <w:shd w:val="clear" w:color="auto" w:fill="auto"/>
              </w:rPr>
              <w:t>法定代表人或其委托代理人签字并加盖单位章</w:t>
            </w:r>
          </w:p>
        </w:tc>
      </w:tr>
      <w:tr w14:paraId="65D8FF31">
        <w:tblPrEx>
          <w:tblCellMar>
            <w:top w:w="0" w:type="dxa"/>
            <w:left w:w="108" w:type="dxa"/>
            <w:bottom w:w="0" w:type="dxa"/>
            <w:right w:w="108" w:type="dxa"/>
          </w:tblCellMar>
        </w:tblPrEx>
        <w:trPr>
          <w:trHeight w:val="680" w:hRule="atLeast"/>
        </w:trPr>
        <w:tc>
          <w:tcPr>
            <w:tcW w:w="534" w:type="dxa"/>
            <w:vMerge w:val="continue"/>
            <w:tcBorders>
              <w:left w:val="single" w:color="auto" w:sz="4" w:space="0"/>
              <w:right w:val="single" w:color="auto" w:sz="4" w:space="0"/>
            </w:tcBorders>
            <w:shd w:val="clear" w:color="auto" w:fill="FFFFFF"/>
            <w:vAlign w:val="center"/>
          </w:tcPr>
          <w:p w14:paraId="615889A3">
            <w:pPr>
              <w:autoSpaceDE w:val="0"/>
              <w:autoSpaceDN w:val="0"/>
              <w:adjustRightInd w:val="0"/>
              <w:jc w:val="left"/>
              <w:rPr>
                <w:rFonts w:ascii="宋体" w:hAnsi="宋体" w:cs="宋体"/>
                <w:color w:val="auto"/>
                <w:szCs w:val="21"/>
              </w:rPr>
            </w:pPr>
          </w:p>
        </w:tc>
        <w:tc>
          <w:tcPr>
            <w:tcW w:w="1460" w:type="dxa"/>
            <w:vMerge w:val="continue"/>
            <w:tcBorders>
              <w:left w:val="single" w:color="auto" w:sz="4" w:space="0"/>
              <w:right w:val="single" w:color="auto" w:sz="4" w:space="0"/>
            </w:tcBorders>
            <w:shd w:val="clear" w:color="auto" w:fill="FFFFFF"/>
            <w:vAlign w:val="center"/>
          </w:tcPr>
          <w:p w14:paraId="08EA6101">
            <w:pPr>
              <w:rPr>
                <w:rFonts w:ascii="宋体" w:hAnsi="宋体" w:cs="宋体"/>
                <w:color w:val="auto"/>
                <w:szCs w:val="21"/>
              </w:rPr>
            </w:pPr>
          </w:p>
        </w:tc>
        <w:tc>
          <w:tcPr>
            <w:tcW w:w="2611" w:type="dxa"/>
            <w:tcBorders>
              <w:top w:val="single" w:color="000000" w:sz="2" w:space="0"/>
              <w:left w:val="single" w:color="auto" w:sz="4" w:space="0"/>
              <w:bottom w:val="single" w:color="000000" w:sz="2" w:space="0"/>
              <w:right w:val="single" w:color="000000" w:sz="2" w:space="0"/>
            </w:tcBorders>
            <w:shd w:val="clear" w:color="auto" w:fill="FFFFFF"/>
            <w:vAlign w:val="center"/>
          </w:tcPr>
          <w:p w14:paraId="3C2487D1">
            <w:pPr>
              <w:spacing w:line="360" w:lineRule="exact"/>
              <w:ind w:left="107" w:leftChars="0" w:hanging="107" w:hangingChars="51"/>
              <w:jc w:val="center"/>
              <w:rPr>
                <w:rFonts w:hint="eastAsia" w:ascii="宋体" w:hAnsi="宋体" w:eastAsia="宋体" w:cs="宋体"/>
                <w:color w:val="auto"/>
                <w:szCs w:val="21"/>
                <w:lang w:eastAsia="zh-CN"/>
              </w:rPr>
            </w:pPr>
            <w:r>
              <w:rPr>
                <w:rFonts w:hint="eastAsia" w:ascii="宋体" w:hAnsi="宋体"/>
                <w:color w:val="auto"/>
                <w:szCs w:val="21"/>
                <w:shd w:val="clear" w:color="auto" w:fill="auto"/>
                <w:lang w:eastAsia="zh-CN"/>
              </w:rPr>
              <w:t>响应文件格式</w:t>
            </w:r>
          </w:p>
        </w:tc>
        <w:tc>
          <w:tcPr>
            <w:tcW w:w="4935" w:type="dxa"/>
            <w:tcBorders>
              <w:top w:val="single" w:color="000000" w:sz="2" w:space="0"/>
              <w:left w:val="single" w:color="000000" w:sz="2" w:space="0"/>
              <w:bottom w:val="single" w:color="000000" w:sz="2" w:space="0"/>
              <w:right w:val="single" w:color="auto" w:sz="4" w:space="0"/>
            </w:tcBorders>
            <w:shd w:val="clear" w:color="auto" w:fill="FFFFFF"/>
            <w:vAlign w:val="center"/>
          </w:tcPr>
          <w:p w14:paraId="2554F01B">
            <w:pPr>
              <w:spacing w:line="360" w:lineRule="exact"/>
              <w:jc w:val="left"/>
              <w:rPr>
                <w:rFonts w:ascii="宋体" w:hAnsi="宋体" w:cs="宋体"/>
                <w:color w:val="auto"/>
                <w:szCs w:val="21"/>
              </w:rPr>
            </w:pPr>
            <w:r>
              <w:rPr>
                <w:rFonts w:hint="eastAsia" w:ascii="宋体" w:hAnsi="宋体"/>
                <w:color w:val="auto"/>
                <w:szCs w:val="21"/>
                <w:shd w:val="clear" w:color="auto" w:fill="auto"/>
              </w:rPr>
              <w:t>符合</w:t>
            </w:r>
            <w:r>
              <w:rPr>
                <w:rFonts w:hint="eastAsia" w:ascii="宋体" w:hAnsi="宋体"/>
                <w:color w:val="auto"/>
                <w:szCs w:val="21"/>
                <w:shd w:val="clear" w:color="auto" w:fill="auto"/>
                <w:lang w:eastAsia="zh-CN"/>
              </w:rPr>
              <w:t>本招标文件规定的“响应文件格式”</w:t>
            </w:r>
            <w:r>
              <w:rPr>
                <w:rFonts w:hint="eastAsia" w:ascii="宋体" w:hAnsi="宋体"/>
                <w:color w:val="auto"/>
                <w:szCs w:val="21"/>
                <w:shd w:val="clear" w:color="auto" w:fill="auto"/>
              </w:rPr>
              <w:t>的要求</w:t>
            </w:r>
          </w:p>
        </w:tc>
      </w:tr>
      <w:tr w14:paraId="7D6BF4B5">
        <w:tblPrEx>
          <w:tblCellMar>
            <w:top w:w="0" w:type="dxa"/>
            <w:left w:w="108" w:type="dxa"/>
            <w:bottom w:w="0" w:type="dxa"/>
            <w:right w:w="108" w:type="dxa"/>
          </w:tblCellMar>
        </w:tblPrEx>
        <w:trPr>
          <w:trHeight w:val="680" w:hRule="atLeast"/>
        </w:trPr>
        <w:tc>
          <w:tcPr>
            <w:tcW w:w="534" w:type="dxa"/>
            <w:vMerge w:val="continue"/>
            <w:tcBorders>
              <w:left w:val="single" w:color="auto" w:sz="4" w:space="0"/>
              <w:right w:val="single" w:color="auto" w:sz="4" w:space="0"/>
            </w:tcBorders>
            <w:shd w:val="clear" w:color="auto" w:fill="FFFFFF"/>
            <w:vAlign w:val="center"/>
          </w:tcPr>
          <w:p w14:paraId="1B3A2E7A">
            <w:pPr>
              <w:autoSpaceDE w:val="0"/>
              <w:autoSpaceDN w:val="0"/>
              <w:adjustRightInd w:val="0"/>
              <w:jc w:val="left"/>
              <w:rPr>
                <w:rFonts w:ascii="宋体" w:hAnsi="宋体" w:cs="宋体"/>
                <w:color w:val="auto"/>
                <w:szCs w:val="21"/>
              </w:rPr>
            </w:pPr>
          </w:p>
        </w:tc>
        <w:tc>
          <w:tcPr>
            <w:tcW w:w="1460" w:type="dxa"/>
            <w:vMerge w:val="continue"/>
            <w:tcBorders>
              <w:left w:val="single" w:color="auto" w:sz="4" w:space="0"/>
              <w:right w:val="single" w:color="auto" w:sz="4" w:space="0"/>
            </w:tcBorders>
            <w:shd w:val="clear" w:color="auto" w:fill="FFFFFF"/>
            <w:vAlign w:val="center"/>
          </w:tcPr>
          <w:p w14:paraId="5A766B56">
            <w:pPr>
              <w:rPr>
                <w:rFonts w:ascii="宋体" w:hAnsi="宋体" w:cs="宋体"/>
                <w:color w:val="auto"/>
                <w:szCs w:val="21"/>
              </w:rPr>
            </w:pPr>
          </w:p>
        </w:tc>
        <w:tc>
          <w:tcPr>
            <w:tcW w:w="2611" w:type="dxa"/>
            <w:tcBorders>
              <w:top w:val="single" w:color="000000" w:sz="2" w:space="0"/>
              <w:left w:val="single" w:color="auto" w:sz="4" w:space="0"/>
              <w:bottom w:val="single" w:color="000000" w:sz="2" w:space="0"/>
              <w:right w:val="single" w:color="000000" w:sz="2" w:space="0"/>
            </w:tcBorders>
            <w:shd w:val="clear" w:color="auto" w:fill="FFFFFF"/>
            <w:vAlign w:val="center"/>
          </w:tcPr>
          <w:p w14:paraId="3220C50B">
            <w:pPr>
              <w:spacing w:line="360" w:lineRule="exact"/>
              <w:ind w:left="107" w:leftChars="0" w:hanging="107" w:hangingChars="51"/>
              <w:jc w:val="center"/>
              <w:rPr>
                <w:rFonts w:ascii="宋体" w:hAnsi="宋体" w:cs="宋体"/>
                <w:color w:val="auto"/>
                <w:szCs w:val="21"/>
              </w:rPr>
            </w:pPr>
            <w:r>
              <w:rPr>
                <w:rFonts w:hint="eastAsia" w:ascii="宋体" w:hAnsi="宋体"/>
                <w:color w:val="auto"/>
                <w:szCs w:val="21"/>
                <w:shd w:val="clear" w:color="auto" w:fill="auto"/>
              </w:rPr>
              <w:t>报价唯一</w:t>
            </w:r>
          </w:p>
        </w:tc>
        <w:tc>
          <w:tcPr>
            <w:tcW w:w="4935" w:type="dxa"/>
            <w:tcBorders>
              <w:top w:val="single" w:color="000000" w:sz="2" w:space="0"/>
              <w:left w:val="single" w:color="000000" w:sz="2" w:space="0"/>
              <w:bottom w:val="single" w:color="000000" w:sz="2" w:space="0"/>
              <w:right w:val="single" w:color="auto" w:sz="4" w:space="0"/>
            </w:tcBorders>
            <w:shd w:val="clear" w:color="auto" w:fill="FFFFFF"/>
            <w:vAlign w:val="center"/>
          </w:tcPr>
          <w:p w14:paraId="7032BBE0">
            <w:pPr>
              <w:spacing w:line="360" w:lineRule="exact"/>
              <w:rPr>
                <w:rFonts w:ascii="宋体" w:hAnsi="宋体" w:cs="宋体"/>
                <w:color w:val="auto"/>
                <w:szCs w:val="21"/>
              </w:rPr>
            </w:pPr>
            <w:r>
              <w:rPr>
                <w:rFonts w:hint="eastAsia" w:ascii="宋体" w:hAnsi="宋体"/>
                <w:color w:val="auto"/>
                <w:szCs w:val="21"/>
                <w:shd w:val="clear" w:color="auto" w:fill="auto"/>
              </w:rPr>
              <w:t>只能有一个有效报价，且未超出该项目招标控制价</w:t>
            </w:r>
          </w:p>
        </w:tc>
      </w:tr>
      <w:tr w14:paraId="7B8B7A01">
        <w:tblPrEx>
          <w:tblCellMar>
            <w:top w:w="0" w:type="dxa"/>
            <w:left w:w="108" w:type="dxa"/>
            <w:bottom w:w="0" w:type="dxa"/>
            <w:right w:w="108" w:type="dxa"/>
          </w:tblCellMar>
        </w:tblPrEx>
        <w:trPr>
          <w:trHeight w:val="680" w:hRule="atLeast"/>
        </w:trPr>
        <w:tc>
          <w:tcPr>
            <w:tcW w:w="534" w:type="dxa"/>
            <w:vMerge w:val="continue"/>
            <w:tcBorders>
              <w:left w:val="single" w:color="auto" w:sz="4" w:space="0"/>
              <w:right w:val="single" w:color="auto" w:sz="4" w:space="0"/>
            </w:tcBorders>
            <w:shd w:val="clear" w:color="auto" w:fill="FFFFFF"/>
            <w:vAlign w:val="center"/>
          </w:tcPr>
          <w:p w14:paraId="400DCE24">
            <w:pPr>
              <w:autoSpaceDE w:val="0"/>
              <w:autoSpaceDN w:val="0"/>
              <w:adjustRightInd w:val="0"/>
              <w:jc w:val="left"/>
              <w:rPr>
                <w:rFonts w:ascii="宋体" w:hAnsi="宋体" w:cs="宋体"/>
                <w:color w:val="auto"/>
                <w:szCs w:val="21"/>
              </w:rPr>
            </w:pPr>
          </w:p>
        </w:tc>
        <w:tc>
          <w:tcPr>
            <w:tcW w:w="1460" w:type="dxa"/>
            <w:vMerge w:val="continue"/>
            <w:tcBorders>
              <w:left w:val="single" w:color="auto" w:sz="4" w:space="0"/>
              <w:right w:val="single" w:color="auto" w:sz="4" w:space="0"/>
            </w:tcBorders>
            <w:shd w:val="clear" w:color="auto" w:fill="FFFFFF"/>
            <w:vAlign w:val="center"/>
          </w:tcPr>
          <w:p w14:paraId="5EF34CC9">
            <w:pPr>
              <w:rPr>
                <w:rFonts w:ascii="宋体" w:hAnsi="宋体" w:cs="宋体"/>
                <w:color w:val="auto"/>
                <w:szCs w:val="21"/>
              </w:rPr>
            </w:pPr>
          </w:p>
        </w:tc>
        <w:tc>
          <w:tcPr>
            <w:tcW w:w="2611" w:type="dxa"/>
            <w:tcBorders>
              <w:top w:val="single" w:color="000000" w:sz="2" w:space="0"/>
              <w:left w:val="single" w:color="auto" w:sz="4" w:space="0"/>
              <w:bottom w:val="single" w:color="000000" w:sz="2" w:space="0"/>
              <w:right w:val="single" w:color="000000" w:sz="2" w:space="0"/>
            </w:tcBorders>
            <w:shd w:val="clear" w:color="auto" w:fill="FFFFFF"/>
            <w:vAlign w:val="center"/>
          </w:tcPr>
          <w:p w14:paraId="397D3F65">
            <w:pPr>
              <w:spacing w:line="420" w:lineRule="exact"/>
              <w:jc w:val="center"/>
              <w:rPr>
                <w:rFonts w:hint="eastAsia" w:ascii="宋体" w:hAnsi="宋体"/>
                <w:color w:val="auto"/>
                <w:szCs w:val="21"/>
                <w:shd w:val="clear" w:color="auto" w:fill="auto"/>
              </w:rPr>
            </w:pPr>
            <w:r>
              <w:rPr>
                <w:rFonts w:hint="eastAsia" w:ascii="宋体" w:hAnsi="宋体"/>
                <w:color w:val="auto"/>
                <w:szCs w:val="21"/>
                <w:shd w:val="clear" w:color="auto" w:fill="auto"/>
              </w:rPr>
              <w:t>投标范围</w:t>
            </w:r>
          </w:p>
        </w:tc>
        <w:tc>
          <w:tcPr>
            <w:tcW w:w="4935" w:type="dxa"/>
            <w:tcBorders>
              <w:top w:val="single" w:color="000000" w:sz="2" w:space="0"/>
              <w:left w:val="single" w:color="000000" w:sz="2" w:space="0"/>
              <w:bottom w:val="single" w:color="000000" w:sz="2" w:space="0"/>
              <w:right w:val="single" w:color="auto" w:sz="4" w:space="0"/>
            </w:tcBorders>
            <w:shd w:val="clear" w:color="auto" w:fill="FFFFFF"/>
            <w:vAlign w:val="center"/>
          </w:tcPr>
          <w:p w14:paraId="2D17BA11">
            <w:pPr>
              <w:spacing w:line="420" w:lineRule="exact"/>
              <w:rPr>
                <w:rFonts w:hint="eastAsia" w:ascii="宋体" w:hAnsi="宋体" w:cs="宋体"/>
                <w:color w:val="auto"/>
                <w:kern w:val="0"/>
                <w:szCs w:val="21"/>
                <w:shd w:val="clear" w:color="auto" w:fill="auto"/>
              </w:rPr>
            </w:pPr>
            <w:r>
              <w:rPr>
                <w:rFonts w:hint="eastAsia" w:ascii="宋体" w:hAnsi="宋体" w:cs="宋体"/>
                <w:color w:val="auto"/>
                <w:kern w:val="0"/>
                <w:szCs w:val="21"/>
                <w:shd w:val="clear" w:color="auto" w:fill="auto"/>
              </w:rPr>
              <w:t>符合“</w:t>
            </w:r>
            <w:r>
              <w:rPr>
                <w:rFonts w:hint="eastAsia" w:ascii="宋体" w:hAnsi="宋体"/>
                <w:color w:val="auto"/>
                <w:szCs w:val="21"/>
                <w:shd w:val="clear" w:color="auto" w:fill="auto"/>
              </w:rPr>
              <w:t>投标人须知</w:t>
            </w:r>
            <w:r>
              <w:rPr>
                <w:rFonts w:hint="eastAsia" w:ascii="宋体" w:hAnsi="宋体"/>
                <w:color w:val="auto"/>
                <w:szCs w:val="21"/>
                <w:shd w:val="clear" w:color="auto" w:fill="auto"/>
                <w:lang w:val="en-US" w:eastAsia="zh-CN"/>
              </w:rPr>
              <w:t>前附表</w:t>
            </w:r>
            <w:r>
              <w:rPr>
                <w:rFonts w:hint="eastAsia" w:ascii="宋体" w:hAnsi="宋体" w:cs="宋体"/>
                <w:color w:val="auto"/>
                <w:kern w:val="0"/>
                <w:szCs w:val="21"/>
                <w:shd w:val="clear" w:color="auto" w:fill="auto"/>
              </w:rPr>
              <w:t>”规定</w:t>
            </w:r>
          </w:p>
        </w:tc>
      </w:tr>
      <w:tr w14:paraId="7D728530">
        <w:tblPrEx>
          <w:tblCellMar>
            <w:top w:w="0" w:type="dxa"/>
            <w:left w:w="108" w:type="dxa"/>
            <w:bottom w:w="0" w:type="dxa"/>
            <w:right w:w="108" w:type="dxa"/>
          </w:tblCellMar>
        </w:tblPrEx>
        <w:trPr>
          <w:trHeight w:val="680" w:hRule="atLeast"/>
        </w:trPr>
        <w:tc>
          <w:tcPr>
            <w:tcW w:w="534" w:type="dxa"/>
            <w:vMerge w:val="continue"/>
            <w:tcBorders>
              <w:left w:val="single" w:color="auto" w:sz="4" w:space="0"/>
              <w:right w:val="single" w:color="auto" w:sz="4" w:space="0"/>
            </w:tcBorders>
            <w:shd w:val="clear" w:color="auto" w:fill="FFFFFF"/>
            <w:vAlign w:val="center"/>
          </w:tcPr>
          <w:p w14:paraId="0406D585">
            <w:pPr>
              <w:autoSpaceDE w:val="0"/>
              <w:autoSpaceDN w:val="0"/>
              <w:adjustRightInd w:val="0"/>
              <w:jc w:val="left"/>
              <w:rPr>
                <w:rFonts w:ascii="宋体" w:hAnsi="宋体" w:cs="宋体"/>
                <w:color w:val="auto"/>
                <w:szCs w:val="21"/>
              </w:rPr>
            </w:pPr>
          </w:p>
        </w:tc>
        <w:tc>
          <w:tcPr>
            <w:tcW w:w="1460" w:type="dxa"/>
            <w:vMerge w:val="continue"/>
            <w:tcBorders>
              <w:left w:val="single" w:color="auto" w:sz="4" w:space="0"/>
              <w:right w:val="single" w:color="auto" w:sz="4" w:space="0"/>
            </w:tcBorders>
            <w:shd w:val="clear" w:color="auto" w:fill="FFFFFF"/>
            <w:vAlign w:val="center"/>
          </w:tcPr>
          <w:p w14:paraId="2FF10BDD">
            <w:pPr>
              <w:rPr>
                <w:rFonts w:ascii="宋体" w:hAnsi="宋体" w:cs="宋体"/>
                <w:color w:val="auto"/>
                <w:szCs w:val="21"/>
              </w:rPr>
            </w:pPr>
          </w:p>
        </w:tc>
        <w:tc>
          <w:tcPr>
            <w:tcW w:w="2611" w:type="dxa"/>
            <w:tcBorders>
              <w:top w:val="single" w:color="000000" w:sz="2" w:space="0"/>
              <w:left w:val="single" w:color="auto" w:sz="4" w:space="0"/>
              <w:bottom w:val="single" w:color="000000" w:sz="2" w:space="0"/>
              <w:right w:val="single" w:color="000000" w:sz="2" w:space="0"/>
            </w:tcBorders>
            <w:shd w:val="clear" w:color="auto" w:fill="FFFFFF"/>
            <w:vAlign w:val="center"/>
          </w:tcPr>
          <w:p w14:paraId="4E0E1656">
            <w:pPr>
              <w:spacing w:line="420" w:lineRule="exact"/>
              <w:jc w:val="center"/>
              <w:rPr>
                <w:rFonts w:hint="eastAsia" w:ascii="宋体" w:hAnsi="宋体"/>
                <w:color w:val="auto"/>
                <w:szCs w:val="21"/>
                <w:shd w:val="clear" w:color="auto" w:fill="auto"/>
              </w:rPr>
            </w:pPr>
            <w:r>
              <w:rPr>
                <w:rFonts w:hint="eastAsia" w:ascii="宋体" w:hAnsi="宋体" w:cs="宋体"/>
                <w:color w:val="auto"/>
                <w:kern w:val="0"/>
                <w:szCs w:val="21"/>
                <w:shd w:val="clear" w:color="auto" w:fill="auto"/>
                <w:lang w:val="en-US" w:eastAsia="zh-CN"/>
              </w:rPr>
              <w:t>供货安装期限</w:t>
            </w:r>
          </w:p>
        </w:tc>
        <w:tc>
          <w:tcPr>
            <w:tcW w:w="4935" w:type="dxa"/>
            <w:tcBorders>
              <w:top w:val="single" w:color="000000" w:sz="2" w:space="0"/>
              <w:left w:val="single" w:color="000000" w:sz="2" w:space="0"/>
              <w:bottom w:val="single" w:color="000000" w:sz="2" w:space="0"/>
              <w:right w:val="single" w:color="auto" w:sz="4" w:space="0"/>
            </w:tcBorders>
            <w:shd w:val="clear" w:color="auto" w:fill="FFFFFF"/>
            <w:vAlign w:val="center"/>
          </w:tcPr>
          <w:p w14:paraId="0319E4DE">
            <w:pPr>
              <w:tabs>
                <w:tab w:val="left" w:pos="2370"/>
              </w:tabs>
              <w:spacing w:line="420" w:lineRule="exact"/>
              <w:rPr>
                <w:rFonts w:hint="eastAsia" w:ascii="宋体" w:hAnsi="宋体" w:cs="宋体"/>
                <w:color w:val="auto"/>
                <w:kern w:val="0"/>
                <w:szCs w:val="21"/>
                <w:shd w:val="clear" w:color="auto" w:fill="auto"/>
              </w:rPr>
            </w:pPr>
            <w:r>
              <w:rPr>
                <w:rFonts w:hint="eastAsia" w:ascii="宋体" w:hAnsi="宋体" w:cs="宋体"/>
                <w:color w:val="auto"/>
                <w:kern w:val="0"/>
                <w:szCs w:val="21"/>
                <w:shd w:val="clear" w:color="auto" w:fill="auto"/>
              </w:rPr>
              <w:t>符合“</w:t>
            </w:r>
            <w:r>
              <w:rPr>
                <w:rFonts w:hint="eastAsia" w:ascii="宋体" w:hAnsi="宋体"/>
                <w:color w:val="auto"/>
                <w:szCs w:val="21"/>
                <w:shd w:val="clear" w:color="auto" w:fill="auto"/>
              </w:rPr>
              <w:t>投标人须知</w:t>
            </w:r>
            <w:r>
              <w:rPr>
                <w:rFonts w:hint="eastAsia" w:ascii="宋体" w:hAnsi="宋体"/>
                <w:color w:val="auto"/>
                <w:szCs w:val="21"/>
                <w:shd w:val="clear" w:color="auto" w:fill="auto"/>
                <w:lang w:val="en-US" w:eastAsia="zh-CN"/>
              </w:rPr>
              <w:t>前附表</w:t>
            </w:r>
            <w:r>
              <w:rPr>
                <w:rFonts w:hint="eastAsia" w:ascii="宋体" w:hAnsi="宋体" w:cs="宋体"/>
                <w:color w:val="auto"/>
                <w:kern w:val="0"/>
                <w:szCs w:val="21"/>
                <w:shd w:val="clear" w:color="auto" w:fill="auto"/>
              </w:rPr>
              <w:t>”规定</w:t>
            </w:r>
          </w:p>
        </w:tc>
      </w:tr>
      <w:tr w14:paraId="5DA5523D">
        <w:tblPrEx>
          <w:tblCellMar>
            <w:top w:w="0" w:type="dxa"/>
            <w:left w:w="108" w:type="dxa"/>
            <w:bottom w:w="0" w:type="dxa"/>
            <w:right w:w="108" w:type="dxa"/>
          </w:tblCellMar>
        </w:tblPrEx>
        <w:trPr>
          <w:trHeight w:val="680" w:hRule="atLeast"/>
        </w:trPr>
        <w:tc>
          <w:tcPr>
            <w:tcW w:w="534" w:type="dxa"/>
            <w:vMerge w:val="continue"/>
            <w:tcBorders>
              <w:left w:val="single" w:color="auto" w:sz="4" w:space="0"/>
              <w:right w:val="single" w:color="auto" w:sz="4" w:space="0"/>
            </w:tcBorders>
            <w:shd w:val="clear" w:color="auto" w:fill="FFFFFF"/>
            <w:vAlign w:val="center"/>
          </w:tcPr>
          <w:p w14:paraId="790950C7">
            <w:pPr>
              <w:autoSpaceDE w:val="0"/>
              <w:autoSpaceDN w:val="0"/>
              <w:adjustRightInd w:val="0"/>
              <w:jc w:val="left"/>
              <w:rPr>
                <w:rFonts w:ascii="宋体" w:hAnsi="宋体" w:cs="宋体"/>
                <w:color w:val="auto"/>
                <w:szCs w:val="21"/>
              </w:rPr>
            </w:pPr>
          </w:p>
        </w:tc>
        <w:tc>
          <w:tcPr>
            <w:tcW w:w="1460" w:type="dxa"/>
            <w:vMerge w:val="continue"/>
            <w:tcBorders>
              <w:left w:val="single" w:color="auto" w:sz="4" w:space="0"/>
              <w:right w:val="single" w:color="auto" w:sz="4" w:space="0"/>
            </w:tcBorders>
            <w:shd w:val="clear" w:color="auto" w:fill="FFFFFF"/>
            <w:vAlign w:val="center"/>
          </w:tcPr>
          <w:p w14:paraId="48FDBDB9">
            <w:pPr>
              <w:rPr>
                <w:rFonts w:ascii="宋体" w:hAnsi="宋体" w:cs="宋体"/>
                <w:color w:val="auto"/>
                <w:szCs w:val="21"/>
              </w:rPr>
            </w:pPr>
          </w:p>
        </w:tc>
        <w:tc>
          <w:tcPr>
            <w:tcW w:w="2611" w:type="dxa"/>
            <w:tcBorders>
              <w:top w:val="single" w:color="000000" w:sz="2" w:space="0"/>
              <w:left w:val="single" w:color="auto" w:sz="4" w:space="0"/>
              <w:bottom w:val="single" w:color="000000" w:sz="2" w:space="0"/>
              <w:right w:val="single" w:color="000000" w:sz="2" w:space="0"/>
            </w:tcBorders>
            <w:shd w:val="clear" w:color="auto" w:fill="FFFFFF"/>
            <w:vAlign w:val="center"/>
          </w:tcPr>
          <w:p w14:paraId="1CA03208">
            <w:pPr>
              <w:spacing w:line="420" w:lineRule="exact"/>
              <w:jc w:val="center"/>
              <w:rPr>
                <w:rFonts w:ascii="宋体" w:hAnsi="宋体" w:cs="宋体"/>
                <w:color w:val="auto"/>
                <w:szCs w:val="21"/>
              </w:rPr>
            </w:pPr>
            <w:r>
              <w:rPr>
                <w:rFonts w:hint="eastAsia" w:ascii="宋体" w:hAnsi="宋体"/>
                <w:color w:val="auto"/>
                <w:szCs w:val="21"/>
                <w:shd w:val="clear" w:color="auto" w:fill="auto"/>
              </w:rPr>
              <w:t>投标质量</w:t>
            </w:r>
          </w:p>
        </w:tc>
        <w:tc>
          <w:tcPr>
            <w:tcW w:w="4935" w:type="dxa"/>
            <w:tcBorders>
              <w:top w:val="single" w:color="000000" w:sz="2" w:space="0"/>
              <w:left w:val="single" w:color="000000" w:sz="2" w:space="0"/>
              <w:bottom w:val="single" w:color="000000" w:sz="2" w:space="0"/>
              <w:right w:val="single" w:color="auto" w:sz="4" w:space="0"/>
            </w:tcBorders>
            <w:shd w:val="clear" w:color="auto" w:fill="FFFFFF"/>
            <w:vAlign w:val="center"/>
          </w:tcPr>
          <w:p w14:paraId="62728B3F">
            <w:pPr>
              <w:spacing w:line="420" w:lineRule="exact"/>
              <w:rPr>
                <w:rFonts w:ascii="宋体" w:hAnsi="宋体" w:cs="宋体"/>
                <w:color w:val="auto"/>
                <w:szCs w:val="21"/>
              </w:rPr>
            </w:pPr>
            <w:r>
              <w:rPr>
                <w:rFonts w:hint="eastAsia" w:ascii="宋体" w:hAnsi="宋体" w:cs="宋体"/>
                <w:color w:val="auto"/>
                <w:kern w:val="0"/>
                <w:szCs w:val="21"/>
                <w:shd w:val="clear" w:color="auto" w:fill="auto"/>
              </w:rPr>
              <w:t>符合“</w:t>
            </w:r>
            <w:r>
              <w:rPr>
                <w:rFonts w:hint="eastAsia" w:ascii="宋体" w:hAnsi="宋体"/>
                <w:color w:val="auto"/>
                <w:szCs w:val="21"/>
                <w:shd w:val="clear" w:color="auto" w:fill="auto"/>
              </w:rPr>
              <w:t>投标人须知</w:t>
            </w:r>
            <w:r>
              <w:rPr>
                <w:rFonts w:hint="eastAsia" w:ascii="宋体" w:hAnsi="宋体"/>
                <w:color w:val="auto"/>
                <w:szCs w:val="21"/>
                <w:shd w:val="clear" w:color="auto" w:fill="auto"/>
                <w:lang w:val="en-US" w:eastAsia="zh-CN"/>
              </w:rPr>
              <w:t>前附表</w:t>
            </w:r>
            <w:r>
              <w:rPr>
                <w:rFonts w:hint="eastAsia" w:ascii="宋体" w:hAnsi="宋体" w:cs="宋体"/>
                <w:color w:val="auto"/>
                <w:kern w:val="0"/>
                <w:szCs w:val="21"/>
                <w:shd w:val="clear" w:color="auto" w:fill="auto"/>
              </w:rPr>
              <w:t>”规定</w:t>
            </w:r>
          </w:p>
        </w:tc>
      </w:tr>
      <w:tr w14:paraId="1CFB3093">
        <w:tblPrEx>
          <w:tblCellMar>
            <w:top w:w="0" w:type="dxa"/>
            <w:left w:w="108" w:type="dxa"/>
            <w:bottom w:w="0" w:type="dxa"/>
            <w:right w:w="108" w:type="dxa"/>
          </w:tblCellMar>
        </w:tblPrEx>
        <w:trPr>
          <w:trHeight w:val="680" w:hRule="atLeast"/>
        </w:trPr>
        <w:tc>
          <w:tcPr>
            <w:tcW w:w="534" w:type="dxa"/>
            <w:vMerge w:val="continue"/>
            <w:tcBorders>
              <w:left w:val="single" w:color="auto" w:sz="4" w:space="0"/>
              <w:bottom w:val="single" w:color="auto" w:sz="4" w:space="0"/>
              <w:right w:val="single" w:color="auto" w:sz="4" w:space="0"/>
            </w:tcBorders>
            <w:shd w:val="clear" w:color="auto" w:fill="FFFFFF"/>
            <w:vAlign w:val="center"/>
          </w:tcPr>
          <w:p w14:paraId="074487C4">
            <w:pPr>
              <w:jc w:val="left"/>
              <w:rPr>
                <w:rFonts w:ascii="宋体" w:hAnsi="宋体" w:cs="宋体"/>
                <w:color w:val="auto"/>
                <w:szCs w:val="21"/>
                <w:lang w:val="zh-CN"/>
              </w:rPr>
            </w:pPr>
          </w:p>
        </w:tc>
        <w:tc>
          <w:tcPr>
            <w:tcW w:w="1460" w:type="dxa"/>
            <w:vMerge w:val="continue"/>
            <w:tcBorders>
              <w:left w:val="single" w:color="auto" w:sz="4" w:space="0"/>
              <w:bottom w:val="single" w:color="auto" w:sz="4" w:space="0"/>
              <w:right w:val="single" w:color="auto" w:sz="4" w:space="0"/>
            </w:tcBorders>
            <w:shd w:val="clear" w:color="auto" w:fill="FFFFFF"/>
            <w:vAlign w:val="center"/>
          </w:tcPr>
          <w:p w14:paraId="192E7F19">
            <w:pPr>
              <w:rPr>
                <w:rFonts w:ascii="宋体" w:hAnsi="宋体" w:cs="宋体"/>
                <w:color w:val="auto"/>
                <w:szCs w:val="21"/>
              </w:rPr>
            </w:pPr>
          </w:p>
        </w:tc>
        <w:tc>
          <w:tcPr>
            <w:tcW w:w="2611" w:type="dxa"/>
            <w:tcBorders>
              <w:top w:val="single" w:color="000000" w:sz="2" w:space="0"/>
              <w:left w:val="single" w:color="auto" w:sz="4" w:space="0"/>
              <w:bottom w:val="single" w:color="auto" w:sz="4" w:space="0"/>
              <w:right w:val="single" w:color="000000" w:sz="2" w:space="0"/>
            </w:tcBorders>
            <w:shd w:val="clear" w:color="auto" w:fill="FFFFFF"/>
            <w:vAlign w:val="center"/>
          </w:tcPr>
          <w:p w14:paraId="10BCD1E2">
            <w:pPr>
              <w:spacing w:line="420" w:lineRule="exact"/>
              <w:jc w:val="center"/>
              <w:rPr>
                <w:rFonts w:hint="eastAsia" w:ascii="宋体" w:hAnsi="宋体" w:eastAsia="宋体" w:cs="宋体"/>
                <w:color w:val="auto"/>
                <w:kern w:val="2"/>
                <w:sz w:val="21"/>
                <w:szCs w:val="21"/>
                <w:lang w:val="zh-CN" w:eastAsia="zh-CN" w:bidi="ar-SA"/>
              </w:rPr>
            </w:pPr>
            <w:r>
              <w:rPr>
                <w:rFonts w:hint="eastAsia" w:ascii="宋体" w:hAnsi="宋体"/>
                <w:color w:val="auto"/>
                <w:szCs w:val="21"/>
                <w:shd w:val="clear" w:color="auto" w:fill="auto"/>
              </w:rPr>
              <w:t>投标有效期</w:t>
            </w:r>
          </w:p>
        </w:tc>
        <w:tc>
          <w:tcPr>
            <w:tcW w:w="4935" w:type="dxa"/>
            <w:tcBorders>
              <w:top w:val="single" w:color="000000" w:sz="2" w:space="0"/>
              <w:left w:val="single" w:color="000000" w:sz="2" w:space="0"/>
              <w:bottom w:val="single" w:color="auto" w:sz="4" w:space="0"/>
              <w:right w:val="single" w:color="auto" w:sz="4" w:space="0"/>
            </w:tcBorders>
            <w:shd w:val="clear" w:color="auto" w:fill="FFFFFF"/>
            <w:vAlign w:val="center"/>
          </w:tcPr>
          <w:p w14:paraId="127209CE">
            <w:pPr>
              <w:spacing w:line="420" w:lineRule="exact"/>
              <w:rPr>
                <w:rFonts w:hint="eastAsia" w:ascii="宋体" w:hAnsi="宋体" w:eastAsia="宋体" w:cs="宋体"/>
                <w:color w:val="auto"/>
                <w:kern w:val="2"/>
                <w:sz w:val="21"/>
                <w:szCs w:val="21"/>
                <w:lang w:val="zh-CN" w:eastAsia="zh-CN" w:bidi="ar-SA"/>
              </w:rPr>
            </w:pPr>
            <w:r>
              <w:rPr>
                <w:rFonts w:hint="eastAsia" w:ascii="宋体" w:hAnsi="宋体" w:cs="宋体"/>
                <w:color w:val="auto"/>
                <w:kern w:val="0"/>
                <w:szCs w:val="21"/>
                <w:shd w:val="clear" w:color="auto" w:fill="auto"/>
              </w:rPr>
              <w:t>符合“</w:t>
            </w:r>
            <w:r>
              <w:rPr>
                <w:rFonts w:hint="eastAsia" w:ascii="宋体" w:hAnsi="宋体"/>
                <w:color w:val="auto"/>
                <w:szCs w:val="21"/>
                <w:shd w:val="clear" w:color="auto" w:fill="auto"/>
              </w:rPr>
              <w:t>投标人须知</w:t>
            </w:r>
            <w:r>
              <w:rPr>
                <w:rFonts w:hint="eastAsia" w:ascii="宋体" w:hAnsi="宋体"/>
                <w:color w:val="auto"/>
                <w:szCs w:val="21"/>
                <w:shd w:val="clear" w:color="auto" w:fill="auto"/>
                <w:lang w:val="en-US" w:eastAsia="zh-CN"/>
              </w:rPr>
              <w:t>前附表</w:t>
            </w:r>
            <w:r>
              <w:rPr>
                <w:rFonts w:hint="eastAsia" w:ascii="宋体" w:hAnsi="宋体" w:cs="宋体"/>
                <w:color w:val="auto"/>
                <w:kern w:val="0"/>
                <w:szCs w:val="21"/>
                <w:shd w:val="clear" w:color="auto" w:fill="auto"/>
              </w:rPr>
              <w:t>”规定</w:t>
            </w:r>
          </w:p>
        </w:tc>
      </w:tr>
    </w:tbl>
    <w:p w14:paraId="33252640">
      <w:pPr>
        <w:autoSpaceDE w:val="0"/>
        <w:autoSpaceDN w:val="0"/>
        <w:adjustRightInd w:val="0"/>
        <w:ind w:firstLine="482"/>
        <w:jc w:val="center"/>
        <w:outlineLvl w:val="0"/>
        <w:rPr>
          <w:rFonts w:ascii="宋体" w:hAnsi="宋体" w:cs="宋体"/>
          <w:b/>
          <w:color w:val="auto"/>
          <w:sz w:val="24"/>
          <w:lang w:val="zh-CN"/>
        </w:rPr>
      </w:pPr>
      <w:bookmarkStart w:id="118" w:name="_Toc22431"/>
      <w:bookmarkStart w:id="119" w:name="_Toc9298"/>
      <w:r>
        <w:rPr>
          <w:rFonts w:hint="eastAsia" w:ascii="宋体" w:hAnsi="宋体" w:cs="宋体"/>
          <w:b/>
          <w:color w:val="auto"/>
          <w:kern w:val="0"/>
          <w:sz w:val="24"/>
          <w:lang w:val="zh-CN"/>
        </w:rPr>
        <w:t>1、磋商办法前附表</w:t>
      </w:r>
      <w:bookmarkEnd w:id="99"/>
      <w:bookmarkEnd w:id="100"/>
      <w:bookmarkEnd w:id="101"/>
      <w:bookmarkEnd w:id="102"/>
      <w:bookmarkEnd w:id="103"/>
      <w:bookmarkEnd w:id="104"/>
      <w:bookmarkEnd w:id="105"/>
      <w:bookmarkEnd w:id="106"/>
      <w:bookmarkEnd w:id="107"/>
      <w:bookmarkEnd w:id="108"/>
      <w:bookmarkEnd w:id="109"/>
      <w:bookmarkEnd w:id="110"/>
      <w:bookmarkEnd w:id="118"/>
      <w:bookmarkEnd w:id="119"/>
    </w:p>
    <w:p w14:paraId="32617B2D">
      <w:pPr>
        <w:numPr>
          <w:ilvl w:val="0"/>
          <w:numId w:val="4"/>
        </w:numPr>
        <w:spacing w:line="271" w:lineRule="auto"/>
        <w:ind w:firstLine="3373" w:firstLineChars="1600"/>
        <w:outlineLvl w:val="0"/>
        <w:rPr>
          <w:rFonts w:ascii="宋体" w:hAnsi="宋体"/>
          <w:b/>
          <w:bCs/>
          <w:color w:val="auto"/>
          <w:szCs w:val="21"/>
        </w:rPr>
      </w:pPr>
      <w:bookmarkStart w:id="120" w:name="_Toc15558"/>
      <w:bookmarkStart w:id="121" w:name="_Toc14534"/>
      <w:bookmarkStart w:id="122" w:name="_Toc30096"/>
      <w:bookmarkStart w:id="123" w:name="_Toc1100"/>
      <w:bookmarkStart w:id="124" w:name="_Toc9311"/>
      <w:bookmarkStart w:id="125" w:name="_Toc20028"/>
      <w:bookmarkStart w:id="126" w:name="_Toc25626"/>
      <w:bookmarkStart w:id="127" w:name="_Toc32254"/>
      <w:bookmarkStart w:id="128" w:name="_Toc29704"/>
      <w:bookmarkStart w:id="129" w:name="_Toc4736"/>
      <w:bookmarkStart w:id="130" w:name="_Toc7896"/>
      <w:bookmarkStart w:id="131" w:name="_Toc17232"/>
      <w:r>
        <w:rPr>
          <w:rFonts w:hint="eastAsia" w:ascii="宋体" w:hAnsi="宋体"/>
          <w:b/>
          <w:bCs/>
          <w:color w:val="auto"/>
          <w:szCs w:val="21"/>
        </w:rPr>
        <w:t>评审标准</w:t>
      </w:r>
      <w:bookmarkEnd w:id="120"/>
      <w:bookmarkEnd w:id="121"/>
    </w:p>
    <w:tbl>
      <w:tblPr>
        <w:tblStyle w:val="27"/>
        <w:tblW w:w="9497"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2385"/>
        <w:gridCol w:w="4940"/>
        <w:gridCol w:w="896"/>
      </w:tblGrid>
      <w:tr w14:paraId="45715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276" w:type="dxa"/>
            <w:tcBorders>
              <w:top w:val="single" w:color="auto" w:sz="4" w:space="0"/>
              <w:left w:val="single" w:color="auto" w:sz="4" w:space="0"/>
              <w:bottom w:val="single" w:color="auto" w:sz="4" w:space="0"/>
              <w:right w:val="single" w:color="auto" w:sz="4" w:space="0"/>
            </w:tcBorders>
            <w:vAlign w:val="center"/>
          </w:tcPr>
          <w:p w14:paraId="1BFD9AA2">
            <w:pPr>
              <w:autoSpaceDE w:val="0"/>
              <w:autoSpaceDN w:val="0"/>
              <w:adjustRightInd w:val="0"/>
              <w:spacing w:line="360" w:lineRule="exact"/>
              <w:jc w:val="left"/>
              <w:rPr>
                <w:rFonts w:hint="eastAsia" w:ascii="宋体" w:hAnsi="宋体" w:eastAsia="宋体"/>
                <w:color w:val="auto"/>
                <w:kern w:val="0"/>
                <w:szCs w:val="21"/>
                <w:lang w:val="en-US" w:eastAsia="zh-CN"/>
              </w:rPr>
            </w:pPr>
            <w:r>
              <w:rPr>
                <w:rFonts w:hint="eastAsia" w:ascii="宋体" w:hAnsi="宋体"/>
                <w:color w:val="auto"/>
                <w:kern w:val="0"/>
                <w:szCs w:val="21"/>
              </w:rPr>
              <w:t>2.2.</w:t>
            </w:r>
            <w:r>
              <w:rPr>
                <w:rFonts w:hint="eastAsia" w:ascii="宋体" w:hAnsi="宋体"/>
                <w:color w:val="auto"/>
                <w:kern w:val="0"/>
                <w:szCs w:val="21"/>
                <w:lang w:val="en-US" w:eastAsia="zh-CN"/>
              </w:rPr>
              <w:t>1</w:t>
            </w:r>
          </w:p>
        </w:tc>
        <w:tc>
          <w:tcPr>
            <w:tcW w:w="2385" w:type="dxa"/>
            <w:tcBorders>
              <w:top w:val="single" w:color="auto" w:sz="4" w:space="0"/>
              <w:left w:val="nil"/>
              <w:bottom w:val="single" w:color="auto" w:sz="4" w:space="0"/>
              <w:right w:val="single" w:color="auto" w:sz="4" w:space="0"/>
            </w:tcBorders>
            <w:vAlign w:val="center"/>
          </w:tcPr>
          <w:p w14:paraId="0535C2E9">
            <w:pPr>
              <w:autoSpaceDE w:val="0"/>
              <w:autoSpaceDN w:val="0"/>
              <w:adjustRightInd w:val="0"/>
              <w:spacing w:line="360" w:lineRule="exact"/>
              <w:jc w:val="center"/>
              <w:rPr>
                <w:rFonts w:ascii="宋体" w:hAnsi="宋体"/>
                <w:color w:val="auto"/>
                <w:kern w:val="0"/>
                <w:szCs w:val="21"/>
              </w:rPr>
            </w:pPr>
            <w:r>
              <w:rPr>
                <w:rFonts w:hint="eastAsia" w:ascii="宋体" w:hAnsi="宋体"/>
                <w:color w:val="auto"/>
                <w:kern w:val="0"/>
                <w:szCs w:val="21"/>
              </w:rPr>
              <w:t>分值组成</w:t>
            </w:r>
          </w:p>
          <w:p w14:paraId="65E74F15">
            <w:pPr>
              <w:autoSpaceDE w:val="0"/>
              <w:autoSpaceDN w:val="0"/>
              <w:adjustRightInd w:val="0"/>
              <w:spacing w:line="360" w:lineRule="exact"/>
              <w:jc w:val="center"/>
              <w:rPr>
                <w:rFonts w:ascii="宋体" w:hAnsi="宋体"/>
                <w:color w:val="auto"/>
                <w:kern w:val="0"/>
                <w:szCs w:val="21"/>
              </w:rPr>
            </w:pPr>
            <w:r>
              <w:rPr>
                <w:rFonts w:hint="eastAsia" w:ascii="宋体" w:hAnsi="宋体"/>
                <w:color w:val="auto"/>
                <w:kern w:val="0"/>
                <w:szCs w:val="21"/>
              </w:rPr>
              <w:t>（总分100分）</w:t>
            </w:r>
          </w:p>
        </w:tc>
        <w:tc>
          <w:tcPr>
            <w:tcW w:w="5836" w:type="dxa"/>
            <w:gridSpan w:val="2"/>
            <w:tcBorders>
              <w:top w:val="single" w:color="auto" w:sz="4" w:space="0"/>
              <w:left w:val="nil"/>
              <w:bottom w:val="single" w:color="auto" w:sz="4" w:space="0"/>
              <w:right w:val="single" w:color="auto" w:sz="4" w:space="0"/>
            </w:tcBorders>
            <w:vAlign w:val="center"/>
          </w:tcPr>
          <w:p w14:paraId="1062D6A5">
            <w:pPr>
              <w:autoSpaceDE w:val="0"/>
              <w:autoSpaceDN w:val="0"/>
              <w:adjustRightInd w:val="0"/>
              <w:spacing w:line="360" w:lineRule="exact"/>
              <w:jc w:val="left"/>
              <w:rPr>
                <w:rFonts w:ascii="宋体" w:hAnsi="宋体"/>
                <w:color w:val="auto"/>
                <w:kern w:val="0"/>
                <w:szCs w:val="21"/>
              </w:rPr>
            </w:pPr>
            <w:r>
              <w:rPr>
                <w:rFonts w:hint="eastAsia" w:ascii="宋体" w:hAnsi="宋体"/>
                <w:color w:val="auto"/>
                <w:kern w:val="0"/>
                <w:szCs w:val="21"/>
              </w:rPr>
              <w:t>投标报价：3</w:t>
            </w:r>
            <w:r>
              <w:rPr>
                <w:rFonts w:hint="eastAsia" w:ascii="宋体" w:hAnsi="宋体"/>
                <w:color w:val="auto"/>
                <w:kern w:val="0"/>
                <w:szCs w:val="21"/>
                <w:lang w:val="en-US" w:eastAsia="zh-CN"/>
              </w:rPr>
              <w:t>0</w:t>
            </w:r>
            <w:r>
              <w:rPr>
                <w:rFonts w:hint="eastAsia" w:ascii="宋体" w:hAnsi="宋体"/>
                <w:color w:val="auto"/>
                <w:kern w:val="0"/>
                <w:szCs w:val="21"/>
              </w:rPr>
              <w:t>分；技术</w:t>
            </w:r>
            <w:r>
              <w:rPr>
                <w:rFonts w:hint="eastAsia" w:ascii="宋体" w:hAnsi="宋体"/>
                <w:color w:val="auto"/>
                <w:kern w:val="0"/>
                <w:szCs w:val="21"/>
                <w:lang w:val="en-US" w:eastAsia="zh-CN"/>
              </w:rPr>
              <w:t>部分</w:t>
            </w:r>
            <w:r>
              <w:rPr>
                <w:rFonts w:hint="eastAsia" w:ascii="宋体" w:hAnsi="宋体"/>
                <w:color w:val="auto"/>
                <w:kern w:val="0"/>
                <w:szCs w:val="21"/>
              </w:rPr>
              <w:t>：</w:t>
            </w:r>
            <w:r>
              <w:rPr>
                <w:rFonts w:hint="eastAsia" w:ascii="宋体" w:hAnsi="宋体"/>
                <w:color w:val="auto"/>
                <w:kern w:val="0"/>
                <w:szCs w:val="21"/>
                <w:lang w:val="en-US" w:eastAsia="zh-CN"/>
              </w:rPr>
              <w:t>46</w:t>
            </w:r>
            <w:r>
              <w:rPr>
                <w:rFonts w:hint="eastAsia" w:ascii="宋体" w:hAnsi="宋体"/>
                <w:color w:val="auto"/>
                <w:kern w:val="0"/>
                <w:szCs w:val="21"/>
              </w:rPr>
              <w:t>分；</w:t>
            </w:r>
            <w:r>
              <w:rPr>
                <w:rFonts w:hint="eastAsia" w:ascii="宋体" w:hAnsi="宋体"/>
                <w:color w:val="auto"/>
                <w:kern w:val="0"/>
                <w:szCs w:val="21"/>
                <w:lang w:val="en-US" w:eastAsia="zh-CN"/>
              </w:rPr>
              <w:t>综合</w:t>
            </w:r>
            <w:r>
              <w:rPr>
                <w:rFonts w:hint="eastAsia" w:ascii="宋体" w:hAnsi="宋体"/>
                <w:color w:val="auto"/>
                <w:kern w:val="0"/>
                <w:szCs w:val="21"/>
                <w:lang w:eastAsia="zh-CN"/>
              </w:rPr>
              <w:t>部分</w:t>
            </w:r>
            <w:r>
              <w:rPr>
                <w:rFonts w:hint="eastAsia" w:ascii="宋体" w:hAnsi="宋体"/>
                <w:color w:val="auto"/>
                <w:kern w:val="0"/>
                <w:szCs w:val="21"/>
              </w:rPr>
              <w:t>：</w:t>
            </w:r>
            <w:r>
              <w:rPr>
                <w:rFonts w:hint="eastAsia" w:ascii="宋体" w:hAnsi="宋体"/>
                <w:color w:val="auto"/>
                <w:kern w:val="0"/>
                <w:szCs w:val="21"/>
                <w:lang w:val="en-US" w:eastAsia="zh-CN"/>
              </w:rPr>
              <w:t>24</w:t>
            </w:r>
            <w:r>
              <w:rPr>
                <w:rFonts w:hint="eastAsia" w:ascii="宋体" w:hAnsi="宋体"/>
                <w:color w:val="auto"/>
                <w:kern w:val="0"/>
                <w:szCs w:val="21"/>
              </w:rPr>
              <w:t>分.</w:t>
            </w:r>
          </w:p>
        </w:tc>
      </w:tr>
      <w:tr w14:paraId="0F86B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276" w:type="dxa"/>
            <w:tcBorders>
              <w:top w:val="single" w:color="auto" w:sz="4" w:space="0"/>
              <w:left w:val="single" w:color="auto" w:sz="4" w:space="0"/>
              <w:bottom w:val="single" w:color="auto" w:sz="4" w:space="0"/>
              <w:right w:val="single" w:color="auto" w:sz="4" w:space="0"/>
            </w:tcBorders>
            <w:vAlign w:val="center"/>
          </w:tcPr>
          <w:p w14:paraId="40989D00">
            <w:pPr>
              <w:pStyle w:val="34"/>
              <w:spacing w:line="420" w:lineRule="exact"/>
              <w:rPr>
                <w:rFonts w:hint="eastAsia" w:ascii="宋体" w:hAnsi="宋体"/>
                <w:color w:val="auto"/>
                <w:kern w:val="0"/>
                <w:szCs w:val="21"/>
              </w:rPr>
            </w:pPr>
            <w:r>
              <w:rPr>
                <w:rFonts w:hint="eastAsia" w:ascii="宋体" w:hAnsi="宋体" w:eastAsia="宋体" w:cs="宋体"/>
                <w:bCs/>
                <w:color w:val="auto"/>
                <w:kern w:val="2"/>
                <w:sz w:val="21"/>
                <w:szCs w:val="21"/>
                <w:shd w:val="clear" w:color="auto" w:fill="auto"/>
              </w:rPr>
              <w:t>2.2.2</w:t>
            </w:r>
          </w:p>
        </w:tc>
        <w:tc>
          <w:tcPr>
            <w:tcW w:w="2385" w:type="dxa"/>
            <w:tcBorders>
              <w:top w:val="single" w:color="auto" w:sz="4" w:space="0"/>
              <w:left w:val="nil"/>
              <w:bottom w:val="single" w:color="auto" w:sz="4" w:space="0"/>
              <w:right w:val="single" w:color="auto" w:sz="4" w:space="0"/>
            </w:tcBorders>
            <w:vAlign w:val="center"/>
          </w:tcPr>
          <w:p w14:paraId="5843397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color w:val="auto"/>
                <w:kern w:val="0"/>
                <w:szCs w:val="21"/>
              </w:rPr>
            </w:pPr>
            <w:r>
              <w:rPr>
                <w:rFonts w:hint="eastAsia" w:ascii="宋体" w:hAnsi="宋体" w:eastAsia="宋体" w:cs="宋体"/>
                <w:bCs/>
                <w:color w:val="auto"/>
                <w:sz w:val="21"/>
                <w:szCs w:val="21"/>
                <w:shd w:val="clear" w:color="auto" w:fill="auto"/>
              </w:rPr>
              <w:t>评标基准值计算方法</w:t>
            </w:r>
          </w:p>
        </w:tc>
        <w:tc>
          <w:tcPr>
            <w:tcW w:w="5836" w:type="dxa"/>
            <w:gridSpan w:val="2"/>
            <w:tcBorders>
              <w:top w:val="single" w:color="auto" w:sz="4" w:space="0"/>
              <w:left w:val="nil"/>
              <w:bottom w:val="single" w:color="auto" w:sz="4" w:space="0"/>
              <w:right w:val="single" w:color="auto" w:sz="4" w:space="0"/>
            </w:tcBorders>
            <w:vAlign w:val="center"/>
          </w:tcPr>
          <w:p w14:paraId="4D5F8BBA">
            <w:pPr>
              <w:spacing w:line="360" w:lineRule="auto"/>
              <w:jc w:val="center"/>
              <w:rPr>
                <w:rFonts w:hint="eastAsia" w:ascii="宋体" w:hAnsi="宋体"/>
                <w:color w:val="auto"/>
                <w:kern w:val="0"/>
                <w:szCs w:val="21"/>
              </w:rPr>
            </w:pPr>
            <w:r>
              <w:rPr>
                <w:rFonts w:hint="eastAsia" w:ascii="宋体" w:hAnsi="宋体" w:cs="宋体"/>
                <w:color w:val="auto"/>
                <w:kern w:val="0"/>
                <w:szCs w:val="21"/>
                <w:shd w:val="clear" w:color="auto" w:fill="auto"/>
                <w:lang w:val="en-US"/>
              </w:rPr>
              <w:t>评标基准值=满足采购文件要求且投标报价最低的投标报价。</w:t>
            </w:r>
          </w:p>
        </w:tc>
      </w:tr>
      <w:tr w14:paraId="314C5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276" w:type="dxa"/>
            <w:tcBorders>
              <w:top w:val="single" w:color="auto" w:sz="4" w:space="0"/>
              <w:left w:val="single" w:color="auto" w:sz="4" w:space="0"/>
              <w:bottom w:val="single" w:color="auto" w:sz="4" w:space="0"/>
              <w:right w:val="single" w:color="auto" w:sz="4" w:space="0"/>
            </w:tcBorders>
            <w:vAlign w:val="center"/>
          </w:tcPr>
          <w:p w14:paraId="2B9838EC">
            <w:pPr>
              <w:autoSpaceDE w:val="0"/>
              <w:autoSpaceDN w:val="0"/>
              <w:adjustRightInd w:val="0"/>
              <w:spacing w:line="360" w:lineRule="exact"/>
              <w:jc w:val="center"/>
              <w:rPr>
                <w:rFonts w:ascii="宋体" w:hAnsi="宋体"/>
                <w:color w:val="auto"/>
                <w:kern w:val="0"/>
                <w:szCs w:val="21"/>
              </w:rPr>
            </w:pPr>
            <w:r>
              <w:rPr>
                <w:rFonts w:hint="eastAsia" w:ascii="宋体" w:hAnsi="宋体"/>
                <w:color w:val="auto"/>
                <w:kern w:val="0"/>
                <w:szCs w:val="21"/>
              </w:rPr>
              <w:t>条款号</w:t>
            </w:r>
          </w:p>
        </w:tc>
        <w:tc>
          <w:tcPr>
            <w:tcW w:w="2385" w:type="dxa"/>
            <w:tcBorders>
              <w:top w:val="single" w:color="auto" w:sz="4" w:space="0"/>
              <w:left w:val="nil"/>
              <w:bottom w:val="single" w:color="auto" w:sz="4" w:space="0"/>
              <w:right w:val="single" w:color="auto" w:sz="4" w:space="0"/>
            </w:tcBorders>
            <w:vAlign w:val="center"/>
          </w:tcPr>
          <w:p w14:paraId="122AEE05">
            <w:pPr>
              <w:autoSpaceDE w:val="0"/>
              <w:autoSpaceDN w:val="0"/>
              <w:adjustRightInd w:val="0"/>
              <w:spacing w:line="360" w:lineRule="exact"/>
              <w:jc w:val="center"/>
              <w:rPr>
                <w:rFonts w:ascii="宋体" w:hAnsi="宋体"/>
                <w:color w:val="auto"/>
                <w:kern w:val="0"/>
                <w:szCs w:val="21"/>
              </w:rPr>
            </w:pPr>
            <w:r>
              <w:rPr>
                <w:rFonts w:hint="eastAsia" w:ascii="宋体" w:hAnsi="宋体"/>
                <w:color w:val="auto"/>
                <w:kern w:val="0"/>
                <w:szCs w:val="21"/>
              </w:rPr>
              <w:t>评分因素</w:t>
            </w:r>
          </w:p>
        </w:tc>
        <w:tc>
          <w:tcPr>
            <w:tcW w:w="5836" w:type="dxa"/>
            <w:gridSpan w:val="2"/>
            <w:tcBorders>
              <w:top w:val="single" w:color="auto" w:sz="4" w:space="0"/>
              <w:left w:val="nil"/>
              <w:bottom w:val="single" w:color="auto" w:sz="4" w:space="0"/>
              <w:right w:val="single" w:color="auto" w:sz="4" w:space="0"/>
            </w:tcBorders>
            <w:vAlign w:val="center"/>
          </w:tcPr>
          <w:p w14:paraId="3FDDCA67">
            <w:pPr>
              <w:autoSpaceDE w:val="0"/>
              <w:autoSpaceDN w:val="0"/>
              <w:adjustRightInd w:val="0"/>
              <w:spacing w:line="360" w:lineRule="exact"/>
              <w:jc w:val="center"/>
              <w:rPr>
                <w:rFonts w:ascii="宋体" w:hAnsi="宋体"/>
                <w:color w:val="auto"/>
                <w:kern w:val="0"/>
                <w:szCs w:val="21"/>
              </w:rPr>
            </w:pPr>
            <w:r>
              <w:rPr>
                <w:rFonts w:hint="eastAsia" w:ascii="宋体" w:hAnsi="宋体"/>
                <w:color w:val="auto"/>
                <w:kern w:val="0"/>
                <w:szCs w:val="21"/>
              </w:rPr>
              <w:t>评分标准</w:t>
            </w:r>
          </w:p>
        </w:tc>
      </w:tr>
      <w:tr w14:paraId="74CF7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276" w:type="dxa"/>
            <w:tcBorders>
              <w:top w:val="single" w:color="auto" w:sz="4" w:space="0"/>
              <w:left w:val="single" w:color="auto" w:sz="4" w:space="0"/>
              <w:bottom w:val="single" w:color="auto" w:sz="4" w:space="0"/>
              <w:right w:val="single" w:color="auto" w:sz="4" w:space="0"/>
            </w:tcBorders>
          </w:tcPr>
          <w:p w14:paraId="60EC8788">
            <w:pPr>
              <w:autoSpaceDE w:val="0"/>
              <w:autoSpaceDN w:val="0"/>
              <w:adjustRightInd w:val="0"/>
              <w:spacing w:line="360" w:lineRule="exact"/>
              <w:jc w:val="center"/>
              <w:rPr>
                <w:rFonts w:ascii="宋体" w:hAnsi="宋体"/>
                <w:color w:val="auto"/>
                <w:kern w:val="0"/>
                <w:szCs w:val="21"/>
              </w:rPr>
            </w:pPr>
            <w:r>
              <w:rPr>
                <w:rFonts w:hint="eastAsia" w:ascii="宋体" w:hAnsi="宋体"/>
                <w:color w:val="auto"/>
                <w:kern w:val="0"/>
                <w:szCs w:val="21"/>
              </w:rPr>
              <w:t>评审因素</w:t>
            </w:r>
          </w:p>
        </w:tc>
        <w:tc>
          <w:tcPr>
            <w:tcW w:w="2385" w:type="dxa"/>
            <w:tcBorders>
              <w:top w:val="single" w:color="auto" w:sz="4" w:space="0"/>
              <w:left w:val="single" w:color="auto" w:sz="4" w:space="0"/>
              <w:bottom w:val="single" w:color="auto" w:sz="4" w:space="0"/>
              <w:right w:val="single" w:color="auto" w:sz="4" w:space="0"/>
            </w:tcBorders>
          </w:tcPr>
          <w:p w14:paraId="59C843E9">
            <w:pPr>
              <w:autoSpaceDE w:val="0"/>
              <w:autoSpaceDN w:val="0"/>
              <w:adjustRightInd w:val="0"/>
              <w:spacing w:line="360" w:lineRule="exact"/>
              <w:jc w:val="center"/>
              <w:rPr>
                <w:rFonts w:ascii="宋体" w:hAnsi="宋体"/>
                <w:color w:val="auto"/>
                <w:kern w:val="0"/>
                <w:szCs w:val="21"/>
              </w:rPr>
            </w:pPr>
            <w:r>
              <w:rPr>
                <w:rFonts w:hint="eastAsia" w:ascii="宋体" w:hAnsi="宋体"/>
                <w:color w:val="auto"/>
                <w:kern w:val="0"/>
                <w:szCs w:val="21"/>
              </w:rPr>
              <w:t>评审内容</w:t>
            </w:r>
          </w:p>
        </w:tc>
        <w:tc>
          <w:tcPr>
            <w:tcW w:w="4940" w:type="dxa"/>
            <w:tcBorders>
              <w:top w:val="single" w:color="auto" w:sz="4" w:space="0"/>
              <w:left w:val="single" w:color="auto" w:sz="4" w:space="0"/>
              <w:bottom w:val="single" w:color="auto" w:sz="4" w:space="0"/>
              <w:right w:val="single" w:color="auto" w:sz="4" w:space="0"/>
            </w:tcBorders>
          </w:tcPr>
          <w:p w14:paraId="30E60202">
            <w:pPr>
              <w:autoSpaceDE w:val="0"/>
              <w:autoSpaceDN w:val="0"/>
              <w:adjustRightInd w:val="0"/>
              <w:spacing w:line="360" w:lineRule="exact"/>
              <w:jc w:val="center"/>
              <w:rPr>
                <w:rFonts w:ascii="宋体" w:hAnsi="宋体"/>
                <w:color w:val="auto"/>
                <w:kern w:val="0"/>
                <w:szCs w:val="21"/>
              </w:rPr>
            </w:pPr>
            <w:r>
              <w:rPr>
                <w:rFonts w:hint="eastAsia" w:ascii="宋体" w:hAnsi="宋体"/>
                <w:color w:val="auto"/>
                <w:kern w:val="0"/>
                <w:szCs w:val="21"/>
              </w:rPr>
              <w:t>评分标准</w:t>
            </w:r>
          </w:p>
        </w:tc>
        <w:tc>
          <w:tcPr>
            <w:tcW w:w="896" w:type="dxa"/>
            <w:tcBorders>
              <w:top w:val="single" w:color="auto" w:sz="4" w:space="0"/>
              <w:left w:val="single" w:color="auto" w:sz="4" w:space="0"/>
              <w:bottom w:val="single" w:color="auto" w:sz="4" w:space="0"/>
              <w:right w:val="single" w:color="auto" w:sz="4" w:space="0"/>
            </w:tcBorders>
          </w:tcPr>
          <w:p w14:paraId="04AA7DE8">
            <w:pPr>
              <w:autoSpaceDE w:val="0"/>
              <w:autoSpaceDN w:val="0"/>
              <w:adjustRightInd w:val="0"/>
              <w:spacing w:line="460" w:lineRule="exact"/>
              <w:jc w:val="center"/>
              <w:rPr>
                <w:rFonts w:ascii="宋体" w:hAnsi="宋体"/>
                <w:color w:val="auto"/>
                <w:kern w:val="0"/>
                <w:szCs w:val="21"/>
              </w:rPr>
            </w:pPr>
            <w:r>
              <w:rPr>
                <w:rFonts w:hint="eastAsia" w:ascii="宋体" w:hAnsi="宋体"/>
                <w:color w:val="auto"/>
                <w:kern w:val="0"/>
                <w:szCs w:val="21"/>
              </w:rPr>
              <w:t>分 值</w:t>
            </w:r>
          </w:p>
        </w:tc>
      </w:tr>
      <w:tr w14:paraId="63835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1" w:hRule="atLeast"/>
        </w:trPr>
        <w:tc>
          <w:tcPr>
            <w:tcW w:w="1276" w:type="dxa"/>
            <w:tcBorders>
              <w:top w:val="single" w:color="auto" w:sz="4" w:space="0"/>
              <w:left w:val="single" w:color="auto" w:sz="4" w:space="0"/>
              <w:bottom w:val="single" w:color="auto" w:sz="4" w:space="0"/>
              <w:right w:val="single" w:color="auto" w:sz="4" w:space="0"/>
            </w:tcBorders>
            <w:vAlign w:val="center"/>
          </w:tcPr>
          <w:p w14:paraId="6F0DBA44">
            <w:pPr>
              <w:autoSpaceDE w:val="0"/>
              <w:autoSpaceDN w:val="0"/>
              <w:adjustRightInd w:val="0"/>
              <w:spacing w:line="360" w:lineRule="exact"/>
              <w:jc w:val="center"/>
              <w:rPr>
                <w:rFonts w:ascii="宋体" w:hAnsi="宋体"/>
                <w:color w:val="auto"/>
                <w:kern w:val="0"/>
                <w:szCs w:val="21"/>
              </w:rPr>
            </w:pPr>
            <w:r>
              <w:rPr>
                <w:rFonts w:hint="eastAsia" w:ascii="宋体" w:hAnsi="宋体"/>
                <w:color w:val="auto"/>
                <w:kern w:val="0"/>
                <w:szCs w:val="21"/>
              </w:rPr>
              <w:t>报价部分</w:t>
            </w:r>
          </w:p>
          <w:p w14:paraId="7925DF5F">
            <w:pPr>
              <w:autoSpaceDE w:val="0"/>
              <w:autoSpaceDN w:val="0"/>
              <w:adjustRightInd w:val="0"/>
              <w:spacing w:line="360" w:lineRule="exact"/>
              <w:jc w:val="center"/>
              <w:rPr>
                <w:rFonts w:ascii="宋体" w:hAnsi="宋体"/>
                <w:color w:val="auto"/>
                <w:kern w:val="0"/>
                <w:szCs w:val="21"/>
              </w:rPr>
            </w:pPr>
            <w:r>
              <w:rPr>
                <w:rFonts w:hint="eastAsia" w:ascii="宋体" w:hAnsi="宋体"/>
                <w:color w:val="auto"/>
                <w:kern w:val="0"/>
                <w:szCs w:val="21"/>
              </w:rPr>
              <w:t>（3</w:t>
            </w:r>
            <w:r>
              <w:rPr>
                <w:rFonts w:hint="eastAsia" w:ascii="宋体" w:hAnsi="宋体"/>
                <w:color w:val="auto"/>
                <w:kern w:val="0"/>
                <w:szCs w:val="21"/>
                <w:lang w:val="en-US" w:eastAsia="zh-CN"/>
              </w:rPr>
              <w:t>0</w:t>
            </w:r>
            <w:r>
              <w:rPr>
                <w:rFonts w:hint="eastAsia" w:ascii="宋体" w:hAnsi="宋体"/>
                <w:color w:val="auto"/>
                <w:kern w:val="0"/>
                <w:szCs w:val="21"/>
              </w:rPr>
              <w:t>分）</w:t>
            </w:r>
          </w:p>
        </w:tc>
        <w:tc>
          <w:tcPr>
            <w:tcW w:w="2385" w:type="dxa"/>
            <w:tcBorders>
              <w:top w:val="single" w:color="auto" w:sz="4" w:space="0"/>
              <w:left w:val="single" w:color="auto" w:sz="4" w:space="0"/>
              <w:bottom w:val="single" w:color="auto" w:sz="4" w:space="0"/>
              <w:right w:val="single" w:color="auto" w:sz="4" w:space="0"/>
            </w:tcBorders>
            <w:vAlign w:val="center"/>
          </w:tcPr>
          <w:p w14:paraId="028ABAEA">
            <w:pPr>
              <w:autoSpaceDE w:val="0"/>
              <w:autoSpaceDN w:val="0"/>
              <w:adjustRightInd w:val="0"/>
              <w:spacing w:line="360" w:lineRule="exact"/>
              <w:jc w:val="center"/>
              <w:rPr>
                <w:rFonts w:ascii="宋体" w:hAnsi="宋体"/>
                <w:color w:val="auto"/>
                <w:kern w:val="0"/>
                <w:szCs w:val="21"/>
              </w:rPr>
            </w:pPr>
            <w:r>
              <w:rPr>
                <w:rFonts w:hint="eastAsia" w:ascii="宋体" w:hAnsi="宋体"/>
                <w:color w:val="auto"/>
                <w:kern w:val="0"/>
                <w:szCs w:val="21"/>
              </w:rPr>
              <w:t>报价</w:t>
            </w:r>
          </w:p>
        </w:tc>
        <w:tc>
          <w:tcPr>
            <w:tcW w:w="4940" w:type="dxa"/>
            <w:tcBorders>
              <w:top w:val="single" w:color="auto" w:sz="4" w:space="0"/>
              <w:left w:val="single" w:color="auto" w:sz="4" w:space="0"/>
              <w:bottom w:val="single" w:color="auto" w:sz="4" w:space="0"/>
              <w:right w:val="single" w:color="auto" w:sz="4" w:space="0"/>
            </w:tcBorders>
          </w:tcPr>
          <w:p w14:paraId="08074128">
            <w:pPr>
              <w:spacing w:line="360" w:lineRule="auto"/>
              <w:jc w:val="both"/>
              <w:rPr>
                <w:rFonts w:hint="eastAsia" w:ascii="宋体" w:hAnsi="宋体" w:eastAsia="宋体" w:cs="宋体"/>
                <w:color w:val="000000"/>
                <w:sz w:val="21"/>
                <w:szCs w:val="21"/>
                <w:highlight w:val="none"/>
              </w:rPr>
            </w:pPr>
            <w:r>
              <w:rPr>
                <w:rFonts w:hint="eastAsia" w:ascii="宋体" w:hAnsi="宋体"/>
                <w:color w:val="auto"/>
                <w:kern w:val="0"/>
                <w:szCs w:val="21"/>
              </w:rPr>
              <w:t>　</w:t>
            </w:r>
            <w:r>
              <w:rPr>
                <w:rFonts w:hint="eastAsia" w:ascii="宋体" w:hAnsi="宋体" w:eastAsia="宋体" w:cs="宋体"/>
                <w:color w:val="000000"/>
                <w:sz w:val="21"/>
                <w:szCs w:val="21"/>
                <w:highlight w:val="none"/>
              </w:rPr>
              <w:t>磋商结束后，磋商小组要求所有有效供应商在规定时间内进行最后报价。</w:t>
            </w:r>
          </w:p>
          <w:p w14:paraId="4A5515B2">
            <w:pPr>
              <w:spacing w:line="360" w:lineRule="auto"/>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磋商基准值=满足磋商采购文件要求且最后磋商报价最低的投标报价。</w:t>
            </w:r>
          </w:p>
          <w:p w14:paraId="6D09270D">
            <w:pPr>
              <w:spacing w:line="360" w:lineRule="auto"/>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报价得分统一采用低价优先法计算，即满足采购文件要求且投标报价最低的投标报价为评标基准价，其报价得分为</w:t>
            </w:r>
            <w:r>
              <w:rPr>
                <w:rFonts w:hint="eastAsia" w:ascii="宋体" w:hAnsi="宋体" w:eastAsia="宋体" w:cs="宋体"/>
                <w:b/>
                <w:bCs/>
                <w:color w:val="000000"/>
                <w:sz w:val="21"/>
                <w:szCs w:val="21"/>
                <w:highlight w:val="none"/>
                <w:lang w:val="en-US" w:eastAsia="zh-CN"/>
              </w:rPr>
              <w:t>30</w:t>
            </w:r>
            <w:r>
              <w:rPr>
                <w:rFonts w:hint="eastAsia" w:ascii="宋体" w:hAnsi="宋体" w:eastAsia="宋体" w:cs="宋体"/>
                <w:b/>
                <w:bCs/>
                <w:color w:val="000000"/>
                <w:sz w:val="21"/>
                <w:szCs w:val="21"/>
                <w:highlight w:val="none"/>
              </w:rPr>
              <w:t>分</w:t>
            </w:r>
            <w:r>
              <w:rPr>
                <w:rFonts w:hint="eastAsia" w:ascii="宋体" w:hAnsi="宋体" w:eastAsia="宋体" w:cs="宋体"/>
                <w:color w:val="000000"/>
                <w:sz w:val="21"/>
                <w:szCs w:val="21"/>
                <w:highlight w:val="none"/>
              </w:rPr>
              <w:t>（当最低报价明显低于其他投标报价，使得其投标报价可能低于其成本的，评标委员会有权对其投标价格提出疑问，要求其在规定的期限内以予以解释说明，并提交说明材料；不能提交有力证明材料或不能合理说明，评委可根据项目实际情况按无效标处理），其他投标人的报价得分统一按照下列公式计算（高于招标控制价按废标处理）：</w:t>
            </w:r>
          </w:p>
          <w:p w14:paraId="1BF47692">
            <w:pPr>
              <w:spacing w:line="360" w:lineRule="auto"/>
              <w:jc w:val="both"/>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rPr>
              <w:t>磋商报价得分=（磋商基准值/最后磋商报价）×</w:t>
            </w:r>
            <w:r>
              <w:rPr>
                <w:rFonts w:hint="eastAsia" w:ascii="宋体" w:hAnsi="宋体" w:eastAsia="宋体" w:cs="宋体"/>
                <w:b/>
                <w:bCs/>
                <w:color w:val="000000"/>
                <w:sz w:val="21"/>
                <w:szCs w:val="21"/>
                <w:highlight w:val="none"/>
                <w:lang w:val="en-US" w:eastAsia="zh-CN"/>
              </w:rPr>
              <w:t>30</w:t>
            </w:r>
          </w:p>
          <w:p w14:paraId="15B86DD8">
            <w:pPr>
              <w:widowControl/>
              <w:spacing w:line="360" w:lineRule="auto"/>
              <w:jc w:val="both"/>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注：1、投标报价得分保留小数点后两位。</w:t>
            </w:r>
          </w:p>
          <w:p w14:paraId="64FB18D3">
            <w:pPr>
              <w:autoSpaceDE w:val="0"/>
              <w:autoSpaceDN w:val="0"/>
              <w:adjustRightInd w:val="0"/>
              <w:spacing w:line="360" w:lineRule="exact"/>
              <w:ind w:firstLine="422" w:firstLineChars="200"/>
              <w:jc w:val="both"/>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2、</w:t>
            </w:r>
            <w:r>
              <w:rPr>
                <w:rFonts w:hint="eastAsia" w:ascii="宋体" w:hAnsi="宋体" w:eastAsia="宋体" w:cs="宋体"/>
                <w:b/>
                <w:bCs/>
                <w:color w:val="auto"/>
                <w:sz w:val="21"/>
                <w:szCs w:val="21"/>
                <w:highlight w:val="none"/>
                <w:lang w:val="en-US" w:eastAsia="zh-CN"/>
              </w:rPr>
              <w:t>投标人的最终磋商报价不得高于首次磋商报价。不提供最终磋商报价的供应商将视为默认首次磋商报价。</w:t>
            </w:r>
          </w:p>
          <w:p w14:paraId="4D6E07E5">
            <w:pPr>
              <w:autoSpaceDE w:val="0"/>
              <w:autoSpaceDN w:val="0"/>
              <w:adjustRightInd w:val="0"/>
              <w:spacing w:line="360" w:lineRule="exact"/>
              <w:ind w:firstLine="422" w:firstLineChars="200"/>
              <w:jc w:val="both"/>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3、本项目属于专门面向中小企业采购的项目，供应商应为中小微企业/监狱企业/残疾人福利性单位。</w:t>
            </w:r>
          </w:p>
          <w:p w14:paraId="67EBF3FA">
            <w:pPr>
              <w:autoSpaceDE w:val="0"/>
              <w:autoSpaceDN w:val="0"/>
              <w:adjustRightInd w:val="0"/>
              <w:spacing w:line="360" w:lineRule="exact"/>
              <w:ind w:firstLine="422" w:firstLineChars="200"/>
              <w:jc w:val="both"/>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根据《政府采购促进中小企业发展管理办法》(财库[2020]46号)文、《关于进一步加大政府采购支持中小企业力度的通知》（财库[2022]19号]）和《开封市财政局文件》（汴财购[2022]3号）文的规定，对符合规定的小微企业报价给予20%的扣除，用扣除后的价格参与评审，小微企业必须提供《中小企业声明函》，否则评审时不予认可。（监狱、残疾人福利性企业视同小微企业，价格扣除优惠只享受一次，不得重复享受。）</w:t>
            </w:r>
          </w:p>
        </w:tc>
        <w:tc>
          <w:tcPr>
            <w:tcW w:w="896" w:type="dxa"/>
            <w:tcBorders>
              <w:top w:val="single" w:color="auto" w:sz="4" w:space="0"/>
              <w:left w:val="single" w:color="auto" w:sz="4" w:space="0"/>
              <w:bottom w:val="single" w:color="auto" w:sz="4" w:space="0"/>
              <w:right w:val="single" w:color="auto" w:sz="4" w:space="0"/>
            </w:tcBorders>
            <w:vAlign w:val="center"/>
          </w:tcPr>
          <w:p w14:paraId="7DB7B34B">
            <w:pPr>
              <w:autoSpaceDE w:val="0"/>
              <w:autoSpaceDN w:val="0"/>
              <w:adjustRightInd w:val="0"/>
              <w:spacing w:line="360" w:lineRule="exact"/>
              <w:jc w:val="center"/>
              <w:rPr>
                <w:rFonts w:hint="eastAsia" w:ascii="宋体" w:hAnsi="宋体"/>
                <w:color w:val="auto"/>
                <w:kern w:val="0"/>
                <w:szCs w:val="21"/>
              </w:rPr>
            </w:pPr>
            <w:r>
              <w:rPr>
                <w:rFonts w:hint="eastAsia" w:ascii="宋体" w:hAnsi="宋体"/>
                <w:color w:val="auto"/>
                <w:kern w:val="0"/>
                <w:szCs w:val="21"/>
              </w:rPr>
              <w:t>3</w:t>
            </w:r>
            <w:r>
              <w:rPr>
                <w:rFonts w:hint="eastAsia" w:ascii="宋体" w:hAnsi="宋体"/>
                <w:color w:val="auto"/>
                <w:kern w:val="0"/>
                <w:szCs w:val="21"/>
                <w:lang w:val="en-US" w:eastAsia="zh-CN"/>
              </w:rPr>
              <w:t>0</w:t>
            </w:r>
            <w:r>
              <w:rPr>
                <w:rFonts w:hint="eastAsia" w:ascii="宋体" w:hAnsi="宋体"/>
                <w:color w:val="auto"/>
                <w:kern w:val="0"/>
                <w:szCs w:val="21"/>
              </w:rPr>
              <w:t>分</w:t>
            </w:r>
          </w:p>
        </w:tc>
      </w:tr>
      <w:tr w14:paraId="774A5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trPr>
        <w:tc>
          <w:tcPr>
            <w:tcW w:w="1276" w:type="dxa"/>
            <w:vMerge w:val="restart"/>
            <w:tcBorders>
              <w:left w:val="single" w:color="auto" w:sz="4" w:space="0"/>
              <w:right w:val="single" w:color="auto" w:sz="4" w:space="0"/>
            </w:tcBorders>
            <w:vAlign w:val="center"/>
          </w:tcPr>
          <w:p w14:paraId="1F25DA19">
            <w:pPr>
              <w:autoSpaceDE w:val="0"/>
              <w:autoSpaceDN w:val="0"/>
              <w:adjustRightInd w:val="0"/>
              <w:spacing w:line="360" w:lineRule="exact"/>
              <w:jc w:val="center"/>
              <w:rPr>
                <w:rFonts w:ascii="宋体" w:hAnsi="宋体"/>
                <w:color w:val="auto"/>
                <w:kern w:val="0"/>
                <w:szCs w:val="21"/>
              </w:rPr>
            </w:pPr>
            <w:r>
              <w:rPr>
                <w:rFonts w:ascii="宋体" w:hAnsi="宋体"/>
                <w:color w:val="auto"/>
                <w:kern w:val="0"/>
                <w:szCs w:val="21"/>
              </w:rPr>
              <w:t>技术部分</w:t>
            </w:r>
            <w:r>
              <w:rPr>
                <w:rFonts w:hint="eastAsia" w:ascii="宋体" w:hAnsi="宋体"/>
                <w:color w:val="auto"/>
                <w:kern w:val="0"/>
                <w:szCs w:val="21"/>
                <w:lang w:eastAsia="zh-CN"/>
              </w:rPr>
              <w:t>（</w:t>
            </w:r>
            <w:r>
              <w:rPr>
                <w:rFonts w:hint="eastAsia" w:ascii="宋体" w:hAnsi="宋体"/>
                <w:color w:val="auto"/>
                <w:kern w:val="0"/>
                <w:szCs w:val="21"/>
                <w:lang w:val="en-US" w:eastAsia="zh-CN"/>
              </w:rPr>
              <w:t>46</w:t>
            </w:r>
            <w:r>
              <w:rPr>
                <w:rFonts w:hint="eastAsia" w:ascii="宋体" w:hAnsi="宋体"/>
                <w:color w:val="auto"/>
                <w:kern w:val="0"/>
                <w:szCs w:val="21"/>
              </w:rPr>
              <w:t>分</w:t>
            </w:r>
            <w:r>
              <w:rPr>
                <w:rFonts w:hint="eastAsia" w:ascii="宋体" w:hAnsi="宋体"/>
                <w:color w:val="auto"/>
                <w:kern w:val="0"/>
                <w:szCs w:val="21"/>
                <w:lang w:eastAsia="zh-CN"/>
              </w:rPr>
              <w:t>）</w:t>
            </w:r>
          </w:p>
        </w:tc>
        <w:tc>
          <w:tcPr>
            <w:tcW w:w="2385" w:type="dxa"/>
            <w:tcBorders>
              <w:top w:val="single" w:color="auto" w:sz="4" w:space="0"/>
              <w:left w:val="single" w:color="auto" w:sz="4" w:space="0"/>
              <w:right w:val="single" w:color="auto" w:sz="4" w:space="0"/>
            </w:tcBorders>
            <w:vAlign w:val="center"/>
          </w:tcPr>
          <w:p w14:paraId="776DDF69">
            <w:pPr>
              <w:autoSpaceDE w:val="0"/>
              <w:autoSpaceDN w:val="0"/>
              <w:adjustRightInd w:val="0"/>
              <w:spacing w:line="360" w:lineRule="exact"/>
              <w:jc w:val="center"/>
              <w:rPr>
                <w:rFonts w:hint="eastAsia" w:ascii="宋体" w:hAnsi="宋体" w:eastAsia="宋体" w:cs="Times New Roman"/>
                <w:color w:val="auto"/>
                <w:kern w:val="0"/>
                <w:szCs w:val="21"/>
              </w:rPr>
            </w:pPr>
            <w:r>
              <w:rPr>
                <w:rFonts w:hint="eastAsia" w:ascii="宋体" w:hAnsi="宋体" w:eastAsia="宋体" w:cs="Times New Roman"/>
                <w:color w:val="auto"/>
                <w:kern w:val="0"/>
                <w:szCs w:val="21"/>
              </w:rPr>
              <w:t>货物技术资料</w:t>
            </w:r>
          </w:p>
          <w:p w14:paraId="74E22901">
            <w:pPr>
              <w:autoSpaceDE w:val="0"/>
              <w:autoSpaceDN w:val="0"/>
              <w:adjustRightInd w:val="0"/>
              <w:spacing w:line="360" w:lineRule="exact"/>
              <w:jc w:val="center"/>
              <w:rPr>
                <w:rFonts w:hint="eastAsia" w:ascii="宋体" w:hAnsi="宋体" w:eastAsia="宋体" w:cs="Times New Roman"/>
                <w:color w:val="auto"/>
                <w:kern w:val="0"/>
                <w:szCs w:val="21"/>
              </w:rPr>
            </w:pPr>
            <w:r>
              <w:rPr>
                <w:rFonts w:hint="eastAsia" w:ascii="宋体" w:hAnsi="宋体" w:eastAsia="宋体" w:cs="Times New Roman"/>
                <w:color w:val="auto"/>
                <w:kern w:val="0"/>
                <w:szCs w:val="21"/>
              </w:rPr>
              <w:t>（</w:t>
            </w:r>
            <w:r>
              <w:rPr>
                <w:rFonts w:hint="eastAsia" w:ascii="宋体" w:hAnsi="宋体" w:cs="Times New Roman"/>
                <w:color w:val="auto"/>
                <w:kern w:val="0"/>
                <w:szCs w:val="21"/>
                <w:lang w:val="en-US" w:eastAsia="zh-CN"/>
              </w:rPr>
              <w:t>30</w:t>
            </w:r>
            <w:r>
              <w:rPr>
                <w:rFonts w:hint="eastAsia" w:ascii="宋体" w:hAnsi="宋体" w:eastAsia="宋体" w:cs="Times New Roman"/>
                <w:color w:val="auto"/>
                <w:kern w:val="0"/>
                <w:szCs w:val="21"/>
              </w:rPr>
              <w:t>分）</w:t>
            </w:r>
          </w:p>
        </w:tc>
        <w:tc>
          <w:tcPr>
            <w:tcW w:w="4940" w:type="dxa"/>
            <w:tcBorders>
              <w:top w:val="single" w:color="auto" w:sz="4" w:space="0"/>
              <w:left w:val="single" w:color="auto" w:sz="4" w:space="0"/>
              <w:right w:val="single" w:color="auto" w:sz="4" w:space="0"/>
            </w:tcBorders>
            <w:vAlign w:val="center"/>
          </w:tcPr>
          <w:p w14:paraId="4C01CBB6">
            <w:pPr>
              <w:pStyle w:val="76"/>
              <w:spacing w:line="400" w:lineRule="exact"/>
              <w:ind w:firstLine="0"/>
              <w:jc w:val="left"/>
              <w:rPr>
                <w:rFonts w:ascii="宋体" w:hAnsi="宋体" w:eastAsia="宋体" w:cs="宋体"/>
                <w:color w:val="auto"/>
                <w:kern w:val="0"/>
                <w:sz w:val="22"/>
                <w:lang w:bidi="ar"/>
              </w:rPr>
            </w:pPr>
            <w:r>
              <w:rPr>
                <w:rFonts w:hint="eastAsia" w:ascii="宋体" w:hAnsi="宋体" w:eastAsia="宋体" w:cs="宋体"/>
                <w:color w:val="auto"/>
                <w:kern w:val="0"/>
                <w:sz w:val="22"/>
                <w:lang w:bidi="ar"/>
              </w:rPr>
              <w:t>技术指标完全满足招标文件要求的，得基础分</w:t>
            </w:r>
            <w:r>
              <w:rPr>
                <w:rFonts w:ascii="宋体" w:hAnsi="宋体" w:eastAsia="宋体" w:cs="宋体"/>
                <w:color w:val="auto"/>
                <w:kern w:val="0"/>
                <w:sz w:val="22"/>
                <w:lang w:bidi="ar"/>
              </w:rPr>
              <w:t>3</w:t>
            </w:r>
            <w:r>
              <w:rPr>
                <w:rFonts w:hint="eastAsia" w:ascii="宋体" w:hAnsi="宋体" w:eastAsia="宋体" w:cs="宋体"/>
                <w:color w:val="auto"/>
                <w:kern w:val="0"/>
                <w:sz w:val="22"/>
                <w:lang w:val="en-US" w:eastAsia="zh-CN" w:bidi="ar"/>
              </w:rPr>
              <w:t>0</w:t>
            </w:r>
            <w:r>
              <w:rPr>
                <w:rFonts w:hint="eastAsia" w:ascii="宋体" w:hAnsi="宋体" w:eastAsia="宋体" w:cs="宋体"/>
                <w:color w:val="auto"/>
                <w:kern w:val="0"/>
                <w:sz w:val="22"/>
                <w:lang w:bidi="ar"/>
              </w:rPr>
              <w:t>分。</w:t>
            </w:r>
          </w:p>
          <w:p w14:paraId="7580518D">
            <w:pPr>
              <w:pStyle w:val="76"/>
              <w:spacing w:line="400" w:lineRule="exact"/>
              <w:ind w:firstLine="0"/>
              <w:jc w:val="left"/>
              <w:rPr>
                <w:rFonts w:hint="eastAsia" w:ascii="宋体" w:hAnsi="宋体" w:eastAsia="宋体" w:cs="宋体"/>
                <w:color w:val="auto"/>
                <w:kern w:val="0"/>
                <w:sz w:val="22"/>
                <w:lang w:bidi="ar"/>
              </w:rPr>
            </w:pPr>
            <w:r>
              <w:rPr>
                <w:rFonts w:hint="eastAsia" w:ascii="宋体" w:hAnsi="宋体" w:eastAsia="宋体" w:cs="宋体"/>
                <w:color w:val="auto"/>
                <w:kern w:val="0"/>
                <w:sz w:val="22"/>
                <w:lang w:bidi="ar"/>
              </w:rPr>
              <w:t>有不符合部分按以下原则进行扣分：</w:t>
            </w:r>
          </w:p>
          <w:p w14:paraId="10043368">
            <w:pPr>
              <w:pStyle w:val="76"/>
              <w:spacing w:line="400" w:lineRule="exact"/>
              <w:ind w:firstLine="0"/>
              <w:jc w:val="left"/>
              <w:rPr>
                <w:rFonts w:hint="eastAsia" w:ascii="宋体" w:hAnsi="宋体"/>
                <w:color w:val="auto"/>
                <w:kern w:val="0"/>
                <w:szCs w:val="21"/>
              </w:rPr>
            </w:pPr>
            <w:r>
              <w:rPr>
                <w:rFonts w:hint="eastAsia" w:ascii="宋体" w:hAnsi="宋体" w:eastAsia="宋体" w:cs="宋体"/>
                <w:color w:val="auto"/>
                <w:kern w:val="0"/>
                <w:sz w:val="22"/>
                <w:lang w:bidi="ar"/>
              </w:rPr>
              <w:t>技术参数不能满足招标文件要求的，每有一项</w:t>
            </w:r>
            <w:r>
              <w:rPr>
                <w:rFonts w:hint="eastAsia" w:ascii="宋体" w:hAnsi="宋体" w:eastAsia="宋体" w:cs="宋体"/>
                <w:color w:val="auto"/>
                <w:kern w:val="0"/>
                <w:sz w:val="22"/>
                <w:lang w:val="en-US" w:eastAsia="zh-CN" w:bidi="ar"/>
              </w:rPr>
              <w:t>▲项不满足的扣1分，非▲项</w:t>
            </w:r>
            <w:r>
              <w:rPr>
                <w:rFonts w:hint="eastAsia" w:ascii="宋体" w:hAnsi="宋体" w:eastAsia="宋体" w:cs="宋体"/>
                <w:color w:val="auto"/>
                <w:kern w:val="0"/>
                <w:sz w:val="22"/>
                <w:lang w:bidi="ar"/>
              </w:rPr>
              <w:t>不满足</w:t>
            </w:r>
            <w:r>
              <w:rPr>
                <w:rFonts w:hint="eastAsia" w:ascii="宋体" w:hAnsi="宋体" w:eastAsia="宋体" w:cs="宋体"/>
                <w:color w:val="auto"/>
                <w:kern w:val="0"/>
                <w:sz w:val="22"/>
                <w:lang w:val="en-US" w:eastAsia="zh-CN" w:bidi="ar"/>
              </w:rPr>
              <w:t>的</w:t>
            </w:r>
            <w:r>
              <w:rPr>
                <w:rFonts w:hint="eastAsia" w:ascii="宋体" w:hAnsi="宋体" w:eastAsia="宋体" w:cs="宋体"/>
                <w:color w:val="auto"/>
                <w:kern w:val="0"/>
                <w:sz w:val="22"/>
                <w:lang w:bidi="ar"/>
              </w:rPr>
              <w:t>扣</w:t>
            </w:r>
            <w:r>
              <w:rPr>
                <w:rFonts w:hint="eastAsia" w:ascii="宋体" w:hAnsi="宋体" w:eastAsia="宋体" w:cs="宋体"/>
                <w:color w:val="auto"/>
                <w:kern w:val="0"/>
                <w:sz w:val="22"/>
                <w:lang w:val="en-US" w:eastAsia="zh-CN" w:bidi="ar"/>
              </w:rPr>
              <w:t>0.5</w:t>
            </w:r>
            <w:r>
              <w:rPr>
                <w:rFonts w:hint="eastAsia" w:ascii="宋体" w:hAnsi="宋体" w:eastAsia="宋体" w:cs="宋体"/>
                <w:color w:val="auto"/>
                <w:kern w:val="0"/>
                <w:sz w:val="22"/>
                <w:lang w:bidi="ar"/>
              </w:rPr>
              <w:t>分，扣完为止。</w:t>
            </w:r>
          </w:p>
        </w:tc>
        <w:tc>
          <w:tcPr>
            <w:tcW w:w="896" w:type="dxa"/>
            <w:tcBorders>
              <w:left w:val="single" w:color="auto" w:sz="4" w:space="0"/>
              <w:right w:val="single" w:color="auto" w:sz="4" w:space="0"/>
            </w:tcBorders>
            <w:vAlign w:val="center"/>
          </w:tcPr>
          <w:p w14:paraId="0DAE939B">
            <w:pPr>
              <w:autoSpaceDE w:val="0"/>
              <w:autoSpaceDN w:val="0"/>
              <w:adjustRightInd w:val="0"/>
              <w:spacing w:line="360" w:lineRule="exact"/>
              <w:jc w:val="center"/>
              <w:rPr>
                <w:rFonts w:hint="eastAsia" w:ascii="宋体" w:hAnsi="宋体"/>
                <w:color w:val="auto"/>
                <w:kern w:val="0"/>
                <w:szCs w:val="21"/>
              </w:rPr>
            </w:pPr>
            <w:r>
              <w:rPr>
                <w:rFonts w:hint="eastAsia" w:ascii="宋体" w:hAnsi="宋体"/>
                <w:color w:val="auto"/>
                <w:kern w:val="0"/>
                <w:szCs w:val="21"/>
              </w:rPr>
              <w:t>0-</w:t>
            </w:r>
            <w:r>
              <w:rPr>
                <w:rFonts w:hint="eastAsia" w:ascii="宋体" w:hAnsi="宋体"/>
                <w:color w:val="auto"/>
                <w:kern w:val="0"/>
                <w:szCs w:val="21"/>
                <w:lang w:val="en-US" w:eastAsia="zh-CN"/>
              </w:rPr>
              <w:t>30</w:t>
            </w:r>
            <w:r>
              <w:rPr>
                <w:rFonts w:hint="eastAsia" w:ascii="宋体" w:hAnsi="宋体"/>
                <w:color w:val="auto"/>
                <w:kern w:val="0"/>
                <w:szCs w:val="21"/>
              </w:rPr>
              <w:t>分</w:t>
            </w:r>
          </w:p>
        </w:tc>
      </w:tr>
      <w:tr w14:paraId="69CF7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1276" w:type="dxa"/>
            <w:vMerge w:val="continue"/>
            <w:tcBorders>
              <w:left w:val="single" w:color="auto" w:sz="4" w:space="0"/>
              <w:right w:val="single" w:color="auto" w:sz="4" w:space="0"/>
            </w:tcBorders>
            <w:vAlign w:val="center"/>
          </w:tcPr>
          <w:p w14:paraId="0E71B61D">
            <w:pPr>
              <w:autoSpaceDE w:val="0"/>
              <w:autoSpaceDN w:val="0"/>
              <w:adjustRightInd w:val="0"/>
              <w:spacing w:line="360" w:lineRule="exact"/>
              <w:jc w:val="center"/>
              <w:rPr>
                <w:rFonts w:hint="eastAsia" w:ascii="宋体" w:hAnsi="宋体"/>
                <w:color w:val="auto"/>
                <w:kern w:val="0"/>
                <w:szCs w:val="21"/>
              </w:rPr>
            </w:pPr>
          </w:p>
        </w:tc>
        <w:tc>
          <w:tcPr>
            <w:tcW w:w="2385" w:type="dxa"/>
            <w:tcBorders>
              <w:top w:val="single" w:color="auto" w:sz="4" w:space="0"/>
              <w:left w:val="single" w:color="auto" w:sz="4" w:space="0"/>
              <w:right w:val="single" w:color="auto" w:sz="4" w:space="0"/>
            </w:tcBorders>
            <w:vAlign w:val="center"/>
          </w:tcPr>
          <w:p w14:paraId="4E5E4817">
            <w:pPr>
              <w:autoSpaceDE w:val="0"/>
              <w:autoSpaceDN w:val="0"/>
              <w:adjustRightInd w:val="0"/>
              <w:spacing w:line="360" w:lineRule="exact"/>
              <w:jc w:val="center"/>
              <w:rPr>
                <w:rFonts w:hint="eastAsia" w:ascii="宋体" w:hAnsi="宋体" w:eastAsia="宋体" w:cs="Times New Roman"/>
                <w:color w:val="auto"/>
                <w:kern w:val="0"/>
                <w:szCs w:val="21"/>
              </w:rPr>
            </w:pPr>
            <w:r>
              <w:rPr>
                <w:rFonts w:hint="eastAsia" w:ascii="宋体" w:hAnsi="宋体" w:eastAsia="宋体" w:cs="Times New Roman"/>
                <w:color w:val="auto"/>
                <w:kern w:val="0"/>
                <w:szCs w:val="21"/>
              </w:rPr>
              <w:t>产品供货方案与技术措施</w:t>
            </w:r>
          </w:p>
          <w:p w14:paraId="0B7627EA">
            <w:pPr>
              <w:autoSpaceDE w:val="0"/>
              <w:autoSpaceDN w:val="0"/>
              <w:adjustRightInd w:val="0"/>
              <w:spacing w:line="360" w:lineRule="exact"/>
              <w:jc w:val="center"/>
              <w:rPr>
                <w:rFonts w:hint="eastAsia" w:ascii="宋体" w:hAnsi="宋体" w:eastAsia="宋体" w:cs="Times New Roman"/>
                <w:color w:val="auto"/>
                <w:kern w:val="0"/>
                <w:szCs w:val="21"/>
                <w:lang w:val="en-US" w:eastAsia="zh-CN"/>
              </w:rPr>
            </w:pPr>
            <w:r>
              <w:rPr>
                <w:rFonts w:hint="eastAsia" w:ascii="宋体" w:hAnsi="宋体" w:eastAsia="宋体" w:cs="Times New Roman"/>
                <w:color w:val="auto"/>
                <w:kern w:val="0"/>
                <w:szCs w:val="21"/>
              </w:rPr>
              <w:t>（</w:t>
            </w:r>
            <w:r>
              <w:rPr>
                <w:rFonts w:hint="eastAsia" w:ascii="宋体" w:hAnsi="宋体" w:cs="Times New Roman"/>
                <w:color w:val="auto"/>
                <w:kern w:val="0"/>
                <w:szCs w:val="21"/>
                <w:lang w:val="en-US" w:eastAsia="zh-CN"/>
              </w:rPr>
              <w:t>8</w:t>
            </w:r>
            <w:r>
              <w:rPr>
                <w:rFonts w:hint="eastAsia" w:ascii="宋体" w:hAnsi="宋体" w:eastAsia="宋体" w:cs="Times New Roman"/>
                <w:color w:val="auto"/>
                <w:kern w:val="0"/>
                <w:szCs w:val="21"/>
              </w:rPr>
              <w:t>分）</w:t>
            </w:r>
          </w:p>
        </w:tc>
        <w:tc>
          <w:tcPr>
            <w:tcW w:w="4940" w:type="dxa"/>
            <w:tcBorders>
              <w:top w:val="single" w:color="auto" w:sz="4" w:space="0"/>
              <w:left w:val="single" w:color="auto" w:sz="4" w:space="0"/>
              <w:right w:val="single" w:color="auto" w:sz="4" w:space="0"/>
            </w:tcBorders>
            <w:vAlign w:val="center"/>
          </w:tcPr>
          <w:p w14:paraId="69517350">
            <w:pPr>
              <w:tabs>
                <w:tab w:val="left" w:pos="3000"/>
              </w:tabs>
              <w:spacing w:line="460" w:lineRule="exact"/>
              <w:jc w:val="left"/>
              <w:rPr>
                <w:rFonts w:hint="eastAsia" w:ascii="宋体" w:hAnsi="宋体" w:eastAsia="宋体" w:cs="宋体"/>
                <w:color w:val="auto"/>
                <w:szCs w:val="21"/>
                <w:lang w:val="en-US" w:eastAsia="zh-CN"/>
              </w:rPr>
            </w:pPr>
            <w:r>
              <w:rPr>
                <w:rFonts w:hint="eastAsia" w:ascii="宋体" w:hAnsi="宋体" w:cs="宋体"/>
                <w:color w:val="auto"/>
              </w:rPr>
              <w:t>根据供货方案与技术措施的合理性、可实施性等方面进行对比，</w:t>
            </w:r>
            <w:r>
              <w:rPr>
                <w:rFonts w:hint="eastAsia" w:ascii="宋体" w:hAnsi="宋体" w:cs="宋体"/>
                <w:color w:val="auto"/>
                <w:szCs w:val="21"/>
              </w:rPr>
              <w:t>优秀</w:t>
            </w:r>
            <w:r>
              <w:rPr>
                <w:rFonts w:hint="eastAsia" w:ascii="宋体" w:hAnsi="宋体" w:cs="宋体"/>
                <w:color w:val="auto"/>
                <w:szCs w:val="21"/>
                <w:lang w:val="en-US" w:eastAsia="zh-CN"/>
              </w:rPr>
              <w:t>的得8</w:t>
            </w:r>
            <w:r>
              <w:rPr>
                <w:rFonts w:hint="eastAsia" w:ascii="宋体" w:hAnsi="宋体" w:cs="宋体"/>
                <w:color w:val="auto"/>
                <w:szCs w:val="21"/>
              </w:rPr>
              <w:t>分，一般</w:t>
            </w:r>
            <w:r>
              <w:rPr>
                <w:rFonts w:hint="eastAsia" w:ascii="宋体" w:hAnsi="宋体" w:cs="宋体"/>
                <w:color w:val="auto"/>
                <w:szCs w:val="21"/>
                <w:lang w:val="en-US" w:eastAsia="zh-CN"/>
              </w:rPr>
              <w:t>的得5</w:t>
            </w:r>
            <w:r>
              <w:rPr>
                <w:rFonts w:hint="eastAsia" w:ascii="宋体" w:hAnsi="宋体" w:cs="宋体"/>
                <w:color w:val="auto"/>
                <w:szCs w:val="21"/>
              </w:rPr>
              <w:t>分，未提供不</w:t>
            </w:r>
            <w:r>
              <w:rPr>
                <w:rFonts w:hint="eastAsia" w:ascii="宋体" w:hAnsi="宋体" w:cs="宋体"/>
                <w:color w:val="auto"/>
                <w:szCs w:val="21"/>
                <w:lang w:val="en-US" w:eastAsia="zh-CN"/>
              </w:rPr>
              <w:t>得</w:t>
            </w:r>
            <w:r>
              <w:rPr>
                <w:rFonts w:hint="eastAsia" w:ascii="宋体" w:hAnsi="宋体" w:cs="宋体"/>
                <w:color w:val="auto"/>
                <w:szCs w:val="21"/>
              </w:rPr>
              <w:t>分</w:t>
            </w:r>
            <w:r>
              <w:rPr>
                <w:rFonts w:hint="eastAsia" w:ascii="宋体" w:hAnsi="宋体" w:cs="宋体"/>
                <w:color w:val="auto"/>
              </w:rPr>
              <w:t>。</w:t>
            </w:r>
          </w:p>
        </w:tc>
        <w:tc>
          <w:tcPr>
            <w:tcW w:w="896" w:type="dxa"/>
            <w:tcBorders>
              <w:left w:val="single" w:color="auto" w:sz="4" w:space="0"/>
              <w:right w:val="single" w:color="auto" w:sz="4" w:space="0"/>
            </w:tcBorders>
            <w:vAlign w:val="center"/>
          </w:tcPr>
          <w:p w14:paraId="07246183">
            <w:pPr>
              <w:autoSpaceDE w:val="0"/>
              <w:autoSpaceDN w:val="0"/>
              <w:adjustRightInd w:val="0"/>
              <w:spacing w:line="360" w:lineRule="exact"/>
              <w:jc w:val="center"/>
              <w:rPr>
                <w:rFonts w:hint="eastAsia" w:ascii="宋体" w:hAnsi="宋体"/>
                <w:color w:val="auto"/>
                <w:kern w:val="0"/>
                <w:szCs w:val="21"/>
              </w:rPr>
            </w:pPr>
            <w:r>
              <w:rPr>
                <w:rFonts w:hint="eastAsia" w:ascii="宋体" w:hAnsi="宋体"/>
                <w:color w:val="auto"/>
                <w:kern w:val="0"/>
                <w:szCs w:val="21"/>
              </w:rPr>
              <w:t>0-</w:t>
            </w:r>
            <w:r>
              <w:rPr>
                <w:rFonts w:hint="eastAsia" w:ascii="宋体" w:hAnsi="宋体"/>
                <w:color w:val="auto"/>
                <w:kern w:val="0"/>
                <w:szCs w:val="21"/>
                <w:lang w:val="en-US" w:eastAsia="zh-CN"/>
              </w:rPr>
              <w:t>8</w:t>
            </w:r>
            <w:bookmarkStart w:id="181" w:name="_GoBack"/>
            <w:bookmarkEnd w:id="181"/>
            <w:r>
              <w:rPr>
                <w:rFonts w:hint="eastAsia" w:ascii="宋体" w:hAnsi="宋体"/>
                <w:color w:val="auto"/>
                <w:kern w:val="0"/>
                <w:szCs w:val="21"/>
              </w:rPr>
              <w:t>分</w:t>
            </w:r>
          </w:p>
        </w:tc>
      </w:tr>
      <w:tr w14:paraId="0F1DA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trPr>
        <w:tc>
          <w:tcPr>
            <w:tcW w:w="1276" w:type="dxa"/>
            <w:vMerge w:val="continue"/>
            <w:tcBorders>
              <w:left w:val="single" w:color="auto" w:sz="4" w:space="0"/>
              <w:right w:val="single" w:color="auto" w:sz="4" w:space="0"/>
            </w:tcBorders>
            <w:vAlign w:val="center"/>
          </w:tcPr>
          <w:p w14:paraId="5EBD0A87">
            <w:pPr>
              <w:autoSpaceDE w:val="0"/>
              <w:autoSpaceDN w:val="0"/>
              <w:adjustRightInd w:val="0"/>
              <w:spacing w:line="360" w:lineRule="exact"/>
              <w:jc w:val="center"/>
              <w:rPr>
                <w:rFonts w:hint="eastAsia" w:ascii="宋体" w:hAnsi="宋体"/>
                <w:color w:val="auto"/>
                <w:kern w:val="0"/>
                <w:szCs w:val="21"/>
              </w:rPr>
            </w:pPr>
          </w:p>
        </w:tc>
        <w:tc>
          <w:tcPr>
            <w:tcW w:w="2385" w:type="dxa"/>
            <w:tcBorders>
              <w:top w:val="single" w:color="auto" w:sz="4" w:space="0"/>
              <w:left w:val="single" w:color="auto" w:sz="4" w:space="0"/>
              <w:right w:val="single" w:color="auto" w:sz="4" w:space="0"/>
            </w:tcBorders>
            <w:vAlign w:val="center"/>
          </w:tcPr>
          <w:p w14:paraId="6E876605">
            <w:pPr>
              <w:autoSpaceDE w:val="0"/>
              <w:autoSpaceDN w:val="0"/>
              <w:adjustRightInd w:val="0"/>
              <w:spacing w:line="360" w:lineRule="exact"/>
              <w:jc w:val="center"/>
              <w:rPr>
                <w:rFonts w:hint="eastAsia" w:ascii="宋体" w:hAnsi="宋体" w:eastAsia="宋体" w:cs="Times New Roman"/>
                <w:color w:val="auto"/>
                <w:kern w:val="0"/>
                <w:szCs w:val="21"/>
              </w:rPr>
            </w:pPr>
            <w:r>
              <w:rPr>
                <w:rFonts w:hint="eastAsia" w:ascii="宋体" w:hAnsi="宋体" w:eastAsia="宋体" w:cs="Times New Roman"/>
                <w:color w:val="auto"/>
                <w:kern w:val="0"/>
                <w:szCs w:val="21"/>
              </w:rPr>
              <w:t>质量保证方案及措施</w:t>
            </w:r>
          </w:p>
          <w:p w14:paraId="73F0FDE4">
            <w:pPr>
              <w:autoSpaceDE w:val="0"/>
              <w:autoSpaceDN w:val="0"/>
              <w:adjustRightInd w:val="0"/>
              <w:spacing w:line="360" w:lineRule="exact"/>
              <w:jc w:val="center"/>
              <w:rPr>
                <w:rFonts w:hint="eastAsia" w:ascii="宋体" w:hAnsi="宋体" w:eastAsia="宋体" w:cs="Times New Roman"/>
                <w:color w:val="auto"/>
                <w:kern w:val="0"/>
                <w:szCs w:val="21"/>
                <w:lang w:val="en-US" w:eastAsia="zh-CN"/>
              </w:rPr>
            </w:pPr>
            <w:r>
              <w:rPr>
                <w:rFonts w:hint="eastAsia" w:ascii="宋体" w:hAnsi="宋体" w:eastAsia="宋体" w:cs="Times New Roman"/>
                <w:color w:val="auto"/>
                <w:kern w:val="0"/>
                <w:szCs w:val="21"/>
              </w:rPr>
              <w:t>（</w:t>
            </w:r>
            <w:r>
              <w:rPr>
                <w:rFonts w:hint="eastAsia" w:ascii="宋体" w:hAnsi="宋体" w:cs="Times New Roman"/>
                <w:color w:val="auto"/>
                <w:kern w:val="0"/>
                <w:szCs w:val="21"/>
                <w:lang w:val="en-US" w:eastAsia="zh-CN"/>
              </w:rPr>
              <w:t>8</w:t>
            </w:r>
            <w:r>
              <w:rPr>
                <w:rFonts w:hint="eastAsia" w:ascii="宋体" w:hAnsi="宋体" w:eastAsia="宋体" w:cs="Times New Roman"/>
                <w:color w:val="auto"/>
                <w:kern w:val="0"/>
                <w:szCs w:val="21"/>
              </w:rPr>
              <w:t>分）</w:t>
            </w:r>
          </w:p>
        </w:tc>
        <w:tc>
          <w:tcPr>
            <w:tcW w:w="4940" w:type="dxa"/>
            <w:tcBorders>
              <w:top w:val="single" w:color="auto" w:sz="4" w:space="0"/>
              <w:left w:val="single" w:color="auto" w:sz="4" w:space="0"/>
              <w:right w:val="single" w:color="auto" w:sz="4" w:space="0"/>
            </w:tcBorders>
            <w:vAlign w:val="center"/>
          </w:tcPr>
          <w:p w14:paraId="566D6C39">
            <w:pPr>
              <w:tabs>
                <w:tab w:val="left" w:pos="3000"/>
              </w:tabs>
              <w:spacing w:line="460" w:lineRule="exact"/>
              <w:jc w:val="left"/>
              <w:rPr>
                <w:rFonts w:hint="eastAsia" w:ascii="宋体" w:hAnsi="宋体" w:eastAsia="宋体" w:cs="宋体"/>
                <w:color w:val="auto"/>
                <w:szCs w:val="21"/>
                <w:lang w:val="en-US" w:eastAsia="zh-CN"/>
              </w:rPr>
            </w:pPr>
            <w:r>
              <w:rPr>
                <w:rFonts w:hint="eastAsia" w:ascii="宋体" w:hAnsi="宋体" w:cs="宋体"/>
                <w:color w:val="auto"/>
              </w:rPr>
              <w:t>根据方案及措施的合理性、可实施性等方面进行对比，</w:t>
            </w:r>
            <w:r>
              <w:rPr>
                <w:rFonts w:hint="eastAsia" w:ascii="宋体" w:hAnsi="宋体" w:cs="宋体"/>
                <w:color w:val="auto"/>
                <w:szCs w:val="21"/>
              </w:rPr>
              <w:t>优秀</w:t>
            </w:r>
            <w:r>
              <w:rPr>
                <w:rFonts w:hint="eastAsia" w:ascii="宋体" w:hAnsi="宋体" w:cs="宋体"/>
                <w:color w:val="auto"/>
                <w:szCs w:val="21"/>
                <w:lang w:val="en-US" w:eastAsia="zh-CN"/>
              </w:rPr>
              <w:t>的得8</w:t>
            </w:r>
            <w:r>
              <w:rPr>
                <w:rFonts w:hint="eastAsia" w:ascii="宋体" w:hAnsi="宋体" w:cs="宋体"/>
                <w:color w:val="auto"/>
                <w:szCs w:val="21"/>
              </w:rPr>
              <w:t>分，一般</w:t>
            </w:r>
            <w:r>
              <w:rPr>
                <w:rFonts w:hint="eastAsia" w:ascii="宋体" w:hAnsi="宋体" w:cs="宋体"/>
                <w:color w:val="auto"/>
                <w:szCs w:val="21"/>
                <w:lang w:val="en-US" w:eastAsia="zh-CN"/>
              </w:rPr>
              <w:t>的得5</w:t>
            </w:r>
            <w:r>
              <w:rPr>
                <w:rFonts w:hint="eastAsia" w:ascii="宋体" w:hAnsi="宋体" w:cs="宋体"/>
                <w:color w:val="auto"/>
                <w:szCs w:val="21"/>
              </w:rPr>
              <w:t>分，未提供不</w:t>
            </w:r>
            <w:r>
              <w:rPr>
                <w:rFonts w:hint="eastAsia" w:ascii="宋体" w:hAnsi="宋体" w:cs="宋体"/>
                <w:color w:val="auto"/>
                <w:szCs w:val="21"/>
                <w:lang w:val="en-US" w:eastAsia="zh-CN"/>
              </w:rPr>
              <w:t>得</w:t>
            </w:r>
            <w:r>
              <w:rPr>
                <w:rFonts w:hint="eastAsia" w:ascii="宋体" w:hAnsi="宋体" w:cs="宋体"/>
                <w:color w:val="auto"/>
                <w:szCs w:val="21"/>
              </w:rPr>
              <w:t>分</w:t>
            </w:r>
            <w:r>
              <w:rPr>
                <w:rFonts w:hint="eastAsia" w:ascii="宋体" w:hAnsi="宋体" w:cs="宋体"/>
                <w:color w:val="auto"/>
              </w:rPr>
              <w:t>。</w:t>
            </w:r>
          </w:p>
        </w:tc>
        <w:tc>
          <w:tcPr>
            <w:tcW w:w="896" w:type="dxa"/>
            <w:tcBorders>
              <w:left w:val="single" w:color="auto" w:sz="4" w:space="0"/>
              <w:right w:val="single" w:color="auto" w:sz="4" w:space="0"/>
            </w:tcBorders>
            <w:vAlign w:val="center"/>
          </w:tcPr>
          <w:p w14:paraId="69A1A340">
            <w:pPr>
              <w:autoSpaceDE w:val="0"/>
              <w:autoSpaceDN w:val="0"/>
              <w:adjustRightInd w:val="0"/>
              <w:spacing w:line="360" w:lineRule="exact"/>
              <w:jc w:val="center"/>
              <w:rPr>
                <w:rFonts w:hint="eastAsia" w:ascii="宋体" w:hAnsi="宋体"/>
                <w:color w:val="auto"/>
                <w:kern w:val="0"/>
                <w:szCs w:val="21"/>
              </w:rPr>
            </w:pPr>
            <w:r>
              <w:rPr>
                <w:rFonts w:hint="eastAsia" w:ascii="宋体" w:hAnsi="宋体"/>
                <w:color w:val="auto"/>
                <w:kern w:val="0"/>
                <w:szCs w:val="21"/>
              </w:rPr>
              <w:t>0-</w:t>
            </w:r>
            <w:r>
              <w:rPr>
                <w:rFonts w:hint="eastAsia" w:ascii="宋体" w:hAnsi="宋体"/>
                <w:color w:val="auto"/>
                <w:kern w:val="0"/>
                <w:szCs w:val="21"/>
                <w:lang w:val="en-US" w:eastAsia="zh-CN"/>
              </w:rPr>
              <w:t>8</w:t>
            </w:r>
            <w:r>
              <w:rPr>
                <w:rFonts w:hint="eastAsia" w:ascii="宋体" w:hAnsi="宋体"/>
                <w:color w:val="auto"/>
                <w:kern w:val="0"/>
                <w:szCs w:val="21"/>
              </w:rPr>
              <w:t>分</w:t>
            </w:r>
          </w:p>
        </w:tc>
      </w:tr>
      <w:tr w14:paraId="29996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276" w:type="dxa"/>
            <w:vMerge w:val="restart"/>
            <w:tcBorders>
              <w:left w:val="single" w:color="auto" w:sz="4" w:space="0"/>
              <w:right w:val="single" w:color="auto" w:sz="4" w:space="0"/>
            </w:tcBorders>
            <w:vAlign w:val="center"/>
          </w:tcPr>
          <w:p w14:paraId="0726E1BE">
            <w:pPr>
              <w:autoSpaceDE w:val="0"/>
              <w:autoSpaceDN w:val="0"/>
              <w:adjustRightInd w:val="0"/>
              <w:spacing w:line="360" w:lineRule="exact"/>
              <w:jc w:val="center"/>
              <w:rPr>
                <w:rFonts w:ascii="宋体" w:hAnsi="宋体"/>
                <w:color w:val="auto"/>
                <w:kern w:val="0"/>
                <w:szCs w:val="21"/>
              </w:rPr>
            </w:pPr>
            <w:r>
              <w:rPr>
                <w:rFonts w:hint="eastAsia" w:ascii="宋体" w:hAnsi="宋体"/>
                <w:color w:val="auto"/>
                <w:kern w:val="0"/>
                <w:szCs w:val="21"/>
                <w:lang w:val="en-US" w:eastAsia="zh-CN"/>
              </w:rPr>
              <w:t>综合</w:t>
            </w:r>
            <w:r>
              <w:rPr>
                <w:rFonts w:hint="eastAsia" w:ascii="宋体" w:hAnsi="宋体"/>
                <w:color w:val="auto"/>
                <w:kern w:val="0"/>
                <w:szCs w:val="21"/>
                <w:lang w:eastAsia="zh-CN"/>
              </w:rPr>
              <w:t>部分</w:t>
            </w:r>
            <w:r>
              <w:rPr>
                <w:rFonts w:hint="eastAsia" w:ascii="宋体" w:hAnsi="宋体"/>
                <w:color w:val="auto"/>
                <w:kern w:val="0"/>
                <w:szCs w:val="21"/>
              </w:rPr>
              <w:t>（</w:t>
            </w:r>
            <w:r>
              <w:rPr>
                <w:rFonts w:hint="eastAsia" w:ascii="宋体" w:hAnsi="宋体"/>
                <w:color w:val="auto"/>
                <w:kern w:val="0"/>
                <w:szCs w:val="21"/>
                <w:lang w:val="en-US" w:eastAsia="zh-CN"/>
              </w:rPr>
              <w:t>24</w:t>
            </w:r>
            <w:r>
              <w:rPr>
                <w:rFonts w:hint="eastAsia" w:ascii="宋体" w:hAnsi="宋体"/>
                <w:color w:val="auto"/>
                <w:kern w:val="0"/>
                <w:szCs w:val="21"/>
              </w:rPr>
              <w:t>分）</w:t>
            </w:r>
          </w:p>
        </w:tc>
        <w:tc>
          <w:tcPr>
            <w:tcW w:w="2385" w:type="dxa"/>
            <w:tcBorders>
              <w:top w:val="single" w:color="auto" w:sz="4" w:space="0"/>
              <w:left w:val="single" w:color="auto" w:sz="4" w:space="0"/>
              <w:right w:val="single" w:color="auto" w:sz="4" w:space="0"/>
            </w:tcBorders>
            <w:vAlign w:val="center"/>
          </w:tcPr>
          <w:p w14:paraId="2589C71A">
            <w:pPr>
              <w:autoSpaceDE w:val="0"/>
              <w:autoSpaceDN w:val="0"/>
              <w:adjustRightInd w:val="0"/>
              <w:spacing w:line="360" w:lineRule="exact"/>
              <w:jc w:val="center"/>
              <w:rPr>
                <w:rFonts w:hint="eastAsia" w:ascii="宋体" w:hAnsi="宋体" w:eastAsia="宋体" w:cs="Times New Roman"/>
                <w:color w:val="auto"/>
                <w:kern w:val="0"/>
                <w:szCs w:val="21"/>
                <w:lang w:val="en-US" w:eastAsia="zh-CN"/>
              </w:rPr>
            </w:pPr>
            <w:r>
              <w:rPr>
                <w:rFonts w:hint="eastAsia" w:ascii="宋体" w:hAnsi="宋体" w:eastAsia="宋体" w:cs="Times New Roman"/>
                <w:color w:val="auto"/>
                <w:kern w:val="0"/>
                <w:szCs w:val="21"/>
                <w:lang w:val="en-US" w:eastAsia="zh-CN"/>
              </w:rPr>
              <w:t>企业业绩</w:t>
            </w:r>
          </w:p>
          <w:p w14:paraId="52DD4FDF">
            <w:pPr>
              <w:autoSpaceDE w:val="0"/>
              <w:autoSpaceDN w:val="0"/>
              <w:adjustRightInd w:val="0"/>
              <w:spacing w:line="360" w:lineRule="exact"/>
              <w:jc w:val="center"/>
              <w:rPr>
                <w:rFonts w:hint="eastAsia" w:ascii="宋体" w:hAnsi="宋体" w:eastAsia="宋体" w:cs="Times New Roman"/>
                <w:color w:val="auto"/>
                <w:kern w:val="0"/>
                <w:szCs w:val="21"/>
              </w:rPr>
            </w:pPr>
            <w:r>
              <w:rPr>
                <w:rFonts w:hint="eastAsia" w:ascii="宋体" w:hAnsi="宋体" w:eastAsia="宋体" w:cs="Times New Roman"/>
                <w:color w:val="auto"/>
                <w:kern w:val="0"/>
                <w:szCs w:val="21"/>
                <w:lang w:val="en-US" w:eastAsia="zh-CN"/>
              </w:rPr>
              <w:t>（6分）</w:t>
            </w:r>
          </w:p>
        </w:tc>
        <w:tc>
          <w:tcPr>
            <w:tcW w:w="4940" w:type="dxa"/>
            <w:tcBorders>
              <w:top w:val="single" w:color="auto" w:sz="4" w:space="0"/>
              <w:left w:val="single" w:color="auto" w:sz="4" w:space="0"/>
              <w:bottom w:val="single" w:color="auto" w:sz="4" w:space="0"/>
              <w:right w:val="single" w:color="auto" w:sz="4" w:space="0"/>
            </w:tcBorders>
            <w:vAlign w:val="center"/>
          </w:tcPr>
          <w:p w14:paraId="78589CF4">
            <w:pPr>
              <w:pStyle w:val="6"/>
              <w:tabs>
                <w:tab w:val="center" w:pos="2634"/>
              </w:tabs>
              <w:spacing w:line="360" w:lineRule="auto"/>
              <w:ind w:firstLine="0" w:firstLineChars="0"/>
              <w:rPr>
                <w:rFonts w:hint="eastAsia" w:ascii="宋体" w:hAnsi="宋体"/>
                <w:color w:val="auto"/>
                <w:kern w:val="0"/>
                <w:szCs w:val="21"/>
              </w:rPr>
            </w:pPr>
            <w:r>
              <w:rPr>
                <w:rFonts w:hint="eastAsia" w:ascii="宋体" w:hAnsi="宋体" w:cs="宋体"/>
                <w:color w:val="auto"/>
              </w:rPr>
              <w:t>供应商</w:t>
            </w:r>
            <w:r>
              <w:rPr>
                <w:rFonts w:hint="eastAsia" w:ascii="宋体" w:hAnsi="宋体" w:cs="宋体"/>
                <w:color w:val="auto"/>
                <w:lang w:val="en-US" w:eastAsia="zh-CN"/>
              </w:rPr>
              <w:t>或生产厂商</w:t>
            </w:r>
            <w:r>
              <w:rPr>
                <w:rFonts w:hint="eastAsia" w:ascii="宋体" w:hAnsi="宋体" w:cs="宋体"/>
                <w:color w:val="auto"/>
              </w:rPr>
              <w:t>具有20</w:t>
            </w:r>
            <w:r>
              <w:rPr>
                <w:rFonts w:hint="eastAsia" w:ascii="宋体" w:hAnsi="宋体" w:cs="宋体"/>
                <w:color w:val="auto"/>
                <w:lang w:val="en-US" w:eastAsia="zh-CN"/>
              </w:rPr>
              <w:t>23</w:t>
            </w:r>
            <w:r>
              <w:rPr>
                <w:rFonts w:hint="eastAsia" w:ascii="宋体" w:hAnsi="宋体" w:cs="宋体"/>
                <w:color w:val="auto"/>
              </w:rPr>
              <w:t>年</w:t>
            </w:r>
            <w:r>
              <w:rPr>
                <w:rFonts w:hint="eastAsia" w:ascii="宋体" w:hAnsi="宋体" w:cs="宋体"/>
                <w:color w:val="auto"/>
                <w:lang w:val="en-US" w:eastAsia="zh-CN"/>
              </w:rPr>
              <w:t>7</w:t>
            </w:r>
            <w:r>
              <w:rPr>
                <w:rFonts w:hint="eastAsia" w:ascii="宋体" w:hAnsi="宋体" w:cs="宋体"/>
                <w:color w:val="auto"/>
              </w:rPr>
              <w:t>月1日以来类似项目业绩，每提供一份业绩得</w:t>
            </w:r>
            <w:r>
              <w:rPr>
                <w:rFonts w:hint="eastAsia" w:ascii="宋体" w:hAnsi="宋体" w:cs="宋体"/>
                <w:color w:val="auto"/>
                <w:lang w:val="en-US" w:eastAsia="zh-CN"/>
              </w:rPr>
              <w:t>2</w:t>
            </w:r>
            <w:r>
              <w:rPr>
                <w:rFonts w:hint="eastAsia" w:ascii="宋体" w:hAnsi="宋体" w:cs="宋体"/>
                <w:color w:val="auto"/>
              </w:rPr>
              <w:t>分</w:t>
            </w:r>
            <w:r>
              <w:rPr>
                <w:rFonts w:hint="eastAsia" w:ascii="宋体" w:hAnsi="宋体" w:cs="宋体"/>
                <w:color w:val="auto"/>
                <w:lang w:eastAsia="zh-CN"/>
              </w:rPr>
              <w:t>，</w:t>
            </w:r>
            <w:r>
              <w:rPr>
                <w:rFonts w:hint="eastAsia" w:ascii="宋体" w:hAnsi="宋体" w:cs="宋体"/>
                <w:color w:val="auto"/>
              </w:rPr>
              <w:t>本项最多得</w:t>
            </w:r>
            <w:r>
              <w:rPr>
                <w:rFonts w:hint="eastAsia" w:ascii="宋体" w:hAnsi="宋体" w:cs="宋体"/>
                <w:color w:val="auto"/>
                <w:lang w:val="en-US" w:eastAsia="zh-CN"/>
              </w:rPr>
              <w:t>6</w:t>
            </w:r>
            <w:r>
              <w:rPr>
                <w:rFonts w:hint="eastAsia" w:ascii="宋体" w:hAnsi="宋体" w:cs="宋体"/>
                <w:color w:val="auto"/>
              </w:rPr>
              <w:t>分</w:t>
            </w:r>
            <w:r>
              <w:rPr>
                <w:rFonts w:hint="eastAsia" w:ascii="宋体" w:hAnsi="宋体" w:cs="宋体"/>
                <w:color w:val="auto"/>
                <w:lang w:eastAsia="zh-CN"/>
              </w:rPr>
              <w:t>，</w:t>
            </w:r>
            <w:r>
              <w:rPr>
                <w:rFonts w:hint="eastAsia" w:ascii="宋体" w:hAnsi="宋体" w:cs="宋体"/>
                <w:color w:val="auto"/>
                <w:szCs w:val="21"/>
                <w:lang w:val="en-US" w:eastAsia="zh-CN"/>
              </w:rPr>
              <w:t>未提供</w:t>
            </w:r>
            <w:r>
              <w:rPr>
                <w:rFonts w:hint="eastAsia" w:ascii="宋体" w:hAnsi="宋体" w:cs="宋体"/>
                <w:color w:val="auto"/>
                <w:szCs w:val="21"/>
              </w:rPr>
              <w:t>不得分。</w:t>
            </w:r>
            <w:r>
              <w:rPr>
                <w:rFonts w:hint="eastAsia" w:ascii="宋体" w:hAnsi="宋体" w:cs="宋体"/>
                <w:color w:val="auto"/>
              </w:rPr>
              <w:t>（提供合同扫描件</w:t>
            </w:r>
            <w:r>
              <w:rPr>
                <w:rFonts w:hint="eastAsia" w:ascii="宋体" w:hAnsi="宋体" w:cs="宋体"/>
                <w:color w:val="auto"/>
                <w:lang w:eastAsia="zh-CN"/>
              </w:rPr>
              <w:t>、</w:t>
            </w:r>
            <w:r>
              <w:rPr>
                <w:rFonts w:hint="eastAsia" w:ascii="宋体" w:hAnsi="宋体" w:cs="宋体"/>
                <w:color w:val="auto"/>
                <w:lang w:val="en-US" w:eastAsia="zh-CN"/>
              </w:rPr>
              <w:t>中标通知书</w:t>
            </w:r>
            <w:r>
              <w:rPr>
                <w:rFonts w:hint="eastAsia" w:ascii="宋体" w:hAnsi="宋体" w:cs="宋体"/>
                <w:color w:val="auto"/>
              </w:rPr>
              <w:t>，时间以签订合同日期为准）</w:t>
            </w:r>
          </w:p>
        </w:tc>
        <w:tc>
          <w:tcPr>
            <w:tcW w:w="896" w:type="dxa"/>
            <w:tcBorders>
              <w:top w:val="single" w:color="auto" w:sz="4" w:space="0"/>
              <w:left w:val="single" w:color="auto" w:sz="4" w:space="0"/>
              <w:bottom w:val="single" w:color="auto" w:sz="4" w:space="0"/>
              <w:right w:val="single" w:color="auto" w:sz="4" w:space="0"/>
            </w:tcBorders>
            <w:vAlign w:val="center"/>
          </w:tcPr>
          <w:p w14:paraId="69603D5B">
            <w:pPr>
              <w:autoSpaceDE w:val="0"/>
              <w:autoSpaceDN w:val="0"/>
              <w:adjustRightInd w:val="0"/>
              <w:spacing w:line="360" w:lineRule="exact"/>
              <w:jc w:val="center"/>
              <w:rPr>
                <w:rFonts w:hint="eastAsia" w:ascii="宋体" w:hAnsi="宋体"/>
                <w:color w:val="auto"/>
                <w:kern w:val="0"/>
                <w:szCs w:val="21"/>
              </w:rPr>
            </w:pPr>
            <w:r>
              <w:rPr>
                <w:rFonts w:hint="eastAsia" w:ascii="宋体" w:hAnsi="宋体"/>
                <w:color w:val="auto"/>
                <w:kern w:val="0"/>
                <w:szCs w:val="21"/>
              </w:rPr>
              <w:t>0-</w:t>
            </w:r>
            <w:r>
              <w:rPr>
                <w:rFonts w:hint="eastAsia" w:ascii="宋体" w:hAnsi="宋体"/>
                <w:color w:val="auto"/>
                <w:kern w:val="0"/>
                <w:szCs w:val="21"/>
                <w:lang w:val="en-US" w:eastAsia="zh-CN"/>
              </w:rPr>
              <w:t>6</w:t>
            </w:r>
            <w:r>
              <w:rPr>
                <w:rFonts w:hint="eastAsia" w:ascii="宋体" w:hAnsi="宋体"/>
                <w:color w:val="auto"/>
                <w:kern w:val="0"/>
                <w:szCs w:val="21"/>
              </w:rPr>
              <w:t>分</w:t>
            </w:r>
          </w:p>
        </w:tc>
      </w:tr>
      <w:tr w14:paraId="36F1E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276" w:type="dxa"/>
            <w:vMerge w:val="continue"/>
            <w:tcBorders>
              <w:left w:val="single" w:color="auto" w:sz="4" w:space="0"/>
              <w:right w:val="single" w:color="auto" w:sz="4" w:space="0"/>
            </w:tcBorders>
            <w:vAlign w:val="center"/>
          </w:tcPr>
          <w:p w14:paraId="3B8BCB2C">
            <w:pPr>
              <w:autoSpaceDE w:val="0"/>
              <w:autoSpaceDN w:val="0"/>
              <w:adjustRightInd w:val="0"/>
              <w:spacing w:line="360" w:lineRule="exact"/>
              <w:jc w:val="center"/>
              <w:rPr>
                <w:rFonts w:hint="eastAsia" w:ascii="宋体" w:hAnsi="宋体"/>
                <w:color w:val="auto"/>
                <w:kern w:val="0"/>
                <w:szCs w:val="21"/>
              </w:rPr>
            </w:pPr>
          </w:p>
        </w:tc>
        <w:tc>
          <w:tcPr>
            <w:tcW w:w="2385" w:type="dxa"/>
            <w:tcBorders>
              <w:top w:val="single" w:color="auto" w:sz="4" w:space="0"/>
              <w:left w:val="single" w:color="auto" w:sz="4" w:space="0"/>
              <w:right w:val="single" w:color="auto" w:sz="4" w:space="0"/>
            </w:tcBorders>
            <w:vAlign w:val="center"/>
          </w:tcPr>
          <w:p w14:paraId="62DF5E7C">
            <w:pPr>
              <w:autoSpaceDE w:val="0"/>
              <w:autoSpaceDN w:val="0"/>
              <w:adjustRightInd w:val="0"/>
              <w:spacing w:line="360" w:lineRule="exact"/>
              <w:jc w:val="center"/>
              <w:rPr>
                <w:rFonts w:hint="eastAsia" w:ascii="宋体" w:hAnsi="宋体" w:cs="Times New Roman"/>
                <w:color w:val="auto"/>
                <w:kern w:val="0"/>
                <w:szCs w:val="21"/>
                <w:lang w:val="en-US" w:eastAsia="zh-CN"/>
              </w:rPr>
            </w:pPr>
            <w:r>
              <w:rPr>
                <w:rFonts w:hint="eastAsia" w:ascii="宋体" w:hAnsi="宋体" w:cs="Times New Roman"/>
                <w:color w:val="auto"/>
                <w:kern w:val="0"/>
                <w:szCs w:val="21"/>
                <w:lang w:val="en-US" w:eastAsia="zh-CN"/>
              </w:rPr>
              <w:t>质保期</w:t>
            </w:r>
          </w:p>
          <w:p w14:paraId="745FC219">
            <w:pPr>
              <w:autoSpaceDE w:val="0"/>
              <w:autoSpaceDN w:val="0"/>
              <w:adjustRightInd w:val="0"/>
              <w:spacing w:line="360" w:lineRule="exact"/>
              <w:jc w:val="center"/>
              <w:rPr>
                <w:rFonts w:hint="default" w:ascii="宋体" w:hAnsi="宋体" w:eastAsia="宋体" w:cs="Times New Roman"/>
                <w:color w:val="auto"/>
                <w:kern w:val="0"/>
                <w:szCs w:val="21"/>
                <w:lang w:val="en-US" w:eastAsia="zh-CN"/>
              </w:rPr>
            </w:pPr>
            <w:r>
              <w:rPr>
                <w:rFonts w:hint="eastAsia" w:ascii="宋体" w:hAnsi="宋体" w:eastAsia="宋体" w:cs="Times New Roman"/>
                <w:color w:val="auto"/>
                <w:kern w:val="0"/>
                <w:szCs w:val="21"/>
                <w:lang w:val="en-US" w:eastAsia="zh-CN"/>
              </w:rPr>
              <w:t>（</w:t>
            </w:r>
            <w:r>
              <w:rPr>
                <w:rFonts w:hint="eastAsia" w:ascii="宋体" w:hAnsi="宋体" w:cs="Times New Roman"/>
                <w:color w:val="auto"/>
                <w:kern w:val="0"/>
                <w:szCs w:val="21"/>
                <w:lang w:val="en-US" w:eastAsia="zh-CN"/>
              </w:rPr>
              <w:t>3</w:t>
            </w:r>
            <w:r>
              <w:rPr>
                <w:rFonts w:hint="eastAsia" w:ascii="宋体" w:hAnsi="宋体" w:eastAsia="宋体" w:cs="Times New Roman"/>
                <w:color w:val="auto"/>
                <w:kern w:val="0"/>
                <w:szCs w:val="21"/>
                <w:lang w:val="en-US" w:eastAsia="zh-CN"/>
              </w:rPr>
              <w:t>分）</w:t>
            </w:r>
          </w:p>
        </w:tc>
        <w:tc>
          <w:tcPr>
            <w:tcW w:w="4940" w:type="dxa"/>
            <w:tcBorders>
              <w:top w:val="single" w:color="auto" w:sz="4" w:space="0"/>
              <w:left w:val="single" w:color="auto" w:sz="4" w:space="0"/>
              <w:bottom w:val="single" w:color="auto" w:sz="4" w:space="0"/>
              <w:right w:val="single" w:color="auto" w:sz="4" w:space="0"/>
            </w:tcBorders>
            <w:vAlign w:val="center"/>
          </w:tcPr>
          <w:p w14:paraId="6E2B93BF">
            <w:pPr>
              <w:pStyle w:val="6"/>
              <w:tabs>
                <w:tab w:val="center" w:pos="2634"/>
              </w:tabs>
              <w:spacing w:line="360" w:lineRule="auto"/>
              <w:ind w:left="0" w:leftChars="0" w:firstLine="0" w:firstLineChars="0"/>
              <w:rPr>
                <w:rFonts w:hint="default" w:ascii="宋体" w:hAnsi="宋体" w:eastAsia="宋体"/>
                <w:color w:val="auto"/>
                <w:kern w:val="0"/>
                <w:szCs w:val="21"/>
                <w:lang w:val="en-US" w:eastAsia="zh-CN"/>
              </w:rPr>
            </w:pPr>
            <w:r>
              <w:rPr>
                <w:rFonts w:hint="eastAsia" w:ascii="宋体" w:hAnsi="宋体" w:cs="宋体"/>
                <w:color w:val="auto"/>
                <w:szCs w:val="21"/>
                <w:lang w:val="en-US" w:eastAsia="zh-CN"/>
              </w:rPr>
              <w:t>针对本项目要求的质保期的基础上，每延保一年得0.5分，本项得分最多得3分；未提供不得分</w:t>
            </w:r>
          </w:p>
        </w:tc>
        <w:tc>
          <w:tcPr>
            <w:tcW w:w="896" w:type="dxa"/>
            <w:tcBorders>
              <w:top w:val="single" w:color="auto" w:sz="4" w:space="0"/>
              <w:left w:val="single" w:color="auto" w:sz="4" w:space="0"/>
              <w:bottom w:val="single" w:color="auto" w:sz="4" w:space="0"/>
              <w:right w:val="single" w:color="auto" w:sz="4" w:space="0"/>
            </w:tcBorders>
            <w:vAlign w:val="center"/>
          </w:tcPr>
          <w:p w14:paraId="3E9210CE">
            <w:pPr>
              <w:autoSpaceDE w:val="0"/>
              <w:autoSpaceDN w:val="0"/>
              <w:adjustRightInd w:val="0"/>
              <w:spacing w:line="360" w:lineRule="exact"/>
              <w:jc w:val="center"/>
              <w:rPr>
                <w:rFonts w:hint="eastAsia" w:ascii="宋体" w:hAnsi="宋体"/>
                <w:color w:val="auto"/>
                <w:kern w:val="0"/>
                <w:szCs w:val="21"/>
              </w:rPr>
            </w:pPr>
            <w:r>
              <w:rPr>
                <w:rFonts w:hint="eastAsia" w:ascii="宋体" w:hAnsi="宋体"/>
                <w:color w:val="auto"/>
                <w:kern w:val="0"/>
                <w:szCs w:val="21"/>
              </w:rPr>
              <w:t>0-</w:t>
            </w:r>
            <w:r>
              <w:rPr>
                <w:rFonts w:hint="eastAsia" w:ascii="宋体" w:hAnsi="宋体"/>
                <w:color w:val="auto"/>
                <w:kern w:val="0"/>
                <w:szCs w:val="21"/>
                <w:lang w:val="en-US" w:eastAsia="zh-CN"/>
              </w:rPr>
              <w:t>3</w:t>
            </w:r>
            <w:r>
              <w:rPr>
                <w:rFonts w:hint="eastAsia" w:ascii="宋体" w:hAnsi="宋体"/>
                <w:color w:val="auto"/>
                <w:kern w:val="0"/>
                <w:szCs w:val="21"/>
              </w:rPr>
              <w:t>分</w:t>
            </w:r>
          </w:p>
        </w:tc>
      </w:tr>
      <w:tr w14:paraId="3554C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276" w:type="dxa"/>
            <w:vMerge w:val="continue"/>
            <w:tcBorders>
              <w:left w:val="single" w:color="auto" w:sz="4" w:space="0"/>
              <w:right w:val="single" w:color="auto" w:sz="4" w:space="0"/>
            </w:tcBorders>
            <w:vAlign w:val="center"/>
          </w:tcPr>
          <w:p w14:paraId="374DCD0F">
            <w:pPr>
              <w:autoSpaceDE w:val="0"/>
              <w:autoSpaceDN w:val="0"/>
              <w:adjustRightInd w:val="0"/>
              <w:spacing w:line="360" w:lineRule="exact"/>
              <w:jc w:val="center"/>
              <w:rPr>
                <w:rFonts w:hint="eastAsia" w:ascii="宋体" w:hAnsi="宋体"/>
                <w:color w:val="auto"/>
                <w:kern w:val="0"/>
                <w:szCs w:val="21"/>
              </w:rPr>
            </w:pPr>
          </w:p>
        </w:tc>
        <w:tc>
          <w:tcPr>
            <w:tcW w:w="2385" w:type="dxa"/>
            <w:tcBorders>
              <w:top w:val="single" w:color="auto" w:sz="4" w:space="0"/>
              <w:left w:val="single" w:color="auto" w:sz="4" w:space="0"/>
              <w:right w:val="single" w:color="auto" w:sz="4" w:space="0"/>
            </w:tcBorders>
            <w:vAlign w:val="center"/>
          </w:tcPr>
          <w:p w14:paraId="08E1EF1A">
            <w:pPr>
              <w:autoSpaceDE w:val="0"/>
              <w:autoSpaceDN w:val="0"/>
              <w:adjustRightInd w:val="0"/>
              <w:spacing w:line="360" w:lineRule="exact"/>
              <w:jc w:val="center"/>
              <w:rPr>
                <w:rFonts w:hint="eastAsia" w:ascii="宋体" w:hAnsi="宋体" w:eastAsia="宋体" w:cs="Times New Roman"/>
                <w:color w:val="auto"/>
                <w:kern w:val="0"/>
                <w:szCs w:val="21"/>
              </w:rPr>
            </w:pPr>
            <w:r>
              <w:rPr>
                <w:rFonts w:hint="eastAsia" w:ascii="宋体" w:hAnsi="宋体" w:eastAsia="宋体" w:cs="Times New Roman"/>
                <w:color w:val="auto"/>
                <w:kern w:val="0"/>
                <w:szCs w:val="21"/>
              </w:rPr>
              <w:t>售后服务</w:t>
            </w:r>
          </w:p>
          <w:p w14:paraId="238C909C">
            <w:pPr>
              <w:autoSpaceDE w:val="0"/>
              <w:autoSpaceDN w:val="0"/>
              <w:adjustRightInd w:val="0"/>
              <w:spacing w:line="360" w:lineRule="exact"/>
              <w:jc w:val="center"/>
              <w:rPr>
                <w:rFonts w:hint="eastAsia" w:ascii="宋体" w:hAnsi="宋体" w:eastAsia="宋体" w:cs="Times New Roman"/>
                <w:color w:val="auto"/>
                <w:kern w:val="0"/>
                <w:szCs w:val="21"/>
                <w:lang w:val="en-US" w:eastAsia="zh-CN"/>
              </w:rPr>
            </w:pPr>
            <w:r>
              <w:rPr>
                <w:rFonts w:hint="eastAsia" w:ascii="宋体" w:hAnsi="宋体" w:eastAsia="宋体" w:cs="Times New Roman"/>
                <w:color w:val="auto"/>
                <w:kern w:val="0"/>
                <w:szCs w:val="21"/>
              </w:rPr>
              <w:t>（1</w:t>
            </w:r>
            <w:r>
              <w:rPr>
                <w:rFonts w:hint="eastAsia" w:ascii="宋体" w:hAnsi="宋体" w:eastAsia="宋体" w:cs="Times New Roman"/>
                <w:color w:val="auto"/>
                <w:kern w:val="0"/>
                <w:szCs w:val="21"/>
                <w:lang w:val="en-US" w:eastAsia="zh-CN"/>
              </w:rPr>
              <w:t>5</w:t>
            </w:r>
            <w:r>
              <w:rPr>
                <w:rFonts w:hint="eastAsia" w:ascii="宋体" w:hAnsi="宋体" w:eastAsia="宋体" w:cs="Times New Roman"/>
                <w:color w:val="auto"/>
                <w:kern w:val="0"/>
                <w:szCs w:val="21"/>
              </w:rPr>
              <w:t>分）</w:t>
            </w:r>
          </w:p>
        </w:tc>
        <w:tc>
          <w:tcPr>
            <w:tcW w:w="4940" w:type="dxa"/>
            <w:tcBorders>
              <w:top w:val="single" w:color="auto" w:sz="4" w:space="0"/>
              <w:left w:val="single" w:color="auto" w:sz="4" w:space="0"/>
              <w:bottom w:val="single" w:color="auto" w:sz="4" w:space="0"/>
              <w:right w:val="single" w:color="auto" w:sz="4" w:space="0"/>
            </w:tcBorders>
            <w:vAlign w:val="top"/>
          </w:tcPr>
          <w:p w14:paraId="573FAA0E">
            <w:pPr>
              <w:tabs>
                <w:tab w:val="left" w:pos="3000"/>
              </w:tabs>
              <w:spacing w:line="460" w:lineRule="exact"/>
              <w:jc w:val="left"/>
              <w:rPr>
                <w:rFonts w:hint="eastAsia" w:ascii="宋体" w:hAnsi="宋体" w:cs="宋体"/>
                <w:color w:val="auto"/>
              </w:rPr>
            </w:pPr>
            <w:r>
              <w:rPr>
                <w:rFonts w:hint="eastAsia" w:ascii="宋体" w:hAnsi="宋体" w:cs="宋体"/>
                <w:color w:val="auto"/>
              </w:rPr>
              <w:t>1、售后服务方案，服务承诺、维修维护响应时间</w:t>
            </w:r>
            <w:r>
              <w:rPr>
                <w:rFonts w:hint="eastAsia" w:ascii="宋体" w:hAnsi="宋体" w:cs="宋体"/>
                <w:color w:val="auto"/>
                <w:lang w:eastAsia="zh-CN"/>
              </w:rPr>
              <w:t>。</w:t>
            </w:r>
            <w:r>
              <w:rPr>
                <w:rFonts w:hint="eastAsia" w:ascii="宋体" w:hAnsi="宋体" w:cs="宋体"/>
                <w:color w:val="auto"/>
                <w:szCs w:val="21"/>
              </w:rPr>
              <w:t>优秀计</w:t>
            </w:r>
            <w:r>
              <w:rPr>
                <w:rFonts w:hint="eastAsia" w:ascii="宋体" w:hAnsi="宋体" w:cs="宋体"/>
                <w:color w:val="auto"/>
                <w:szCs w:val="21"/>
                <w:lang w:val="en-US" w:eastAsia="zh-CN"/>
              </w:rPr>
              <w:t>4</w:t>
            </w:r>
            <w:r>
              <w:rPr>
                <w:rFonts w:hint="eastAsia" w:ascii="宋体" w:hAnsi="宋体" w:cs="宋体"/>
                <w:color w:val="auto"/>
                <w:szCs w:val="21"/>
              </w:rPr>
              <w:t>分，一般计</w:t>
            </w:r>
            <w:r>
              <w:rPr>
                <w:rFonts w:hint="eastAsia" w:ascii="宋体" w:hAnsi="宋体" w:cs="宋体"/>
                <w:color w:val="auto"/>
                <w:szCs w:val="21"/>
                <w:lang w:val="en-US" w:eastAsia="zh-CN"/>
              </w:rPr>
              <w:t>2</w:t>
            </w:r>
            <w:r>
              <w:rPr>
                <w:rFonts w:hint="eastAsia" w:ascii="宋体" w:hAnsi="宋体" w:cs="宋体"/>
                <w:color w:val="auto"/>
                <w:szCs w:val="21"/>
              </w:rPr>
              <w:t>分，未提供不计分</w:t>
            </w:r>
            <w:r>
              <w:rPr>
                <w:rFonts w:hint="eastAsia" w:ascii="宋体" w:hAnsi="宋体" w:cs="宋体"/>
                <w:color w:val="auto"/>
                <w:szCs w:val="21"/>
                <w:lang w:eastAsia="zh-CN"/>
              </w:rPr>
              <w:t>。</w:t>
            </w:r>
          </w:p>
          <w:p w14:paraId="12EC050F">
            <w:pPr>
              <w:tabs>
                <w:tab w:val="left" w:pos="3000"/>
              </w:tabs>
              <w:spacing w:line="460" w:lineRule="exact"/>
              <w:jc w:val="left"/>
              <w:rPr>
                <w:rFonts w:hint="eastAsia" w:ascii="宋体" w:hAnsi="宋体" w:cs="宋体"/>
                <w:color w:val="auto"/>
              </w:rPr>
            </w:pPr>
            <w:r>
              <w:rPr>
                <w:rFonts w:hint="eastAsia" w:ascii="宋体" w:hAnsi="宋体" w:cs="宋体"/>
                <w:color w:val="auto"/>
              </w:rPr>
              <w:t>2、其他优惠条件：提供招标文件要求以外的如免费提供工具，增加配套附件数量，零配件价格折扣等优惠承诺，根据优惠的条件</w:t>
            </w:r>
            <w:r>
              <w:rPr>
                <w:rFonts w:hint="eastAsia" w:ascii="宋体" w:hAnsi="宋体" w:cs="宋体"/>
                <w:color w:val="auto"/>
                <w:szCs w:val="21"/>
                <w:lang w:val="en-US" w:eastAsia="zh-CN"/>
              </w:rPr>
              <w:t>进行综合对比，</w:t>
            </w:r>
            <w:r>
              <w:rPr>
                <w:rFonts w:hint="eastAsia" w:ascii="宋体" w:hAnsi="宋体" w:cs="宋体"/>
                <w:color w:val="auto"/>
                <w:szCs w:val="21"/>
              </w:rPr>
              <w:t>优秀</w:t>
            </w:r>
            <w:r>
              <w:rPr>
                <w:rFonts w:hint="eastAsia" w:ascii="宋体" w:hAnsi="宋体" w:cs="宋体"/>
                <w:color w:val="auto"/>
                <w:szCs w:val="21"/>
                <w:lang w:val="en-US" w:eastAsia="zh-CN"/>
              </w:rPr>
              <w:t>的得6</w:t>
            </w:r>
            <w:r>
              <w:rPr>
                <w:rFonts w:hint="eastAsia" w:ascii="宋体" w:hAnsi="宋体" w:cs="宋体"/>
                <w:color w:val="auto"/>
                <w:szCs w:val="21"/>
              </w:rPr>
              <w:t>分，一般</w:t>
            </w:r>
            <w:r>
              <w:rPr>
                <w:rFonts w:hint="eastAsia" w:ascii="宋体" w:hAnsi="宋体" w:cs="宋体"/>
                <w:color w:val="auto"/>
                <w:szCs w:val="21"/>
                <w:lang w:val="en-US" w:eastAsia="zh-CN"/>
              </w:rPr>
              <w:t>的得3</w:t>
            </w:r>
            <w:r>
              <w:rPr>
                <w:rFonts w:hint="eastAsia" w:ascii="宋体" w:hAnsi="宋体" w:cs="宋体"/>
                <w:color w:val="auto"/>
                <w:szCs w:val="21"/>
              </w:rPr>
              <w:t>分，未提供不</w:t>
            </w:r>
            <w:r>
              <w:rPr>
                <w:rFonts w:hint="eastAsia" w:ascii="宋体" w:hAnsi="宋体" w:cs="宋体"/>
                <w:color w:val="auto"/>
                <w:szCs w:val="21"/>
                <w:lang w:val="en-US" w:eastAsia="zh-CN"/>
              </w:rPr>
              <w:t>得</w:t>
            </w:r>
            <w:r>
              <w:rPr>
                <w:rFonts w:hint="eastAsia" w:ascii="宋体" w:hAnsi="宋体" w:cs="宋体"/>
                <w:color w:val="auto"/>
                <w:szCs w:val="21"/>
              </w:rPr>
              <w:t>分</w:t>
            </w:r>
            <w:r>
              <w:rPr>
                <w:rFonts w:hint="eastAsia" w:ascii="宋体" w:hAnsi="宋体" w:cs="宋体"/>
                <w:color w:val="auto"/>
                <w:szCs w:val="21"/>
                <w:lang w:val="en-US" w:eastAsia="zh-CN"/>
              </w:rPr>
              <w:t>。</w:t>
            </w:r>
          </w:p>
          <w:p w14:paraId="356FB547">
            <w:pPr>
              <w:pStyle w:val="6"/>
              <w:tabs>
                <w:tab w:val="center" w:pos="2634"/>
              </w:tabs>
              <w:spacing w:line="360" w:lineRule="auto"/>
              <w:ind w:left="0" w:leftChars="0" w:firstLine="0" w:firstLineChars="0"/>
              <w:rPr>
                <w:rFonts w:hint="eastAsia" w:ascii="宋体" w:hAnsi="宋体"/>
                <w:color w:val="auto"/>
                <w:kern w:val="0"/>
                <w:szCs w:val="21"/>
                <w:lang w:val="en-US" w:eastAsia="zh-CN"/>
              </w:rPr>
            </w:pPr>
            <w:r>
              <w:rPr>
                <w:rFonts w:hint="eastAsia" w:ascii="宋体" w:hAnsi="宋体" w:cs="宋体"/>
                <w:color w:val="auto"/>
                <w:szCs w:val="21"/>
                <w:lang w:val="en-US" w:eastAsia="zh-CN"/>
              </w:rPr>
              <w:t>3、投标人应就本项目的特点提出相关售后服务计划，其中包含24小时售后服务计划、技术指导、技术培训及应急抢修措保障施等内容，并出具详细的服务承诺书，依据售后服务条款详细、周密、全面的程度进行综合对比，</w:t>
            </w:r>
            <w:r>
              <w:rPr>
                <w:rFonts w:hint="eastAsia" w:ascii="宋体" w:hAnsi="宋体" w:cs="宋体"/>
                <w:color w:val="auto"/>
                <w:szCs w:val="21"/>
              </w:rPr>
              <w:t>优秀</w:t>
            </w:r>
            <w:r>
              <w:rPr>
                <w:rFonts w:hint="eastAsia" w:ascii="宋体" w:hAnsi="宋体" w:cs="宋体"/>
                <w:color w:val="auto"/>
                <w:szCs w:val="21"/>
                <w:lang w:val="en-US" w:eastAsia="zh-CN"/>
              </w:rPr>
              <w:t>的得5</w:t>
            </w:r>
            <w:r>
              <w:rPr>
                <w:rFonts w:hint="eastAsia" w:ascii="宋体" w:hAnsi="宋体" w:cs="宋体"/>
                <w:color w:val="auto"/>
                <w:szCs w:val="21"/>
              </w:rPr>
              <w:t>分，一般</w:t>
            </w:r>
            <w:r>
              <w:rPr>
                <w:rFonts w:hint="eastAsia" w:ascii="宋体" w:hAnsi="宋体" w:cs="宋体"/>
                <w:color w:val="auto"/>
                <w:szCs w:val="21"/>
                <w:lang w:val="en-US" w:eastAsia="zh-CN"/>
              </w:rPr>
              <w:t>的得3</w:t>
            </w:r>
            <w:r>
              <w:rPr>
                <w:rFonts w:hint="eastAsia" w:ascii="宋体" w:hAnsi="宋体" w:cs="宋体"/>
                <w:color w:val="auto"/>
                <w:szCs w:val="21"/>
              </w:rPr>
              <w:t>分，未提供不</w:t>
            </w:r>
            <w:r>
              <w:rPr>
                <w:rFonts w:hint="eastAsia" w:ascii="宋体" w:hAnsi="宋体" w:cs="宋体"/>
                <w:color w:val="auto"/>
                <w:szCs w:val="21"/>
                <w:lang w:val="en-US" w:eastAsia="zh-CN"/>
              </w:rPr>
              <w:t>得</w:t>
            </w:r>
            <w:r>
              <w:rPr>
                <w:rFonts w:hint="eastAsia" w:ascii="宋体" w:hAnsi="宋体" w:cs="宋体"/>
                <w:color w:val="auto"/>
                <w:szCs w:val="21"/>
              </w:rPr>
              <w:t>分</w:t>
            </w:r>
            <w:r>
              <w:rPr>
                <w:rFonts w:hint="eastAsia" w:ascii="宋体" w:hAnsi="宋体" w:cs="宋体"/>
                <w:color w:val="auto"/>
                <w:szCs w:val="21"/>
                <w:lang w:val="en-US" w:eastAsia="zh-CN"/>
              </w:rPr>
              <w:t>。</w:t>
            </w:r>
          </w:p>
        </w:tc>
        <w:tc>
          <w:tcPr>
            <w:tcW w:w="896" w:type="dxa"/>
            <w:tcBorders>
              <w:top w:val="single" w:color="auto" w:sz="4" w:space="0"/>
              <w:left w:val="single" w:color="auto" w:sz="4" w:space="0"/>
              <w:bottom w:val="single" w:color="auto" w:sz="4" w:space="0"/>
              <w:right w:val="single" w:color="auto" w:sz="4" w:space="0"/>
            </w:tcBorders>
            <w:vAlign w:val="center"/>
          </w:tcPr>
          <w:p w14:paraId="484F2079">
            <w:pPr>
              <w:autoSpaceDE w:val="0"/>
              <w:autoSpaceDN w:val="0"/>
              <w:adjustRightInd w:val="0"/>
              <w:spacing w:line="360" w:lineRule="exact"/>
              <w:jc w:val="center"/>
              <w:rPr>
                <w:rFonts w:hint="default" w:ascii="宋体" w:hAnsi="宋体" w:eastAsia="宋体"/>
                <w:color w:val="auto"/>
                <w:kern w:val="0"/>
                <w:szCs w:val="21"/>
                <w:lang w:val="en-US" w:eastAsia="zh-CN"/>
              </w:rPr>
            </w:pPr>
            <w:r>
              <w:rPr>
                <w:rFonts w:hint="eastAsia" w:ascii="宋体" w:hAnsi="宋体"/>
                <w:color w:val="auto"/>
                <w:kern w:val="0"/>
                <w:szCs w:val="21"/>
                <w:lang w:val="en-US" w:eastAsia="zh-CN"/>
              </w:rPr>
              <w:t>0-15分</w:t>
            </w:r>
          </w:p>
        </w:tc>
      </w:tr>
      <w:bookmarkEnd w:id="111"/>
      <w:bookmarkEnd w:id="112"/>
      <w:bookmarkEnd w:id="113"/>
      <w:bookmarkEnd w:id="114"/>
      <w:bookmarkEnd w:id="115"/>
      <w:bookmarkEnd w:id="116"/>
      <w:bookmarkEnd w:id="117"/>
      <w:bookmarkEnd w:id="122"/>
      <w:bookmarkEnd w:id="123"/>
      <w:bookmarkEnd w:id="124"/>
      <w:bookmarkEnd w:id="125"/>
      <w:bookmarkEnd w:id="126"/>
      <w:bookmarkEnd w:id="127"/>
      <w:bookmarkEnd w:id="128"/>
      <w:bookmarkEnd w:id="129"/>
      <w:bookmarkEnd w:id="130"/>
      <w:bookmarkEnd w:id="131"/>
    </w:tbl>
    <w:p w14:paraId="0B776603">
      <w:pPr>
        <w:spacing w:line="360" w:lineRule="auto"/>
        <w:rPr>
          <w:rFonts w:hint="eastAsia" w:ascii="宋体" w:hAnsi="宋体" w:eastAsia="宋体" w:cs="宋体"/>
          <w:b/>
          <w:bCs/>
          <w:color w:val="000000"/>
          <w:sz w:val="21"/>
          <w:szCs w:val="21"/>
          <w:highlight w:val="none"/>
        </w:rPr>
      </w:pPr>
      <w:bookmarkStart w:id="132" w:name="_Toc445450436"/>
      <w:r>
        <w:rPr>
          <w:rFonts w:hint="eastAsia" w:ascii="宋体" w:hAnsi="宋体" w:eastAsia="宋体" w:cs="宋体"/>
          <w:b/>
          <w:bCs/>
          <w:color w:val="000000"/>
          <w:sz w:val="21"/>
          <w:szCs w:val="21"/>
          <w:highlight w:val="none"/>
        </w:rPr>
        <w:t>1、响应文件的澄清</w:t>
      </w:r>
    </w:p>
    <w:p w14:paraId="11F544EE">
      <w:pPr>
        <w:widowControl/>
        <w:spacing w:line="360" w:lineRule="auto"/>
        <w:ind w:left="-210" w:leftChars="-100" w:firstLine="420" w:firstLineChars="200"/>
        <w:jc w:val="left"/>
        <w:rPr>
          <w:rStyle w:val="80"/>
          <w:rFonts w:hint="eastAsia" w:ascii="宋体" w:hAnsi="宋体" w:eastAsia="宋体" w:cs="宋体"/>
          <w:color w:val="000000"/>
          <w:sz w:val="21"/>
          <w:szCs w:val="21"/>
          <w:highlight w:val="none"/>
          <w:lang w:bidi="ar"/>
        </w:rPr>
      </w:pPr>
      <w:r>
        <w:rPr>
          <w:rStyle w:val="80"/>
          <w:rFonts w:hint="eastAsia" w:ascii="宋体" w:hAnsi="宋体" w:eastAsia="宋体" w:cs="宋体"/>
          <w:color w:val="000000"/>
          <w:sz w:val="21"/>
          <w:szCs w:val="21"/>
          <w:highlight w:val="none"/>
          <w:lang w:bidi="ar"/>
        </w:rPr>
        <w:t>磋商小组在对响应文件的有效性、完整性和响应程度进行审查时，可以要求投标人对响应文件中含义不明确、同类问题表述不一致或者有明显文字和计算错误的内容等作出必要的澄清、说明或者更正。投标人的澄清、说明或者更正不得超出响应文件的范围或者改变响应文件的实质性内容。</w:t>
      </w:r>
    </w:p>
    <w:p w14:paraId="1617D72F">
      <w:pPr>
        <w:widowControl/>
        <w:spacing w:line="360" w:lineRule="auto"/>
        <w:ind w:left="-210" w:leftChars="-100" w:firstLine="420" w:firstLineChars="200"/>
        <w:jc w:val="left"/>
        <w:rPr>
          <w:rStyle w:val="80"/>
          <w:rFonts w:hint="eastAsia" w:ascii="宋体" w:hAnsi="宋体" w:eastAsia="宋体" w:cs="宋体"/>
          <w:color w:val="000000"/>
          <w:sz w:val="21"/>
          <w:szCs w:val="21"/>
          <w:highlight w:val="none"/>
          <w:lang w:bidi="ar"/>
        </w:rPr>
      </w:pPr>
      <w:r>
        <w:rPr>
          <w:rStyle w:val="80"/>
          <w:rFonts w:hint="eastAsia" w:ascii="宋体" w:hAnsi="宋体" w:eastAsia="宋体" w:cs="宋体"/>
          <w:color w:val="000000"/>
          <w:sz w:val="21"/>
          <w:szCs w:val="21"/>
          <w:highlight w:val="none"/>
          <w:lang w:bidi="ar"/>
        </w:rPr>
        <w:t>磋商小组要求投标人澄清、说明或者更正响应文件应当电子投标系统作出。</w:t>
      </w:r>
    </w:p>
    <w:p w14:paraId="18B6B555">
      <w:pPr>
        <w:widowControl/>
        <w:spacing w:line="360" w:lineRule="auto"/>
        <w:jc w:val="left"/>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2、磋商</w:t>
      </w:r>
    </w:p>
    <w:p w14:paraId="6DE7F0E1">
      <w:pPr>
        <w:widowControl/>
        <w:spacing w:line="360" w:lineRule="auto"/>
        <w:ind w:left="-210" w:leftChars="-100" w:firstLine="420" w:firstLineChars="200"/>
        <w:jc w:val="left"/>
        <w:rPr>
          <w:rStyle w:val="80"/>
          <w:rFonts w:hint="eastAsia" w:ascii="宋体" w:hAnsi="宋体" w:eastAsia="宋体" w:cs="宋体"/>
          <w:color w:val="000000"/>
          <w:sz w:val="21"/>
          <w:szCs w:val="21"/>
          <w:highlight w:val="none"/>
          <w:lang w:bidi="ar"/>
        </w:rPr>
      </w:pPr>
      <w:r>
        <w:rPr>
          <w:rStyle w:val="80"/>
          <w:rFonts w:hint="eastAsia" w:ascii="宋体" w:hAnsi="宋体" w:eastAsia="宋体" w:cs="宋体"/>
          <w:color w:val="000000"/>
          <w:sz w:val="21"/>
          <w:szCs w:val="21"/>
          <w:highlight w:val="none"/>
          <w:lang w:bidi="ar"/>
        </w:rPr>
        <w:t>2.1磋商小组根据磋商文件规定的程序、方法和标准等事项与实质性响应磋商文件要求的投标人进行磋商。</w:t>
      </w:r>
    </w:p>
    <w:p w14:paraId="478EF604">
      <w:pPr>
        <w:widowControl/>
        <w:spacing w:line="360" w:lineRule="auto"/>
        <w:ind w:left="-210" w:leftChars="-100" w:firstLine="420" w:firstLineChars="200"/>
        <w:jc w:val="left"/>
        <w:rPr>
          <w:rStyle w:val="80"/>
          <w:rFonts w:hint="eastAsia" w:ascii="宋体" w:hAnsi="宋体" w:eastAsia="宋体" w:cs="宋体"/>
          <w:color w:val="000000"/>
          <w:sz w:val="21"/>
          <w:szCs w:val="21"/>
          <w:highlight w:val="none"/>
          <w:lang w:bidi="ar"/>
        </w:rPr>
      </w:pPr>
      <w:r>
        <w:rPr>
          <w:rStyle w:val="80"/>
          <w:rFonts w:hint="eastAsia" w:ascii="宋体" w:hAnsi="宋体" w:eastAsia="宋体" w:cs="宋体"/>
          <w:color w:val="000000"/>
          <w:sz w:val="21"/>
          <w:szCs w:val="21"/>
          <w:highlight w:val="none"/>
          <w:lang w:bidi="ar"/>
        </w:rPr>
        <w:t>2.2磋商小组所有成员应当集中与单一投标人分别进行磋商，并给予所有参加磋商的投标人平等的磋商机会。</w:t>
      </w:r>
    </w:p>
    <w:p w14:paraId="09C24E20">
      <w:pPr>
        <w:widowControl/>
        <w:spacing w:line="360" w:lineRule="auto"/>
        <w:ind w:left="-210" w:leftChars="-100" w:firstLine="420" w:firstLineChars="200"/>
        <w:jc w:val="left"/>
        <w:rPr>
          <w:rStyle w:val="80"/>
          <w:rFonts w:hint="eastAsia" w:ascii="宋体" w:hAnsi="宋体" w:eastAsia="宋体" w:cs="宋体"/>
          <w:color w:val="000000"/>
          <w:sz w:val="21"/>
          <w:szCs w:val="21"/>
          <w:highlight w:val="none"/>
          <w:lang w:bidi="ar"/>
        </w:rPr>
      </w:pPr>
      <w:r>
        <w:rPr>
          <w:rStyle w:val="80"/>
          <w:rFonts w:hint="eastAsia" w:ascii="宋体" w:hAnsi="宋体" w:eastAsia="宋体" w:cs="宋体"/>
          <w:color w:val="000000"/>
          <w:sz w:val="21"/>
          <w:szCs w:val="21"/>
          <w:highlight w:val="none"/>
          <w:lang w:bidi="ar"/>
        </w:rPr>
        <w:t>2.3在磋商过程中，磋商小组可以根据磋商文件和磋商情况实质性变动采购需求中的技术、服务要求以及合同草案条款，但不得变动磋商文件中的其他内容（如合格投标人的资格条件、采购方式和采购程序等）。实质性变动的内容，须经采购人代表确认。</w:t>
      </w:r>
    </w:p>
    <w:p w14:paraId="6ADB9175">
      <w:pPr>
        <w:widowControl/>
        <w:spacing w:line="360" w:lineRule="auto"/>
        <w:ind w:left="-210" w:leftChars="-100" w:firstLine="420" w:firstLineChars="200"/>
        <w:jc w:val="left"/>
        <w:rPr>
          <w:rStyle w:val="80"/>
          <w:rFonts w:hint="eastAsia" w:ascii="宋体" w:hAnsi="宋体" w:eastAsia="宋体" w:cs="宋体"/>
          <w:color w:val="000000"/>
          <w:sz w:val="21"/>
          <w:szCs w:val="21"/>
          <w:highlight w:val="none"/>
          <w:lang w:bidi="ar"/>
        </w:rPr>
      </w:pPr>
      <w:r>
        <w:rPr>
          <w:rStyle w:val="80"/>
          <w:rFonts w:hint="eastAsia" w:ascii="宋体" w:hAnsi="宋体" w:eastAsia="宋体" w:cs="宋体"/>
          <w:color w:val="000000"/>
          <w:sz w:val="21"/>
          <w:szCs w:val="21"/>
          <w:highlight w:val="none"/>
          <w:lang w:bidi="ar"/>
        </w:rPr>
        <w:t>对磋商文件作出的实质性变动是磋商文件的有效组成部分，磋商小组应当及时通知所有参加磋商的投标人。</w:t>
      </w:r>
    </w:p>
    <w:p w14:paraId="7C4249BB">
      <w:pPr>
        <w:widowControl/>
        <w:spacing w:line="360" w:lineRule="auto"/>
        <w:ind w:left="-210" w:leftChars="-100" w:firstLine="420" w:firstLineChars="200"/>
        <w:jc w:val="left"/>
        <w:rPr>
          <w:rStyle w:val="80"/>
          <w:rFonts w:hint="eastAsia" w:ascii="宋体" w:hAnsi="宋体" w:eastAsia="宋体" w:cs="宋体"/>
          <w:color w:val="000000"/>
          <w:sz w:val="21"/>
          <w:szCs w:val="21"/>
          <w:highlight w:val="none"/>
          <w:lang w:bidi="ar"/>
        </w:rPr>
      </w:pPr>
      <w:r>
        <w:rPr>
          <w:rStyle w:val="80"/>
          <w:rFonts w:hint="eastAsia" w:ascii="宋体" w:hAnsi="宋体" w:eastAsia="宋体" w:cs="宋体"/>
          <w:color w:val="000000"/>
          <w:sz w:val="21"/>
          <w:szCs w:val="21"/>
          <w:highlight w:val="none"/>
          <w:lang w:bidi="ar"/>
        </w:rPr>
        <w:t>投标人应当按照磋商文件的变动情况和磋商小组的要求重新提交响应文件。</w:t>
      </w:r>
    </w:p>
    <w:p w14:paraId="24A983F3">
      <w:pPr>
        <w:widowControl/>
        <w:spacing w:line="360" w:lineRule="auto"/>
        <w:ind w:left="-210" w:leftChars="-100" w:firstLine="420" w:firstLineChars="200"/>
        <w:jc w:val="left"/>
        <w:rPr>
          <w:rStyle w:val="80"/>
          <w:rFonts w:hint="eastAsia" w:ascii="宋体" w:hAnsi="宋体" w:eastAsia="宋体" w:cs="宋体"/>
          <w:color w:val="000000"/>
          <w:sz w:val="21"/>
          <w:szCs w:val="21"/>
          <w:highlight w:val="none"/>
          <w:lang w:bidi="ar"/>
        </w:rPr>
      </w:pPr>
      <w:r>
        <w:rPr>
          <w:rStyle w:val="80"/>
          <w:rFonts w:hint="eastAsia" w:ascii="宋体" w:hAnsi="宋体" w:eastAsia="宋体" w:cs="宋体"/>
          <w:color w:val="000000"/>
          <w:sz w:val="21"/>
          <w:szCs w:val="21"/>
          <w:highlight w:val="none"/>
          <w:lang w:bidi="ar"/>
        </w:rPr>
        <w:t>2.4磋商文件能够详细列明采购标的的技术、服务要求的，磋商结束后，磋商小组应当要求所有继续参加磋商的投标人在规定时间内提交最终报价，提交最终报价的投标人不得少于3家。</w:t>
      </w:r>
    </w:p>
    <w:p w14:paraId="7AB147CA">
      <w:pPr>
        <w:widowControl/>
        <w:spacing w:line="360" w:lineRule="auto"/>
        <w:ind w:left="-210" w:leftChars="-100" w:firstLine="420" w:firstLineChars="200"/>
        <w:jc w:val="left"/>
        <w:rPr>
          <w:rStyle w:val="80"/>
          <w:rFonts w:hint="eastAsia" w:ascii="宋体" w:hAnsi="宋体" w:eastAsia="宋体" w:cs="宋体"/>
          <w:color w:val="000000"/>
          <w:sz w:val="21"/>
          <w:szCs w:val="21"/>
          <w:highlight w:val="none"/>
          <w:lang w:bidi="ar"/>
        </w:rPr>
      </w:pPr>
      <w:r>
        <w:rPr>
          <w:rStyle w:val="80"/>
          <w:rFonts w:hint="eastAsia" w:ascii="宋体" w:hAnsi="宋体" w:eastAsia="宋体" w:cs="宋体"/>
          <w:color w:val="000000"/>
          <w:sz w:val="21"/>
          <w:szCs w:val="21"/>
          <w:highlight w:val="none"/>
          <w:lang w:bidi="ar"/>
        </w:rPr>
        <w:t>最终报价是投标人响应文件的有效组成部分。符合《政府采购竞争性磋商采购方式管理暂行办法》</w:t>
      </w:r>
    </w:p>
    <w:p w14:paraId="763DBCE2">
      <w:pPr>
        <w:widowControl/>
        <w:spacing w:line="360" w:lineRule="auto"/>
        <w:ind w:left="-210" w:leftChars="-100" w:firstLine="420" w:firstLineChars="200"/>
        <w:jc w:val="left"/>
        <w:rPr>
          <w:rStyle w:val="80"/>
          <w:rFonts w:hint="eastAsia" w:ascii="宋体" w:hAnsi="宋体" w:eastAsia="宋体" w:cs="宋体"/>
          <w:color w:val="000000"/>
          <w:sz w:val="21"/>
          <w:szCs w:val="21"/>
          <w:highlight w:val="none"/>
          <w:lang w:bidi="ar"/>
        </w:rPr>
      </w:pPr>
      <w:r>
        <w:rPr>
          <w:rStyle w:val="80"/>
          <w:rFonts w:hint="eastAsia" w:ascii="宋体" w:hAnsi="宋体" w:eastAsia="宋体" w:cs="宋体"/>
          <w:color w:val="000000"/>
          <w:sz w:val="21"/>
          <w:szCs w:val="21"/>
          <w:highlight w:val="none"/>
          <w:lang w:bidi="ar"/>
        </w:rPr>
        <w:t>财库〔2014〕214号第三条第四项“市场竞争不充分的科研项目，以及需要扶持的科技成果转化项目”情形的，提交最终报价的投标人可以为2家。</w:t>
      </w:r>
    </w:p>
    <w:p w14:paraId="13F13E19">
      <w:pPr>
        <w:widowControl/>
        <w:spacing w:line="360" w:lineRule="auto"/>
        <w:ind w:left="-210" w:leftChars="-100" w:firstLine="420" w:firstLineChars="200"/>
        <w:jc w:val="left"/>
        <w:rPr>
          <w:rStyle w:val="80"/>
          <w:rFonts w:hint="eastAsia" w:ascii="宋体" w:hAnsi="宋体" w:eastAsia="宋体" w:cs="宋体"/>
          <w:color w:val="000000"/>
          <w:sz w:val="21"/>
          <w:szCs w:val="21"/>
          <w:highlight w:val="none"/>
          <w:lang w:bidi="ar"/>
        </w:rPr>
      </w:pPr>
      <w:r>
        <w:rPr>
          <w:rStyle w:val="80"/>
          <w:rFonts w:hint="eastAsia" w:ascii="宋体" w:hAnsi="宋体" w:eastAsia="宋体" w:cs="宋体"/>
          <w:color w:val="000000"/>
          <w:sz w:val="21"/>
          <w:szCs w:val="21"/>
          <w:highlight w:val="none"/>
          <w:lang w:bidi="ar"/>
        </w:rPr>
        <w:t>2.5已提交响应文件的投标人，在提交最终报价之前，可以根据磋商情况退出磋商。</w:t>
      </w:r>
    </w:p>
    <w:p w14:paraId="163BFED4">
      <w:pPr>
        <w:widowControl/>
        <w:spacing w:line="360" w:lineRule="auto"/>
        <w:jc w:val="left"/>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3、综合评分</w:t>
      </w:r>
    </w:p>
    <w:p w14:paraId="11674418">
      <w:pPr>
        <w:widowControl/>
        <w:spacing w:line="360" w:lineRule="auto"/>
        <w:ind w:left="-210" w:leftChars="-100" w:firstLine="420" w:firstLineChars="200"/>
        <w:jc w:val="left"/>
        <w:rPr>
          <w:rStyle w:val="80"/>
          <w:rFonts w:hint="eastAsia" w:ascii="宋体" w:hAnsi="宋体" w:eastAsia="宋体" w:cs="宋体"/>
          <w:color w:val="000000"/>
          <w:sz w:val="21"/>
          <w:szCs w:val="21"/>
          <w:highlight w:val="none"/>
          <w:lang w:bidi="ar"/>
        </w:rPr>
      </w:pPr>
      <w:r>
        <w:rPr>
          <w:rStyle w:val="80"/>
          <w:rFonts w:hint="eastAsia" w:ascii="宋体" w:hAnsi="宋体" w:eastAsia="宋体" w:cs="宋体"/>
          <w:color w:val="000000"/>
          <w:sz w:val="21"/>
          <w:szCs w:val="21"/>
          <w:highlight w:val="none"/>
          <w:lang w:bidi="ar"/>
        </w:rPr>
        <w:t>3.1经磋商确定最终采购需求和提交最终报价的投标人后，由磋商小组采用综合评分法对提交最终报价的投标人的响应文件和最终报价进行综合评分。</w:t>
      </w:r>
    </w:p>
    <w:p w14:paraId="5847879F">
      <w:pPr>
        <w:widowControl/>
        <w:spacing w:line="360" w:lineRule="auto"/>
        <w:ind w:left="-210" w:leftChars="-100" w:firstLine="420" w:firstLineChars="200"/>
        <w:jc w:val="left"/>
        <w:rPr>
          <w:rFonts w:hint="eastAsia" w:ascii="宋体" w:hAnsi="宋体" w:eastAsia="宋体" w:cs="宋体"/>
          <w:color w:val="000000"/>
          <w:sz w:val="21"/>
          <w:szCs w:val="21"/>
          <w:highlight w:val="none"/>
        </w:rPr>
      </w:pPr>
      <w:r>
        <w:rPr>
          <w:rStyle w:val="80"/>
          <w:rFonts w:hint="eastAsia" w:ascii="宋体" w:hAnsi="宋体" w:eastAsia="宋体" w:cs="宋体"/>
          <w:color w:val="000000"/>
          <w:sz w:val="21"/>
          <w:szCs w:val="21"/>
          <w:highlight w:val="none"/>
          <w:lang w:bidi="ar"/>
        </w:rPr>
        <w:t>3.2综合评分法，是指响应文件满足磋商文件全部实质性要求且按评审因素的量化指标评审得分最高的投标人为成交候选投标人的评审方法。</w:t>
      </w:r>
    </w:p>
    <w:p w14:paraId="7072AE57">
      <w:pPr>
        <w:widowControl/>
        <w:spacing w:line="360" w:lineRule="auto"/>
        <w:ind w:left="183" w:leftChars="87"/>
        <w:jc w:val="left"/>
        <w:rPr>
          <w:rStyle w:val="80"/>
          <w:rFonts w:hint="eastAsia" w:ascii="宋体" w:hAnsi="宋体" w:eastAsia="宋体" w:cs="宋体"/>
          <w:color w:val="000000"/>
          <w:sz w:val="21"/>
          <w:szCs w:val="21"/>
          <w:highlight w:val="none"/>
          <w:lang w:bidi="ar"/>
        </w:rPr>
      </w:pPr>
      <w:r>
        <w:rPr>
          <w:rStyle w:val="80"/>
          <w:rFonts w:hint="eastAsia" w:ascii="宋体" w:hAnsi="宋体" w:eastAsia="宋体" w:cs="宋体"/>
          <w:color w:val="000000"/>
          <w:sz w:val="21"/>
          <w:szCs w:val="21"/>
          <w:highlight w:val="none"/>
          <w:lang w:bidi="ar"/>
        </w:rPr>
        <w:t>3.3磋商文件中没有规定的评审标准不得作为评审依据。</w:t>
      </w:r>
    </w:p>
    <w:p w14:paraId="6492A6D5">
      <w:pPr>
        <w:widowControl/>
        <w:spacing w:line="360" w:lineRule="auto"/>
        <w:ind w:left="183" w:leftChars="87"/>
        <w:jc w:val="left"/>
        <w:rPr>
          <w:rStyle w:val="80"/>
          <w:rFonts w:hint="eastAsia" w:ascii="宋体" w:hAnsi="宋体" w:eastAsia="宋体" w:cs="宋体"/>
          <w:color w:val="000000"/>
          <w:sz w:val="21"/>
          <w:szCs w:val="21"/>
          <w:highlight w:val="none"/>
          <w:lang w:bidi="ar"/>
        </w:rPr>
      </w:pPr>
      <w:r>
        <w:rPr>
          <w:rStyle w:val="80"/>
          <w:rFonts w:hint="eastAsia" w:ascii="宋体" w:hAnsi="宋体" w:eastAsia="宋体" w:cs="宋体"/>
          <w:color w:val="000000"/>
          <w:sz w:val="21"/>
          <w:szCs w:val="21"/>
          <w:highlight w:val="none"/>
          <w:lang w:bidi="ar"/>
        </w:rPr>
        <w:t>3.4评审时，磋商小组各成员应当独立对每个有效响应的文件进行评价、打分，然后汇总每个投标人每项评分因素的得分。</w:t>
      </w:r>
    </w:p>
    <w:p w14:paraId="6580620B">
      <w:pPr>
        <w:widowControl/>
        <w:spacing w:line="360" w:lineRule="auto"/>
        <w:ind w:left="183" w:leftChars="87"/>
        <w:jc w:val="left"/>
        <w:rPr>
          <w:rStyle w:val="80"/>
          <w:rFonts w:hint="eastAsia" w:ascii="宋体" w:hAnsi="宋体" w:eastAsia="宋体" w:cs="宋体"/>
          <w:color w:val="000000"/>
          <w:sz w:val="21"/>
          <w:szCs w:val="21"/>
          <w:highlight w:val="none"/>
          <w:lang w:bidi="ar"/>
        </w:rPr>
      </w:pPr>
      <w:r>
        <w:rPr>
          <w:rStyle w:val="80"/>
          <w:rFonts w:hint="eastAsia" w:ascii="宋体" w:hAnsi="宋体" w:eastAsia="宋体" w:cs="宋体"/>
          <w:color w:val="000000"/>
          <w:sz w:val="21"/>
          <w:szCs w:val="21"/>
          <w:highlight w:val="none"/>
          <w:lang w:bidi="ar"/>
        </w:rPr>
        <w:t>3.5评分分值计算保留小数点后两位，小数点后第三位“四舍五入”。</w:t>
      </w:r>
    </w:p>
    <w:p w14:paraId="378529A9">
      <w:pPr>
        <w:widowControl/>
        <w:spacing w:line="360" w:lineRule="auto"/>
        <w:ind w:left="183" w:leftChars="87"/>
        <w:jc w:val="left"/>
        <w:rPr>
          <w:rStyle w:val="80"/>
          <w:rFonts w:hint="eastAsia" w:ascii="宋体" w:hAnsi="宋体" w:eastAsia="宋体" w:cs="宋体"/>
          <w:color w:val="000000"/>
          <w:sz w:val="21"/>
          <w:szCs w:val="21"/>
          <w:highlight w:val="none"/>
          <w:lang w:bidi="ar"/>
        </w:rPr>
      </w:pPr>
      <w:r>
        <w:rPr>
          <w:rStyle w:val="80"/>
          <w:rFonts w:hint="eastAsia" w:ascii="宋体" w:hAnsi="宋体" w:eastAsia="宋体" w:cs="宋体"/>
          <w:color w:val="000000"/>
          <w:sz w:val="21"/>
          <w:szCs w:val="21"/>
          <w:highlight w:val="none"/>
          <w:lang w:bidi="ar"/>
        </w:rPr>
        <w:t>3.6投标人最终得分为所有评委打分的算术平均值。</w:t>
      </w:r>
    </w:p>
    <w:p w14:paraId="609B48E8">
      <w:pPr>
        <w:widowControl/>
        <w:spacing w:line="360" w:lineRule="auto"/>
        <w:ind w:left="183" w:leftChars="87"/>
        <w:jc w:val="left"/>
        <w:rPr>
          <w:rStyle w:val="80"/>
          <w:rFonts w:hint="eastAsia" w:ascii="宋体" w:hAnsi="宋体" w:eastAsia="宋体" w:cs="宋体"/>
          <w:color w:val="000000"/>
          <w:sz w:val="21"/>
          <w:szCs w:val="21"/>
          <w:highlight w:val="none"/>
          <w:lang w:bidi="ar"/>
        </w:rPr>
      </w:pPr>
      <w:r>
        <w:rPr>
          <w:rStyle w:val="80"/>
          <w:rFonts w:hint="eastAsia" w:ascii="宋体" w:hAnsi="宋体" w:eastAsia="宋体" w:cs="宋体"/>
          <w:color w:val="000000"/>
          <w:sz w:val="21"/>
          <w:szCs w:val="21"/>
          <w:highlight w:val="none"/>
          <w:lang w:bidi="ar"/>
        </w:rPr>
        <w:t>3.7分值构成与评分标准</w:t>
      </w:r>
    </w:p>
    <w:p w14:paraId="49442000">
      <w:pPr>
        <w:widowControl/>
        <w:spacing w:line="360" w:lineRule="auto"/>
        <w:ind w:left="183" w:leftChars="87"/>
        <w:jc w:val="left"/>
        <w:rPr>
          <w:rStyle w:val="80"/>
          <w:rFonts w:hint="eastAsia" w:ascii="宋体" w:hAnsi="宋体" w:eastAsia="宋体" w:cs="宋体"/>
          <w:color w:val="000000"/>
          <w:sz w:val="21"/>
          <w:szCs w:val="21"/>
          <w:highlight w:val="none"/>
          <w:lang w:bidi="ar"/>
        </w:rPr>
      </w:pPr>
      <w:r>
        <w:rPr>
          <w:rStyle w:val="80"/>
          <w:rFonts w:hint="eastAsia" w:ascii="宋体" w:hAnsi="宋体" w:eastAsia="宋体" w:cs="宋体"/>
          <w:color w:val="000000"/>
          <w:sz w:val="21"/>
          <w:szCs w:val="21"/>
          <w:highlight w:val="none"/>
          <w:lang w:bidi="ar"/>
        </w:rPr>
        <w:t>详见评分分值构成与评分标准表</w:t>
      </w:r>
    </w:p>
    <w:p w14:paraId="423257C5">
      <w:pPr>
        <w:widowControl/>
        <w:spacing w:line="360" w:lineRule="auto"/>
        <w:jc w:val="left"/>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4、推荐成交候选投标人</w:t>
      </w:r>
    </w:p>
    <w:p w14:paraId="34EF9459">
      <w:pPr>
        <w:widowControl/>
        <w:spacing w:line="360" w:lineRule="auto"/>
        <w:ind w:left="-210" w:leftChars="-100" w:firstLine="176" w:firstLineChars="84"/>
        <w:jc w:val="left"/>
        <w:rPr>
          <w:rStyle w:val="80"/>
          <w:rFonts w:hint="eastAsia" w:ascii="宋体" w:hAnsi="宋体" w:eastAsia="宋体" w:cs="宋体"/>
          <w:color w:val="000000"/>
          <w:sz w:val="21"/>
          <w:szCs w:val="21"/>
          <w:highlight w:val="none"/>
          <w:lang w:bidi="ar"/>
        </w:rPr>
      </w:pPr>
      <w:r>
        <w:rPr>
          <w:rStyle w:val="80"/>
          <w:rFonts w:hint="eastAsia" w:ascii="宋体" w:hAnsi="宋体" w:eastAsia="宋体" w:cs="宋体"/>
          <w:color w:val="000000"/>
          <w:sz w:val="21"/>
          <w:szCs w:val="21"/>
          <w:highlight w:val="none"/>
          <w:lang w:bidi="ar"/>
        </w:rPr>
        <w:t>磋商小组应当根据综合评分情况，按照评审得分由高到低顺序推荐1-3名成交候选投标人，并编写评审报告。符合《政府采购竞争性磋商采购方式管理暂行办法》财库〔2014〕214号第三条第四项“市场竞争不充分的科研项目，以及需要扶持的科技成果转化项目”情形的，可以推荐2家成交候选投标人。评审得分相同的，按照最终报价由低到高的顺序推荐。评审得分且最终报价相同的，按照技术指标优劣顺序推荐。</w:t>
      </w:r>
    </w:p>
    <w:p w14:paraId="511E04AF">
      <w:pPr>
        <w:widowControl/>
        <w:spacing w:line="360" w:lineRule="auto"/>
        <w:ind w:left="-210" w:leftChars="-100" w:firstLine="177" w:firstLineChars="84"/>
        <w:jc w:val="left"/>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5、评审报告</w:t>
      </w:r>
    </w:p>
    <w:p w14:paraId="7562C555">
      <w:pPr>
        <w:widowControl/>
        <w:spacing w:line="360" w:lineRule="auto"/>
        <w:ind w:left="-210" w:leftChars="-100" w:firstLine="176" w:firstLineChars="84"/>
        <w:jc w:val="left"/>
        <w:rPr>
          <w:rStyle w:val="80"/>
          <w:rFonts w:hint="eastAsia" w:ascii="宋体" w:hAnsi="宋体" w:eastAsia="宋体" w:cs="宋体"/>
          <w:color w:val="000000"/>
          <w:sz w:val="21"/>
          <w:szCs w:val="21"/>
          <w:highlight w:val="none"/>
          <w:lang w:bidi="ar"/>
        </w:rPr>
      </w:pPr>
      <w:r>
        <w:rPr>
          <w:rStyle w:val="80"/>
          <w:rFonts w:hint="eastAsia" w:ascii="宋体" w:hAnsi="宋体" w:eastAsia="宋体" w:cs="宋体"/>
          <w:color w:val="000000"/>
          <w:sz w:val="21"/>
          <w:szCs w:val="21"/>
          <w:highlight w:val="none"/>
          <w:lang w:bidi="ar"/>
        </w:rPr>
        <w:t>评审、磋商结束磋商小组应编写评审报告，评审报告应当由磋商小组全体人员签字认可。磋商小组成员对评审报告有异议的，磋商小组按照少数服从多数的原则推荐成交候选投标人，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04F5F83C">
      <w:pPr>
        <w:widowControl/>
        <w:spacing w:line="360" w:lineRule="auto"/>
        <w:ind w:left="-210" w:leftChars="-100" w:firstLine="177" w:firstLineChars="84"/>
        <w:jc w:val="left"/>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6、重新评审</w:t>
      </w:r>
    </w:p>
    <w:p w14:paraId="2964B547">
      <w:pPr>
        <w:widowControl/>
        <w:spacing w:line="360" w:lineRule="auto"/>
        <w:ind w:firstLine="420" w:firstLineChars="200"/>
        <w:jc w:val="left"/>
        <w:rPr>
          <w:rStyle w:val="80"/>
          <w:rFonts w:hint="eastAsia" w:ascii="宋体" w:hAnsi="宋体" w:eastAsia="宋体" w:cs="宋体"/>
          <w:color w:val="000000"/>
          <w:sz w:val="21"/>
          <w:szCs w:val="21"/>
          <w:highlight w:val="none"/>
          <w:lang w:bidi="ar"/>
        </w:rPr>
      </w:pPr>
      <w:r>
        <w:rPr>
          <w:rStyle w:val="80"/>
          <w:rFonts w:hint="eastAsia" w:ascii="宋体" w:hAnsi="宋体" w:eastAsia="宋体" w:cs="宋体"/>
          <w:color w:val="000000"/>
          <w:sz w:val="21"/>
          <w:szCs w:val="21"/>
          <w:highlight w:val="none"/>
          <w:lang w:bidi="ar"/>
        </w:rPr>
        <w:t>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并同时书面报告本级财政部门。</w:t>
      </w:r>
    </w:p>
    <w:p w14:paraId="40A6C49E">
      <w:pPr>
        <w:rPr>
          <w:rFonts w:ascii="宋体" w:hAnsi="宋体" w:cs="宋体"/>
          <w:color w:val="auto"/>
          <w:sz w:val="52"/>
          <w:szCs w:val="52"/>
        </w:rPr>
      </w:pPr>
      <w:r>
        <w:rPr>
          <w:rFonts w:hint="eastAsia" w:ascii="宋体" w:hAnsi="宋体" w:cs="宋体"/>
          <w:color w:val="auto"/>
          <w:sz w:val="52"/>
          <w:szCs w:val="52"/>
        </w:rPr>
        <w:br w:type="page"/>
      </w:r>
    </w:p>
    <w:p w14:paraId="29FF8A60">
      <w:pPr>
        <w:pStyle w:val="2"/>
        <w:widowControl/>
        <w:spacing w:line="240" w:lineRule="auto"/>
        <w:jc w:val="center"/>
        <w:rPr>
          <w:rFonts w:ascii="宋体" w:hAnsi="宋体" w:cs="宋体"/>
          <w:color w:val="auto"/>
          <w:sz w:val="52"/>
          <w:szCs w:val="52"/>
        </w:rPr>
      </w:pPr>
      <w:bookmarkStart w:id="133" w:name="_Toc3829"/>
      <w:r>
        <w:rPr>
          <w:rFonts w:hint="eastAsia" w:ascii="宋体" w:hAnsi="宋体" w:cs="宋体"/>
          <w:color w:val="auto"/>
          <w:sz w:val="52"/>
          <w:szCs w:val="52"/>
        </w:rPr>
        <w:t>第五章  合     同</w:t>
      </w:r>
      <w:bookmarkEnd w:id="132"/>
      <w:bookmarkEnd w:id="133"/>
    </w:p>
    <w:p w14:paraId="28254834">
      <w:pPr>
        <w:jc w:val="center"/>
        <w:rPr>
          <w:rFonts w:ascii="宋体" w:hAnsi="宋体" w:cs="宋体"/>
          <w:b/>
          <w:bCs/>
          <w:color w:val="auto"/>
          <w:kern w:val="0"/>
          <w:szCs w:val="21"/>
        </w:rPr>
      </w:pPr>
      <w:r>
        <w:rPr>
          <w:rFonts w:hint="eastAsia" w:ascii="宋体" w:hAnsi="宋体" w:cs="宋体"/>
          <w:b/>
          <w:bCs/>
          <w:color w:val="auto"/>
          <w:kern w:val="0"/>
          <w:szCs w:val="21"/>
        </w:rPr>
        <w:t>合同格式仅供参考，以双方签订的合同为准</w:t>
      </w:r>
    </w:p>
    <w:p w14:paraId="12762DB7">
      <w:pPr>
        <w:pStyle w:val="34"/>
        <w:rPr>
          <w:color w:val="auto"/>
        </w:rPr>
      </w:pPr>
    </w:p>
    <w:p w14:paraId="18B4DDD3">
      <w:pPr>
        <w:widowControl/>
        <w:spacing w:line="440" w:lineRule="exact"/>
        <w:ind w:firstLine="2880" w:firstLineChars="900"/>
        <w:rPr>
          <w:rFonts w:ascii="宋体" w:hAnsi="宋体"/>
          <w:bCs/>
          <w:color w:val="auto"/>
          <w:kern w:val="0"/>
          <w:sz w:val="32"/>
          <w:szCs w:val="32"/>
        </w:rPr>
      </w:pPr>
      <w:bookmarkStart w:id="134" w:name="_Toc445450473"/>
      <w:r>
        <w:rPr>
          <w:rFonts w:hint="eastAsia" w:ascii="宋体" w:hAnsi="宋体"/>
          <w:bCs/>
          <w:color w:val="auto"/>
          <w:kern w:val="0"/>
          <w:sz w:val="32"/>
          <w:szCs w:val="32"/>
        </w:rPr>
        <w:t>政府采购合同（参考文本）</w:t>
      </w:r>
    </w:p>
    <w:tbl>
      <w:tblPr>
        <w:tblStyle w:val="27"/>
        <w:tblW w:w="9697" w:type="dxa"/>
        <w:tblInd w:w="-34" w:type="dxa"/>
        <w:tblLayout w:type="fixed"/>
        <w:tblCellMar>
          <w:top w:w="0" w:type="dxa"/>
          <w:left w:w="108" w:type="dxa"/>
          <w:bottom w:w="0" w:type="dxa"/>
          <w:right w:w="108" w:type="dxa"/>
        </w:tblCellMar>
      </w:tblPr>
      <w:tblGrid>
        <w:gridCol w:w="9697"/>
      </w:tblGrid>
      <w:tr w14:paraId="0864E8EE">
        <w:tblPrEx>
          <w:tblCellMar>
            <w:top w:w="0" w:type="dxa"/>
            <w:left w:w="108" w:type="dxa"/>
            <w:bottom w:w="0" w:type="dxa"/>
            <w:right w:w="108" w:type="dxa"/>
          </w:tblCellMar>
        </w:tblPrEx>
        <w:trPr>
          <w:trHeight w:val="1127" w:hRule="atLeast"/>
        </w:trPr>
        <w:tc>
          <w:tcPr>
            <w:tcW w:w="9697" w:type="dxa"/>
            <w:tcBorders>
              <w:top w:val="single" w:color="000000" w:sz="4" w:space="0"/>
              <w:left w:val="single" w:color="000000" w:sz="4" w:space="0"/>
              <w:bottom w:val="single" w:color="000000" w:sz="4" w:space="0"/>
              <w:right w:val="single" w:color="000000" w:sz="4" w:space="0"/>
            </w:tcBorders>
          </w:tcPr>
          <w:p w14:paraId="69761FA3">
            <w:pPr>
              <w:widowControl/>
              <w:spacing w:line="440" w:lineRule="exact"/>
              <w:ind w:left="105"/>
              <w:rPr>
                <w:rFonts w:ascii="宋体" w:hAnsi="宋体"/>
                <w:color w:val="auto"/>
                <w:kern w:val="0"/>
                <w:szCs w:val="21"/>
              </w:rPr>
            </w:pPr>
            <w:r>
              <w:rPr>
                <w:rFonts w:hint="eastAsia" w:ascii="宋体" w:hAnsi="宋体"/>
                <w:color w:val="auto"/>
                <w:kern w:val="0"/>
                <w:szCs w:val="21"/>
              </w:rPr>
              <w:t>注释： </w:t>
            </w:r>
          </w:p>
          <w:p w14:paraId="072E7D83">
            <w:pPr>
              <w:widowControl/>
              <w:spacing w:line="440" w:lineRule="exact"/>
              <w:ind w:firstLine="720"/>
              <w:rPr>
                <w:rFonts w:ascii="宋体" w:hAnsi="宋体"/>
                <w:b/>
                <w:bCs/>
                <w:color w:val="auto"/>
                <w:spacing w:val="20"/>
                <w:kern w:val="0"/>
                <w:szCs w:val="21"/>
              </w:rPr>
            </w:pPr>
            <w:r>
              <w:rPr>
                <w:rFonts w:hint="eastAsia" w:ascii="宋体" w:hAnsi="宋体"/>
                <w:color w:val="auto"/>
                <w:kern w:val="0"/>
                <w:szCs w:val="21"/>
              </w:rPr>
              <w:t>本《政府采购合同》格式条款仅作为双方签订合同的参考，为阐明各方的权利和义务，经协商可增加新的条款。 但不得与招标文件、投标文件的实质性内容相背离。</w:t>
            </w:r>
          </w:p>
        </w:tc>
      </w:tr>
    </w:tbl>
    <w:p w14:paraId="527E1379">
      <w:pPr>
        <w:widowControl/>
        <w:spacing w:line="440" w:lineRule="exact"/>
        <w:rPr>
          <w:rFonts w:ascii="宋体" w:hAnsi="宋体"/>
          <w:color w:val="auto"/>
          <w:kern w:val="0"/>
          <w:szCs w:val="21"/>
        </w:rPr>
      </w:pPr>
      <w:r>
        <w:rPr>
          <w:rFonts w:hint="eastAsia" w:ascii="宋体" w:hAnsi="宋体"/>
          <w:color w:val="auto"/>
          <w:kern w:val="0"/>
          <w:szCs w:val="21"/>
        </w:rPr>
        <w:t>合同编号：</w:t>
      </w:r>
    </w:p>
    <w:p w14:paraId="032A0293">
      <w:pPr>
        <w:widowControl/>
        <w:spacing w:line="440" w:lineRule="exact"/>
        <w:rPr>
          <w:rFonts w:ascii="宋体" w:hAnsi="宋体"/>
          <w:color w:val="auto"/>
          <w:kern w:val="0"/>
          <w:szCs w:val="21"/>
        </w:rPr>
      </w:pPr>
      <w:r>
        <w:rPr>
          <w:rFonts w:hint="eastAsia" w:ascii="宋体" w:hAnsi="宋体"/>
          <w:color w:val="auto"/>
          <w:kern w:val="0"/>
          <w:szCs w:val="21"/>
        </w:rPr>
        <w:t xml:space="preserve">甲方(采购人)：                   住所地：                                             </w:t>
      </w:r>
    </w:p>
    <w:p w14:paraId="6185FB97">
      <w:pPr>
        <w:widowControl/>
        <w:spacing w:line="440" w:lineRule="exact"/>
        <w:rPr>
          <w:rFonts w:ascii="宋体" w:hAnsi="宋体"/>
          <w:color w:val="auto"/>
          <w:kern w:val="0"/>
          <w:szCs w:val="21"/>
        </w:rPr>
      </w:pPr>
      <w:r>
        <w:rPr>
          <w:rFonts w:hint="eastAsia" w:ascii="宋体" w:hAnsi="宋体"/>
          <w:color w:val="auto"/>
          <w:kern w:val="0"/>
          <w:szCs w:val="21"/>
        </w:rPr>
        <w:t>乙方（中标人）：                 住所地：</w:t>
      </w:r>
    </w:p>
    <w:p w14:paraId="1FAA1926">
      <w:pPr>
        <w:widowControl/>
        <w:spacing w:line="440" w:lineRule="exact"/>
        <w:rPr>
          <w:rFonts w:ascii="宋体" w:hAnsi="宋体"/>
          <w:color w:val="auto"/>
          <w:kern w:val="0"/>
          <w:szCs w:val="21"/>
        </w:rPr>
      </w:pPr>
      <w:r>
        <w:rPr>
          <w:rFonts w:hint="eastAsia" w:ascii="宋体" w:hAnsi="宋体"/>
          <w:color w:val="auto"/>
          <w:kern w:val="0"/>
          <w:szCs w:val="21"/>
        </w:rPr>
        <w:t>合同签订地点：　　　　  　签订日期：    年   月   日</w:t>
      </w:r>
    </w:p>
    <w:p w14:paraId="5F16A9C1">
      <w:pPr>
        <w:widowControl/>
        <w:spacing w:line="440" w:lineRule="exact"/>
        <w:ind w:firstLine="560"/>
        <w:jc w:val="left"/>
        <w:rPr>
          <w:rFonts w:ascii="宋体" w:hAnsi="宋体"/>
          <w:color w:val="auto"/>
          <w:kern w:val="0"/>
          <w:szCs w:val="21"/>
        </w:rPr>
      </w:pPr>
      <w:r>
        <w:rPr>
          <w:rFonts w:hint="eastAsia" w:ascii="宋体" w:hAnsi="宋体"/>
          <w:color w:val="auto"/>
          <w:kern w:val="0"/>
          <w:szCs w:val="21"/>
        </w:rPr>
        <w:t xml:space="preserve"> 根据《中华人民共和国政府采购法》、《中华人民共和国合同法》等法律法规的规定，甲乙双方按照xxxxx的招标结果（项目名称：</w:t>
      </w:r>
      <w:r>
        <w:rPr>
          <w:rFonts w:hint="eastAsia" w:ascii="宋体" w:hAnsi="宋体"/>
          <w:color w:val="auto"/>
          <w:kern w:val="0"/>
          <w:szCs w:val="21"/>
          <w:u w:val="single"/>
        </w:rPr>
        <w:t>　　　　　　　</w:t>
      </w:r>
      <w:r>
        <w:rPr>
          <w:rFonts w:hint="eastAsia" w:ascii="宋体" w:hAnsi="宋体"/>
          <w:color w:val="auto"/>
          <w:kern w:val="0"/>
          <w:szCs w:val="21"/>
        </w:rPr>
        <w:t>，项目编号：</w:t>
      </w:r>
      <w:r>
        <w:rPr>
          <w:rFonts w:hint="eastAsia" w:ascii="宋体" w:hAnsi="宋体"/>
          <w:color w:val="auto"/>
          <w:kern w:val="0"/>
          <w:szCs w:val="21"/>
          <w:u w:val="single"/>
        </w:rPr>
        <w:t>　　　　　　　</w:t>
      </w:r>
      <w:r>
        <w:rPr>
          <w:rFonts w:hint="eastAsia" w:ascii="宋体" w:hAnsi="宋体"/>
          <w:color w:val="auto"/>
          <w:kern w:val="0"/>
          <w:szCs w:val="21"/>
        </w:rPr>
        <w:t>）签订本合同。</w:t>
      </w:r>
    </w:p>
    <w:p w14:paraId="1F9EFCE3">
      <w:pPr>
        <w:widowControl/>
        <w:spacing w:line="440" w:lineRule="exact"/>
        <w:ind w:firstLine="422" w:firstLineChars="200"/>
        <w:rPr>
          <w:rFonts w:ascii="宋体" w:hAnsi="宋体"/>
          <w:color w:val="auto"/>
          <w:kern w:val="0"/>
          <w:szCs w:val="21"/>
        </w:rPr>
      </w:pPr>
      <w:r>
        <w:rPr>
          <w:rFonts w:hint="eastAsia" w:ascii="宋体" w:hAnsi="宋体"/>
          <w:b/>
          <w:bCs/>
          <w:color w:val="auto"/>
          <w:kern w:val="0"/>
          <w:szCs w:val="21"/>
        </w:rPr>
        <w:t xml:space="preserve">第一条：合同标的   </w:t>
      </w:r>
      <w:r>
        <w:rPr>
          <w:rFonts w:hint="eastAsia" w:ascii="宋体" w:hAnsi="宋体"/>
          <w:color w:val="auto"/>
          <w:kern w:val="0"/>
          <w:szCs w:val="21"/>
        </w:rPr>
        <w:t>乙方应根据本项目要求按下列清单提供货物（或服务项目的服务范围与内容），包括产品主机、随机备品备件及专用工具等：</w:t>
      </w:r>
    </w:p>
    <w:tbl>
      <w:tblPr>
        <w:tblStyle w:val="27"/>
        <w:tblW w:w="9660" w:type="dxa"/>
        <w:tblInd w:w="108" w:type="dxa"/>
        <w:tblLayout w:type="fixed"/>
        <w:tblCellMar>
          <w:top w:w="0" w:type="dxa"/>
          <w:left w:w="108" w:type="dxa"/>
          <w:bottom w:w="0" w:type="dxa"/>
          <w:right w:w="108" w:type="dxa"/>
        </w:tblCellMar>
      </w:tblPr>
      <w:tblGrid>
        <w:gridCol w:w="1260"/>
        <w:gridCol w:w="1365"/>
        <w:gridCol w:w="1260"/>
        <w:gridCol w:w="1155"/>
        <w:gridCol w:w="1365"/>
        <w:gridCol w:w="1050"/>
        <w:gridCol w:w="945"/>
        <w:gridCol w:w="1260"/>
      </w:tblGrid>
      <w:tr w14:paraId="524B8DF3">
        <w:tblPrEx>
          <w:tblCellMar>
            <w:top w:w="0" w:type="dxa"/>
            <w:left w:w="108" w:type="dxa"/>
            <w:bottom w:w="0" w:type="dxa"/>
            <w:right w:w="108" w:type="dxa"/>
          </w:tblCellMar>
        </w:tblPrEx>
        <w:trPr>
          <w:trHeight w:val="646" w:hRule="atLeast"/>
        </w:trPr>
        <w:tc>
          <w:tcPr>
            <w:tcW w:w="1260" w:type="dxa"/>
            <w:tcBorders>
              <w:top w:val="single" w:color="000000" w:sz="4" w:space="0"/>
              <w:left w:val="single" w:color="000000" w:sz="4" w:space="0"/>
              <w:bottom w:val="single" w:color="000000" w:sz="4" w:space="0"/>
              <w:right w:val="single" w:color="000000" w:sz="4" w:space="0"/>
            </w:tcBorders>
            <w:vAlign w:val="center"/>
          </w:tcPr>
          <w:p w14:paraId="746C97B4">
            <w:pPr>
              <w:widowControl/>
              <w:spacing w:line="440" w:lineRule="exact"/>
              <w:jc w:val="center"/>
              <w:rPr>
                <w:rFonts w:ascii="宋体" w:hAnsi="宋体"/>
                <w:color w:val="auto"/>
                <w:kern w:val="0"/>
                <w:szCs w:val="21"/>
              </w:rPr>
            </w:pPr>
            <w:r>
              <w:rPr>
                <w:rFonts w:hint="eastAsia" w:ascii="宋体" w:hAnsi="宋体"/>
                <w:color w:val="auto"/>
                <w:kern w:val="0"/>
                <w:szCs w:val="21"/>
              </w:rPr>
              <w:t>产品名称</w:t>
            </w:r>
          </w:p>
        </w:tc>
        <w:tc>
          <w:tcPr>
            <w:tcW w:w="1365" w:type="dxa"/>
            <w:tcBorders>
              <w:top w:val="single" w:color="000000" w:sz="4" w:space="0"/>
              <w:left w:val="nil"/>
              <w:bottom w:val="single" w:color="000000" w:sz="4" w:space="0"/>
              <w:right w:val="single" w:color="000000" w:sz="4" w:space="0"/>
            </w:tcBorders>
            <w:vAlign w:val="center"/>
          </w:tcPr>
          <w:p w14:paraId="47BAC07E">
            <w:pPr>
              <w:widowControl/>
              <w:spacing w:line="440" w:lineRule="exact"/>
              <w:jc w:val="center"/>
              <w:rPr>
                <w:rFonts w:ascii="宋体" w:hAnsi="宋体"/>
                <w:color w:val="auto"/>
                <w:kern w:val="0"/>
                <w:szCs w:val="21"/>
              </w:rPr>
            </w:pPr>
            <w:r>
              <w:rPr>
                <w:rFonts w:hint="eastAsia" w:ascii="宋体" w:hAnsi="宋体"/>
                <w:color w:val="auto"/>
                <w:kern w:val="0"/>
                <w:szCs w:val="21"/>
              </w:rPr>
              <w:t>规格型号</w:t>
            </w:r>
          </w:p>
        </w:tc>
        <w:tc>
          <w:tcPr>
            <w:tcW w:w="1260" w:type="dxa"/>
            <w:tcBorders>
              <w:top w:val="single" w:color="000000" w:sz="4" w:space="0"/>
              <w:left w:val="nil"/>
              <w:bottom w:val="single" w:color="000000" w:sz="4" w:space="0"/>
              <w:right w:val="single" w:color="000000" w:sz="4" w:space="0"/>
            </w:tcBorders>
            <w:vAlign w:val="center"/>
          </w:tcPr>
          <w:p w14:paraId="51C82118">
            <w:pPr>
              <w:widowControl/>
              <w:spacing w:line="440" w:lineRule="exact"/>
              <w:jc w:val="center"/>
              <w:rPr>
                <w:rFonts w:ascii="宋体" w:hAnsi="宋体"/>
                <w:color w:val="auto"/>
                <w:kern w:val="0"/>
                <w:szCs w:val="21"/>
              </w:rPr>
            </w:pPr>
            <w:r>
              <w:rPr>
                <w:rFonts w:hint="eastAsia" w:ascii="宋体" w:hAnsi="宋体"/>
                <w:color w:val="auto"/>
                <w:kern w:val="0"/>
                <w:szCs w:val="21"/>
              </w:rPr>
              <w:t>生产厂家</w:t>
            </w:r>
          </w:p>
        </w:tc>
        <w:tc>
          <w:tcPr>
            <w:tcW w:w="1155" w:type="dxa"/>
            <w:tcBorders>
              <w:top w:val="single" w:color="000000" w:sz="4" w:space="0"/>
              <w:left w:val="nil"/>
              <w:bottom w:val="single" w:color="000000" w:sz="4" w:space="0"/>
              <w:right w:val="single" w:color="000000" w:sz="4" w:space="0"/>
            </w:tcBorders>
            <w:vAlign w:val="center"/>
          </w:tcPr>
          <w:p w14:paraId="1AF56B72">
            <w:pPr>
              <w:widowControl/>
              <w:spacing w:line="440" w:lineRule="exact"/>
              <w:jc w:val="center"/>
              <w:rPr>
                <w:rFonts w:ascii="宋体" w:hAnsi="宋体"/>
                <w:color w:val="auto"/>
                <w:kern w:val="0"/>
                <w:szCs w:val="21"/>
              </w:rPr>
            </w:pPr>
            <w:r>
              <w:rPr>
                <w:rFonts w:hint="eastAsia" w:ascii="宋体" w:hAnsi="宋体"/>
                <w:color w:val="auto"/>
                <w:kern w:val="0"/>
                <w:szCs w:val="21"/>
              </w:rPr>
              <w:t>数量</w:t>
            </w:r>
          </w:p>
        </w:tc>
        <w:tc>
          <w:tcPr>
            <w:tcW w:w="1365" w:type="dxa"/>
            <w:tcBorders>
              <w:top w:val="single" w:color="000000" w:sz="4" w:space="0"/>
              <w:left w:val="nil"/>
              <w:bottom w:val="single" w:color="000000" w:sz="4" w:space="0"/>
              <w:right w:val="single" w:color="000000" w:sz="4" w:space="0"/>
            </w:tcBorders>
            <w:vAlign w:val="center"/>
          </w:tcPr>
          <w:p w14:paraId="5F020268">
            <w:pPr>
              <w:widowControl/>
              <w:spacing w:line="440" w:lineRule="exact"/>
              <w:jc w:val="center"/>
              <w:rPr>
                <w:rFonts w:ascii="宋体" w:hAnsi="宋体"/>
                <w:color w:val="auto"/>
                <w:kern w:val="0"/>
                <w:szCs w:val="21"/>
              </w:rPr>
            </w:pPr>
            <w:r>
              <w:rPr>
                <w:rFonts w:hint="eastAsia" w:ascii="宋体" w:hAnsi="宋体"/>
                <w:color w:val="auto"/>
                <w:kern w:val="0"/>
                <w:szCs w:val="21"/>
              </w:rPr>
              <w:t>数 量</w:t>
            </w:r>
          </w:p>
          <w:p w14:paraId="1988BD6F">
            <w:pPr>
              <w:widowControl/>
              <w:spacing w:line="440" w:lineRule="exact"/>
              <w:jc w:val="center"/>
              <w:rPr>
                <w:rFonts w:ascii="宋体" w:hAnsi="宋体"/>
                <w:color w:val="auto"/>
                <w:kern w:val="0"/>
                <w:szCs w:val="21"/>
              </w:rPr>
            </w:pPr>
            <w:r>
              <w:rPr>
                <w:rFonts w:hint="eastAsia" w:ascii="宋体" w:hAnsi="宋体"/>
                <w:color w:val="auto"/>
                <w:kern w:val="0"/>
                <w:szCs w:val="21"/>
              </w:rPr>
              <w:t>单 位</w:t>
            </w:r>
          </w:p>
        </w:tc>
        <w:tc>
          <w:tcPr>
            <w:tcW w:w="1050" w:type="dxa"/>
            <w:tcBorders>
              <w:top w:val="single" w:color="000000" w:sz="4" w:space="0"/>
              <w:left w:val="nil"/>
              <w:bottom w:val="single" w:color="000000" w:sz="4" w:space="0"/>
              <w:right w:val="single" w:color="000000" w:sz="4" w:space="0"/>
            </w:tcBorders>
            <w:vAlign w:val="center"/>
          </w:tcPr>
          <w:p w14:paraId="5FCA98FD">
            <w:pPr>
              <w:widowControl/>
              <w:spacing w:line="440" w:lineRule="exact"/>
              <w:jc w:val="center"/>
              <w:rPr>
                <w:rFonts w:ascii="宋体" w:hAnsi="宋体"/>
                <w:color w:val="auto"/>
                <w:kern w:val="0"/>
                <w:szCs w:val="21"/>
              </w:rPr>
            </w:pPr>
            <w:r>
              <w:rPr>
                <w:rFonts w:hint="eastAsia" w:ascii="宋体" w:hAnsi="宋体"/>
                <w:color w:val="auto"/>
                <w:kern w:val="0"/>
                <w:szCs w:val="21"/>
              </w:rPr>
              <w:t>单 价</w:t>
            </w:r>
          </w:p>
        </w:tc>
        <w:tc>
          <w:tcPr>
            <w:tcW w:w="945" w:type="dxa"/>
            <w:tcBorders>
              <w:top w:val="single" w:color="000000" w:sz="4" w:space="0"/>
              <w:left w:val="nil"/>
              <w:bottom w:val="single" w:color="000000" w:sz="4" w:space="0"/>
              <w:right w:val="single" w:color="000000" w:sz="4" w:space="0"/>
            </w:tcBorders>
            <w:vAlign w:val="center"/>
          </w:tcPr>
          <w:p w14:paraId="7A05EB7A">
            <w:pPr>
              <w:widowControl/>
              <w:spacing w:line="440" w:lineRule="exact"/>
              <w:jc w:val="center"/>
              <w:rPr>
                <w:rFonts w:ascii="宋体" w:hAnsi="宋体"/>
                <w:color w:val="auto"/>
                <w:kern w:val="0"/>
                <w:szCs w:val="21"/>
              </w:rPr>
            </w:pPr>
            <w:r>
              <w:rPr>
                <w:rFonts w:hint="eastAsia" w:ascii="宋体" w:hAnsi="宋体"/>
                <w:color w:val="auto"/>
                <w:kern w:val="0"/>
                <w:szCs w:val="21"/>
              </w:rPr>
              <w:t>总 价</w:t>
            </w:r>
          </w:p>
        </w:tc>
        <w:tc>
          <w:tcPr>
            <w:tcW w:w="1260" w:type="dxa"/>
            <w:tcBorders>
              <w:top w:val="single" w:color="000000" w:sz="4" w:space="0"/>
              <w:left w:val="nil"/>
              <w:bottom w:val="single" w:color="000000" w:sz="4" w:space="0"/>
              <w:right w:val="single" w:color="000000" w:sz="4" w:space="0"/>
            </w:tcBorders>
            <w:vAlign w:val="center"/>
          </w:tcPr>
          <w:p w14:paraId="7B12688F">
            <w:pPr>
              <w:widowControl/>
              <w:spacing w:line="440" w:lineRule="exact"/>
              <w:jc w:val="center"/>
              <w:rPr>
                <w:rFonts w:hint="eastAsia" w:ascii="宋体" w:hAnsi="宋体" w:eastAsia="宋体"/>
                <w:color w:val="auto"/>
                <w:kern w:val="0"/>
                <w:szCs w:val="21"/>
                <w:lang w:eastAsia="zh-CN"/>
              </w:rPr>
            </w:pPr>
            <w:r>
              <w:rPr>
                <w:rFonts w:hint="eastAsia" w:ascii="宋体" w:hAnsi="宋体"/>
                <w:color w:val="auto"/>
                <w:kern w:val="0"/>
                <w:szCs w:val="21"/>
                <w:lang w:eastAsia="zh-CN"/>
              </w:rPr>
              <w:t>供货安装期限</w:t>
            </w:r>
          </w:p>
        </w:tc>
      </w:tr>
      <w:tr w14:paraId="22C78920">
        <w:tblPrEx>
          <w:tblCellMar>
            <w:top w:w="0" w:type="dxa"/>
            <w:left w:w="108" w:type="dxa"/>
            <w:bottom w:w="0" w:type="dxa"/>
            <w:right w:w="108" w:type="dxa"/>
          </w:tblCellMar>
        </w:tblPrEx>
        <w:trPr>
          <w:trHeight w:val="319" w:hRule="exact"/>
        </w:trPr>
        <w:tc>
          <w:tcPr>
            <w:tcW w:w="1260" w:type="dxa"/>
            <w:tcBorders>
              <w:top w:val="single" w:color="000000" w:sz="4" w:space="0"/>
              <w:left w:val="single" w:color="000000" w:sz="4" w:space="0"/>
              <w:bottom w:val="single" w:color="000000" w:sz="4" w:space="0"/>
              <w:right w:val="single" w:color="000000" w:sz="4" w:space="0"/>
            </w:tcBorders>
          </w:tcPr>
          <w:p w14:paraId="2036075B">
            <w:pPr>
              <w:widowControl/>
              <w:spacing w:line="440" w:lineRule="exact"/>
              <w:rPr>
                <w:rFonts w:ascii="宋体" w:hAnsi="宋体"/>
                <w:color w:val="auto"/>
                <w:kern w:val="0"/>
                <w:szCs w:val="21"/>
              </w:rPr>
            </w:pPr>
          </w:p>
        </w:tc>
        <w:tc>
          <w:tcPr>
            <w:tcW w:w="1365" w:type="dxa"/>
            <w:tcBorders>
              <w:top w:val="single" w:color="000000" w:sz="4" w:space="0"/>
              <w:left w:val="nil"/>
              <w:bottom w:val="single" w:color="000000" w:sz="4" w:space="0"/>
              <w:right w:val="single" w:color="000000" w:sz="4" w:space="0"/>
            </w:tcBorders>
          </w:tcPr>
          <w:p w14:paraId="154A38DE">
            <w:pPr>
              <w:widowControl/>
              <w:spacing w:line="440" w:lineRule="exact"/>
              <w:rPr>
                <w:rFonts w:ascii="宋体" w:hAnsi="宋体"/>
                <w:color w:val="auto"/>
                <w:kern w:val="0"/>
                <w:szCs w:val="21"/>
              </w:rPr>
            </w:pPr>
          </w:p>
        </w:tc>
        <w:tc>
          <w:tcPr>
            <w:tcW w:w="1260" w:type="dxa"/>
            <w:tcBorders>
              <w:top w:val="single" w:color="000000" w:sz="4" w:space="0"/>
              <w:left w:val="nil"/>
              <w:bottom w:val="single" w:color="000000" w:sz="4" w:space="0"/>
              <w:right w:val="single" w:color="000000" w:sz="4" w:space="0"/>
            </w:tcBorders>
          </w:tcPr>
          <w:p w14:paraId="690ED228">
            <w:pPr>
              <w:widowControl/>
              <w:spacing w:line="440" w:lineRule="exact"/>
              <w:rPr>
                <w:rFonts w:ascii="宋体" w:hAnsi="宋体"/>
                <w:color w:val="auto"/>
                <w:kern w:val="0"/>
                <w:szCs w:val="21"/>
              </w:rPr>
            </w:pPr>
          </w:p>
        </w:tc>
        <w:tc>
          <w:tcPr>
            <w:tcW w:w="1155" w:type="dxa"/>
            <w:tcBorders>
              <w:top w:val="single" w:color="000000" w:sz="4" w:space="0"/>
              <w:left w:val="nil"/>
              <w:bottom w:val="single" w:color="000000" w:sz="4" w:space="0"/>
              <w:right w:val="single" w:color="000000" w:sz="4" w:space="0"/>
            </w:tcBorders>
          </w:tcPr>
          <w:p w14:paraId="4BD2C7C5">
            <w:pPr>
              <w:widowControl/>
              <w:spacing w:line="440" w:lineRule="exact"/>
              <w:rPr>
                <w:rFonts w:ascii="宋体" w:hAnsi="宋体"/>
                <w:color w:val="auto"/>
                <w:kern w:val="0"/>
                <w:szCs w:val="21"/>
              </w:rPr>
            </w:pPr>
          </w:p>
        </w:tc>
        <w:tc>
          <w:tcPr>
            <w:tcW w:w="1365" w:type="dxa"/>
            <w:tcBorders>
              <w:top w:val="single" w:color="000000" w:sz="4" w:space="0"/>
              <w:left w:val="nil"/>
              <w:bottom w:val="single" w:color="000000" w:sz="4" w:space="0"/>
              <w:right w:val="single" w:color="000000" w:sz="4" w:space="0"/>
            </w:tcBorders>
          </w:tcPr>
          <w:p w14:paraId="389FB284">
            <w:pPr>
              <w:widowControl/>
              <w:spacing w:line="440" w:lineRule="exact"/>
              <w:rPr>
                <w:rFonts w:ascii="宋体" w:hAnsi="宋体"/>
                <w:color w:val="auto"/>
                <w:kern w:val="0"/>
                <w:szCs w:val="21"/>
              </w:rPr>
            </w:pPr>
          </w:p>
        </w:tc>
        <w:tc>
          <w:tcPr>
            <w:tcW w:w="1050" w:type="dxa"/>
            <w:tcBorders>
              <w:top w:val="single" w:color="000000" w:sz="4" w:space="0"/>
              <w:left w:val="nil"/>
              <w:bottom w:val="single" w:color="000000" w:sz="4" w:space="0"/>
              <w:right w:val="single" w:color="000000" w:sz="4" w:space="0"/>
            </w:tcBorders>
          </w:tcPr>
          <w:p w14:paraId="1A989163">
            <w:pPr>
              <w:widowControl/>
              <w:spacing w:line="440" w:lineRule="exact"/>
              <w:rPr>
                <w:rFonts w:ascii="宋体" w:hAnsi="宋体"/>
                <w:color w:val="auto"/>
                <w:kern w:val="0"/>
                <w:szCs w:val="21"/>
              </w:rPr>
            </w:pPr>
          </w:p>
        </w:tc>
        <w:tc>
          <w:tcPr>
            <w:tcW w:w="945" w:type="dxa"/>
            <w:tcBorders>
              <w:top w:val="single" w:color="000000" w:sz="4" w:space="0"/>
              <w:left w:val="nil"/>
              <w:bottom w:val="single" w:color="000000" w:sz="4" w:space="0"/>
              <w:right w:val="single" w:color="000000" w:sz="4" w:space="0"/>
            </w:tcBorders>
          </w:tcPr>
          <w:p w14:paraId="4EC62A96">
            <w:pPr>
              <w:widowControl/>
              <w:spacing w:line="440" w:lineRule="exact"/>
              <w:rPr>
                <w:rFonts w:ascii="宋体" w:hAnsi="宋体"/>
                <w:color w:val="auto"/>
                <w:kern w:val="0"/>
                <w:szCs w:val="21"/>
              </w:rPr>
            </w:pPr>
          </w:p>
        </w:tc>
        <w:tc>
          <w:tcPr>
            <w:tcW w:w="1260" w:type="dxa"/>
            <w:tcBorders>
              <w:top w:val="single" w:color="000000" w:sz="4" w:space="0"/>
              <w:left w:val="nil"/>
              <w:bottom w:val="single" w:color="000000" w:sz="4" w:space="0"/>
              <w:right w:val="single" w:color="000000" w:sz="4" w:space="0"/>
            </w:tcBorders>
          </w:tcPr>
          <w:p w14:paraId="725C2EDD">
            <w:pPr>
              <w:widowControl/>
              <w:spacing w:line="440" w:lineRule="exact"/>
              <w:rPr>
                <w:rFonts w:ascii="宋体" w:hAnsi="宋体"/>
                <w:color w:val="auto"/>
                <w:kern w:val="0"/>
                <w:szCs w:val="21"/>
              </w:rPr>
            </w:pPr>
          </w:p>
        </w:tc>
      </w:tr>
      <w:tr w14:paraId="33107C05">
        <w:tblPrEx>
          <w:tblCellMar>
            <w:top w:w="0" w:type="dxa"/>
            <w:left w:w="108" w:type="dxa"/>
            <w:bottom w:w="0" w:type="dxa"/>
            <w:right w:w="108" w:type="dxa"/>
          </w:tblCellMar>
        </w:tblPrEx>
        <w:trPr>
          <w:trHeight w:val="308" w:hRule="exact"/>
        </w:trPr>
        <w:tc>
          <w:tcPr>
            <w:tcW w:w="1260" w:type="dxa"/>
            <w:tcBorders>
              <w:top w:val="single" w:color="000000" w:sz="4" w:space="0"/>
              <w:left w:val="single" w:color="000000" w:sz="4" w:space="0"/>
              <w:bottom w:val="single" w:color="000000" w:sz="4" w:space="0"/>
              <w:right w:val="single" w:color="000000" w:sz="4" w:space="0"/>
            </w:tcBorders>
          </w:tcPr>
          <w:p w14:paraId="02D4C01F">
            <w:pPr>
              <w:widowControl/>
              <w:spacing w:line="440" w:lineRule="exact"/>
              <w:rPr>
                <w:rFonts w:ascii="宋体" w:hAnsi="宋体"/>
                <w:color w:val="auto"/>
                <w:kern w:val="0"/>
                <w:szCs w:val="21"/>
              </w:rPr>
            </w:pPr>
          </w:p>
        </w:tc>
        <w:tc>
          <w:tcPr>
            <w:tcW w:w="1365" w:type="dxa"/>
            <w:tcBorders>
              <w:top w:val="single" w:color="000000" w:sz="4" w:space="0"/>
              <w:left w:val="nil"/>
              <w:bottom w:val="single" w:color="000000" w:sz="4" w:space="0"/>
              <w:right w:val="single" w:color="000000" w:sz="4" w:space="0"/>
            </w:tcBorders>
          </w:tcPr>
          <w:p w14:paraId="73C7D01C">
            <w:pPr>
              <w:widowControl/>
              <w:spacing w:line="440" w:lineRule="exact"/>
              <w:rPr>
                <w:rFonts w:ascii="宋体" w:hAnsi="宋体"/>
                <w:color w:val="auto"/>
                <w:kern w:val="0"/>
                <w:szCs w:val="21"/>
              </w:rPr>
            </w:pPr>
          </w:p>
        </w:tc>
        <w:tc>
          <w:tcPr>
            <w:tcW w:w="1260" w:type="dxa"/>
            <w:tcBorders>
              <w:top w:val="single" w:color="000000" w:sz="4" w:space="0"/>
              <w:left w:val="nil"/>
              <w:bottom w:val="single" w:color="000000" w:sz="4" w:space="0"/>
              <w:right w:val="single" w:color="000000" w:sz="4" w:space="0"/>
            </w:tcBorders>
          </w:tcPr>
          <w:p w14:paraId="41854CAE">
            <w:pPr>
              <w:widowControl/>
              <w:spacing w:line="440" w:lineRule="exact"/>
              <w:rPr>
                <w:rFonts w:ascii="宋体" w:hAnsi="宋体"/>
                <w:color w:val="auto"/>
                <w:kern w:val="0"/>
                <w:szCs w:val="21"/>
              </w:rPr>
            </w:pPr>
          </w:p>
        </w:tc>
        <w:tc>
          <w:tcPr>
            <w:tcW w:w="1155" w:type="dxa"/>
            <w:tcBorders>
              <w:top w:val="single" w:color="000000" w:sz="4" w:space="0"/>
              <w:left w:val="nil"/>
              <w:bottom w:val="single" w:color="000000" w:sz="4" w:space="0"/>
              <w:right w:val="single" w:color="000000" w:sz="4" w:space="0"/>
            </w:tcBorders>
          </w:tcPr>
          <w:p w14:paraId="704CC143">
            <w:pPr>
              <w:widowControl/>
              <w:spacing w:line="440" w:lineRule="exact"/>
              <w:rPr>
                <w:rFonts w:ascii="宋体" w:hAnsi="宋体"/>
                <w:color w:val="auto"/>
                <w:kern w:val="0"/>
                <w:szCs w:val="21"/>
              </w:rPr>
            </w:pPr>
          </w:p>
        </w:tc>
        <w:tc>
          <w:tcPr>
            <w:tcW w:w="1365" w:type="dxa"/>
            <w:tcBorders>
              <w:top w:val="single" w:color="000000" w:sz="4" w:space="0"/>
              <w:left w:val="nil"/>
              <w:bottom w:val="single" w:color="000000" w:sz="4" w:space="0"/>
              <w:right w:val="single" w:color="000000" w:sz="4" w:space="0"/>
            </w:tcBorders>
          </w:tcPr>
          <w:p w14:paraId="2AD4CFA2">
            <w:pPr>
              <w:widowControl/>
              <w:spacing w:line="440" w:lineRule="exact"/>
              <w:rPr>
                <w:rFonts w:ascii="宋体" w:hAnsi="宋体"/>
                <w:color w:val="auto"/>
                <w:kern w:val="0"/>
                <w:szCs w:val="21"/>
              </w:rPr>
            </w:pPr>
          </w:p>
        </w:tc>
        <w:tc>
          <w:tcPr>
            <w:tcW w:w="1050" w:type="dxa"/>
            <w:tcBorders>
              <w:top w:val="single" w:color="000000" w:sz="4" w:space="0"/>
              <w:left w:val="nil"/>
              <w:bottom w:val="single" w:color="000000" w:sz="4" w:space="0"/>
              <w:right w:val="single" w:color="000000" w:sz="4" w:space="0"/>
            </w:tcBorders>
          </w:tcPr>
          <w:p w14:paraId="59AF6EC1">
            <w:pPr>
              <w:widowControl/>
              <w:spacing w:line="440" w:lineRule="exact"/>
              <w:rPr>
                <w:rFonts w:ascii="宋体" w:hAnsi="宋体"/>
                <w:color w:val="auto"/>
                <w:kern w:val="0"/>
                <w:szCs w:val="21"/>
              </w:rPr>
            </w:pPr>
          </w:p>
        </w:tc>
        <w:tc>
          <w:tcPr>
            <w:tcW w:w="945" w:type="dxa"/>
            <w:tcBorders>
              <w:top w:val="single" w:color="000000" w:sz="4" w:space="0"/>
              <w:left w:val="nil"/>
              <w:bottom w:val="single" w:color="000000" w:sz="4" w:space="0"/>
              <w:right w:val="single" w:color="000000" w:sz="4" w:space="0"/>
            </w:tcBorders>
          </w:tcPr>
          <w:p w14:paraId="4C0DFCFD">
            <w:pPr>
              <w:widowControl/>
              <w:spacing w:line="440" w:lineRule="exact"/>
              <w:rPr>
                <w:rFonts w:ascii="宋体" w:hAnsi="宋体"/>
                <w:color w:val="auto"/>
                <w:kern w:val="0"/>
                <w:szCs w:val="21"/>
              </w:rPr>
            </w:pPr>
          </w:p>
        </w:tc>
        <w:tc>
          <w:tcPr>
            <w:tcW w:w="1260" w:type="dxa"/>
            <w:tcBorders>
              <w:top w:val="single" w:color="000000" w:sz="4" w:space="0"/>
              <w:left w:val="nil"/>
              <w:bottom w:val="single" w:color="000000" w:sz="4" w:space="0"/>
              <w:right w:val="single" w:color="000000" w:sz="4" w:space="0"/>
            </w:tcBorders>
          </w:tcPr>
          <w:p w14:paraId="64401507">
            <w:pPr>
              <w:widowControl/>
              <w:spacing w:line="440" w:lineRule="exact"/>
              <w:rPr>
                <w:rFonts w:ascii="宋体" w:hAnsi="宋体"/>
                <w:color w:val="auto"/>
                <w:kern w:val="0"/>
                <w:szCs w:val="21"/>
              </w:rPr>
            </w:pPr>
          </w:p>
        </w:tc>
      </w:tr>
      <w:tr w14:paraId="5E05979D">
        <w:tblPrEx>
          <w:tblCellMar>
            <w:top w:w="0" w:type="dxa"/>
            <w:left w:w="108" w:type="dxa"/>
            <w:bottom w:w="0" w:type="dxa"/>
            <w:right w:w="108" w:type="dxa"/>
          </w:tblCellMar>
        </w:tblPrEx>
        <w:trPr>
          <w:trHeight w:val="329" w:hRule="exact"/>
        </w:trPr>
        <w:tc>
          <w:tcPr>
            <w:tcW w:w="1260" w:type="dxa"/>
            <w:tcBorders>
              <w:top w:val="single" w:color="000000" w:sz="4" w:space="0"/>
              <w:left w:val="single" w:color="000000" w:sz="4" w:space="0"/>
              <w:bottom w:val="single" w:color="000000" w:sz="4" w:space="0"/>
              <w:right w:val="single" w:color="000000" w:sz="4" w:space="0"/>
            </w:tcBorders>
          </w:tcPr>
          <w:p w14:paraId="13902EB1">
            <w:pPr>
              <w:widowControl/>
              <w:spacing w:line="440" w:lineRule="exact"/>
              <w:rPr>
                <w:rFonts w:ascii="宋体" w:hAnsi="宋体"/>
                <w:color w:val="auto"/>
                <w:kern w:val="0"/>
                <w:szCs w:val="21"/>
              </w:rPr>
            </w:pPr>
          </w:p>
        </w:tc>
        <w:tc>
          <w:tcPr>
            <w:tcW w:w="1365" w:type="dxa"/>
            <w:tcBorders>
              <w:top w:val="single" w:color="000000" w:sz="4" w:space="0"/>
              <w:left w:val="nil"/>
              <w:bottom w:val="single" w:color="000000" w:sz="4" w:space="0"/>
              <w:right w:val="single" w:color="000000" w:sz="4" w:space="0"/>
            </w:tcBorders>
          </w:tcPr>
          <w:p w14:paraId="21A1CAC8">
            <w:pPr>
              <w:widowControl/>
              <w:spacing w:line="440" w:lineRule="exact"/>
              <w:rPr>
                <w:rFonts w:ascii="宋体" w:hAnsi="宋体"/>
                <w:color w:val="auto"/>
                <w:kern w:val="0"/>
                <w:szCs w:val="21"/>
              </w:rPr>
            </w:pPr>
          </w:p>
        </w:tc>
        <w:tc>
          <w:tcPr>
            <w:tcW w:w="1260" w:type="dxa"/>
            <w:tcBorders>
              <w:top w:val="single" w:color="000000" w:sz="4" w:space="0"/>
              <w:left w:val="nil"/>
              <w:bottom w:val="single" w:color="000000" w:sz="4" w:space="0"/>
              <w:right w:val="single" w:color="000000" w:sz="4" w:space="0"/>
            </w:tcBorders>
          </w:tcPr>
          <w:p w14:paraId="43378C02">
            <w:pPr>
              <w:widowControl/>
              <w:spacing w:line="440" w:lineRule="exact"/>
              <w:rPr>
                <w:rFonts w:ascii="宋体" w:hAnsi="宋体"/>
                <w:color w:val="auto"/>
                <w:kern w:val="0"/>
                <w:szCs w:val="21"/>
              </w:rPr>
            </w:pPr>
          </w:p>
        </w:tc>
        <w:tc>
          <w:tcPr>
            <w:tcW w:w="1155" w:type="dxa"/>
            <w:tcBorders>
              <w:top w:val="single" w:color="000000" w:sz="4" w:space="0"/>
              <w:left w:val="nil"/>
              <w:bottom w:val="single" w:color="000000" w:sz="4" w:space="0"/>
              <w:right w:val="single" w:color="000000" w:sz="4" w:space="0"/>
            </w:tcBorders>
          </w:tcPr>
          <w:p w14:paraId="731CECC2">
            <w:pPr>
              <w:widowControl/>
              <w:spacing w:line="440" w:lineRule="exact"/>
              <w:rPr>
                <w:rFonts w:ascii="宋体" w:hAnsi="宋体"/>
                <w:color w:val="auto"/>
                <w:kern w:val="0"/>
                <w:szCs w:val="21"/>
              </w:rPr>
            </w:pPr>
          </w:p>
        </w:tc>
        <w:tc>
          <w:tcPr>
            <w:tcW w:w="1365" w:type="dxa"/>
            <w:tcBorders>
              <w:top w:val="single" w:color="000000" w:sz="4" w:space="0"/>
              <w:left w:val="nil"/>
              <w:bottom w:val="single" w:color="000000" w:sz="4" w:space="0"/>
              <w:right w:val="single" w:color="000000" w:sz="4" w:space="0"/>
            </w:tcBorders>
          </w:tcPr>
          <w:p w14:paraId="3AD44345">
            <w:pPr>
              <w:widowControl/>
              <w:spacing w:line="440" w:lineRule="exact"/>
              <w:rPr>
                <w:rFonts w:ascii="宋体" w:hAnsi="宋体"/>
                <w:color w:val="auto"/>
                <w:kern w:val="0"/>
                <w:szCs w:val="21"/>
              </w:rPr>
            </w:pPr>
          </w:p>
        </w:tc>
        <w:tc>
          <w:tcPr>
            <w:tcW w:w="1050" w:type="dxa"/>
            <w:tcBorders>
              <w:top w:val="single" w:color="000000" w:sz="4" w:space="0"/>
              <w:left w:val="nil"/>
              <w:bottom w:val="single" w:color="000000" w:sz="4" w:space="0"/>
              <w:right w:val="single" w:color="000000" w:sz="4" w:space="0"/>
            </w:tcBorders>
          </w:tcPr>
          <w:p w14:paraId="0FA8D6C5">
            <w:pPr>
              <w:widowControl/>
              <w:spacing w:line="440" w:lineRule="exact"/>
              <w:rPr>
                <w:rFonts w:ascii="宋体" w:hAnsi="宋体"/>
                <w:color w:val="auto"/>
                <w:kern w:val="0"/>
                <w:szCs w:val="21"/>
              </w:rPr>
            </w:pPr>
          </w:p>
        </w:tc>
        <w:tc>
          <w:tcPr>
            <w:tcW w:w="945" w:type="dxa"/>
            <w:tcBorders>
              <w:top w:val="single" w:color="000000" w:sz="4" w:space="0"/>
              <w:left w:val="nil"/>
              <w:bottom w:val="single" w:color="000000" w:sz="4" w:space="0"/>
              <w:right w:val="single" w:color="000000" w:sz="4" w:space="0"/>
            </w:tcBorders>
          </w:tcPr>
          <w:p w14:paraId="3BAED087">
            <w:pPr>
              <w:widowControl/>
              <w:spacing w:line="440" w:lineRule="exact"/>
              <w:rPr>
                <w:rFonts w:ascii="宋体" w:hAnsi="宋体"/>
                <w:color w:val="auto"/>
                <w:kern w:val="0"/>
                <w:szCs w:val="21"/>
              </w:rPr>
            </w:pPr>
          </w:p>
        </w:tc>
        <w:tc>
          <w:tcPr>
            <w:tcW w:w="1260" w:type="dxa"/>
            <w:tcBorders>
              <w:top w:val="single" w:color="000000" w:sz="4" w:space="0"/>
              <w:left w:val="nil"/>
              <w:bottom w:val="single" w:color="000000" w:sz="4" w:space="0"/>
              <w:right w:val="single" w:color="000000" w:sz="4" w:space="0"/>
            </w:tcBorders>
          </w:tcPr>
          <w:p w14:paraId="115E13D6">
            <w:pPr>
              <w:widowControl/>
              <w:spacing w:line="440" w:lineRule="exact"/>
              <w:rPr>
                <w:rFonts w:ascii="宋体" w:hAnsi="宋体"/>
                <w:color w:val="auto"/>
                <w:kern w:val="0"/>
                <w:szCs w:val="21"/>
              </w:rPr>
            </w:pPr>
          </w:p>
        </w:tc>
      </w:tr>
      <w:tr w14:paraId="168032DF">
        <w:tblPrEx>
          <w:tblCellMar>
            <w:top w:w="0" w:type="dxa"/>
            <w:left w:w="108" w:type="dxa"/>
            <w:bottom w:w="0" w:type="dxa"/>
            <w:right w:w="108" w:type="dxa"/>
          </w:tblCellMar>
        </w:tblPrEx>
        <w:trPr>
          <w:trHeight w:val="349" w:hRule="exact"/>
        </w:trPr>
        <w:tc>
          <w:tcPr>
            <w:tcW w:w="1260" w:type="dxa"/>
            <w:tcBorders>
              <w:top w:val="single" w:color="000000" w:sz="4" w:space="0"/>
              <w:left w:val="single" w:color="000000" w:sz="4" w:space="0"/>
              <w:bottom w:val="single" w:color="000000" w:sz="4" w:space="0"/>
              <w:right w:val="single" w:color="000000" w:sz="4" w:space="0"/>
            </w:tcBorders>
          </w:tcPr>
          <w:p w14:paraId="1FB71D11">
            <w:pPr>
              <w:widowControl/>
              <w:spacing w:line="440" w:lineRule="exact"/>
              <w:rPr>
                <w:rFonts w:ascii="宋体" w:hAnsi="宋体"/>
                <w:color w:val="auto"/>
                <w:kern w:val="0"/>
                <w:szCs w:val="21"/>
              </w:rPr>
            </w:pPr>
          </w:p>
        </w:tc>
        <w:tc>
          <w:tcPr>
            <w:tcW w:w="1365" w:type="dxa"/>
            <w:tcBorders>
              <w:top w:val="single" w:color="000000" w:sz="4" w:space="0"/>
              <w:left w:val="nil"/>
              <w:bottom w:val="single" w:color="000000" w:sz="4" w:space="0"/>
              <w:right w:val="single" w:color="000000" w:sz="4" w:space="0"/>
            </w:tcBorders>
          </w:tcPr>
          <w:p w14:paraId="7D02AA28">
            <w:pPr>
              <w:widowControl/>
              <w:spacing w:line="440" w:lineRule="exact"/>
              <w:rPr>
                <w:rFonts w:ascii="宋体" w:hAnsi="宋体"/>
                <w:color w:val="auto"/>
                <w:kern w:val="0"/>
                <w:szCs w:val="21"/>
              </w:rPr>
            </w:pPr>
          </w:p>
        </w:tc>
        <w:tc>
          <w:tcPr>
            <w:tcW w:w="1260" w:type="dxa"/>
            <w:tcBorders>
              <w:top w:val="single" w:color="000000" w:sz="4" w:space="0"/>
              <w:left w:val="nil"/>
              <w:bottom w:val="single" w:color="000000" w:sz="4" w:space="0"/>
              <w:right w:val="single" w:color="000000" w:sz="4" w:space="0"/>
            </w:tcBorders>
          </w:tcPr>
          <w:p w14:paraId="2D2F1C98">
            <w:pPr>
              <w:widowControl/>
              <w:spacing w:line="440" w:lineRule="exact"/>
              <w:rPr>
                <w:rFonts w:ascii="宋体" w:hAnsi="宋体"/>
                <w:color w:val="auto"/>
                <w:kern w:val="0"/>
                <w:szCs w:val="21"/>
              </w:rPr>
            </w:pPr>
          </w:p>
        </w:tc>
        <w:tc>
          <w:tcPr>
            <w:tcW w:w="1155" w:type="dxa"/>
            <w:tcBorders>
              <w:top w:val="single" w:color="000000" w:sz="4" w:space="0"/>
              <w:left w:val="nil"/>
              <w:bottom w:val="single" w:color="000000" w:sz="4" w:space="0"/>
              <w:right w:val="single" w:color="000000" w:sz="4" w:space="0"/>
            </w:tcBorders>
          </w:tcPr>
          <w:p w14:paraId="07B022C4">
            <w:pPr>
              <w:widowControl/>
              <w:spacing w:line="440" w:lineRule="exact"/>
              <w:rPr>
                <w:rFonts w:ascii="宋体" w:hAnsi="宋体"/>
                <w:color w:val="auto"/>
                <w:kern w:val="0"/>
                <w:szCs w:val="21"/>
              </w:rPr>
            </w:pPr>
          </w:p>
        </w:tc>
        <w:tc>
          <w:tcPr>
            <w:tcW w:w="1365" w:type="dxa"/>
            <w:tcBorders>
              <w:top w:val="single" w:color="000000" w:sz="4" w:space="0"/>
              <w:left w:val="nil"/>
              <w:bottom w:val="single" w:color="000000" w:sz="4" w:space="0"/>
              <w:right w:val="single" w:color="000000" w:sz="4" w:space="0"/>
            </w:tcBorders>
          </w:tcPr>
          <w:p w14:paraId="6F5DB30C">
            <w:pPr>
              <w:widowControl/>
              <w:spacing w:line="440" w:lineRule="exact"/>
              <w:rPr>
                <w:rFonts w:ascii="宋体" w:hAnsi="宋体"/>
                <w:color w:val="auto"/>
                <w:kern w:val="0"/>
                <w:szCs w:val="21"/>
              </w:rPr>
            </w:pPr>
          </w:p>
        </w:tc>
        <w:tc>
          <w:tcPr>
            <w:tcW w:w="1050" w:type="dxa"/>
            <w:tcBorders>
              <w:top w:val="single" w:color="000000" w:sz="4" w:space="0"/>
              <w:left w:val="nil"/>
              <w:bottom w:val="single" w:color="000000" w:sz="4" w:space="0"/>
              <w:right w:val="single" w:color="000000" w:sz="4" w:space="0"/>
            </w:tcBorders>
          </w:tcPr>
          <w:p w14:paraId="30DE2DF4">
            <w:pPr>
              <w:widowControl/>
              <w:spacing w:line="440" w:lineRule="exact"/>
              <w:rPr>
                <w:rFonts w:ascii="宋体" w:hAnsi="宋体"/>
                <w:color w:val="auto"/>
                <w:kern w:val="0"/>
                <w:szCs w:val="21"/>
              </w:rPr>
            </w:pPr>
          </w:p>
        </w:tc>
        <w:tc>
          <w:tcPr>
            <w:tcW w:w="945" w:type="dxa"/>
            <w:tcBorders>
              <w:top w:val="single" w:color="000000" w:sz="4" w:space="0"/>
              <w:left w:val="nil"/>
              <w:bottom w:val="single" w:color="000000" w:sz="4" w:space="0"/>
              <w:right w:val="single" w:color="000000" w:sz="4" w:space="0"/>
            </w:tcBorders>
          </w:tcPr>
          <w:p w14:paraId="6FF78887">
            <w:pPr>
              <w:widowControl/>
              <w:spacing w:line="440" w:lineRule="exact"/>
              <w:rPr>
                <w:rFonts w:ascii="宋体" w:hAnsi="宋体"/>
                <w:color w:val="auto"/>
                <w:kern w:val="0"/>
                <w:szCs w:val="21"/>
              </w:rPr>
            </w:pPr>
          </w:p>
        </w:tc>
        <w:tc>
          <w:tcPr>
            <w:tcW w:w="1260" w:type="dxa"/>
            <w:tcBorders>
              <w:top w:val="single" w:color="000000" w:sz="4" w:space="0"/>
              <w:left w:val="nil"/>
              <w:bottom w:val="single" w:color="000000" w:sz="4" w:space="0"/>
              <w:right w:val="single" w:color="000000" w:sz="4" w:space="0"/>
            </w:tcBorders>
          </w:tcPr>
          <w:p w14:paraId="2495617B">
            <w:pPr>
              <w:widowControl/>
              <w:spacing w:line="440" w:lineRule="exact"/>
              <w:rPr>
                <w:rFonts w:ascii="宋体" w:hAnsi="宋体"/>
                <w:color w:val="auto"/>
                <w:kern w:val="0"/>
                <w:szCs w:val="21"/>
              </w:rPr>
            </w:pPr>
          </w:p>
        </w:tc>
      </w:tr>
      <w:tr w14:paraId="612B8A78">
        <w:tblPrEx>
          <w:tblCellMar>
            <w:top w:w="0" w:type="dxa"/>
            <w:left w:w="108" w:type="dxa"/>
            <w:bottom w:w="0" w:type="dxa"/>
            <w:right w:w="108" w:type="dxa"/>
          </w:tblCellMar>
        </w:tblPrEx>
        <w:trPr>
          <w:trHeight w:val="599" w:hRule="atLeast"/>
        </w:trPr>
        <w:tc>
          <w:tcPr>
            <w:tcW w:w="9660" w:type="dxa"/>
            <w:gridSpan w:val="8"/>
            <w:tcBorders>
              <w:top w:val="single" w:color="000000" w:sz="4" w:space="0"/>
              <w:left w:val="single" w:color="000000" w:sz="4" w:space="0"/>
              <w:bottom w:val="single" w:color="000000" w:sz="4" w:space="0"/>
              <w:right w:val="single" w:color="000000" w:sz="4" w:space="0"/>
            </w:tcBorders>
          </w:tcPr>
          <w:p w14:paraId="605490FD">
            <w:pPr>
              <w:widowControl/>
              <w:spacing w:line="440" w:lineRule="exact"/>
              <w:rPr>
                <w:rFonts w:ascii="宋体" w:hAnsi="宋体"/>
                <w:color w:val="auto"/>
                <w:kern w:val="0"/>
                <w:szCs w:val="21"/>
              </w:rPr>
            </w:pPr>
            <w:r>
              <w:rPr>
                <w:rFonts w:hint="eastAsia" w:ascii="宋体" w:hAnsi="宋体"/>
                <w:color w:val="auto"/>
                <w:kern w:val="0"/>
                <w:szCs w:val="21"/>
              </w:rPr>
              <w:t>合同总金额（大写）人民币（¥：）</w:t>
            </w:r>
          </w:p>
        </w:tc>
      </w:tr>
    </w:tbl>
    <w:p w14:paraId="7A8EB4B0">
      <w:pPr>
        <w:widowControl/>
        <w:spacing w:line="440" w:lineRule="exact"/>
        <w:ind w:firstLine="422" w:firstLineChars="200"/>
        <w:jc w:val="left"/>
        <w:rPr>
          <w:rFonts w:ascii="宋体" w:hAnsi="宋体"/>
          <w:color w:val="auto"/>
          <w:kern w:val="0"/>
          <w:szCs w:val="21"/>
        </w:rPr>
      </w:pPr>
      <w:r>
        <w:rPr>
          <w:rFonts w:hint="eastAsia" w:ascii="宋体" w:hAnsi="宋体"/>
          <w:b/>
          <w:bCs/>
          <w:color w:val="auto"/>
          <w:kern w:val="0"/>
          <w:szCs w:val="21"/>
        </w:rPr>
        <w:t xml:space="preserve">第二条：合同总价款    </w:t>
      </w:r>
      <w:r>
        <w:rPr>
          <w:rFonts w:hint="eastAsia" w:ascii="宋体" w:hAnsi="宋体"/>
          <w:color w:val="auto"/>
          <w:kern w:val="0"/>
          <w:szCs w:val="21"/>
        </w:rPr>
        <w:t>本合同项下货物（服务）的总价款为人民币（大写）：</w:t>
      </w:r>
      <w:r>
        <w:rPr>
          <w:rFonts w:hint="eastAsia" w:ascii="宋体" w:hAnsi="宋体"/>
          <w:bCs/>
          <w:color w:val="auto"/>
          <w:kern w:val="0"/>
          <w:szCs w:val="21"/>
        </w:rPr>
        <w:t>（</w:t>
      </w:r>
      <w:r>
        <w:rPr>
          <w:rFonts w:hint="eastAsia" w:ascii="宋体" w:hAnsi="宋体"/>
          <w:color w:val="auto"/>
          <w:kern w:val="0"/>
          <w:szCs w:val="21"/>
        </w:rPr>
        <w:t>￥：</w:t>
      </w:r>
      <w:r>
        <w:rPr>
          <w:rFonts w:hint="eastAsia" w:ascii="宋体" w:hAnsi="宋体"/>
          <w:color w:val="auto"/>
          <w:kern w:val="0"/>
          <w:szCs w:val="21"/>
          <w:u w:val="single"/>
        </w:rPr>
        <w:t>　　　　　</w:t>
      </w:r>
      <w:r>
        <w:rPr>
          <w:rFonts w:hint="eastAsia" w:ascii="宋体" w:hAnsi="宋体"/>
          <w:color w:val="auto"/>
          <w:kern w:val="0"/>
          <w:szCs w:val="21"/>
        </w:rPr>
        <w:t>）。合同总价款中包含：本招标采购对象，及与之相关的</w:t>
      </w:r>
      <w:r>
        <w:rPr>
          <w:rFonts w:hint="eastAsia" w:ascii="宋体" w:hAnsi="宋体"/>
          <w:color w:val="auto"/>
          <w:szCs w:val="21"/>
        </w:rPr>
        <w:t>货物设计、制造、包装、运输、装卸、</w:t>
      </w:r>
      <w:r>
        <w:rPr>
          <w:rFonts w:hint="eastAsia" w:ascii="宋体" w:hAnsi="宋体"/>
          <w:color w:val="auto"/>
          <w:kern w:val="0"/>
          <w:szCs w:val="21"/>
        </w:rPr>
        <w:t>安装、调试、</w:t>
      </w:r>
      <w:r>
        <w:rPr>
          <w:rFonts w:hint="eastAsia" w:ascii="宋体" w:hAnsi="宋体"/>
          <w:color w:val="auto"/>
          <w:szCs w:val="21"/>
        </w:rPr>
        <w:t>质量检验、各项税费、保险费、意外事故、等</w:t>
      </w:r>
      <w:r>
        <w:rPr>
          <w:rFonts w:hint="eastAsia" w:ascii="宋体" w:hAnsi="宋体"/>
          <w:color w:val="auto"/>
          <w:kern w:val="0"/>
          <w:szCs w:val="21"/>
        </w:rPr>
        <w:t>验收合格前全部</w:t>
      </w:r>
      <w:r>
        <w:rPr>
          <w:rFonts w:hint="eastAsia" w:ascii="宋体" w:hAnsi="宋体"/>
          <w:color w:val="auto"/>
          <w:szCs w:val="21"/>
        </w:rPr>
        <w:t>费用</w:t>
      </w:r>
      <w:r>
        <w:rPr>
          <w:rFonts w:hint="eastAsia" w:ascii="宋体" w:hAnsi="宋体"/>
          <w:color w:val="auto"/>
          <w:kern w:val="0"/>
          <w:szCs w:val="21"/>
        </w:rPr>
        <w:t>，以及备品备件、专用工具、技术培训、技术资料、保修期内的各项保修和系统维护费用、相应的伴随服务和售后服务费用等。</w:t>
      </w:r>
    </w:p>
    <w:p w14:paraId="675F3852">
      <w:pPr>
        <w:pStyle w:val="12"/>
        <w:spacing w:line="440" w:lineRule="exact"/>
        <w:ind w:firstLine="422" w:firstLineChars="200"/>
        <w:rPr>
          <w:rFonts w:hAnsi="宋体"/>
          <w:color w:val="auto"/>
        </w:rPr>
      </w:pPr>
      <w:r>
        <w:rPr>
          <w:rFonts w:hint="eastAsia" w:hAnsi="宋体"/>
          <w:b/>
          <w:bCs/>
          <w:color w:val="auto"/>
        </w:rPr>
        <w:t>第三条：组成本合同的有关文件　　</w:t>
      </w:r>
      <w:r>
        <w:rPr>
          <w:rFonts w:hint="eastAsia" w:hAnsi="宋体"/>
          <w:color w:val="auto"/>
        </w:rPr>
        <w:t>本项目的招标文件及补充文件、乙方投标文件、中标通知书、经双方和有关监督部门同意的相关变更、补充协议、澄清确认函（如果有的话）及与本次采购活动相关的文件及附件是本合同不可分割的组成部分，与本合同具有同等法律效力。构成本合同组成部分的洽商、变更等书面协议或文件，其优先顺序应视其内容与本合同及其他文件的关系而定。</w:t>
      </w:r>
    </w:p>
    <w:p w14:paraId="576F80BB">
      <w:pPr>
        <w:pStyle w:val="12"/>
        <w:spacing w:line="440" w:lineRule="exact"/>
        <w:ind w:firstLine="422" w:firstLineChars="200"/>
        <w:rPr>
          <w:rFonts w:hAnsi="宋体"/>
          <w:b/>
          <w:bCs/>
          <w:color w:val="auto"/>
        </w:rPr>
      </w:pPr>
      <w:r>
        <w:rPr>
          <w:rFonts w:hint="eastAsia" w:hAnsi="宋体"/>
          <w:b/>
          <w:bCs/>
          <w:color w:val="auto"/>
        </w:rPr>
        <w:t>第四条  权利保证　　</w:t>
      </w:r>
      <w:r>
        <w:rPr>
          <w:rFonts w:hint="eastAsia" w:hAnsi="宋体"/>
          <w:color w:val="auto"/>
        </w:rPr>
        <w:t>乙方应保证甲方在使用该货物（服务）或其任何一部分时不受第三方提出侵犯其专利权、版权、商标权或其他权利的起诉。一旦出现侵权，乙方应承担全部责任。</w:t>
      </w:r>
    </w:p>
    <w:p w14:paraId="424894C6">
      <w:pPr>
        <w:widowControl/>
        <w:spacing w:line="440" w:lineRule="exact"/>
        <w:ind w:firstLine="422" w:firstLineChars="200"/>
        <w:jc w:val="left"/>
        <w:rPr>
          <w:rFonts w:ascii="宋体" w:hAnsi="宋体"/>
          <w:b/>
          <w:bCs/>
          <w:color w:val="auto"/>
          <w:kern w:val="0"/>
          <w:szCs w:val="21"/>
        </w:rPr>
      </w:pPr>
      <w:r>
        <w:rPr>
          <w:rFonts w:hint="eastAsia" w:ascii="宋体" w:hAnsi="宋体"/>
          <w:b/>
          <w:bCs/>
          <w:color w:val="auto"/>
          <w:kern w:val="0"/>
          <w:szCs w:val="21"/>
        </w:rPr>
        <w:t>第五条  质量保证</w:t>
      </w:r>
    </w:p>
    <w:p w14:paraId="33E1BEB6">
      <w:pPr>
        <w:widowControl/>
        <w:spacing w:line="440" w:lineRule="exact"/>
        <w:ind w:firstLine="420" w:firstLineChars="200"/>
        <w:jc w:val="left"/>
        <w:rPr>
          <w:rFonts w:ascii="宋体" w:hAnsi="宋体"/>
          <w:b/>
          <w:bCs/>
          <w:color w:val="auto"/>
          <w:kern w:val="0"/>
          <w:szCs w:val="21"/>
        </w:rPr>
      </w:pPr>
      <w:r>
        <w:rPr>
          <w:rFonts w:hint="eastAsia" w:ascii="宋体" w:hAnsi="宋体"/>
          <w:color w:val="auto"/>
          <w:kern w:val="0"/>
          <w:szCs w:val="21"/>
        </w:rPr>
        <w:t>1、乙方所提供的货物（服务）的技术规格标准应与招标文件规定的技术规格标准相一致；若技术性能标准无特殊说明，则按国家有关部门最新颁布的标准及规范为准。</w:t>
      </w:r>
    </w:p>
    <w:p w14:paraId="0FEEB256">
      <w:pPr>
        <w:widowControl/>
        <w:spacing w:line="440" w:lineRule="exact"/>
        <w:ind w:firstLine="420" w:firstLineChars="200"/>
        <w:jc w:val="left"/>
        <w:rPr>
          <w:rFonts w:ascii="宋体" w:hAnsi="宋体"/>
          <w:color w:val="auto"/>
          <w:kern w:val="0"/>
          <w:szCs w:val="21"/>
        </w:rPr>
      </w:pPr>
      <w:r>
        <w:rPr>
          <w:rFonts w:hint="eastAsia" w:ascii="宋体" w:hAnsi="宋体"/>
          <w:color w:val="auto"/>
          <w:kern w:val="0"/>
          <w:szCs w:val="21"/>
        </w:rPr>
        <w:t>2、乙方应保证货物是全新、未使用过的原装合格正品，并完全符合本项目规定的质量、规格和性能的要求。乙方应保证其提供的货物在正确安装、正常使用和保养条件下，在其使用寿命期限内具有良好的性能。货物验收后，在质保期内，乙方应对由于设计、工艺或材料的缺陷所发生的任何不足或故障负责，所需费用由乙方承担。</w:t>
      </w:r>
    </w:p>
    <w:p w14:paraId="0679FAE7">
      <w:pPr>
        <w:widowControl/>
        <w:spacing w:line="440" w:lineRule="exact"/>
        <w:ind w:firstLine="422" w:firstLineChars="200"/>
        <w:jc w:val="left"/>
        <w:rPr>
          <w:rFonts w:ascii="宋体" w:hAnsi="宋体"/>
          <w:b/>
          <w:bCs/>
          <w:color w:val="auto"/>
          <w:kern w:val="0"/>
          <w:szCs w:val="21"/>
        </w:rPr>
      </w:pPr>
      <w:r>
        <w:rPr>
          <w:rFonts w:hint="eastAsia" w:ascii="宋体" w:hAnsi="宋体"/>
          <w:b/>
          <w:bCs/>
          <w:color w:val="auto"/>
          <w:kern w:val="0"/>
          <w:szCs w:val="21"/>
        </w:rPr>
        <w:t>第六条  包装要求</w:t>
      </w:r>
    </w:p>
    <w:p w14:paraId="3BE6DC72">
      <w:pPr>
        <w:widowControl/>
        <w:spacing w:line="440" w:lineRule="exact"/>
        <w:ind w:firstLine="420" w:firstLineChars="200"/>
        <w:jc w:val="left"/>
        <w:rPr>
          <w:rFonts w:ascii="宋体" w:hAnsi="宋体"/>
          <w:color w:val="auto"/>
          <w:kern w:val="0"/>
          <w:szCs w:val="21"/>
        </w:rPr>
      </w:pPr>
      <w:r>
        <w:rPr>
          <w:rFonts w:hint="eastAsia" w:ascii="宋体" w:hAnsi="宋体"/>
          <w:color w:val="auto"/>
          <w:kern w:val="0"/>
          <w:szCs w:val="21"/>
        </w:rPr>
        <w:t>1、除合同另有规定外，乙方提供的全部货物均应按标准保护措施进行包装。该包装应适应于远距离运输、防潮、防震、防锈和防野蛮装卸，以确保货物安全无损运抵指定地点。由于包装不善所引起的货物损失均由乙方承担。</w:t>
      </w:r>
    </w:p>
    <w:p w14:paraId="6516EAE5">
      <w:pPr>
        <w:widowControl/>
        <w:spacing w:line="440" w:lineRule="exact"/>
        <w:ind w:firstLine="420" w:firstLineChars="200"/>
        <w:jc w:val="left"/>
        <w:rPr>
          <w:rFonts w:ascii="宋体" w:hAnsi="宋体"/>
          <w:color w:val="auto"/>
          <w:kern w:val="0"/>
          <w:szCs w:val="21"/>
        </w:rPr>
      </w:pPr>
      <w:r>
        <w:rPr>
          <w:rFonts w:hint="eastAsia" w:ascii="宋体" w:hAnsi="宋体"/>
          <w:color w:val="auto"/>
          <w:kern w:val="0"/>
          <w:szCs w:val="21"/>
        </w:rPr>
        <w:t>2、每一包装单元内应附详细的装箱单和质量合格凭证。</w:t>
      </w:r>
    </w:p>
    <w:p w14:paraId="589477D0">
      <w:pPr>
        <w:widowControl/>
        <w:spacing w:line="440" w:lineRule="exact"/>
        <w:ind w:firstLine="422" w:firstLineChars="200"/>
        <w:jc w:val="left"/>
        <w:rPr>
          <w:rFonts w:ascii="宋体" w:hAnsi="宋体"/>
          <w:b/>
          <w:bCs/>
          <w:color w:val="auto"/>
          <w:kern w:val="0"/>
          <w:szCs w:val="21"/>
        </w:rPr>
      </w:pPr>
      <w:r>
        <w:rPr>
          <w:rFonts w:hint="eastAsia" w:ascii="宋体" w:hAnsi="宋体"/>
          <w:b/>
          <w:bCs/>
          <w:color w:val="auto"/>
          <w:kern w:val="0"/>
          <w:szCs w:val="21"/>
        </w:rPr>
        <w:t>第七条  交货和验收</w:t>
      </w:r>
    </w:p>
    <w:p w14:paraId="2CB11F5E">
      <w:pPr>
        <w:widowControl/>
        <w:spacing w:line="440" w:lineRule="exact"/>
        <w:ind w:firstLine="420" w:firstLineChars="200"/>
        <w:rPr>
          <w:rFonts w:ascii="宋体" w:hAnsi="宋体"/>
          <w:color w:val="auto"/>
          <w:kern w:val="0"/>
          <w:szCs w:val="21"/>
        </w:rPr>
      </w:pPr>
      <w:r>
        <w:rPr>
          <w:rFonts w:hint="eastAsia" w:ascii="宋体" w:hAnsi="宋体"/>
          <w:color w:val="auto"/>
          <w:kern w:val="0"/>
          <w:szCs w:val="21"/>
        </w:rPr>
        <w:t>1、交货（服务）地点：</w:t>
      </w:r>
    </w:p>
    <w:p w14:paraId="4D7A1770">
      <w:pPr>
        <w:widowControl/>
        <w:spacing w:line="440" w:lineRule="exact"/>
        <w:ind w:firstLine="420" w:firstLineChars="200"/>
        <w:rPr>
          <w:rFonts w:ascii="宋体" w:hAnsi="宋体"/>
          <w:color w:val="auto"/>
          <w:kern w:val="0"/>
          <w:szCs w:val="21"/>
          <w:u w:val="single"/>
        </w:rPr>
      </w:pPr>
      <w:r>
        <w:rPr>
          <w:rFonts w:hint="eastAsia" w:ascii="宋体" w:hAnsi="宋体"/>
          <w:color w:val="auto"/>
          <w:kern w:val="0"/>
          <w:szCs w:val="21"/>
        </w:rPr>
        <w:t>2、交货（服务）期限：</w:t>
      </w:r>
      <w:r>
        <w:rPr>
          <w:rFonts w:hint="eastAsia" w:ascii="宋体" w:hAnsi="宋体"/>
          <w:color w:val="auto"/>
          <w:kern w:val="0"/>
          <w:szCs w:val="21"/>
          <w:u w:val="single"/>
        </w:rPr>
        <w:t>　　</w:t>
      </w:r>
      <w:r>
        <w:rPr>
          <w:rFonts w:hint="eastAsia" w:ascii="宋体" w:hAnsi="宋体"/>
          <w:color w:val="auto"/>
          <w:kern w:val="0"/>
          <w:szCs w:val="21"/>
        </w:rPr>
        <w:t>天，从</w:t>
      </w:r>
      <w:r>
        <w:rPr>
          <w:rFonts w:hint="eastAsia" w:ascii="宋体" w:hAnsi="宋体"/>
          <w:color w:val="auto"/>
          <w:kern w:val="0"/>
          <w:szCs w:val="21"/>
          <w:u w:val="single"/>
        </w:rPr>
        <w:t>　　　　　</w:t>
      </w:r>
      <w:r>
        <w:rPr>
          <w:rFonts w:hint="eastAsia" w:ascii="宋体" w:hAnsi="宋体"/>
          <w:color w:val="auto"/>
          <w:kern w:val="0"/>
          <w:szCs w:val="21"/>
        </w:rPr>
        <w:t>计算。</w:t>
      </w:r>
    </w:p>
    <w:p w14:paraId="5B385046">
      <w:pPr>
        <w:widowControl/>
        <w:spacing w:line="440" w:lineRule="exact"/>
        <w:ind w:firstLine="420" w:firstLineChars="200"/>
        <w:jc w:val="left"/>
        <w:rPr>
          <w:rFonts w:ascii="宋体" w:hAnsi="宋体"/>
          <w:color w:val="auto"/>
          <w:kern w:val="0"/>
          <w:szCs w:val="21"/>
        </w:rPr>
      </w:pPr>
      <w:r>
        <w:rPr>
          <w:rFonts w:hint="eastAsia" w:ascii="宋体" w:hAnsi="宋体"/>
          <w:color w:val="auto"/>
          <w:kern w:val="0"/>
          <w:szCs w:val="21"/>
        </w:rPr>
        <w:t>3、乙方交付的货物（服务）应当完全符合本合同、招标文件及投标文件所规定的货物、数量和规格要求，不符要求的，甲方有权拒收货物，由此引起的风险，由乙方承担。</w:t>
      </w:r>
    </w:p>
    <w:p w14:paraId="05CB90EE">
      <w:pPr>
        <w:widowControl/>
        <w:spacing w:line="440" w:lineRule="exact"/>
        <w:ind w:firstLine="420" w:firstLineChars="200"/>
        <w:jc w:val="left"/>
        <w:rPr>
          <w:rFonts w:ascii="宋体" w:hAnsi="宋体"/>
          <w:color w:val="auto"/>
          <w:kern w:val="0"/>
          <w:szCs w:val="21"/>
        </w:rPr>
      </w:pPr>
      <w:r>
        <w:rPr>
          <w:rFonts w:hint="eastAsia" w:ascii="宋体" w:hAnsi="宋体"/>
          <w:color w:val="auto"/>
          <w:kern w:val="0"/>
          <w:szCs w:val="21"/>
        </w:rPr>
        <w:t>4、货物的到货验收包括：型号、规格、数量、外观质量、及货物包装是否完好。</w:t>
      </w:r>
    </w:p>
    <w:p w14:paraId="273DC77B">
      <w:pPr>
        <w:widowControl/>
        <w:spacing w:line="440" w:lineRule="exact"/>
        <w:ind w:firstLine="420" w:firstLineChars="200"/>
        <w:jc w:val="left"/>
        <w:rPr>
          <w:rFonts w:ascii="宋体" w:hAnsi="宋体"/>
          <w:color w:val="auto"/>
          <w:kern w:val="0"/>
          <w:szCs w:val="21"/>
        </w:rPr>
      </w:pPr>
      <w:r>
        <w:rPr>
          <w:rFonts w:hint="eastAsia" w:ascii="宋体" w:hAnsi="宋体"/>
          <w:color w:val="auto"/>
          <w:kern w:val="0"/>
          <w:szCs w:val="21"/>
        </w:rPr>
        <w:t>5、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31A7D88F">
      <w:pPr>
        <w:widowControl/>
        <w:spacing w:line="440" w:lineRule="exact"/>
        <w:ind w:firstLine="420" w:firstLineChars="200"/>
        <w:jc w:val="left"/>
        <w:rPr>
          <w:rFonts w:ascii="宋体" w:hAnsi="宋体"/>
          <w:color w:val="auto"/>
          <w:kern w:val="0"/>
          <w:szCs w:val="21"/>
        </w:rPr>
      </w:pPr>
      <w:r>
        <w:rPr>
          <w:rFonts w:hint="eastAsia" w:ascii="宋体" w:hAnsi="宋体"/>
          <w:color w:val="auto"/>
          <w:kern w:val="0"/>
          <w:szCs w:val="21"/>
        </w:rPr>
        <w:t>6、甲方应当在到货后的</w:t>
      </w:r>
      <w:r>
        <w:rPr>
          <w:rFonts w:hint="eastAsia" w:ascii="宋体" w:hAnsi="宋体"/>
          <w:color w:val="auto"/>
          <w:kern w:val="0"/>
          <w:szCs w:val="21"/>
          <w:u w:val="single"/>
        </w:rPr>
        <w:t>　　　　</w:t>
      </w:r>
      <w:r>
        <w:rPr>
          <w:rFonts w:hint="eastAsia" w:ascii="宋体" w:hAnsi="宋体"/>
          <w:color w:val="auto"/>
          <w:kern w:val="0"/>
          <w:szCs w:val="21"/>
        </w:rPr>
        <w:t>日内对货物进行验收；需要乙方对货物或系统进行安装调试的，甲方应在货物安装调试完毕后的</w:t>
      </w:r>
      <w:r>
        <w:rPr>
          <w:rFonts w:hint="eastAsia" w:ascii="宋体" w:hAnsi="宋体"/>
          <w:color w:val="auto"/>
          <w:kern w:val="0"/>
          <w:szCs w:val="21"/>
          <w:u w:val="single"/>
        </w:rPr>
        <w:t>　　　　</w:t>
      </w:r>
      <w:r>
        <w:rPr>
          <w:rFonts w:hint="eastAsia" w:ascii="宋体" w:hAnsi="宋体"/>
          <w:color w:val="auto"/>
          <w:kern w:val="0"/>
          <w:szCs w:val="21"/>
        </w:rPr>
        <w:t>日内进行质量验收。验收合格的，由甲方签署验收单并加盖单位公章。招标文件对检验期限另有规定的，从其规定。</w:t>
      </w:r>
    </w:p>
    <w:p w14:paraId="37E00F5F">
      <w:pPr>
        <w:widowControl/>
        <w:spacing w:line="440" w:lineRule="exact"/>
        <w:ind w:firstLine="420" w:firstLineChars="200"/>
        <w:jc w:val="left"/>
        <w:rPr>
          <w:rFonts w:ascii="宋体" w:hAnsi="宋体"/>
          <w:color w:val="auto"/>
          <w:kern w:val="0"/>
          <w:szCs w:val="21"/>
        </w:rPr>
      </w:pPr>
      <w:r>
        <w:rPr>
          <w:rFonts w:hint="eastAsia" w:ascii="宋体" w:hAnsi="宋体"/>
          <w:color w:val="auto"/>
          <w:kern w:val="0"/>
          <w:szCs w:val="21"/>
        </w:rPr>
        <w:t>7、货物和系统调试验收的标准：按行业通行标准、厂方出厂标准和乙方投标文件的承诺（详细标准可在合同附件载明，且不得低于国家相关标准）。</w:t>
      </w:r>
    </w:p>
    <w:p w14:paraId="1ED9CACD">
      <w:pPr>
        <w:widowControl/>
        <w:spacing w:line="440" w:lineRule="exact"/>
        <w:ind w:firstLine="422" w:firstLineChars="200"/>
        <w:jc w:val="left"/>
        <w:rPr>
          <w:rFonts w:ascii="宋体" w:hAnsi="宋体"/>
          <w:b/>
          <w:bCs/>
          <w:color w:val="auto"/>
          <w:kern w:val="0"/>
          <w:szCs w:val="21"/>
        </w:rPr>
      </w:pPr>
      <w:r>
        <w:rPr>
          <w:rFonts w:hint="eastAsia" w:ascii="宋体" w:hAnsi="宋体"/>
          <w:b/>
          <w:bCs/>
          <w:color w:val="auto"/>
          <w:kern w:val="0"/>
          <w:szCs w:val="21"/>
        </w:rPr>
        <w:t>第八条  伴随服务及售后服务</w:t>
      </w:r>
    </w:p>
    <w:p w14:paraId="3A9C8E96">
      <w:pPr>
        <w:widowControl/>
        <w:spacing w:line="440" w:lineRule="exact"/>
        <w:ind w:firstLine="420" w:firstLineChars="200"/>
        <w:jc w:val="left"/>
        <w:rPr>
          <w:rFonts w:ascii="宋体" w:hAnsi="宋体"/>
          <w:color w:val="auto"/>
          <w:kern w:val="0"/>
          <w:szCs w:val="21"/>
        </w:rPr>
      </w:pPr>
      <w:r>
        <w:rPr>
          <w:rFonts w:hint="eastAsia" w:ascii="宋体" w:hAnsi="宋体"/>
          <w:color w:val="auto"/>
          <w:kern w:val="0"/>
          <w:szCs w:val="21"/>
        </w:rPr>
        <w:t>1、乙方应按照国家有关法律法规规定和“三包”规定以及乙方对本项目的“服务承诺”提供服务。</w:t>
      </w:r>
    </w:p>
    <w:p w14:paraId="319ECA86">
      <w:pPr>
        <w:widowControl/>
        <w:spacing w:line="440" w:lineRule="exact"/>
        <w:ind w:firstLine="420" w:firstLineChars="200"/>
        <w:jc w:val="left"/>
        <w:rPr>
          <w:rFonts w:ascii="宋体" w:hAnsi="宋体"/>
          <w:color w:val="auto"/>
          <w:kern w:val="0"/>
          <w:szCs w:val="21"/>
        </w:rPr>
      </w:pPr>
      <w:r>
        <w:rPr>
          <w:rFonts w:hint="eastAsia" w:ascii="宋体" w:hAnsi="宋体"/>
          <w:color w:val="auto"/>
          <w:kern w:val="0"/>
          <w:szCs w:val="21"/>
        </w:rPr>
        <w:t>2、除前款规定外，乙方还应提供下列服务：</w:t>
      </w:r>
    </w:p>
    <w:p w14:paraId="37C66FAF">
      <w:pPr>
        <w:widowControl/>
        <w:spacing w:line="440" w:lineRule="exact"/>
        <w:ind w:firstLine="420" w:firstLineChars="200"/>
        <w:jc w:val="left"/>
        <w:rPr>
          <w:rFonts w:ascii="宋体" w:hAnsi="宋体"/>
          <w:color w:val="auto"/>
          <w:kern w:val="0"/>
          <w:szCs w:val="21"/>
        </w:rPr>
      </w:pPr>
      <w:r>
        <w:rPr>
          <w:rFonts w:hint="eastAsia" w:ascii="宋体" w:hAnsi="宋体"/>
          <w:color w:val="auto"/>
          <w:kern w:val="0"/>
          <w:szCs w:val="21"/>
        </w:rPr>
        <w:t>（1）货物的现场安装、调试及启动监督；</w:t>
      </w:r>
    </w:p>
    <w:p w14:paraId="728D0FC7">
      <w:pPr>
        <w:widowControl/>
        <w:spacing w:line="440" w:lineRule="exact"/>
        <w:ind w:firstLine="420" w:firstLineChars="200"/>
        <w:jc w:val="left"/>
        <w:rPr>
          <w:rFonts w:ascii="宋体" w:hAnsi="宋体"/>
          <w:color w:val="auto"/>
          <w:kern w:val="0"/>
          <w:szCs w:val="21"/>
        </w:rPr>
      </w:pPr>
      <w:r>
        <w:rPr>
          <w:rFonts w:hint="eastAsia" w:ascii="宋体" w:hAnsi="宋体"/>
          <w:color w:val="auto"/>
          <w:kern w:val="0"/>
          <w:szCs w:val="21"/>
        </w:rPr>
        <w:t>（2）就货物的安装、启动、运行及维护等对甲方人员进行免费培训。</w:t>
      </w:r>
    </w:p>
    <w:p w14:paraId="2D20093D">
      <w:pPr>
        <w:widowControl/>
        <w:spacing w:line="440" w:lineRule="exact"/>
        <w:ind w:firstLine="420" w:firstLineChars="200"/>
        <w:jc w:val="left"/>
        <w:rPr>
          <w:rFonts w:ascii="宋体" w:hAnsi="宋体"/>
          <w:color w:val="auto"/>
          <w:kern w:val="0"/>
          <w:szCs w:val="21"/>
        </w:rPr>
      </w:pPr>
      <w:r>
        <w:rPr>
          <w:rFonts w:hint="eastAsia" w:ascii="宋体" w:hAnsi="宋体"/>
          <w:color w:val="auto"/>
          <w:kern w:val="0"/>
          <w:szCs w:val="21"/>
        </w:rPr>
        <w:t>3、若招标文件中不包含有关伴随服务或售后服务的承诺，双方作如下约定：</w:t>
      </w:r>
    </w:p>
    <w:p w14:paraId="53D8433E">
      <w:pPr>
        <w:widowControl/>
        <w:spacing w:line="440" w:lineRule="exact"/>
        <w:ind w:firstLine="420" w:firstLineChars="200"/>
        <w:jc w:val="left"/>
        <w:rPr>
          <w:rFonts w:ascii="宋体" w:hAnsi="宋体"/>
          <w:color w:val="auto"/>
          <w:kern w:val="0"/>
          <w:szCs w:val="21"/>
        </w:rPr>
      </w:pPr>
      <w:r>
        <w:rPr>
          <w:rFonts w:hint="eastAsia" w:ascii="宋体" w:hAnsi="宋体"/>
          <w:color w:val="auto"/>
          <w:kern w:val="0"/>
          <w:szCs w:val="21"/>
        </w:rPr>
        <w:t>3.1、 乙方应为甲方提供免费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甲方人员进行相应的技术培训，培训地点主要在货物安装现场或由甲方安排。</w:t>
      </w:r>
    </w:p>
    <w:p w14:paraId="672C8902">
      <w:pPr>
        <w:widowControl/>
        <w:spacing w:line="440" w:lineRule="exact"/>
        <w:ind w:firstLine="420" w:firstLineChars="200"/>
        <w:jc w:val="left"/>
        <w:rPr>
          <w:rFonts w:ascii="宋体" w:hAnsi="宋体"/>
          <w:color w:val="auto"/>
          <w:kern w:val="0"/>
          <w:szCs w:val="21"/>
        </w:rPr>
      </w:pPr>
      <w:r>
        <w:rPr>
          <w:rFonts w:hint="eastAsia" w:ascii="宋体" w:hAnsi="宋体"/>
          <w:color w:val="auto"/>
          <w:kern w:val="0"/>
          <w:szCs w:val="21"/>
        </w:rPr>
        <w:t xml:space="preserve">3.2、 货物中若包含电脑产品则由乙方提供至少年的整机保修和系统维护；若为其他货物则按生产厂家的标准执行，但不得少于 </w:t>
      </w:r>
      <w:r>
        <w:rPr>
          <w:rFonts w:hint="eastAsia" w:ascii="宋体" w:hAnsi="宋体"/>
          <w:color w:val="auto"/>
          <w:kern w:val="0"/>
          <w:szCs w:val="21"/>
          <w:u w:val="single"/>
        </w:rPr>
        <w:t>1</w:t>
      </w:r>
      <w:r>
        <w:rPr>
          <w:rFonts w:hint="eastAsia" w:ascii="宋体" w:hAnsi="宋体"/>
          <w:color w:val="auto"/>
          <w:kern w:val="0"/>
          <w:szCs w:val="21"/>
        </w:rPr>
        <w:t>年（请分别列出：）；保修期自甲方在货物质量验收单上签字之日起计算，保修费用包含在合同总价中。</w:t>
      </w:r>
    </w:p>
    <w:p w14:paraId="0D15CBA3">
      <w:pPr>
        <w:widowControl/>
        <w:spacing w:line="440" w:lineRule="exact"/>
        <w:ind w:firstLine="420" w:firstLineChars="200"/>
        <w:jc w:val="left"/>
        <w:rPr>
          <w:rFonts w:ascii="宋体" w:hAnsi="宋体"/>
          <w:color w:val="auto"/>
          <w:kern w:val="0"/>
          <w:szCs w:val="21"/>
        </w:rPr>
      </w:pPr>
      <w:r>
        <w:rPr>
          <w:rFonts w:hint="eastAsia" w:ascii="宋体" w:hAnsi="宋体"/>
          <w:color w:val="auto"/>
          <w:kern w:val="0"/>
          <w:szCs w:val="21"/>
        </w:rPr>
        <w:t>3.3、 免费保修期：</w:t>
      </w:r>
      <w:r>
        <w:rPr>
          <w:rFonts w:hint="eastAsia" w:ascii="宋体" w:hAnsi="宋体"/>
          <w:color w:val="auto"/>
          <w:kern w:val="0"/>
          <w:szCs w:val="21"/>
          <w:u w:val="single"/>
        </w:rPr>
        <w:t>　　　　　　　　　</w:t>
      </w:r>
      <w:r>
        <w:rPr>
          <w:rFonts w:hint="eastAsia" w:ascii="宋体" w:hAnsi="宋体"/>
          <w:color w:val="auto"/>
          <w:kern w:val="0"/>
          <w:szCs w:val="21"/>
        </w:rPr>
        <w:t>，保修期内，乙方负责对其提供的货物整机进行维修和系统维护，不再收取任何费用。</w:t>
      </w:r>
    </w:p>
    <w:p w14:paraId="4B24DAD3">
      <w:pPr>
        <w:widowControl/>
        <w:spacing w:line="440" w:lineRule="exact"/>
        <w:ind w:firstLine="420" w:firstLineChars="200"/>
        <w:jc w:val="left"/>
        <w:rPr>
          <w:rFonts w:ascii="宋体" w:hAnsi="宋体"/>
          <w:color w:val="auto"/>
          <w:kern w:val="0"/>
          <w:szCs w:val="21"/>
        </w:rPr>
      </w:pPr>
      <w:r>
        <w:rPr>
          <w:rFonts w:hint="eastAsia" w:ascii="宋体" w:hAnsi="宋体"/>
          <w:color w:val="auto"/>
          <w:kern w:val="0"/>
          <w:szCs w:val="21"/>
        </w:rPr>
        <w:t>3.4、 货物故障报修的响应时间为：</w:t>
      </w:r>
      <w:r>
        <w:rPr>
          <w:rFonts w:hint="eastAsia" w:ascii="宋体" w:hAnsi="宋体"/>
          <w:color w:val="auto"/>
          <w:kern w:val="0"/>
          <w:szCs w:val="21"/>
          <w:u w:val="single"/>
        </w:rPr>
        <w:t>　　　　　</w:t>
      </w:r>
      <w:r>
        <w:rPr>
          <w:rFonts w:hint="eastAsia" w:ascii="宋体" w:hAnsi="宋体"/>
          <w:color w:val="auto"/>
          <w:kern w:val="0"/>
          <w:szCs w:val="21"/>
        </w:rPr>
        <w:t>小时。</w:t>
      </w:r>
    </w:p>
    <w:p w14:paraId="715D6500">
      <w:pPr>
        <w:widowControl/>
        <w:spacing w:line="440" w:lineRule="exact"/>
        <w:ind w:firstLine="420" w:firstLineChars="200"/>
        <w:jc w:val="left"/>
        <w:rPr>
          <w:rFonts w:ascii="宋体" w:hAnsi="宋体"/>
          <w:color w:val="auto"/>
          <w:kern w:val="0"/>
          <w:szCs w:val="21"/>
        </w:rPr>
      </w:pPr>
      <w:r>
        <w:rPr>
          <w:rFonts w:hint="eastAsia" w:ascii="宋体" w:hAnsi="宋体"/>
          <w:color w:val="auto"/>
          <w:kern w:val="0"/>
          <w:szCs w:val="21"/>
        </w:rPr>
        <w:t>3.5、若货物故障在检修小时后仍无法排除，乙方应在48小时内免费提供不低于故障货物规格型号档次的备用货物供甲方使用，直至故障货物修复。</w:t>
      </w:r>
    </w:p>
    <w:p w14:paraId="23702E91">
      <w:pPr>
        <w:widowControl/>
        <w:spacing w:line="440" w:lineRule="exact"/>
        <w:ind w:firstLine="420" w:firstLineChars="200"/>
        <w:jc w:val="left"/>
        <w:rPr>
          <w:rFonts w:ascii="宋体" w:hAnsi="宋体"/>
          <w:color w:val="auto"/>
          <w:kern w:val="0"/>
          <w:szCs w:val="21"/>
        </w:rPr>
      </w:pPr>
      <w:r>
        <w:rPr>
          <w:rFonts w:hint="eastAsia" w:ascii="宋体" w:hAnsi="宋体"/>
          <w:color w:val="auto"/>
          <w:kern w:val="0"/>
          <w:szCs w:val="21"/>
        </w:rPr>
        <w:t>3.6、 所有货物保修服务方式均为乙方上门保修，即由乙方派人到货物使用现场维修，由此产生的一切费用均由乙方承担。</w:t>
      </w:r>
    </w:p>
    <w:p w14:paraId="4151FE03">
      <w:pPr>
        <w:widowControl/>
        <w:spacing w:line="440" w:lineRule="exact"/>
        <w:ind w:firstLine="420" w:firstLineChars="200"/>
        <w:jc w:val="left"/>
        <w:rPr>
          <w:rFonts w:ascii="宋体" w:hAnsi="宋体"/>
          <w:color w:val="auto"/>
          <w:kern w:val="0"/>
          <w:szCs w:val="21"/>
        </w:rPr>
      </w:pPr>
      <w:r>
        <w:rPr>
          <w:rFonts w:hint="eastAsia" w:ascii="宋体" w:hAnsi="宋体"/>
          <w:color w:val="auto"/>
          <w:kern w:val="0"/>
          <w:szCs w:val="21"/>
        </w:rPr>
        <w:t>3.7、 保修期以后的维修维护由双方协商再定。</w:t>
      </w:r>
    </w:p>
    <w:p w14:paraId="4AFDA51F">
      <w:pPr>
        <w:widowControl/>
        <w:spacing w:line="440" w:lineRule="exact"/>
        <w:ind w:firstLine="422" w:firstLineChars="200"/>
        <w:jc w:val="left"/>
        <w:rPr>
          <w:rFonts w:ascii="宋体" w:hAnsi="宋体"/>
          <w:b/>
          <w:bCs/>
          <w:color w:val="auto"/>
          <w:kern w:val="0"/>
          <w:szCs w:val="21"/>
        </w:rPr>
      </w:pPr>
      <w:r>
        <w:rPr>
          <w:rFonts w:hint="eastAsia" w:ascii="宋体" w:hAnsi="宋体"/>
          <w:b/>
          <w:bCs/>
          <w:color w:val="auto"/>
          <w:kern w:val="0"/>
          <w:szCs w:val="21"/>
        </w:rPr>
        <w:t>第九条   履约保证金</w:t>
      </w:r>
    </w:p>
    <w:p w14:paraId="5738BA5B">
      <w:pPr>
        <w:widowControl/>
        <w:spacing w:line="440" w:lineRule="exact"/>
        <w:ind w:firstLine="420" w:firstLineChars="200"/>
        <w:jc w:val="left"/>
        <w:rPr>
          <w:rFonts w:hint="eastAsia" w:ascii="宋体" w:hAnsi="宋体"/>
          <w:color w:val="auto"/>
          <w:kern w:val="0"/>
          <w:szCs w:val="21"/>
          <w:lang w:val="en-US" w:eastAsia="zh-CN"/>
        </w:rPr>
      </w:pPr>
      <w:r>
        <w:rPr>
          <w:rFonts w:hint="eastAsia" w:ascii="宋体" w:hAnsi="宋体"/>
          <w:color w:val="auto"/>
          <w:kern w:val="0"/>
          <w:szCs w:val="21"/>
          <w:lang w:val="en-US" w:eastAsia="zh-CN"/>
        </w:rPr>
        <w:t>本项目不收取。</w:t>
      </w:r>
    </w:p>
    <w:p w14:paraId="149CFBC0">
      <w:pPr>
        <w:widowControl/>
        <w:spacing w:line="440" w:lineRule="exact"/>
        <w:ind w:firstLine="420" w:firstLineChars="200"/>
        <w:jc w:val="left"/>
        <w:rPr>
          <w:rFonts w:ascii="宋体" w:hAnsi="宋体"/>
          <w:color w:val="auto"/>
          <w:kern w:val="0"/>
          <w:szCs w:val="21"/>
        </w:rPr>
      </w:pPr>
      <w:r>
        <w:rPr>
          <w:rFonts w:hint="eastAsia" w:ascii="宋体" w:hAnsi="宋体"/>
          <w:color w:val="auto"/>
          <w:kern w:val="0"/>
          <w:szCs w:val="21"/>
        </w:rPr>
        <w:t>第十条   货款支付</w:t>
      </w:r>
    </w:p>
    <w:p w14:paraId="553C93DB">
      <w:pPr>
        <w:widowControl/>
        <w:spacing w:line="440" w:lineRule="exact"/>
        <w:ind w:firstLine="420" w:firstLineChars="200"/>
        <w:jc w:val="left"/>
        <w:rPr>
          <w:rFonts w:ascii="宋体" w:hAnsi="宋体"/>
          <w:color w:val="auto"/>
          <w:kern w:val="0"/>
          <w:szCs w:val="21"/>
        </w:rPr>
      </w:pPr>
      <w:r>
        <w:rPr>
          <w:rFonts w:hint="eastAsia" w:ascii="宋体" w:hAnsi="宋体"/>
          <w:color w:val="auto"/>
          <w:kern w:val="0"/>
          <w:szCs w:val="21"/>
        </w:rPr>
        <w:t>1、付款方式（方式）。本合同项下所有款项均以人民币支付。</w:t>
      </w:r>
    </w:p>
    <w:p w14:paraId="2084954F">
      <w:pPr>
        <w:widowControl/>
        <w:spacing w:line="440" w:lineRule="exact"/>
        <w:ind w:firstLine="420" w:firstLineChars="200"/>
        <w:jc w:val="left"/>
        <w:rPr>
          <w:rFonts w:ascii="宋体" w:hAnsi="宋体"/>
          <w:color w:val="auto"/>
          <w:kern w:val="0"/>
          <w:szCs w:val="21"/>
        </w:rPr>
      </w:pPr>
      <w:r>
        <w:rPr>
          <w:rFonts w:hint="eastAsia" w:ascii="宋体" w:hAnsi="宋体"/>
          <w:color w:val="auto"/>
          <w:kern w:val="0"/>
          <w:szCs w:val="21"/>
        </w:rPr>
        <w:t>2、如本合同项下的采购资金系甲方自行支付，乙方向甲方开具发票，甲方在签署验收单后按付款方式约定付款。如合同项下的采购资金系财政拨款，则出具经甲方盖章确认的发票复印件、经甲方签署的验收单、合同副本等材料，按付款方式约定申请拨付款项。</w:t>
      </w:r>
    </w:p>
    <w:p w14:paraId="3199EB4A">
      <w:pPr>
        <w:widowControl/>
        <w:spacing w:line="440" w:lineRule="exact"/>
        <w:ind w:firstLine="422" w:firstLineChars="200"/>
        <w:jc w:val="left"/>
        <w:rPr>
          <w:rFonts w:ascii="宋体" w:hAnsi="宋体"/>
          <w:b/>
          <w:bCs/>
          <w:color w:val="auto"/>
          <w:kern w:val="0"/>
          <w:szCs w:val="21"/>
        </w:rPr>
      </w:pPr>
      <w:r>
        <w:rPr>
          <w:rFonts w:hint="eastAsia" w:ascii="宋体" w:hAnsi="宋体"/>
          <w:b/>
          <w:bCs/>
          <w:color w:val="auto"/>
          <w:kern w:val="0"/>
          <w:szCs w:val="21"/>
        </w:rPr>
        <w:t>第十一条 违约责任</w:t>
      </w:r>
    </w:p>
    <w:p w14:paraId="450B369A">
      <w:pPr>
        <w:widowControl/>
        <w:spacing w:line="440" w:lineRule="exact"/>
        <w:ind w:firstLine="420" w:firstLineChars="200"/>
        <w:jc w:val="left"/>
        <w:rPr>
          <w:rFonts w:ascii="宋体" w:hAnsi="宋体"/>
          <w:color w:val="auto"/>
          <w:kern w:val="0"/>
          <w:szCs w:val="21"/>
        </w:rPr>
      </w:pPr>
      <w:r>
        <w:rPr>
          <w:rFonts w:hint="eastAsia" w:ascii="宋体" w:hAnsi="宋体"/>
          <w:color w:val="auto"/>
          <w:kern w:val="0"/>
          <w:szCs w:val="21"/>
        </w:rPr>
        <w:t>1、甲方无正当理由拒绝接收货物（服务）、拒付货物（服务）款的，由甲方向乙方偿付合同总价的5%违约金。</w:t>
      </w:r>
    </w:p>
    <w:p w14:paraId="2C4A0001">
      <w:pPr>
        <w:widowControl/>
        <w:spacing w:line="440" w:lineRule="exact"/>
        <w:ind w:firstLine="420" w:firstLineChars="200"/>
        <w:jc w:val="left"/>
        <w:rPr>
          <w:rFonts w:ascii="宋体" w:hAnsi="宋体"/>
          <w:color w:val="auto"/>
          <w:kern w:val="0"/>
          <w:szCs w:val="21"/>
        </w:rPr>
      </w:pPr>
      <w:r>
        <w:rPr>
          <w:rFonts w:hint="eastAsia" w:ascii="宋体" w:hAnsi="宋体"/>
          <w:color w:val="auto"/>
          <w:kern w:val="0"/>
          <w:szCs w:val="21"/>
        </w:rPr>
        <w:t>2、甲方未按合同规定的期限向乙方支付货款的，每逾期1天甲方向乙方偿付</w:t>
      </w:r>
      <w:r>
        <w:rPr>
          <w:rFonts w:hint="eastAsia" w:ascii="宋体" w:hAnsi="宋体"/>
          <w:color w:val="auto"/>
          <w:kern w:val="0"/>
          <w:szCs w:val="21"/>
          <w:u w:val="single"/>
        </w:rPr>
        <w:t>　　　　</w:t>
      </w:r>
      <w:r>
        <w:rPr>
          <w:rFonts w:hint="eastAsia" w:ascii="宋体" w:hAnsi="宋体"/>
          <w:color w:val="auto"/>
          <w:kern w:val="0"/>
          <w:szCs w:val="21"/>
        </w:rPr>
        <w:t>滞纳金，但累计滞纳金总额不超过欠款总额的5% 。</w:t>
      </w:r>
    </w:p>
    <w:p w14:paraId="4C88AE87">
      <w:pPr>
        <w:widowControl/>
        <w:spacing w:line="440" w:lineRule="exact"/>
        <w:ind w:firstLine="420" w:firstLineChars="200"/>
        <w:jc w:val="left"/>
        <w:rPr>
          <w:rFonts w:ascii="宋体" w:hAnsi="宋体"/>
          <w:color w:val="auto"/>
          <w:kern w:val="0"/>
          <w:szCs w:val="21"/>
        </w:rPr>
      </w:pPr>
      <w:r>
        <w:rPr>
          <w:rFonts w:hint="eastAsia" w:ascii="宋体" w:hAnsi="宋体"/>
          <w:color w:val="auto"/>
          <w:kern w:val="0"/>
          <w:szCs w:val="21"/>
        </w:rPr>
        <w:t>3、如乙方不能按约定交付货物（服务），或交付的货物（服务）质量、品种、型号、规格等不符合合同规定或有关标准，甲方有权拒收，并扣除其履约保证金；同时乙方应向甲方支付合同总价５％的违约金。</w:t>
      </w:r>
    </w:p>
    <w:p w14:paraId="001CDDE1">
      <w:pPr>
        <w:widowControl/>
        <w:spacing w:line="440" w:lineRule="exact"/>
        <w:ind w:firstLine="420" w:firstLineChars="200"/>
        <w:jc w:val="left"/>
        <w:rPr>
          <w:rFonts w:ascii="宋体" w:hAnsi="宋体"/>
          <w:color w:val="auto"/>
          <w:kern w:val="0"/>
          <w:szCs w:val="21"/>
        </w:rPr>
      </w:pPr>
      <w:r>
        <w:rPr>
          <w:rFonts w:hint="eastAsia" w:ascii="宋体" w:hAnsi="宋体"/>
          <w:color w:val="auto"/>
          <w:kern w:val="0"/>
          <w:szCs w:val="21"/>
        </w:rPr>
        <w:t>4、 乙方逾期交付货物的，每逾期1天，乙方向甲方偿付</w:t>
      </w:r>
      <w:r>
        <w:rPr>
          <w:rFonts w:hint="eastAsia" w:ascii="宋体" w:hAnsi="宋体"/>
          <w:color w:val="auto"/>
          <w:kern w:val="0"/>
          <w:szCs w:val="21"/>
          <w:u w:val="single"/>
        </w:rPr>
        <w:t>　　　　</w:t>
      </w:r>
      <w:r>
        <w:rPr>
          <w:rFonts w:hint="eastAsia" w:ascii="宋体" w:hAnsi="宋体"/>
          <w:color w:val="auto"/>
          <w:kern w:val="0"/>
          <w:szCs w:val="21"/>
        </w:rPr>
        <w:t>滞纳金。如乙方逾期交货达</w:t>
      </w:r>
      <w:r>
        <w:rPr>
          <w:rFonts w:hint="eastAsia" w:ascii="宋体" w:hAnsi="宋体"/>
          <w:color w:val="auto"/>
          <w:kern w:val="0"/>
          <w:szCs w:val="21"/>
          <w:u w:val="single"/>
        </w:rPr>
        <w:t>　　　　</w:t>
      </w:r>
      <w:r>
        <w:rPr>
          <w:rFonts w:hint="eastAsia" w:ascii="宋体" w:hAnsi="宋体"/>
          <w:color w:val="auto"/>
          <w:kern w:val="0"/>
          <w:szCs w:val="21"/>
        </w:rPr>
        <w:t>天，甲方有权解除合同，解除合同的通知自到达乙方时生效。</w:t>
      </w:r>
    </w:p>
    <w:p w14:paraId="277FC9E5">
      <w:pPr>
        <w:widowControl/>
        <w:spacing w:line="440" w:lineRule="exact"/>
        <w:ind w:firstLine="420" w:firstLineChars="200"/>
        <w:jc w:val="left"/>
        <w:rPr>
          <w:rFonts w:ascii="宋体" w:hAnsi="宋体"/>
          <w:color w:val="auto"/>
          <w:kern w:val="0"/>
          <w:szCs w:val="21"/>
        </w:rPr>
      </w:pPr>
      <w:r>
        <w:rPr>
          <w:rFonts w:hint="eastAsia" w:ascii="宋体" w:hAnsi="宋体"/>
          <w:color w:val="auto"/>
          <w:kern w:val="0"/>
          <w:szCs w:val="21"/>
        </w:rPr>
        <w:t>5、在乙方承诺的或国家规定的质保期内（取两者中最长的期限），如经乙方两次维修或更换，货物仍不能达到合同约定的质量标准，甲方有权退货，乙方应退回全部货款，并扣除乙方质量保证金，同时，乙方还须赔偿甲方因此遭受的损失。</w:t>
      </w:r>
    </w:p>
    <w:p w14:paraId="7D87DC46">
      <w:pPr>
        <w:widowControl/>
        <w:spacing w:line="440" w:lineRule="exact"/>
        <w:ind w:firstLine="420" w:firstLineChars="200"/>
        <w:jc w:val="left"/>
        <w:rPr>
          <w:rFonts w:ascii="宋体" w:hAnsi="宋体"/>
          <w:color w:val="auto"/>
          <w:kern w:val="0"/>
          <w:szCs w:val="21"/>
        </w:rPr>
      </w:pPr>
      <w:r>
        <w:rPr>
          <w:rFonts w:hint="eastAsia" w:ascii="宋体" w:hAnsi="宋体"/>
          <w:color w:val="auto"/>
          <w:kern w:val="0"/>
          <w:szCs w:val="21"/>
        </w:rPr>
        <w:t>6、乙方违反本合同有关约定或未按“服务承诺”提供伴随服务/售后服务的，每次扣除乙方违约金</w:t>
      </w:r>
      <w:r>
        <w:rPr>
          <w:rFonts w:hint="eastAsia" w:ascii="宋体" w:hAnsi="宋体"/>
          <w:color w:val="auto"/>
          <w:kern w:val="0"/>
          <w:szCs w:val="21"/>
          <w:u w:val="single"/>
        </w:rPr>
        <w:t>　　　　　</w:t>
      </w:r>
      <w:r>
        <w:rPr>
          <w:rFonts w:hint="eastAsia" w:ascii="宋体" w:hAnsi="宋体"/>
          <w:color w:val="auto"/>
          <w:kern w:val="0"/>
          <w:szCs w:val="21"/>
        </w:rPr>
        <w:t>元（合同另有约定的从其约定）。</w:t>
      </w:r>
    </w:p>
    <w:p w14:paraId="345A5630">
      <w:pPr>
        <w:widowControl/>
        <w:spacing w:line="440" w:lineRule="exact"/>
        <w:ind w:firstLine="420" w:firstLineChars="200"/>
        <w:jc w:val="left"/>
        <w:rPr>
          <w:rFonts w:ascii="宋体" w:hAnsi="宋体"/>
          <w:color w:val="auto"/>
          <w:kern w:val="0"/>
          <w:szCs w:val="21"/>
        </w:rPr>
      </w:pPr>
      <w:r>
        <w:rPr>
          <w:rFonts w:hint="eastAsia" w:ascii="宋体" w:hAnsi="宋体"/>
          <w:color w:val="auto"/>
          <w:kern w:val="0"/>
          <w:szCs w:val="21"/>
        </w:rPr>
        <w:t>7、乙方在承担上述一项或多项违约责任后，仍应继续履行合同规定的义务（甲方解除合同的除外）。甲方未及时追究乙方的任何一项违约责任并不表明甲方放弃追究乙方该项或其他违约责任。</w:t>
      </w:r>
    </w:p>
    <w:p w14:paraId="2C408881">
      <w:pPr>
        <w:widowControl/>
        <w:spacing w:line="440" w:lineRule="exact"/>
        <w:ind w:firstLine="422" w:firstLineChars="200"/>
        <w:jc w:val="left"/>
        <w:rPr>
          <w:rFonts w:ascii="宋体" w:hAnsi="宋体"/>
          <w:b/>
          <w:bCs/>
          <w:color w:val="auto"/>
          <w:kern w:val="0"/>
          <w:szCs w:val="21"/>
        </w:rPr>
      </w:pPr>
      <w:r>
        <w:rPr>
          <w:rFonts w:hint="eastAsia" w:ascii="宋体" w:hAnsi="宋体"/>
          <w:b/>
          <w:bCs/>
          <w:color w:val="auto"/>
          <w:kern w:val="0"/>
          <w:szCs w:val="21"/>
        </w:rPr>
        <w:t>第十二条 合同的变更补充，终止及转让　　</w:t>
      </w:r>
      <w:r>
        <w:rPr>
          <w:rFonts w:hint="eastAsia" w:ascii="宋体" w:hAnsi="宋体"/>
          <w:color w:val="auto"/>
          <w:kern w:val="0"/>
          <w:szCs w:val="21"/>
        </w:rPr>
        <w:t>除《政府采购法》第49条、第50条第二款规定的情形外，本合同一经签订，甲乙双方不得擅自变更、中止或终止合同。合同的变更和补充追加需经开封市政府采购监督管理办公室审核备案后生效。乙方不得擅自部分或全部转让其应履行的合同义务。</w:t>
      </w:r>
    </w:p>
    <w:p w14:paraId="57A011AA">
      <w:pPr>
        <w:widowControl/>
        <w:spacing w:line="440" w:lineRule="exact"/>
        <w:ind w:firstLine="422" w:firstLineChars="200"/>
        <w:jc w:val="left"/>
        <w:rPr>
          <w:rFonts w:ascii="宋体" w:hAnsi="宋体"/>
          <w:b/>
          <w:bCs/>
          <w:color w:val="auto"/>
          <w:kern w:val="0"/>
          <w:szCs w:val="21"/>
        </w:rPr>
      </w:pPr>
      <w:r>
        <w:rPr>
          <w:rFonts w:hint="eastAsia" w:ascii="宋体" w:hAnsi="宋体"/>
          <w:b/>
          <w:bCs/>
          <w:color w:val="auto"/>
          <w:kern w:val="0"/>
          <w:szCs w:val="21"/>
        </w:rPr>
        <w:t>第十三条 　不可抗力　　</w:t>
      </w:r>
    </w:p>
    <w:p w14:paraId="6A8D14DA">
      <w:pPr>
        <w:widowControl/>
        <w:spacing w:line="440" w:lineRule="exact"/>
        <w:ind w:firstLine="422" w:firstLineChars="200"/>
        <w:jc w:val="left"/>
        <w:rPr>
          <w:rFonts w:ascii="宋体" w:hAnsi="宋体"/>
          <w:b/>
          <w:bCs/>
          <w:color w:val="auto"/>
          <w:kern w:val="0"/>
          <w:szCs w:val="21"/>
        </w:rPr>
      </w:pPr>
      <w:r>
        <w:rPr>
          <w:rFonts w:hint="eastAsia" w:ascii="宋体" w:hAnsi="宋体"/>
          <w:b/>
          <w:bCs/>
          <w:color w:val="auto"/>
          <w:kern w:val="0"/>
          <w:szCs w:val="21"/>
        </w:rPr>
        <w:t>1、</w:t>
      </w:r>
      <w:r>
        <w:rPr>
          <w:rFonts w:hint="eastAsia" w:ascii="宋体" w:hAnsi="宋体"/>
          <w:color w:val="auto"/>
          <w:kern w:val="0"/>
          <w:szCs w:val="21"/>
        </w:rPr>
        <w:t>因不可抗力造成违约的，遭受不可抗力一方应及时向对方通报不能履行或不能完全履行的理由，并在随后取得有关主管机关证明后的15日内向另一方提供不可抗力发生以及持续期间的充分证据，根据情况可部分或全部免于承担违约责任。</w:t>
      </w:r>
    </w:p>
    <w:p w14:paraId="579B8C80">
      <w:pPr>
        <w:widowControl/>
        <w:spacing w:line="440" w:lineRule="exact"/>
        <w:ind w:firstLine="420" w:firstLineChars="200"/>
        <w:rPr>
          <w:rFonts w:ascii="宋体" w:hAnsi="宋体"/>
          <w:color w:val="auto"/>
          <w:kern w:val="0"/>
          <w:szCs w:val="21"/>
        </w:rPr>
      </w:pPr>
      <w:r>
        <w:rPr>
          <w:rFonts w:hint="eastAsia" w:ascii="宋体" w:hAnsi="宋体"/>
          <w:color w:val="auto"/>
          <w:kern w:val="0"/>
          <w:szCs w:val="21"/>
        </w:rPr>
        <w:t>2、本合同中的不可抗力指不能预见、不能避免并不能克服的客观情况。包括但不限于：自然灾害如地震、台风、洪水、火灾；政府行为、法律规定或其适用的其他任何无法预见、避免或者控制的事件（市场价格波动风险不在此列）。</w:t>
      </w:r>
    </w:p>
    <w:p w14:paraId="738A0242">
      <w:pPr>
        <w:widowControl/>
        <w:spacing w:line="440" w:lineRule="exact"/>
        <w:ind w:firstLine="422" w:firstLineChars="200"/>
        <w:jc w:val="left"/>
        <w:rPr>
          <w:rFonts w:ascii="宋体" w:hAnsi="宋体"/>
          <w:b/>
          <w:bCs/>
          <w:color w:val="auto"/>
          <w:kern w:val="0"/>
          <w:szCs w:val="21"/>
        </w:rPr>
      </w:pPr>
      <w:r>
        <w:rPr>
          <w:rFonts w:hint="eastAsia" w:ascii="宋体" w:hAnsi="宋体"/>
          <w:b/>
          <w:bCs/>
          <w:color w:val="auto"/>
          <w:kern w:val="0"/>
          <w:szCs w:val="21"/>
        </w:rPr>
        <w:t>第十四条  争议的解决</w:t>
      </w:r>
    </w:p>
    <w:p w14:paraId="7F428908">
      <w:pPr>
        <w:widowControl/>
        <w:spacing w:line="440" w:lineRule="exact"/>
        <w:ind w:firstLine="420" w:firstLineChars="200"/>
        <w:jc w:val="left"/>
        <w:rPr>
          <w:rFonts w:ascii="宋体" w:hAnsi="宋体"/>
          <w:color w:val="auto"/>
          <w:kern w:val="0"/>
          <w:szCs w:val="21"/>
        </w:rPr>
      </w:pPr>
      <w:r>
        <w:rPr>
          <w:rFonts w:hint="eastAsia" w:ascii="宋体" w:hAnsi="宋体"/>
          <w:color w:val="auto"/>
          <w:kern w:val="0"/>
          <w:szCs w:val="21"/>
        </w:rPr>
        <w:t>1、因质量问题发生争议的，应当邀请国家认可的质量检测机构进行鉴定。经鉴定符合标准的，鉴定费由甲方承担；不符合质量标准的，鉴定费由乙方承担。</w:t>
      </w:r>
    </w:p>
    <w:p w14:paraId="0457F302">
      <w:pPr>
        <w:widowControl/>
        <w:spacing w:line="440" w:lineRule="exact"/>
        <w:ind w:firstLine="420" w:firstLineChars="200"/>
        <w:jc w:val="left"/>
        <w:rPr>
          <w:rFonts w:ascii="宋体" w:hAnsi="宋体"/>
          <w:color w:val="auto"/>
          <w:kern w:val="0"/>
          <w:szCs w:val="21"/>
        </w:rPr>
      </w:pPr>
      <w:r>
        <w:rPr>
          <w:rFonts w:hint="eastAsia" w:ascii="宋体" w:hAnsi="宋体"/>
          <w:color w:val="auto"/>
          <w:kern w:val="0"/>
          <w:szCs w:val="21"/>
        </w:rPr>
        <w:t>2、因履行本合同引起的或与本合同有关的争议，甲、乙双方应首先通过友好协商解决，如果协商不能解决争议，任何一方均可以向甲方所在地有管辖权的人民法院提起诉讼。</w:t>
      </w:r>
    </w:p>
    <w:p w14:paraId="2101EC5E">
      <w:pPr>
        <w:widowControl/>
        <w:spacing w:line="440" w:lineRule="exact"/>
        <w:ind w:firstLine="422" w:firstLineChars="200"/>
        <w:jc w:val="left"/>
        <w:rPr>
          <w:rFonts w:ascii="宋体" w:hAnsi="宋体"/>
          <w:b/>
          <w:bCs/>
          <w:color w:val="auto"/>
          <w:kern w:val="0"/>
          <w:szCs w:val="21"/>
        </w:rPr>
      </w:pPr>
      <w:r>
        <w:rPr>
          <w:rFonts w:hint="eastAsia" w:ascii="宋体" w:hAnsi="宋体"/>
          <w:b/>
          <w:bCs/>
          <w:color w:val="auto"/>
          <w:kern w:val="0"/>
          <w:szCs w:val="21"/>
        </w:rPr>
        <w:t>第十五条   合同生效及其他</w:t>
      </w:r>
    </w:p>
    <w:p w14:paraId="69D3BB44">
      <w:pPr>
        <w:widowControl/>
        <w:spacing w:line="440" w:lineRule="exact"/>
        <w:ind w:firstLine="420" w:firstLineChars="200"/>
        <w:rPr>
          <w:rFonts w:ascii="宋体" w:hAnsi="宋体"/>
          <w:b/>
          <w:bCs/>
          <w:color w:val="auto"/>
          <w:kern w:val="0"/>
          <w:szCs w:val="21"/>
        </w:rPr>
      </w:pPr>
      <w:r>
        <w:rPr>
          <w:rFonts w:hint="eastAsia" w:ascii="宋体" w:hAnsi="宋体"/>
          <w:color w:val="auto"/>
          <w:kern w:val="0"/>
          <w:szCs w:val="21"/>
        </w:rPr>
        <w:t>1、本合同未尽事宜，双方另行补充。</w:t>
      </w:r>
    </w:p>
    <w:p w14:paraId="51BED579">
      <w:pPr>
        <w:widowControl/>
        <w:spacing w:line="440" w:lineRule="exact"/>
        <w:ind w:firstLine="420" w:firstLineChars="200"/>
        <w:rPr>
          <w:rFonts w:ascii="宋体" w:hAnsi="宋体"/>
          <w:color w:val="auto"/>
          <w:kern w:val="0"/>
          <w:szCs w:val="21"/>
        </w:rPr>
      </w:pPr>
      <w:r>
        <w:rPr>
          <w:rFonts w:hint="eastAsia" w:ascii="宋体" w:hAnsi="宋体"/>
          <w:color w:val="auto"/>
          <w:kern w:val="0"/>
          <w:szCs w:val="21"/>
        </w:rPr>
        <w:t>2、</w:t>
      </w:r>
      <w:r>
        <w:rPr>
          <w:rFonts w:hint="eastAsia" w:ascii="宋体" w:hAnsi="宋体"/>
          <w:bCs/>
          <w:color w:val="auto"/>
          <w:kern w:val="0"/>
          <w:szCs w:val="21"/>
        </w:rPr>
        <w:t>本合同一式陆份，甲、乙双方授权代表签字并盖单位公章后生效。甲方、乙方各执贰份，开封市政府采购监督管理办公室贰份，均具有同等法律效力。</w:t>
      </w:r>
    </w:p>
    <w:p w14:paraId="2CABF637">
      <w:pPr>
        <w:widowControl/>
        <w:spacing w:line="440" w:lineRule="exact"/>
        <w:rPr>
          <w:rFonts w:ascii="宋体" w:hAnsi="宋体"/>
          <w:color w:val="auto"/>
          <w:kern w:val="0"/>
          <w:szCs w:val="21"/>
        </w:rPr>
      </w:pPr>
      <w:r>
        <w:rPr>
          <w:rFonts w:hint="eastAsia" w:ascii="宋体" w:hAnsi="宋体"/>
          <w:color w:val="auto"/>
          <w:kern w:val="0"/>
          <w:szCs w:val="21"/>
        </w:rPr>
        <w:t>甲    方：                 　乙    方：</w:t>
      </w:r>
    </w:p>
    <w:p w14:paraId="6194A857">
      <w:pPr>
        <w:widowControl/>
        <w:spacing w:line="440" w:lineRule="exact"/>
        <w:rPr>
          <w:rFonts w:ascii="宋体" w:hAnsi="宋体"/>
          <w:color w:val="auto"/>
          <w:kern w:val="0"/>
          <w:szCs w:val="21"/>
        </w:rPr>
      </w:pPr>
      <w:r>
        <w:rPr>
          <w:rFonts w:hint="eastAsia" w:ascii="宋体" w:hAnsi="宋体"/>
          <w:color w:val="auto"/>
          <w:kern w:val="0"/>
          <w:szCs w:val="21"/>
        </w:rPr>
        <w:t>单位地址：                   单位地址：</w:t>
      </w:r>
    </w:p>
    <w:p w14:paraId="136246C3">
      <w:pPr>
        <w:widowControl/>
        <w:spacing w:line="440" w:lineRule="exact"/>
        <w:rPr>
          <w:rFonts w:ascii="宋体" w:hAnsi="宋体"/>
          <w:color w:val="auto"/>
          <w:kern w:val="0"/>
          <w:szCs w:val="21"/>
        </w:rPr>
      </w:pPr>
      <w:r>
        <w:rPr>
          <w:rFonts w:hint="eastAsia" w:ascii="宋体" w:hAnsi="宋体"/>
          <w:color w:val="auto"/>
          <w:kern w:val="0"/>
          <w:szCs w:val="21"/>
        </w:rPr>
        <w:t>法定代表人：                 法定代表人：</w:t>
      </w:r>
    </w:p>
    <w:p w14:paraId="5ACB70DF">
      <w:pPr>
        <w:widowControl/>
        <w:spacing w:line="440" w:lineRule="exact"/>
        <w:rPr>
          <w:rFonts w:ascii="宋体" w:hAnsi="宋体"/>
          <w:color w:val="auto"/>
          <w:kern w:val="0"/>
          <w:szCs w:val="21"/>
        </w:rPr>
      </w:pPr>
      <w:r>
        <w:rPr>
          <w:rFonts w:hint="eastAsia" w:ascii="宋体" w:hAnsi="宋体"/>
          <w:color w:val="auto"/>
          <w:kern w:val="0"/>
          <w:szCs w:val="21"/>
        </w:rPr>
        <w:t>委托代理人：                 委托代理人：</w:t>
      </w:r>
    </w:p>
    <w:p w14:paraId="0961F389">
      <w:pPr>
        <w:widowControl/>
        <w:spacing w:line="440" w:lineRule="exact"/>
        <w:rPr>
          <w:rFonts w:ascii="宋体" w:hAnsi="宋体"/>
          <w:color w:val="auto"/>
          <w:kern w:val="0"/>
          <w:szCs w:val="21"/>
        </w:rPr>
      </w:pPr>
      <w:r>
        <w:rPr>
          <w:rFonts w:hint="eastAsia" w:ascii="宋体" w:hAnsi="宋体"/>
          <w:color w:val="auto"/>
          <w:kern w:val="0"/>
          <w:szCs w:val="21"/>
        </w:rPr>
        <w:t>电    话：                   电    话：</w:t>
      </w:r>
    </w:p>
    <w:p w14:paraId="1D4001EE">
      <w:pPr>
        <w:widowControl/>
        <w:spacing w:line="440" w:lineRule="exact"/>
        <w:rPr>
          <w:rFonts w:ascii="宋体" w:hAnsi="宋体"/>
          <w:color w:val="auto"/>
          <w:kern w:val="0"/>
          <w:szCs w:val="21"/>
        </w:rPr>
      </w:pPr>
      <w:r>
        <w:rPr>
          <w:rFonts w:hint="eastAsia" w:ascii="宋体" w:hAnsi="宋体"/>
          <w:color w:val="auto"/>
          <w:kern w:val="0"/>
          <w:szCs w:val="21"/>
        </w:rPr>
        <w:t>开户银行：                   开户银行：</w:t>
      </w:r>
    </w:p>
    <w:p w14:paraId="077B5667">
      <w:pPr>
        <w:widowControl/>
        <w:spacing w:line="440" w:lineRule="exact"/>
        <w:rPr>
          <w:rFonts w:ascii="宋体" w:hAnsi="宋体"/>
          <w:color w:val="auto"/>
          <w:kern w:val="0"/>
          <w:szCs w:val="21"/>
        </w:rPr>
      </w:pPr>
      <w:r>
        <w:rPr>
          <w:rFonts w:hint="eastAsia" w:ascii="宋体" w:hAnsi="宋体"/>
          <w:color w:val="auto"/>
          <w:kern w:val="0"/>
          <w:szCs w:val="21"/>
        </w:rPr>
        <w:t>账    号：                   账    号：</w:t>
      </w:r>
    </w:p>
    <w:p w14:paraId="32D2EBD4">
      <w:pPr>
        <w:widowControl/>
        <w:spacing w:line="440" w:lineRule="exact"/>
        <w:rPr>
          <w:rFonts w:ascii="宋体" w:hAnsi="宋体"/>
          <w:color w:val="auto"/>
          <w:kern w:val="0"/>
          <w:szCs w:val="21"/>
        </w:rPr>
      </w:pPr>
      <w:r>
        <w:rPr>
          <w:rFonts w:hint="eastAsia" w:ascii="宋体" w:hAnsi="宋体"/>
          <w:color w:val="auto"/>
          <w:kern w:val="0"/>
          <w:szCs w:val="21"/>
        </w:rPr>
        <w:t>年月日　　　　　　　　　　　　年月日</w:t>
      </w:r>
    </w:p>
    <w:p w14:paraId="6936693F">
      <w:pPr>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 xml:space="preserve"> </w:t>
      </w:r>
    </w:p>
    <w:p w14:paraId="58877800">
      <w:pPr>
        <w:jc w:val="left"/>
        <w:rPr>
          <w:rFonts w:ascii="宋体" w:hAnsi="宋体" w:cs="宋体"/>
          <w:color w:val="auto"/>
          <w:sz w:val="24"/>
        </w:rPr>
      </w:pPr>
    </w:p>
    <w:p w14:paraId="305CCD85">
      <w:pPr>
        <w:jc w:val="left"/>
        <w:rPr>
          <w:rFonts w:ascii="宋体" w:hAnsi="宋体" w:cs="宋体"/>
          <w:color w:val="auto"/>
        </w:rPr>
      </w:pPr>
    </w:p>
    <w:p w14:paraId="323EBF2F">
      <w:pPr>
        <w:jc w:val="left"/>
        <w:rPr>
          <w:rFonts w:ascii="宋体" w:hAnsi="宋体" w:cs="宋体"/>
          <w:color w:val="auto"/>
        </w:rPr>
      </w:pPr>
    </w:p>
    <w:p w14:paraId="04ADEA7C">
      <w:pPr>
        <w:jc w:val="left"/>
        <w:rPr>
          <w:rFonts w:ascii="宋体" w:hAnsi="宋体" w:cs="宋体"/>
          <w:color w:val="auto"/>
        </w:rPr>
      </w:pPr>
    </w:p>
    <w:p w14:paraId="6B262F0F">
      <w:pPr>
        <w:jc w:val="left"/>
        <w:rPr>
          <w:rFonts w:ascii="宋体" w:hAnsi="宋体" w:cs="宋体"/>
          <w:color w:val="auto"/>
        </w:rPr>
      </w:pPr>
    </w:p>
    <w:p w14:paraId="13B80C93">
      <w:pPr>
        <w:jc w:val="left"/>
        <w:rPr>
          <w:rFonts w:ascii="宋体" w:hAnsi="宋体" w:cs="宋体"/>
          <w:color w:val="auto"/>
        </w:rPr>
      </w:pPr>
    </w:p>
    <w:p w14:paraId="75DD647F">
      <w:pPr>
        <w:jc w:val="left"/>
        <w:rPr>
          <w:rFonts w:ascii="宋体" w:hAnsi="宋体" w:cs="宋体"/>
          <w:color w:val="auto"/>
        </w:rPr>
      </w:pPr>
    </w:p>
    <w:p w14:paraId="20930CF5">
      <w:pPr>
        <w:jc w:val="left"/>
        <w:rPr>
          <w:rFonts w:ascii="宋体" w:hAnsi="宋体" w:cs="宋体"/>
          <w:color w:val="auto"/>
        </w:rPr>
      </w:pPr>
    </w:p>
    <w:p w14:paraId="41BECA06">
      <w:pPr>
        <w:jc w:val="left"/>
        <w:rPr>
          <w:rFonts w:ascii="宋体" w:hAnsi="宋体" w:cs="宋体"/>
          <w:color w:val="auto"/>
        </w:rPr>
      </w:pPr>
    </w:p>
    <w:p w14:paraId="6B62E529">
      <w:pPr>
        <w:jc w:val="left"/>
        <w:rPr>
          <w:rFonts w:ascii="宋体" w:hAnsi="宋体" w:cs="宋体"/>
          <w:color w:val="auto"/>
        </w:rPr>
      </w:pPr>
    </w:p>
    <w:p w14:paraId="4B9C144A">
      <w:pPr>
        <w:jc w:val="left"/>
        <w:rPr>
          <w:rFonts w:ascii="宋体" w:hAnsi="宋体" w:cs="宋体"/>
          <w:color w:val="auto"/>
        </w:rPr>
      </w:pPr>
    </w:p>
    <w:p w14:paraId="11972CBE">
      <w:pPr>
        <w:pStyle w:val="2"/>
        <w:widowControl/>
        <w:spacing w:line="240" w:lineRule="auto"/>
        <w:ind w:right="-22"/>
        <w:jc w:val="center"/>
        <w:rPr>
          <w:rFonts w:ascii="宋体" w:hAnsi="宋体" w:cs="宋体"/>
          <w:color w:val="auto"/>
          <w:sz w:val="52"/>
          <w:szCs w:val="52"/>
        </w:rPr>
      </w:pPr>
    </w:p>
    <w:p w14:paraId="14123AD0">
      <w:pPr>
        <w:rPr>
          <w:rFonts w:ascii="宋体" w:hAnsi="宋体" w:cs="宋体"/>
          <w:color w:val="auto"/>
          <w:sz w:val="52"/>
          <w:szCs w:val="52"/>
        </w:rPr>
      </w:pPr>
      <w:r>
        <w:rPr>
          <w:rFonts w:hint="eastAsia" w:ascii="宋体" w:hAnsi="宋体" w:cs="宋体"/>
          <w:color w:val="auto"/>
          <w:sz w:val="52"/>
          <w:szCs w:val="52"/>
        </w:rPr>
        <w:br w:type="page"/>
      </w:r>
    </w:p>
    <w:p w14:paraId="780BC4BA">
      <w:pPr>
        <w:pStyle w:val="2"/>
        <w:widowControl/>
        <w:spacing w:line="240" w:lineRule="auto"/>
        <w:ind w:right="-22"/>
        <w:jc w:val="center"/>
        <w:rPr>
          <w:rFonts w:ascii="宋体" w:hAnsi="宋体" w:cs="宋体"/>
          <w:color w:val="auto"/>
          <w:sz w:val="52"/>
          <w:szCs w:val="52"/>
        </w:rPr>
      </w:pPr>
      <w:bookmarkStart w:id="135" w:name="_Toc5439"/>
      <w:r>
        <w:rPr>
          <w:rFonts w:hint="eastAsia" w:ascii="宋体" w:hAnsi="宋体" w:cs="宋体"/>
          <w:color w:val="auto"/>
          <w:sz w:val="52"/>
          <w:szCs w:val="52"/>
        </w:rPr>
        <w:t xml:space="preserve">第六章  </w:t>
      </w:r>
      <w:bookmarkEnd w:id="134"/>
      <w:bookmarkEnd w:id="135"/>
      <w:r>
        <w:rPr>
          <w:rFonts w:hint="eastAsia" w:ascii="宋体" w:hAnsi="宋体" w:cs="宋体"/>
          <w:color w:val="auto"/>
          <w:sz w:val="52"/>
          <w:szCs w:val="52"/>
          <w:lang w:eastAsia="zh-CN"/>
        </w:rPr>
        <w:t>响应文件格式</w:t>
      </w:r>
    </w:p>
    <w:p w14:paraId="0909F05F">
      <w:pPr>
        <w:outlineLvl w:val="0"/>
        <w:rPr>
          <w:rFonts w:ascii="宋体" w:hAnsi="宋体" w:cs="宋体"/>
          <w:color w:val="auto"/>
          <w:sz w:val="52"/>
          <w:szCs w:val="52"/>
        </w:rPr>
      </w:pPr>
    </w:p>
    <w:p w14:paraId="01189009">
      <w:pPr>
        <w:pStyle w:val="34"/>
        <w:rPr>
          <w:color w:val="auto"/>
        </w:rPr>
        <w:sectPr>
          <w:headerReference r:id="rId8" w:type="default"/>
          <w:footerReference r:id="rId9" w:type="default"/>
          <w:pgSz w:w="11906" w:h="16838"/>
          <w:pgMar w:top="1440" w:right="1080" w:bottom="1440" w:left="1080" w:header="850" w:footer="850" w:gutter="0"/>
          <w:pgNumType w:fmt="decimal"/>
          <w:cols w:space="720" w:num="1"/>
          <w:docGrid w:type="lines" w:linePitch="312" w:charSpace="0"/>
        </w:sectPr>
      </w:pPr>
    </w:p>
    <w:p w14:paraId="275DA1D6">
      <w:pPr>
        <w:jc w:val="center"/>
        <w:rPr>
          <w:rFonts w:ascii="宋体" w:hAnsi="宋体" w:cs="宋体"/>
          <w:b/>
          <w:color w:val="auto"/>
          <w:sz w:val="48"/>
          <w:szCs w:val="22"/>
        </w:rPr>
      </w:pPr>
      <w:r>
        <w:rPr>
          <w:rFonts w:hint="eastAsia" w:ascii="宋体" w:hAnsi="宋体" w:cs="宋体"/>
          <w:b/>
          <w:color w:val="auto"/>
          <w:sz w:val="44"/>
          <w:szCs w:val="44"/>
          <w:u w:val="single"/>
        </w:rPr>
        <w:t xml:space="preserve">                     （项目名称）</w:t>
      </w:r>
    </w:p>
    <w:p w14:paraId="2D66DED3">
      <w:pPr>
        <w:jc w:val="center"/>
        <w:rPr>
          <w:rFonts w:ascii="宋体" w:hAnsi="宋体" w:cs="宋体"/>
          <w:b/>
          <w:color w:val="auto"/>
          <w:sz w:val="48"/>
          <w:szCs w:val="22"/>
        </w:rPr>
      </w:pPr>
    </w:p>
    <w:p w14:paraId="73F87568">
      <w:pPr>
        <w:jc w:val="center"/>
        <w:rPr>
          <w:rFonts w:ascii="宋体" w:hAnsi="宋体" w:cs="宋体"/>
          <w:b/>
          <w:color w:val="auto"/>
          <w:kern w:val="0"/>
          <w:sz w:val="48"/>
          <w:szCs w:val="22"/>
        </w:rPr>
      </w:pPr>
      <w:r>
        <w:rPr>
          <w:rFonts w:hint="eastAsia" w:ascii="宋体" w:hAnsi="宋体" w:cs="宋体"/>
          <w:b/>
          <w:color w:val="auto"/>
          <w:kern w:val="0"/>
          <w:sz w:val="48"/>
          <w:szCs w:val="22"/>
          <w:lang w:val="en-US" w:eastAsia="zh-CN"/>
        </w:rPr>
        <w:t>响应</w:t>
      </w:r>
      <w:r>
        <w:rPr>
          <w:rFonts w:hint="eastAsia" w:ascii="宋体" w:hAnsi="宋体" w:cs="宋体"/>
          <w:b/>
          <w:color w:val="auto"/>
          <w:kern w:val="0"/>
          <w:sz w:val="48"/>
          <w:szCs w:val="22"/>
        </w:rPr>
        <w:t>文件</w:t>
      </w:r>
    </w:p>
    <w:p w14:paraId="6CE76C54">
      <w:pPr>
        <w:jc w:val="center"/>
        <w:rPr>
          <w:rFonts w:ascii="宋体" w:hAnsi="宋体" w:cs="宋体"/>
          <w:bCs/>
          <w:color w:val="auto"/>
          <w:kern w:val="0"/>
          <w:sz w:val="24"/>
        </w:rPr>
      </w:pPr>
    </w:p>
    <w:p w14:paraId="101FB3EC">
      <w:pPr>
        <w:jc w:val="center"/>
        <w:rPr>
          <w:rFonts w:ascii="宋体" w:hAnsi="宋体" w:cs="宋体"/>
          <w:b/>
          <w:color w:val="auto"/>
          <w:kern w:val="0"/>
          <w:sz w:val="24"/>
        </w:rPr>
      </w:pPr>
      <w:r>
        <w:rPr>
          <w:rFonts w:hint="eastAsia" w:ascii="宋体" w:hAnsi="宋体" w:cs="宋体"/>
          <w:b/>
          <w:color w:val="auto"/>
          <w:kern w:val="0"/>
          <w:sz w:val="24"/>
        </w:rPr>
        <w:t>项目编号：</w:t>
      </w:r>
    </w:p>
    <w:p w14:paraId="0C35BFC7">
      <w:pPr>
        <w:ind w:firstLine="420" w:firstLineChars="200"/>
        <w:jc w:val="left"/>
        <w:rPr>
          <w:rFonts w:ascii="宋体" w:hAnsi="宋体" w:cs="宋体"/>
          <w:color w:val="auto"/>
        </w:rPr>
      </w:pPr>
    </w:p>
    <w:p w14:paraId="0FAD4F3A">
      <w:pPr>
        <w:ind w:firstLine="420" w:firstLineChars="200"/>
        <w:jc w:val="left"/>
        <w:rPr>
          <w:rFonts w:ascii="宋体" w:hAnsi="宋体" w:cs="宋体"/>
          <w:color w:val="auto"/>
        </w:rPr>
      </w:pPr>
    </w:p>
    <w:p w14:paraId="7CE4201C">
      <w:pPr>
        <w:ind w:firstLine="420" w:firstLineChars="200"/>
        <w:jc w:val="left"/>
        <w:rPr>
          <w:rFonts w:ascii="宋体" w:hAnsi="宋体" w:cs="宋体"/>
          <w:color w:val="auto"/>
        </w:rPr>
      </w:pPr>
    </w:p>
    <w:p w14:paraId="39D9F7C5">
      <w:pPr>
        <w:ind w:firstLine="420" w:firstLineChars="200"/>
        <w:jc w:val="left"/>
        <w:rPr>
          <w:rFonts w:ascii="宋体" w:hAnsi="宋体" w:cs="宋体"/>
          <w:color w:val="auto"/>
        </w:rPr>
      </w:pPr>
    </w:p>
    <w:p w14:paraId="3785E4D0">
      <w:pPr>
        <w:ind w:firstLine="420" w:firstLineChars="200"/>
        <w:jc w:val="left"/>
        <w:rPr>
          <w:rFonts w:ascii="宋体" w:hAnsi="宋体" w:cs="宋体"/>
          <w:color w:val="auto"/>
        </w:rPr>
      </w:pPr>
    </w:p>
    <w:p w14:paraId="0E0B9735">
      <w:pPr>
        <w:ind w:firstLine="420" w:firstLineChars="200"/>
        <w:jc w:val="left"/>
        <w:rPr>
          <w:rFonts w:ascii="宋体" w:hAnsi="宋体" w:cs="宋体"/>
          <w:color w:val="auto"/>
        </w:rPr>
      </w:pPr>
    </w:p>
    <w:p w14:paraId="3698B586">
      <w:pPr>
        <w:jc w:val="left"/>
        <w:rPr>
          <w:rFonts w:ascii="宋体" w:hAnsi="宋体" w:cs="宋体"/>
          <w:color w:val="auto"/>
        </w:rPr>
      </w:pPr>
    </w:p>
    <w:p w14:paraId="0A401471">
      <w:pPr>
        <w:ind w:firstLine="420" w:firstLineChars="200"/>
        <w:jc w:val="left"/>
        <w:rPr>
          <w:rFonts w:ascii="宋体" w:hAnsi="宋体" w:cs="宋体"/>
          <w:color w:val="auto"/>
        </w:rPr>
      </w:pPr>
    </w:p>
    <w:p w14:paraId="364DDD17">
      <w:pPr>
        <w:pStyle w:val="8"/>
        <w:rPr>
          <w:rFonts w:ascii="宋体" w:hAnsi="宋体" w:cs="宋体"/>
          <w:color w:val="auto"/>
        </w:rPr>
      </w:pPr>
    </w:p>
    <w:p w14:paraId="09580FA0">
      <w:pPr>
        <w:pStyle w:val="8"/>
        <w:rPr>
          <w:rFonts w:ascii="宋体" w:hAnsi="宋体" w:cs="宋体"/>
          <w:color w:val="auto"/>
        </w:rPr>
      </w:pPr>
    </w:p>
    <w:p w14:paraId="024F256B">
      <w:pPr>
        <w:pStyle w:val="8"/>
        <w:rPr>
          <w:rFonts w:ascii="宋体" w:hAnsi="宋体" w:cs="宋体"/>
          <w:color w:val="auto"/>
        </w:rPr>
      </w:pPr>
    </w:p>
    <w:p w14:paraId="4B46F9DD">
      <w:pPr>
        <w:pStyle w:val="8"/>
        <w:rPr>
          <w:rFonts w:ascii="宋体" w:hAnsi="宋体" w:cs="宋体"/>
          <w:color w:val="auto"/>
        </w:rPr>
      </w:pPr>
    </w:p>
    <w:p w14:paraId="29D059FB">
      <w:pPr>
        <w:ind w:firstLine="1687" w:firstLineChars="600"/>
        <w:rPr>
          <w:rFonts w:hint="eastAsia" w:ascii="宋体" w:hAnsi="宋体" w:eastAsia="宋体" w:cs="宋体"/>
          <w:b/>
          <w:color w:val="auto"/>
          <w:kern w:val="0"/>
          <w:sz w:val="28"/>
          <w:szCs w:val="22"/>
        </w:rPr>
      </w:pPr>
    </w:p>
    <w:p w14:paraId="5D870C2F">
      <w:pPr>
        <w:ind w:firstLine="1687" w:firstLineChars="600"/>
        <w:jc w:val="both"/>
        <w:rPr>
          <w:rFonts w:hint="eastAsia" w:ascii="宋体" w:hAnsi="宋体" w:eastAsia="宋体" w:cs="宋体"/>
          <w:b/>
          <w:color w:val="auto"/>
          <w:kern w:val="0"/>
          <w:sz w:val="28"/>
          <w:szCs w:val="22"/>
        </w:rPr>
      </w:pPr>
      <w:r>
        <w:rPr>
          <w:rFonts w:hint="eastAsia" w:ascii="宋体" w:hAnsi="宋体" w:eastAsia="宋体" w:cs="宋体"/>
          <w:b/>
          <w:color w:val="auto"/>
          <w:kern w:val="0"/>
          <w:sz w:val="28"/>
          <w:szCs w:val="22"/>
        </w:rPr>
        <w:t>投标人名称：</w:t>
      </w:r>
      <w:r>
        <w:rPr>
          <w:rFonts w:hint="eastAsia" w:ascii="宋体" w:hAnsi="宋体" w:eastAsia="宋体" w:cs="宋体"/>
          <w:b/>
          <w:color w:val="auto"/>
          <w:kern w:val="0"/>
          <w:sz w:val="28"/>
          <w:szCs w:val="22"/>
          <w:u w:val="single"/>
        </w:rPr>
        <w:t xml:space="preserve">             </w:t>
      </w:r>
      <w:r>
        <w:rPr>
          <w:rFonts w:hint="eastAsia" w:ascii="宋体" w:hAnsi="宋体" w:eastAsia="宋体" w:cs="宋体"/>
          <w:b/>
          <w:color w:val="auto"/>
          <w:kern w:val="0"/>
          <w:sz w:val="28"/>
          <w:szCs w:val="22"/>
          <w:u w:val="single"/>
          <w:lang w:val="en-US" w:eastAsia="zh-CN"/>
        </w:rPr>
        <w:t xml:space="preserve">        </w:t>
      </w:r>
      <w:r>
        <w:rPr>
          <w:rFonts w:hint="eastAsia" w:ascii="宋体" w:hAnsi="宋体" w:eastAsia="宋体" w:cs="宋体"/>
          <w:b/>
          <w:color w:val="auto"/>
          <w:kern w:val="0"/>
          <w:sz w:val="28"/>
          <w:szCs w:val="22"/>
          <w:u w:val="single"/>
        </w:rPr>
        <w:t xml:space="preserve">  </w:t>
      </w:r>
      <w:r>
        <w:rPr>
          <w:rFonts w:hint="eastAsia" w:ascii="宋体" w:hAnsi="宋体" w:eastAsia="宋体" w:cs="宋体"/>
          <w:b/>
          <w:color w:val="auto"/>
          <w:kern w:val="0"/>
          <w:sz w:val="28"/>
          <w:szCs w:val="22"/>
        </w:rPr>
        <w:t>（盖电子章）</w:t>
      </w:r>
    </w:p>
    <w:p w14:paraId="778FD2FE">
      <w:pPr>
        <w:ind w:firstLine="1687" w:firstLineChars="600"/>
        <w:jc w:val="both"/>
        <w:rPr>
          <w:rFonts w:hint="eastAsia" w:ascii="宋体" w:hAnsi="宋体" w:eastAsia="宋体" w:cs="宋体"/>
          <w:b/>
          <w:color w:val="auto"/>
          <w:kern w:val="0"/>
          <w:sz w:val="28"/>
          <w:szCs w:val="22"/>
        </w:rPr>
      </w:pPr>
      <w:r>
        <w:rPr>
          <w:rFonts w:hint="eastAsia" w:ascii="宋体" w:hAnsi="宋体" w:eastAsia="宋体" w:cs="宋体"/>
          <w:b/>
          <w:color w:val="auto"/>
          <w:kern w:val="0"/>
          <w:sz w:val="28"/>
          <w:szCs w:val="22"/>
        </w:rPr>
        <w:t>法定代表人或授权委托人：</w:t>
      </w:r>
      <w:r>
        <w:rPr>
          <w:rFonts w:hint="eastAsia" w:ascii="宋体" w:hAnsi="宋体" w:eastAsia="宋体" w:cs="宋体"/>
          <w:b/>
          <w:color w:val="auto"/>
          <w:kern w:val="0"/>
          <w:sz w:val="28"/>
          <w:szCs w:val="22"/>
          <w:u w:val="single"/>
        </w:rPr>
        <w:t xml:space="preserve">     </w:t>
      </w:r>
      <w:r>
        <w:rPr>
          <w:rFonts w:hint="eastAsia" w:ascii="宋体" w:hAnsi="宋体" w:eastAsia="宋体" w:cs="宋体"/>
          <w:b/>
          <w:color w:val="auto"/>
          <w:kern w:val="0"/>
          <w:sz w:val="28"/>
          <w:szCs w:val="22"/>
        </w:rPr>
        <w:t>（签字或盖电子章）</w:t>
      </w:r>
    </w:p>
    <w:p w14:paraId="63E3C04C">
      <w:pPr>
        <w:ind w:firstLine="1687" w:firstLineChars="600"/>
        <w:jc w:val="both"/>
        <w:rPr>
          <w:rFonts w:ascii="宋体" w:hAnsi="宋体" w:cs="宋体"/>
          <w:b/>
          <w:color w:val="auto"/>
        </w:rPr>
      </w:pPr>
      <w:r>
        <w:rPr>
          <w:rFonts w:hint="eastAsia" w:ascii="宋体" w:hAnsi="宋体" w:cs="宋体"/>
          <w:b/>
          <w:color w:val="auto"/>
          <w:kern w:val="0"/>
          <w:sz w:val="28"/>
          <w:szCs w:val="22"/>
        </w:rPr>
        <w:t>日      期：</w:t>
      </w:r>
      <w:r>
        <w:rPr>
          <w:rFonts w:hint="eastAsia" w:ascii="宋体" w:hAnsi="宋体" w:cs="宋体"/>
          <w:b/>
          <w:color w:val="auto"/>
          <w:kern w:val="0"/>
          <w:sz w:val="22"/>
          <w:szCs w:val="22"/>
          <w:u w:val="single"/>
        </w:rPr>
        <w:t xml:space="preserve">      </w:t>
      </w:r>
      <w:r>
        <w:rPr>
          <w:rFonts w:hint="eastAsia" w:ascii="宋体" w:hAnsi="宋体" w:cs="宋体"/>
          <w:b/>
          <w:color w:val="auto"/>
          <w:kern w:val="0"/>
          <w:sz w:val="22"/>
          <w:szCs w:val="22"/>
          <w:u w:val="single"/>
          <w:lang w:val="en-US" w:eastAsia="zh-CN"/>
        </w:rPr>
        <w:t xml:space="preserve"> </w:t>
      </w:r>
      <w:r>
        <w:rPr>
          <w:rFonts w:hint="eastAsia" w:ascii="宋体" w:hAnsi="宋体" w:cs="宋体"/>
          <w:b/>
          <w:color w:val="auto"/>
          <w:kern w:val="0"/>
          <w:sz w:val="22"/>
          <w:szCs w:val="22"/>
          <w:u w:val="single"/>
        </w:rPr>
        <w:t xml:space="preserve">   </w:t>
      </w:r>
      <w:r>
        <w:rPr>
          <w:rFonts w:hint="eastAsia" w:ascii="宋体" w:hAnsi="宋体" w:cs="宋体"/>
          <w:b/>
          <w:color w:val="auto"/>
          <w:kern w:val="0"/>
          <w:sz w:val="28"/>
          <w:szCs w:val="22"/>
        </w:rPr>
        <w:t>年</w:t>
      </w:r>
      <w:r>
        <w:rPr>
          <w:rFonts w:hint="eastAsia" w:ascii="宋体" w:hAnsi="宋体" w:cs="宋体"/>
          <w:b/>
          <w:color w:val="auto"/>
          <w:kern w:val="0"/>
          <w:sz w:val="28"/>
          <w:szCs w:val="22"/>
          <w:u w:val="single"/>
        </w:rPr>
        <w:t xml:space="preserve">  </w:t>
      </w:r>
      <w:r>
        <w:rPr>
          <w:rFonts w:hint="eastAsia" w:ascii="宋体" w:hAnsi="宋体" w:cs="宋体"/>
          <w:b/>
          <w:color w:val="auto"/>
          <w:kern w:val="0"/>
          <w:sz w:val="28"/>
          <w:szCs w:val="22"/>
          <w:u w:val="single"/>
          <w:lang w:val="en-US" w:eastAsia="zh-CN"/>
        </w:rPr>
        <w:t xml:space="preserve"> </w:t>
      </w:r>
      <w:r>
        <w:rPr>
          <w:rFonts w:hint="eastAsia" w:ascii="宋体" w:hAnsi="宋体" w:cs="宋体"/>
          <w:b/>
          <w:color w:val="auto"/>
          <w:kern w:val="0"/>
          <w:sz w:val="28"/>
          <w:szCs w:val="22"/>
          <w:u w:val="single"/>
        </w:rPr>
        <w:t xml:space="preserve">  </w:t>
      </w:r>
      <w:r>
        <w:rPr>
          <w:rFonts w:hint="eastAsia" w:ascii="宋体" w:hAnsi="宋体" w:cs="宋体"/>
          <w:b/>
          <w:color w:val="auto"/>
          <w:kern w:val="0"/>
          <w:sz w:val="28"/>
          <w:szCs w:val="22"/>
        </w:rPr>
        <w:t>月</w:t>
      </w:r>
      <w:r>
        <w:rPr>
          <w:rFonts w:hint="eastAsia" w:ascii="宋体" w:hAnsi="宋体" w:cs="宋体"/>
          <w:b/>
          <w:color w:val="auto"/>
          <w:kern w:val="0"/>
          <w:sz w:val="28"/>
          <w:szCs w:val="22"/>
          <w:u w:val="single"/>
        </w:rPr>
        <w:t xml:space="preserve">  </w:t>
      </w:r>
      <w:r>
        <w:rPr>
          <w:rFonts w:hint="eastAsia" w:ascii="宋体" w:hAnsi="宋体" w:cs="宋体"/>
          <w:b/>
          <w:color w:val="auto"/>
          <w:kern w:val="0"/>
          <w:sz w:val="28"/>
          <w:szCs w:val="22"/>
          <w:u w:val="single"/>
          <w:lang w:val="en-US" w:eastAsia="zh-CN"/>
        </w:rPr>
        <w:t xml:space="preserve"> </w:t>
      </w:r>
      <w:r>
        <w:rPr>
          <w:rFonts w:hint="eastAsia" w:ascii="宋体" w:hAnsi="宋体" w:cs="宋体"/>
          <w:b/>
          <w:color w:val="auto"/>
          <w:kern w:val="0"/>
          <w:sz w:val="28"/>
          <w:szCs w:val="22"/>
          <w:u w:val="single"/>
        </w:rPr>
        <w:t xml:space="preserve">  </w:t>
      </w:r>
      <w:r>
        <w:rPr>
          <w:rFonts w:hint="eastAsia" w:ascii="宋体" w:hAnsi="宋体" w:cs="宋体"/>
          <w:b/>
          <w:color w:val="auto"/>
          <w:kern w:val="0"/>
          <w:sz w:val="28"/>
          <w:szCs w:val="22"/>
        </w:rPr>
        <w:t>日</w:t>
      </w:r>
    </w:p>
    <w:p w14:paraId="7957F764">
      <w:pPr>
        <w:rPr>
          <w:rFonts w:ascii="宋体" w:hAnsi="宋体" w:cs="宋体"/>
          <w:b/>
          <w:color w:val="auto"/>
          <w:sz w:val="22"/>
          <w:szCs w:val="22"/>
        </w:rPr>
        <w:sectPr>
          <w:type w:val="continuous"/>
          <w:pgSz w:w="11906" w:h="16838"/>
          <w:pgMar w:top="1440" w:right="1080" w:bottom="1440" w:left="1080" w:header="851" w:footer="992" w:gutter="0"/>
          <w:pgNumType w:fmt="decimal"/>
          <w:cols w:space="720" w:num="1"/>
          <w:docGrid w:type="lines" w:linePitch="312" w:charSpace="0"/>
        </w:sectPr>
      </w:pPr>
    </w:p>
    <w:p w14:paraId="2A59E230">
      <w:pPr>
        <w:pStyle w:val="4"/>
        <w:widowControl/>
        <w:spacing w:line="240" w:lineRule="auto"/>
        <w:jc w:val="center"/>
        <w:rPr>
          <w:rFonts w:ascii="宋体" w:hAnsi="宋体" w:cs="宋体"/>
          <w:color w:val="auto"/>
          <w:sz w:val="36"/>
          <w:szCs w:val="40"/>
          <w:highlight w:val="none"/>
        </w:rPr>
      </w:pPr>
      <w:bookmarkStart w:id="136" w:name="_Toc10498"/>
      <w:bookmarkStart w:id="137" w:name="_Toc184635137"/>
      <w:bookmarkStart w:id="138" w:name="_Toc499815663"/>
      <w:bookmarkStart w:id="139" w:name="_Toc18853"/>
      <w:bookmarkStart w:id="140" w:name="_Toc10404"/>
      <w:bookmarkStart w:id="141" w:name="_Toc2388"/>
      <w:bookmarkStart w:id="142" w:name="_Toc457735308"/>
      <w:bookmarkStart w:id="143" w:name="_Toc457735670"/>
      <w:bookmarkStart w:id="144" w:name="_Toc457761166"/>
      <w:r>
        <w:rPr>
          <w:rFonts w:hint="eastAsia" w:ascii="宋体" w:hAnsi="宋体" w:cs="宋体"/>
          <w:color w:val="auto"/>
          <w:sz w:val="36"/>
          <w:szCs w:val="40"/>
          <w:highlight w:val="none"/>
        </w:rPr>
        <w:t>目  录</w:t>
      </w:r>
      <w:bookmarkEnd w:id="136"/>
      <w:bookmarkEnd w:id="137"/>
      <w:bookmarkEnd w:id="138"/>
      <w:bookmarkEnd w:id="139"/>
      <w:bookmarkEnd w:id="140"/>
      <w:bookmarkEnd w:id="141"/>
    </w:p>
    <w:p w14:paraId="4426555A">
      <w:pPr>
        <w:pStyle w:val="8"/>
        <w:widowControl/>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"_Toc32513"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一、投标函</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end"/>
      </w:r>
    </w:p>
    <w:p w14:paraId="38E0F398">
      <w:pPr>
        <w:pStyle w:val="8"/>
        <w:widowControl/>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"_Toc3998"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二、投标函附录</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end"/>
      </w:r>
    </w:p>
    <w:p w14:paraId="1DC6ED40">
      <w:pPr>
        <w:pStyle w:val="8"/>
        <w:widowControl/>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"_Toc24941"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法定代表人身份证明</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end"/>
      </w:r>
    </w:p>
    <w:p w14:paraId="4ABC8808">
      <w:pPr>
        <w:pStyle w:val="8"/>
        <w:widowControl/>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"_Toc28345"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法定代表人授权书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end"/>
      </w:r>
    </w:p>
    <w:p w14:paraId="5EE0BB0D">
      <w:pPr>
        <w:pStyle w:val="8"/>
        <w:widowControl/>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"_Toc21914"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投标人资格证明文件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end"/>
      </w:r>
    </w:p>
    <w:p w14:paraId="7957210E">
      <w:pPr>
        <w:pStyle w:val="8"/>
        <w:widowControl/>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六、反商业贿赂承诺书</w:t>
      </w:r>
    </w:p>
    <w:p w14:paraId="6BED10F5">
      <w:pPr>
        <w:pStyle w:val="8"/>
        <w:widowControl/>
        <w:spacing w:line="46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七、技术</w:t>
      </w:r>
      <w:r>
        <w:rPr>
          <w:rFonts w:hint="eastAsia" w:ascii="宋体" w:hAnsi="宋体" w:eastAsia="宋体" w:cs="宋体"/>
          <w:color w:val="auto"/>
          <w:sz w:val="21"/>
          <w:szCs w:val="21"/>
          <w:highlight w:val="none"/>
          <w:lang w:val="en-US" w:eastAsia="zh-CN"/>
        </w:rPr>
        <w:t>标</w:t>
      </w:r>
    </w:p>
    <w:p w14:paraId="4C978DF7">
      <w:pPr>
        <w:pStyle w:val="8"/>
        <w:widowControl/>
        <w:spacing w:line="46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八、</w:t>
      </w:r>
      <w:r>
        <w:rPr>
          <w:rFonts w:hint="eastAsia" w:ascii="宋体" w:hAnsi="宋体" w:eastAsia="宋体" w:cs="宋体"/>
          <w:color w:val="auto"/>
          <w:sz w:val="21"/>
          <w:szCs w:val="21"/>
          <w:highlight w:val="none"/>
          <w:lang w:val="en-US" w:eastAsia="zh-CN"/>
        </w:rPr>
        <w:t>综合标</w:t>
      </w:r>
    </w:p>
    <w:p w14:paraId="2B5FFAF9">
      <w:pPr>
        <w:pStyle w:val="8"/>
        <w:widowControl/>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九、</w:t>
      </w:r>
      <w:r>
        <w:rPr>
          <w:rFonts w:hint="eastAsia" w:ascii="宋体" w:hAnsi="宋体" w:eastAsia="宋体" w:cs="宋体"/>
          <w:color w:val="auto"/>
          <w:sz w:val="21"/>
          <w:szCs w:val="21"/>
          <w:highlight w:val="none"/>
          <w:lang w:eastAsia="zh-CN"/>
        </w:rPr>
        <w:t>竞争性磋商文件</w:t>
      </w:r>
      <w:r>
        <w:rPr>
          <w:rFonts w:hint="eastAsia" w:ascii="宋体" w:hAnsi="宋体" w:eastAsia="宋体" w:cs="宋体"/>
          <w:color w:val="auto"/>
          <w:sz w:val="21"/>
          <w:szCs w:val="21"/>
          <w:highlight w:val="none"/>
        </w:rPr>
        <w:t>要求的其它材料及投标人认为有必要提供的材料</w:t>
      </w:r>
    </w:p>
    <w:p w14:paraId="2BA609CA">
      <w:pPr>
        <w:pStyle w:val="8"/>
        <w:widowControl/>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十、政府采购政策</w:t>
      </w:r>
    </w:p>
    <w:p w14:paraId="224FACB5">
      <w:pPr>
        <w:pStyle w:val="3"/>
        <w:widowControl/>
        <w:spacing w:line="240" w:lineRule="auto"/>
        <w:jc w:val="center"/>
        <w:rPr>
          <w:rFonts w:ascii="宋体" w:hAnsi="宋体" w:eastAsia="宋体" w:cs="宋体"/>
          <w:color w:val="auto"/>
          <w:sz w:val="28"/>
          <w:szCs w:val="28"/>
          <w:highlight w:val="none"/>
        </w:rPr>
      </w:pPr>
      <w:bookmarkStart w:id="145" w:name="_Toc457735665"/>
      <w:bookmarkStart w:id="146" w:name="_Toc457735303"/>
      <w:bookmarkStart w:id="147" w:name="_Toc445450474"/>
      <w:bookmarkStart w:id="148" w:name="_Toc457761161"/>
    </w:p>
    <w:p w14:paraId="527023A1">
      <w:pPr>
        <w:pStyle w:val="3"/>
        <w:widowControl/>
        <w:spacing w:line="240" w:lineRule="auto"/>
        <w:jc w:val="center"/>
        <w:rPr>
          <w:rFonts w:ascii="宋体" w:hAnsi="宋体" w:eastAsia="宋体" w:cs="宋体"/>
          <w:color w:val="auto"/>
          <w:sz w:val="28"/>
          <w:szCs w:val="28"/>
          <w:highlight w:val="none"/>
        </w:rPr>
      </w:pPr>
    </w:p>
    <w:p w14:paraId="62CE8893">
      <w:pPr>
        <w:pStyle w:val="3"/>
        <w:widowControl/>
        <w:spacing w:line="240" w:lineRule="auto"/>
        <w:jc w:val="center"/>
        <w:rPr>
          <w:rFonts w:ascii="宋体" w:hAnsi="宋体" w:eastAsia="宋体" w:cs="宋体"/>
          <w:color w:val="auto"/>
          <w:sz w:val="28"/>
          <w:szCs w:val="28"/>
          <w:highlight w:val="none"/>
        </w:rPr>
      </w:pPr>
    </w:p>
    <w:p w14:paraId="7297DE1F">
      <w:pPr>
        <w:pStyle w:val="3"/>
        <w:widowControl/>
        <w:spacing w:line="240" w:lineRule="auto"/>
        <w:jc w:val="center"/>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bookmarkStart w:id="149" w:name="_Toc32725"/>
      <w:bookmarkStart w:id="150" w:name="_Toc20162"/>
      <w:r>
        <w:rPr>
          <w:rFonts w:hint="eastAsia" w:ascii="宋体" w:hAnsi="宋体" w:eastAsia="宋体" w:cs="宋体"/>
          <w:color w:val="auto"/>
          <w:sz w:val="28"/>
          <w:szCs w:val="28"/>
          <w:highlight w:val="none"/>
        </w:rPr>
        <w:t>一、</w:t>
      </w:r>
      <w:bookmarkEnd w:id="145"/>
      <w:bookmarkEnd w:id="146"/>
      <w:bookmarkEnd w:id="147"/>
      <w:bookmarkEnd w:id="148"/>
      <w:bookmarkEnd w:id="149"/>
      <w:r>
        <w:rPr>
          <w:rFonts w:hint="eastAsia" w:ascii="宋体" w:hAnsi="宋体" w:eastAsia="宋体" w:cs="宋体"/>
          <w:color w:val="auto"/>
          <w:sz w:val="28"/>
          <w:szCs w:val="28"/>
          <w:highlight w:val="none"/>
        </w:rPr>
        <w:t>投标函</w:t>
      </w:r>
      <w:bookmarkEnd w:id="150"/>
    </w:p>
    <w:p w14:paraId="0E4AFAA7">
      <w:pPr>
        <w:pStyle w:val="8"/>
        <w:widowControl/>
        <w:spacing w:line="360" w:lineRule="auto"/>
        <w:rPr>
          <w:rFonts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 xml:space="preserve">） </w:t>
      </w:r>
    </w:p>
    <w:p w14:paraId="58E8F991">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rPr>
        <w:t>我方已仔细阅读并研究了</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（项目名称）</w:t>
      </w:r>
      <w:r>
        <w:rPr>
          <w:rFonts w:hint="eastAsia" w:ascii="宋体" w:hAnsi="宋体" w:cs="宋体"/>
          <w:color w:val="auto"/>
          <w:kern w:val="0"/>
          <w:szCs w:val="21"/>
          <w:highlight w:val="none"/>
          <w:lang w:eastAsia="zh-CN"/>
        </w:rPr>
        <w:t>竞争性磋商文件</w:t>
      </w:r>
      <w:r>
        <w:rPr>
          <w:rFonts w:hint="eastAsia" w:ascii="宋体" w:hAnsi="宋体" w:cs="宋体"/>
          <w:color w:val="auto"/>
          <w:kern w:val="0"/>
          <w:szCs w:val="21"/>
          <w:highlight w:val="none"/>
        </w:rPr>
        <w:t>的全部内容（包含本项目的所有补遗、澄清和变更资料），我们完全熟悉其中的要求、条款和条件。愿意以人民币（大写）：</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，小写：</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元的报价，</w:t>
      </w:r>
      <w:r>
        <w:rPr>
          <w:rFonts w:hint="eastAsia" w:ascii="宋体" w:hAnsi="宋体" w:cs="Arial"/>
          <w:color w:val="auto"/>
          <w:kern w:val="0"/>
          <w:szCs w:val="21"/>
          <w:highlight w:val="none"/>
          <w:lang w:eastAsia="zh-CN"/>
        </w:rPr>
        <w:t>供货安装期限</w:t>
      </w:r>
      <w:r>
        <w:rPr>
          <w:rFonts w:hint="eastAsia" w:ascii="宋体" w:hAnsi="宋体" w:cs="宋体"/>
          <w:color w:val="auto"/>
          <w:kern w:val="0"/>
          <w:szCs w:val="21"/>
          <w:highlight w:val="none"/>
        </w:rPr>
        <w:t>：</w:t>
      </w:r>
      <w:r>
        <w:rPr>
          <w:rFonts w:hint="eastAsia" w:ascii="宋体" w:hAnsi="宋体" w:cs="宋体"/>
          <w:color w:val="auto"/>
          <w:kern w:val="0"/>
          <w:szCs w:val="21"/>
          <w:highlight w:val="none"/>
          <w:u w:val="single"/>
        </w:rPr>
        <w:t>　　　　　　</w:t>
      </w:r>
      <w:r>
        <w:rPr>
          <w:rFonts w:hint="eastAsia" w:ascii="宋体" w:hAnsi="宋体" w:cs="宋体"/>
          <w:color w:val="auto"/>
          <w:kern w:val="0"/>
          <w:szCs w:val="21"/>
          <w:highlight w:val="none"/>
        </w:rPr>
        <w:t>，质量要求：</w:t>
      </w:r>
      <w:r>
        <w:rPr>
          <w:rFonts w:hint="eastAsia" w:ascii="宋体" w:hAnsi="宋体" w:cs="宋体"/>
          <w:color w:val="auto"/>
          <w:kern w:val="0"/>
          <w:szCs w:val="21"/>
          <w:highlight w:val="none"/>
          <w:u w:val="single"/>
        </w:rPr>
        <w:t>　　　　　　</w:t>
      </w:r>
      <w:r>
        <w:rPr>
          <w:rFonts w:hint="eastAsia" w:ascii="宋体" w:hAnsi="宋体" w:cs="宋体"/>
          <w:color w:val="auto"/>
          <w:kern w:val="0"/>
          <w:szCs w:val="21"/>
          <w:highlight w:val="none"/>
        </w:rPr>
        <w:t>，按招标文件要求对完成本项目全生命周期内的相应工作。同时做出以下声明：</w:t>
      </w:r>
    </w:p>
    <w:p w14:paraId="5DBA8112">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rPr>
        <w:t>1.我方按招标文件的要求编制投标文件。</w:t>
      </w:r>
    </w:p>
    <w:p w14:paraId="2B0311A1">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rPr>
        <w:t>2.我方投标有效期为：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p>
    <w:p w14:paraId="458D2478">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rPr>
        <w:t>3. 我方承诺与招标人聘请的为此项目提供咨询服务的公司及任何附属机构均无关联，我方不是招标人的附属机构。</w:t>
      </w:r>
    </w:p>
    <w:p w14:paraId="212E3F30">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rPr>
        <w:t>4.我方将按招标文件的规定履行合同责任和义务。</w:t>
      </w:r>
    </w:p>
    <w:p w14:paraId="28F70170">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rPr>
        <w:t>5.我方同意提供贵方可能要求的与其投标有关的一切数据或资料。</w:t>
      </w:r>
    </w:p>
    <w:p w14:paraId="7FAFE967">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rPr>
        <w:t>6.我方完全理解贵方不一定接受最低价的响应或收到的任何响应。</w:t>
      </w:r>
    </w:p>
    <w:p w14:paraId="45674EB2">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rPr>
        <w:t>7.我方承诺不泄露投标活动中获取的项目信息、商业秘密。</w:t>
      </w:r>
    </w:p>
    <w:p w14:paraId="4048CCC8">
      <w:pPr>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8.我方在此声明，所递交的投标文件及有关资料内容完整、真实和准确。</w:t>
      </w:r>
    </w:p>
    <w:p w14:paraId="4B90996A">
      <w:pPr>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9.</w:t>
      </w:r>
      <w:r>
        <w:rPr>
          <w:rFonts w:hint="eastAsia" w:ascii="宋体" w:hAnsi="宋体" w:cs="宋体"/>
          <w:color w:val="auto"/>
          <w:szCs w:val="21"/>
          <w:highlight w:val="none"/>
        </w:rPr>
        <w:t xml:space="preserve">我公司如果中标，保证按招标文件要求向招标代理机构全额缴纳招标代理服务费。 </w:t>
      </w:r>
    </w:p>
    <w:p w14:paraId="563306EB">
      <w:pPr>
        <w:pStyle w:val="8"/>
        <w:widowControl/>
        <w:tabs>
          <w:tab w:val="left" w:pos="4475"/>
          <w:tab w:val="left" w:pos="4706"/>
          <w:tab w:val="left" w:pos="5392"/>
          <w:tab w:val="left" w:pos="8498"/>
        </w:tabs>
        <w:spacing w:before="26" w:line="360" w:lineRule="auto"/>
        <w:ind w:right="507"/>
        <w:rPr>
          <w:rFonts w:ascii="宋体" w:hAnsi="宋体" w:cs="宋体"/>
          <w:color w:val="auto"/>
          <w:szCs w:val="21"/>
          <w:highlight w:val="none"/>
        </w:rPr>
      </w:pPr>
    </w:p>
    <w:p w14:paraId="6125774F">
      <w:pPr>
        <w:spacing w:line="360" w:lineRule="auto"/>
        <w:jc w:val="left"/>
        <w:rPr>
          <w:rFonts w:ascii="宋体" w:hAnsi="宋体" w:cs="宋体"/>
          <w:color w:val="auto"/>
          <w:sz w:val="20"/>
          <w:szCs w:val="20"/>
          <w:highlight w:val="none"/>
        </w:rPr>
      </w:pPr>
    </w:p>
    <w:p w14:paraId="73FCB8D4">
      <w:pPr>
        <w:spacing w:line="360" w:lineRule="auto"/>
        <w:jc w:val="left"/>
        <w:rPr>
          <w:rFonts w:ascii="宋体" w:hAnsi="宋体" w:cs="宋体"/>
          <w:color w:val="auto"/>
          <w:sz w:val="20"/>
          <w:szCs w:val="20"/>
          <w:highlight w:val="none"/>
        </w:rPr>
      </w:pPr>
    </w:p>
    <w:p w14:paraId="3F7EE380">
      <w:pPr>
        <w:spacing w:line="360" w:lineRule="auto"/>
        <w:jc w:val="left"/>
        <w:rPr>
          <w:rFonts w:ascii="宋体" w:hAnsi="宋体" w:cs="宋体"/>
          <w:color w:val="auto"/>
          <w:sz w:val="20"/>
          <w:szCs w:val="20"/>
          <w:highlight w:val="none"/>
        </w:rPr>
      </w:pPr>
    </w:p>
    <w:p w14:paraId="09BB8868">
      <w:pPr>
        <w:tabs>
          <w:tab w:val="left" w:pos="1155"/>
        </w:tabs>
        <w:spacing w:line="360" w:lineRule="auto"/>
        <w:ind w:right="440" w:firstLine="2738" w:firstLineChars="1304"/>
        <w:jc w:val="right"/>
        <w:rPr>
          <w:rFonts w:ascii="宋体"/>
          <w:color w:val="auto"/>
          <w:szCs w:val="21"/>
          <w:highlight w:val="none"/>
        </w:rPr>
      </w:pPr>
      <w:r>
        <w:rPr>
          <w:rFonts w:hint="eastAsia" w:ascii="宋体" w:hAnsi="宋体"/>
          <w:color w:val="auto"/>
          <w:szCs w:val="21"/>
          <w:highlight w:val="none"/>
        </w:rPr>
        <w:t>投标人名称：</w:t>
      </w:r>
      <w:r>
        <w:rPr>
          <w:rFonts w:hint="eastAsia" w:ascii="宋体" w:hAnsi="宋体"/>
          <w:color w:val="auto"/>
          <w:szCs w:val="21"/>
          <w:highlight w:val="none"/>
          <w:u w:val="single"/>
        </w:rPr>
        <w:t xml:space="preserve">               </w:t>
      </w:r>
      <w:r>
        <w:rPr>
          <w:rFonts w:hint="eastAsia" w:ascii="宋体" w:hAnsi="宋体"/>
          <w:color w:val="auto"/>
          <w:szCs w:val="21"/>
          <w:highlight w:val="none"/>
        </w:rPr>
        <w:t>（</w:t>
      </w:r>
      <w:r>
        <w:rPr>
          <w:rFonts w:hint="eastAsia" w:ascii="宋体" w:hAnsi="宋体" w:cs="宋体"/>
          <w:color w:val="auto"/>
          <w:szCs w:val="21"/>
          <w:highlight w:val="none"/>
        </w:rPr>
        <w:t>盖电子章</w:t>
      </w:r>
      <w:r>
        <w:rPr>
          <w:rFonts w:hint="eastAsia" w:ascii="宋体" w:hAnsi="宋体"/>
          <w:color w:val="auto"/>
          <w:szCs w:val="21"/>
          <w:highlight w:val="none"/>
        </w:rPr>
        <w:t>）</w:t>
      </w:r>
    </w:p>
    <w:p w14:paraId="7B76314A">
      <w:pPr>
        <w:spacing w:line="360" w:lineRule="auto"/>
        <w:ind w:firstLine="2738" w:firstLineChars="1304"/>
        <w:jc w:val="right"/>
        <w:rPr>
          <w:rFonts w:ascii="宋体"/>
          <w:color w:val="auto"/>
          <w:szCs w:val="21"/>
          <w:highlight w:val="none"/>
        </w:rPr>
      </w:pPr>
      <w:r>
        <w:rPr>
          <w:rFonts w:hint="eastAsia" w:ascii="宋体" w:hAnsi="宋体"/>
          <w:color w:val="auto"/>
          <w:szCs w:val="21"/>
          <w:highlight w:val="none"/>
        </w:rPr>
        <w:t>法定代表人或授权委托人：</w:t>
      </w:r>
      <w:r>
        <w:rPr>
          <w:rFonts w:hint="eastAsia" w:ascii="宋体" w:hAnsi="宋体"/>
          <w:color w:val="auto"/>
          <w:szCs w:val="21"/>
          <w:highlight w:val="none"/>
          <w:u w:val="single"/>
        </w:rPr>
        <w:t xml:space="preserve">     </w:t>
      </w:r>
      <w:r>
        <w:rPr>
          <w:rFonts w:hint="eastAsia" w:ascii="宋体" w:hAnsi="宋体"/>
          <w:color w:val="auto"/>
          <w:szCs w:val="21"/>
          <w:highlight w:val="none"/>
        </w:rPr>
        <w:t>（</w:t>
      </w:r>
      <w:r>
        <w:rPr>
          <w:rFonts w:hint="eastAsia" w:ascii="宋体" w:hAnsi="宋体" w:cs="宋体"/>
          <w:color w:val="auto"/>
          <w:szCs w:val="21"/>
          <w:highlight w:val="none"/>
        </w:rPr>
        <w:t>签字或盖电子章</w:t>
      </w:r>
      <w:r>
        <w:rPr>
          <w:rFonts w:hint="eastAsia" w:ascii="宋体" w:hAnsi="宋体"/>
          <w:color w:val="auto"/>
          <w:szCs w:val="21"/>
          <w:highlight w:val="none"/>
        </w:rPr>
        <w:t>）</w:t>
      </w:r>
    </w:p>
    <w:p w14:paraId="557A0AB0">
      <w:pPr>
        <w:spacing w:line="360" w:lineRule="auto"/>
        <w:ind w:right="860" w:firstLine="2738" w:firstLineChars="1304"/>
        <w:jc w:val="right"/>
        <w:rPr>
          <w:rFonts w:ascii="宋体"/>
          <w:color w:val="auto"/>
          <w:szCs w:val="21"/>
          <w:highlight w:val="none"/>
        </w:rPr>
      </w:pPr>
      <w:r>
        <w:rPr>
          <w:rFonts w:hint="eastAsia" w:ascii="宋体" w:hAnsi="宋体"/>
          <w:color w:val="auto"/>
          <w:szCs w:val="21"/>
          <w:highlight w:val="none"/>
        </w:rPr>
        <w:t>年    月    日</w:t>
      </w:r>
    </w:p>
    <w:p w14:paraId="26786C12">
      <w:pPr>
        <w:pStyle w:val="10"/>
        <w:ind w:left="0" w:leftChars="0" w:firstLine="420" w:firstLineChars="200"/>
        <w:jc w:val="left"/>
        <w:rPr>
          <w:rFonts w:ascii="宋体" w:hAnsi="宋体" w:cs="宋体"/>
          <w:color w:val="auto"/>
          <w:szCs w:val="21"/>
          <w:highlight w:val="none"/>
        </w:rPr>
      </w:pPr>
    </w:p>
    <w:p w14:paraId="23F2BC6E">
      <w:pPr>
        <w:pStyle w:val="8"/>
        <w:widowControl/>
        <w:jc w:val="center"/>
        <w:outlineLvl w:val="1"/>
        <w:rPr>
          <w:rFonts w:ascii="宋体" w:hAnsi="宋体" w:cs="宋体"/>
          <w:b/>
          <w:bCs/>
          <w:color w:val="auto"/>
          <w:sz w:val="28"/>
          <w:szCs w:val="28"/>
          <w:highlight w:val="none"/>
        </w:rPr>
      </w:pPr>
      <w:r>
        <w:rPr>
          <w:rFonts w:hint="eastAsia" w:ascii="宋体" w:hAnsi="宋体" w:cs="宋体"/>
          <w:color w:val="auto"/>
          <w:highlight w:val="none"/>
        </w:rPr>
        <w:br w:type="page"/>
      </w:r>
      <w:bookmarkStart w:id="151" w:name="_Toc26261"/>
      <w:bookmarkStart w:id="152" w:name="_Toc457735304"/>
      <w:bookmarkStart w:id="153" w:name="_Toc457735666"/>
      <w:bookmarkStart w:id="154" w:name="_Toc445450475"/>
      <w:bookmarkStart w:id="155" w:name="_Toc457761162"/>
      <w:bookmarkStart w:id="156" w:name="_Toc31171"/>
      <w:r>
        <w:rPr>
          <w:rFonts w:hint="eastAsia" w:ascii="宋体" w:hAnsi="宋体" w:cs="宋体"/>
          <w:b/>
          <w:bCs/>
          <w:color w:val="auto"/>
          <w:sz w:val="28"/>
          <w:szCs w:val="28"/>
          <w:highlight w:val="none"/>
        </w:rPr>
        <w:t>二、投标函附录</w:t>
      </w:r>
      <w:bookmarkEnd w:id="151"/>
      <w:bookmarkEnd w:id="152"/>
      <w:bookmarkEnd w:id="153"/>
      <w:bookmarkEnd w:id="154"/>
      <w:bookmarkEnd w:id="155"/>
      <w:bookmarkEnd w:id="156"/>
    </w:p>
    <w:tbl>
      <w:tblPr>
        <w:tblStyle w:val="27"/>
        <w:tblW w:w="91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95"/>
        <w:gridCol w:w="1281"/>
        <w:gridCol w:w="4624"/>
      </w:tblGrid>
      <w:tr w14:paraId="3B82E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3195" w:type="dxa"/>
            <w:tcBorders>
              <w:top w:val="single" w:color="auto" w:sz="4" w:space="0"/>
              <w:left w:val="single" w:color="auto" w:sz="4" w:space="0"/>
              <w:bottom w:val="single" w:color="auto" w:sz="4" w:space="0"/>
              <w:right w:val="single" w:color="auto" w:sz="4" w:space="0"/>
            </w:tcBorders>
            <w:noWrap w:val="0"/>
            <w:vAlign w:val="center"/>
          </w:tcPr>
          <w:p w14:paraId="44F2131B">
            <w:pPr>
              <w:jc w:val="center"/>
              <w:rPr>
                <w:rFonts w:ascii="宋体" w:hAnsi="宋体" w:cs="宋体"/>
                <w:color w:val="auto"/>
                <w:szCs w:val="21"/>
                <w:highlight w:val="none"/>
              </w:rPr>
            </w:pPr>
            <w:r>
              <w:rPr>
                <w:rFonts w:hint="eastAsia" w:ascii="宋体" w:hAnsi="宋体" w:cs="宋体"/>
                <w:color w:val="auto"/>
                <w:szCs w:val="21"/>
                <w:highlight w:val="none"/>
              </w:rPr>
              <w:t>项目名称</w:t>
            </w:r>
          </w:p>
        </w:tc>
        <w:tc>
          <w:tcPr>
            <w:tcW w:w="5905" w:type="dxa"/>
            <w:gridSpan w:val="2"/>
            <w:tcBorders>
              <w:top w:val="single" w:color="auto" w:sz="4" w:space="0"/>
              <w:left w:val="single" w:color="auto" w:sz="4" w:space="0"/>
              <w:bottom w:val="single" w:color="auto" w:sz="4" w:space="0"/>
              <w:right w:val="single" w:color="auto" w:sz="4" w:space="0"/>
            </w:tcBorders>
            <w:noWrap w:val="0"/>
            <w:vAlign w:val="center"/>
          </w:tcPr>
          <w:p w14:paraId="03925B42">
            <w:pPr>
              <w:jc w:val="center"/>
              <w:rPr>
                <w:rFonts w:ascii="宋体" w:hAnsi="宋体" w:cs="宋体"/>
                <w:color w:val="auto"/>
                <w:szCs w:val="21"/>
                <w:highlight w:val="none"/>
              </w:rPr>
            </w:pPr>
          </w:p>
        </w:tc>
      </w:tr>
      <w:tr w14:paraId="07D81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3195" w:type="dxa"/>
            <w:tcBorders>
              <w:top w:val="single" w:color="auto" w:sz="4" w:space="0"/>
              <w:left w:val="single" w:color="auto" w:sz="4" w:space="0"/>
              <w:bottom w:val="single" w:color="auto" w:sz="4" w:space="0"/>
              <w:right w:val="single" w:color="auto" w:sz="4" w:space="0"/>
            </w:tcBorders>
            <w:noWrap w:val="0"/>
            <w:vAlign w:val="center"/>
          </w:tcPr>
          <w:p w14:paraId="16C0919A">
            <w:pPr>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采购范围</w:t>
            </w:r>
          </w:p>
        </w:tc>
        <w:tc>
          <w:tcPr>
            <w:tcW w:w="5905" w:type="dxa"/>
            <w:gridSpan w:val="2"/>
            <w:tcBorders>
              <w:top w:val="single" w:color="auto" w:sz="4" w:space="0"/>
              <w:left w:val="single" w:color="auto" w:sz="4" w:space="0"/>
              <w:bottom w:val="single" w:color="auto" w:sz="4" w:space="0"/>
              <w:right w:val="single" w:color="auto" w:sz="4" w:space="0"/>
            </w:tcBorders>
            <w:noWrap w:val="0"/>
            <w:vAlign w:val="center"/>
          </w:tcPr>
          <w:p w14:paraId="0C7CCF13">
            <w:pPr>
              <w:jc w:val="center"/>
              <w:rPr>
                <w:rFonts w:ascii="宋体" w:hAnsi="宋体" w:cs="宋体"/>
                <w:color w:val="auto"/>
                <w:szCs w:val="21"/>
                <w:highlight w:val="none"/>
              </w:rPr>
            </w:pPr>
          </w:p>
        </w:tc>
      </w:tr>
      <w:tr w14:paraId="44111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3195" w:type="dxa"/>
            <w:vMerge w:val="restart"/>
            <w:tcBorders>
              <w:top w:val="single" w:color="auto" w:sz="4" w:space="0"/>
              <w:left w:val="single" w:color="auto" w:sz="4" w:space="0"/>
              <w:right w:val="single" w:color="auto" w:sz="4" w:space="0"/>
            </w:tcBorders>
            <w:noWrap w:val="0"/>
            <w:vAlign w:val="center"/>
          </w:tcPr>
          <w:p w14:paraId="00D2E031">
            <w:pPr>
              <w:jc w:val="center"/>
              <w:rPr>
                <w:rFonts w:ascii="宋体" w:hAnsi="宋体" w:cs="宋体"/>
                <w:color w:val="auto"/>
                <w:szCs w:val="21"/>
                <w:highlight w:val="none"/>
              </w:rPr>
            </w:pPr>
            <w:r>
              <w:rPr>
                <w:rFonts w:hint="eastAsia" w:ascii="宋体" w:hAnsi="宋体" w:cs="宋体"/>
                <w:color w:val="auto"/>
                <w:kern w:val="0"/>
                <w:szCs w:val="21"/>
                <w:highlight w:val="none"/>
              </w:rPr>
              <w:t>投标报价</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6755A46F">
            <w:pPr>
              <w:rPr>
                <w:rFonts w:ascii="宋体" w:hAnsi="宋体" w:cs="宋体"/>
                <w:color w:val="auto"/>
                <w:szCs w:val="21"/>
                <w:highlight w:val="none"/>
              </w:rPr>
            </w:pPr>
            <w:r>
              <w:rPr>
                <w:rFonts w:hint="eastAsia" w:ascii="宋体" w:hAnsi="宋体" w:cs="宋体"/>
                <w:color w:val="auto"/>
                <w:kern w:val="0"/>
                <w:szCs w:val="21"/>
                <w:highlight w:val="none"/>
              </w:rPr>
              <w:t xml:space="preserve">           </w:t>
            </w:r>
          </w:p>
          <w:p w14:paraId="51494C3A">
            <w:pPr>
              <w:jc w:val="center"/>
              <w:rPr>
                <w:rFonts w:ascii="宋体" w:hAnsi="宋体" w:cs="宋体"/>
                <w:color w:val="auto"/>
                <w:szCs w:val="21"/>
                <w:highlight w:val="none"/>
              </w:rPr>
            </w:pPr>
            <w:r>
              <w:rPr>
                <w:rFonts w:hint="eastAsia" w:ascii="宋体" w:hAnsi="宋体" w:cs="宋体"/>
                <w:color w:val="auto"/>
                <w:kern w:val="0"/>
                <w:szCs w:val="21"/>
                <w:highlight w:val="none"/>
              </w:rPr>
              <w:t>（大写）</w:t>
            </w:r>
          </w:p>
          <w:p w14:paraId="011507EE">
            <w:pPr>
              <w:jc w:val="center"/>
              <w:rPr>
                <w:rFonts w:ascii="宋体" w:hAnsi="宋体" w:cs="宋体"/>
                <w:color w:val="auto"/>
                <w:szCs w:val="21"/>
                <w:highlight w:val="none"/>
              </w:rPr>
            </w:pPr>
          </w:p>
        </w:tc>
        <w:tc>
          <w:tcPr>
            <w:tcW w:w="4624" w:type="dxa"/>
            <w:tcBorders>
              <w:top w:val="single" w:color="auto" w:sz="4" w:space="0"/>
              <w:left w:val="single" w:color="auto" w:sz="4" w:space="0"/>
              <w:bottom w:val="single" w:color="auto" w:sz="4" w:space="0"/>
              <w:right w:val="single" w:color="auto" w:sz="4" w:space="0"/>
            </w:tcBorders>
            <w:noWrap w:val="0"/>
            <w:vAlign w:val="center"/>
          </w:tcPr>
          <w:p w14:paraId="76DA94F6">
            <w:pPr>
              <w:jc w:val="center"/>
              <w:rPr>
                <w:rFonts w:ascii="宋体" w:hAnsi="宋体" w:cs="宋体"/>
                <w:color w:val="auto"/>
                <w:szCs w:val="21"/>
                <w:highlight w:val="none"/>
              </w:rPr>
            </w:pPr>
            <w:r>
              <w:rPr>
                <w:rFonts w:hint="eastAsia" w:ascii="宋体" w:hAnsi="宋体" w:cs="宋体"/>
                <w:color w:val="auto"/>
                <w:kern w:val="0"/>
                <w:szCs w:val="21"/>
                <w:highlight w:val="none"/>
              </w:rPr>
              <w:t xml:space="preserve">                 </w:t>
            </w:r>
          </w:p>
        </w:tc>
      </w:tr>
      <w:tr w14:paraId="64B1B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3195" w:type="dxa"/>
            <w:vMerge w:val="continue"/>
            <w:tcBorders>
              <w:left w:val="single" w:color="auto" w:sz="4" w:space="0"/>
              <w:bottom w:val="single" w:color="auto" w:sz="4" w:space="0"/>
              <w:right w:val="single" w:color="auto" w:sz="4" w:space="0"/>
            </w:tcBorders>
            <w:noWrap w:val="0"/>
            <w:vAlign w:val="center"/>
          </w:tcPr>
          <w:p w14:paraId="74D18F94">
            <w:pPr>
              <w:jc w:val="center"/>
              <w:rPr>
                <w:rFonts w:ascii="宋体" w:hAnsi="宋体" w:cs="宋体"/>
                <w:color w:val="auto"/>
                <w:kern w:val="0"/>
                <w:szCs w:val="21"/>
                <w:highlight w:val="none"/>
              </w:rPr>
            </w:pPr>
          </w:p>
        </w:tc>
        <w:tc>
          <w:tcPr>
            <w:tcW w:w="1281" w:type="dxa"/>
            <w:tcBorders>
              <w:top w:val="single" w:color="auto" w:sz="4" w:space="0"/>
              <w:left w:val="single" w:color="auto" w:sz="4" w:space="0"/>
              <w:bottom w:val="single" w:color="auto" w:sz="4" w:space="0"/>
              <w:right w:val="single" w:color="auto" w:sz="4" w:space="0"/>
            </w:tcBorders>
            <w:noWrap w:val="0"/>
            <w:vAlign w:val="center"/>
          </w:tcPr>
          <w:p w14:paraId="703897AA">
            <w:pPr>
              <w:jc w:val="center"/>
              <w:rPr>
                <w:rFonts w:ascii="宋体" w:hAnsi="宋体" w:cs="宋体"/>
                <w:color w:val="auto"/>
                <w:szCs w:val="21"/>
                <w:highlight w:val="none"/>
              </w:rPr>
            </w:pPr>
            <w:r>
              <w:rPr>
                <w:rFonts w:hint="eastAsia" w:ascii="宋体" w:hAnsi="宋体" w:cs="宋体"/>
                <w:color w:val="auto"/>
                <w:kern w:val="0"/>
                <w:szCs w:val="21"/>
                <w:highlight w:val="none"/>
              </w:rPr>
              <w:t>（小写）</w:t>
            </w:r>
          </w:p>
        </w:tc>
        <w:tc>
          <w:tcPr>
            <w:tcW w:w="4624" w:type="dxa"/>
            <w:tcBorders>
              <w:top w:val="single" w:color="auto" w:sz="4" w:space="0"/>
              <w:left w:val="single" w:color="auto" w:sz="4" w:space="0"/>
              <w:bottom w:val="single" w:color="auto" w:sz="4" w:space="0"/>
              <w:right w:val="single" w:color="auto" w:sz="4" w:space="0"/>
            </w:tcBorders>
            <w:noWrap w:val="0"/>
            <w:vAlign w:val="center"/>
          </w:tcPr>
          <w:p w14:paraId="7FF27BD0">
            <w:pPr>
              <w:jc w:val="center"/>
              <w:rPr>
                <w:rFonts w:ascii="宋体" w:hAnsi="宋体" w:cs="宋体"/>
                <w:color w:val="auto"/>
                <w:kern w:val="0"/>
                <w:szCs w:val="21"/>
                <w:highlight w:val="none"/>
              </w:rPr>
            </w:pPr>
          </w:p>
        </w:tc>
      </w:tr>
      <w:tr w14:paraId="1EC12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3195" w:type="dxa"/>
            <w:tcBorders>
              <w:top w:val="single" w:color="auto" w:sz="4" w:space="0"/>
              <w:left w:val="single" w:color="auto" w:sz="4" w:space="0"/>
              <w:bottom w:val="single" w:color="auto" w:sz="4" w:space="0"/>
              <w:right w:val="single" w:color="auto" w:sz="4" w:space="0"/>
            </w:tcBorders>
            <w:noWrap w:val="0"/>
            <w:vAlign w:val="center"/>
          </w:tcPr>
          <w:p w14:paraId="6B499E6B">
            <w:pPr>
              <w:pStyle w:val="6"/>
              <w:widowControl/>
              <w:jc w:val="center"/>
              <w:rPr>
                <w:rFonts w:hint="eastAsia" w:ascii="宋体" w:hAnsi="宋体" w:eastAsia="宋体" w:cs="宋体"/>
                <w:color w:val="auto"/>
                <w:szCs w:val="21"/>
                <w:highlight w:val="none"/>
                <w:lang w:eastAsia="zh-CN"/>
              </w:rPr>
            </w:pPr>
            <w:r>
              <w:rPr>
                <w:rFonts w:hint="eastAsia" w:ascii="宋体" w:hAnsi="宋体" w:cs="Arial"/>
                <w:color w:val="auto"/>
                <w:kern w:val="0"/>
                <w:szCs w:val="21"/>
                <w:highlight w:val="none"/>
                <w:lang w:eastAsia="zh-CN"/>
              </w:rPr>
              <w:t>供货安装期限</w:t>
            </w:r>
          </w:p>
        </w:tc>
        <w:tc>
          <w:tcPr>
            <w:tcW w:w="5905" w:type="dxa"/>
            <w:gridSpan w:val="2"/>
            <w:tcBorders>
              <w:top w:val="single" w:color="auto" w:sz="4" w:space="0"/>
              <w:left w:val="single" w:color="auto" w:sz="4" w:space="0"/>
              <w:bottom w:val="single" w:color="auto" w:sz="4" w:space="0"/>
              <w:right w:val="single" w:color="auto" w:sz="4" w:space="0"/>
            </w:tcBorders>
            <w:noWrap w:val="0"/>
            <w:vAlign w:val="center"/>
          </w:tcPr>
          <w:p w14:paraId="7D162BA8">
            <w:pPr>
              <w:jc w:val="left"/>
              <w:rPr>
                <w:rFonts w:ascii="宋体" w:hAnsi="宋体" w:cs="宋体"/>
                <w:color w:val="auto"/>
                <w:szCs w:val="21"/>
                <w:highlight w:val="none"/>
              </w:rPr>
            </w:pPr>
          </w:p>
        </w:tc>
      </w:tr>
      <w:tr w14:paraId="48024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3195" w:type="dxa"/>
            <w:tcBorders>
              <w:top w:val="single" w:color="auto" w:sz="4" w:space="0"/>
              <w:left w:val="single" w:color="auto" w:sz="4" w:space="0"/>
              <w:bottom w:val="single" w:color="auto" w:sz="4" w:space="0"/>
              <w:right w:val="single" w:color="auto" w:sz="4" w:space="0"/>
            </w:tcBorders>
            <w:noWrap w:val="0"/>
            <w:vAlign w:val="center"/>
          </w:tcPr>
          <w:p w14:paraId="6672E010">
            <w:pPr>
              <w:pStyle w:val="6"/>
              <w:widowControl/>
              <w:jc w:val="center"/>
              <w:rPr>
                <w:rFonts w:ascii="宋体" w:hAnsi="宋体" w:cs="宋体"/>
                <w:color w:val="auto"/>
                <w:szCs w:val="21"/>
                <w:highlight w:val="none"/>
              </w:rPr>
            </w:pPr>
            <w:r>
              <w:rPr>
                <w:rFonts w:hint="eastAsia" w:ascii="宋体" w:hAnsi="宋体" w:cs="宋体"/>
                <w:color w:val="auto"/>
                <w:szCs w:val="21"/>
                <w:highlight w:val="none"/>
              </w:rPr>
              <w:t>质量要求</w:t>
            </w:r>
          </w:p>
        </w:tc>
        <w:tc>
          <w:tcPr>
            <w:tcW w:w="5905" w:type="dxa"/>
            <w:gridSpan w:val="2"/>
            <w:tcBorders>
              <w:top w:val="single" w:color="auto" w:sz="4" w:space="0"/>
              <w:left w:val="single" w:color="auto" w:sz="4" w:space="0"/>
              <w:bottom w:val="single" w:color="auto" w:sz="4" w:space="0"/>
              <w:right w:val="single" w:color="auto" w:sz="4" w:space="0"/>
            </w:tcBorders>
            <w:noWrap w:val="0"/>
            <w:vAlign w:val="center"/>
          </w:tcPr>
          <w:p w14:paraId="7E748D60">
            <w:pPr>
              <w:jc w:val="left"/>
              <w:rPr>
                <w:rFonts w:ascii="宋体" w:hAnsi="宋体" w:cs="宋体"/>
                <w:color w:val="auto"/>
                <w:szCs w:val="21"/>
                <w:highlight w:val="none"/>
              </w:rPr>
            </w:pPr>
          </w:p>
        </w:tc>
      </w:tr>
      <w:tr w14:paraId="56A47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3195" w:type="dxa"/>
            <w:tcBorders>
              <w:top w:val="single" w:color="auto" w:sz="4" w:space="0"/>
              <w:left w:val="single" w:color="auto" w:sz="4" w:space="0"/>
              <w:bottom w:val="single" w:color="auto" w:sz="4" w:space="0"/>
              <w:right w:val="single" w:color="auto" w:sz="4" w:space="0"/>
            </w:tcBorders>
            <w:noWrap w:val="0"/>
            <w:vAlign w:val="center"/>
          </w:tcPr>
          <w:p w14:paraId="08490024">
            <w:pPr>
              <w:pStyle w:val="6"/>
              <w:widowControl/>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质保期</w:t>
            </w:r>
          </w:p>
        </w:tc>
        <w:tc>
          <w:tcPr>
            <w:tcW w:w="5905" w:type="dxa"/>
            <w:gridSpan w:val="2"/>
            <w:tcBorders>
              <w:top w:val="single" w:color="auto" w:sz="4" w:space="0"/>
              <w:left w:val="single" w:color="auto" w:sz="4" w:space="0"/>
              <w:bottom w:val="single" w:color="auto" w:sz="4" w:space="0"/>
              <w:right w:val="single" w:color="auto" w:sz="4" w:space="0"/>
            </w:tcBorders>
            <w:noWrap w:val="0"/>
            <w:vAlign w:val="center"/>
          </w:tcPr>
          <w:p w14:paraId="67FAB660">
            <w:pPr>
              <w:jc w:val="left"/>
              <w:rPr>
                <w:rFonts w:ascii="宋体" w:hAnsi="宋体" w:cs="宋体"/>
                <w:color w:val="auto"/>
                <w:szCs w:val="21"/>
                <w:highlight w:val="none"/>
              </w:rPr>
            </w:pPr>
          </w:p>
        </w:tc>
      </w:tr>
      <w:tr w14:paraId="76F0E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3195" w:type="dxa"/>
            <w:tcBorders>
              <w:top w:val="single" w:color="auto" w:sz="4" w:space="0"/>
              <w:left w:val="single" w:color="auto" w:sz="4" w:space="0"/>
              <w:bottom w:val="single" w:color="auto" w:sz="4" w:space="0"/>
              <w:right w:val="single" w:color="auto" w:sz="4" w:space="0"/>
            </w:tcBorders>
            <w:noWrap w:val="0"/>
            <w:vAlign w:val="center"/>
          </w:tcPr>
          <w:p w14:paraId="2B823326">
            <w:pPr>
              <w:pStyle w:val="6"/>
              <w:widowControl/>
              <w:jc w:val="center"/>
              <w:rPr>
                <w:rFonts w:ascii="宋体" w:hAnsi="宋体" w:cs="宋体"/>
                <w:color w:val="auto"/>
                <w:szCs w:val="21"/>
                <w:highlight w:val="none"/>
              </w:rPr>
            </w:pPr>
            <w:r>
              <w:rPr>
                <w:rFonts w:hint="eastAsia" w:ascii="宋体" w:hAnsi="宋体" w:cs="宋体"/>
                <w:color w:val="auto"/>
                <w:szCs w:val="21"/>
                <w:highlight w:val="none"/>
              </w:rPr>
              <w:t>投标有效期</w:t>
            </w:r>
          </w:p>
        </w:tc>
        <w:tc>
          <w:tcPr>
            <w:tcW w:w="5905" w:type="dxa"/>
            <w:gridSpan w:val="2"/>
            <w:tcBorders>
              <w:top w:val="single" w:color="auto" w:sz="4" w:space="0"/>
              <w:left w:val="single" w:color="auto" w:sz="4" w:space="0"/>
              <w:bottom w:val="single" w:color="auto" w:sz="4" w:space="0"/>
              <w:right w:val="single" w:color="auto" w:sz="4" w:space="0"/>
            </w:tcBorders>
            <w:noWrap w:val="0"/>
            <w:vAlign w:val="center"/>
          </w:tcPr>
          <w:p w14:paraId="4B336BA2">
            <w:pPr>
              <w:jc w:val="left"/>
              <w:rPr>
                <w:rFonts w:ascii="宋体" w:hAnsi="宋体" w:cs="宋体"/>
                <w:color w:val="auto"/>
                <w:szCs w:val="21"/>
                <w:highlight w:val="none"/>
              </w:rPr>
            </w:pPr>
          </w:p>
        </w:tc>
      </w:tr>
      <w:tr w14:paraId="005A2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3195" w:type="dxa"/>
            <w:tcBorders>
              <w:top w:val="single" w:color="auto" w:sz="4" w:space="0"/>
              <w:left w:val="single" w:color="auto" w:sz="4" w:space="0"/>
              <w:bottom w:val="single" w:color="auto" w:sz="4" w:space="0"/>
              <w:right w:val="single" w:color="auto" w:sz="4" w:space="0"/>
            </w:tcBorders>
            <w:noWrap w:val="0"/>
            <w:vAlign w:val="center"/>
          </w:tcPr>
          <w:p w14:paraId="446ECCB8">
            <w:pPr>
              <w:pStyle w:val="6"/>
              <w:widowControl/>
              <w:jc w:val="center"/>
              <w:rPr>
                <w:rFonts w:ascii="宋体" w:hAnsi="宋体" w:cs="宋体"/>
                <w:color w:val="auto"/>
                <w:szCs w:val="21"/>
                <w:highlight w:val="none"/>
              </w:rPr>
            </w:pPr>
            <w:r>
              <w:rPr>
                <w:rFonts w:hint="eastAsia" w:ascii="宋体" w:hAnsi="宋体" w:cs="宋体"/>
                <w:color w:val="auto"/>
                <w:szCs w:val="21"/>
                <w:highlight w:val="none"/>
              </w:rPr>
              <w:t>其它补充说明</w:t>
            </w:r>
          </w:p>
        </w:tc>
        <w:tc>
          <w:tcPr>
            <w:tcW w:w="5905" w:type="dxa"/>
            <w:gridSpan w:val="2"/>
            <w:tcBorders>
              <w:top w:val="single" w:color="auto" w:sz="4" w:space="0"/>
              <w:left w:val="single" w:color="auto" w:sz="4" w:space="0"/>
              <w:bottom w:val="single" w:color="auto" w:sz="4" w:space="0"/>
              <w:right w:val="single" w:color="auto" w:sz="4" w:space="0"/>
            </w:tcBorders>
            <w:noWrap w:val="0"/>
            <w:vAlign w:val="center"/>
          </w:tcPr>
          <w:p w14:paraId="539D6FD8">
            <w:pPr>
              <w:jc w:val="left"/>
              <w:rPr>
                <w:rFonts w:ascii="宋体" w:hAnsi="宋体" w:cs="宋体"/>
                <w:color w:val="auto"/>
                <w:szCs w:val="21"/>
                <w:highlight w:val="none"/>
              </w:rPr>
            </w:pPr>
          </w:p>
        </w:tc>
      </w:tr>
    </w:tbl>
    <w:p w14:paraId="2878A66D">
      <w:pPr>
        <w:tabs>
          <w:tab w:val="left" w:pos="3584"/>
        </w:tabs>
        <w:ind w:left="2" w:leftChars="1" w:firstLine="420" w:firstLineChars="200"/>
        <w:jc w:val="left"/>
        <w:rPr>
          <w:rFonts w:ascii="宋体" w:hAnsi="宋体" w:cs="宋体"/>
          <w:color w:val="auto"/>
          <w:highlight w:val="none"/>
        </w:rPr>
      </w:pPr>
    </w:p>
    <w:p w14:paraId="01801C36">
      <w:pPr>
        <w:pStyle w:val="8"/>
        <w:widowControl/>
        <w:rPr>
          <w:rFonts w:ascii="宋体" w:hAnsi="宋体" w:cs="宋体"/>
          <w:color w:val="auto"/>
          <w:highlight w:val="none"/>
        </w:rPr>
      </w:pPr>
    </w:p>
    <w:p w14:paraId="2D0B6E00">
      <w:pPr>
        <w:pStyle w:val="8"/>
        <w:widowControl/>
        <w:rPr>
          <w:rFonts w:ascii="宋体" w:hAnsi="宋体" w:cs="宋体"/>
          <w:color w:val="auto"/>
          <w:highlight w:val="none"/>
        </w:rPr>
      </w:pPr>
    </w:p>
    <w:p w14:paraId="7B6B4FD2">
      <w:pPr>
        <w:tabs>
          <w:tab w:val="left" w:pos="1155"/>
        </w:tabs>
        <w:spacing w:line="360" w:lineRule="auto"/>
        <w:ind w:right="440" w:firstLine="2738" w:firstLineChars="1304"/>
        <w:jc w:val="right"/>
        <w:rPr>
          <w:rFonts w:ascii="宋体"/>
          <w:color w:val="auto"/>
          <w:szCs w:val="21"/>
          <w:highlight w:val="none"/>
        </w:rPr>
      </w:pPr>
      <w:r>
        <w:rPr>
          <w:rFonts w:hint="eastAsia" w:ascii="宋体" w:hAnsi="宋体"/>
          <w:color w:val="auto"/>
          <w:szCs w:val="21"/>
          <w:highlight w:val="none"/>
        </w:rPr>
        <w:t>投标人名称：</w:t>
      </w:r>
      <w:r>
        <w:rPr>
          <w:rFonts w:hint="eastAsia" w:ascii="宋体" w:hAnsi="宋体"/>
          <w:color w:val="auto"/>
          <w:szCs w:val="21"/>
          <w:highlight w:val="none"/>
          <w:u w:val="single"/>
        </w:rPr>
        <w:t xml:space="preserve">               </w:t>
      </w:r>
      <w:r>
        <w:rPr>
          <w:rFonts w:hint="eastAsia" w:ascii="宋体" w:hAnsi="宋体"/>
          <w:color w:val="auto"/>
          <w:szCs w:val="21"/>
          <w:highlight w:val="none"/>
        </w:rPr>
        <w:t>（</w:t>
      </w:r>
      <w:r>
        <w:rPr>
          <w:rFonts w:hint="eastAsia" w:ascii="宋体" w:hAnsi="宋体" w:cs="宋体"/>
          <w:color w:val="auto"/>
          <w:szCs w:val="21"/>
          <w:highlight w:val="none"/>
        </w:rPr>
        <w:t>盖电子章</w:t>
      </w:r>
      <w:r>
        <w:rPr>
          <w:rFonts w:hint="eastAsia" w:ascii="宋体" w:hAnsi="宋体"/>
          <w:color w:val="auto"/>
          <w:szCs w:val="21"/>
          <w:highlight w:val="none"/>
        </w:rPr>
        <w:t>）</w:t>
      </w:r>
    </w:p>
    <w:p w14:paraId="10067ED1">
      <w:pPr>
        <w:spacing w:line="360" w:lineRule="auto"/>
        <w:ind w:firstLine="2738" w:firstLineChars="1304"/>
        <w:jc w:val="right"/>
        <w:rPr>
          <w:rFonts w:ascii="宋体"/>
          <w:color w:val="auto"/>
          <w:szCs w:val="21"/>
          <w:highlight w:val="none"/>
        </w:rPr>
      </w:pPr>
      <w:r>
        <w:rPr>
          <w:rFonts w:hint="eastAsia" w:ascii="宋体" w:hAnsi="宋体"/>
          <w:color w:val="auto"/>
          <w:szCs w:val="21"/>
          <w:highlight w:val="none"/>
        </w:rPr>
        <w:t>法定代表人或授权委托人：</w:t>
      </w:r>
      <w:r>
        <w:rPr>
          <w:rFonts w:hint="eastAsia" w:ascii="宋体" w:hAnsi="宋体"/>
          <w:color w:val="auto"/>
          <w:szCs w:val="21"/>
          <w:highlight w:val="none"/>
          <w:u w:val="single"/>
        </w:rPr>
        <w:t xml:space="preserve">     </w:t>
      </w:r>
      <w:r>
        <w:rPr>
          <w:rFonts w:hint="eastAsia" w:ascii="宋体" w:hAnsi="宋体"/>
          <w:color w:val="auto"/>
          <w:szCs w:val="21"/>
          <w:highlight w:val="none"/>
        </w:rPr>
        <w:t>（</w:t>
      </w:r>
      <w:r>
        <w:rPr>
          <w:rFonts w:hint="eastAsia" w:ascii="宋体" w:hAnsi="宋体" w:cs="宋体"/>
          <w:color w:val="auto"/>
          <w:szCs w:val="21"/>
          <w:highlight w:val="none"/>
        </w:rPr>
        <w:t>签字或盖电子章</w:t>
      </w:r>
      <w:r>
        <w:rPr>
          <w:rFonts w:hint="eastAsia" w:ascii="宋体" w:hAnsi="宋体"/>
          <w:color w:val="auto"/>
          <w:szCs w:val="21"/>
          <w:highlight w:val="none"/>
        </w:rPr>
        <w:t>）</w:t>
      </w:r>
    </w:p>
    <w:p w14:paraId="0C91EF6A">
      <w:pPr>
        <w:spacing w:line="360" w:lineRule="auto"/>
        <w:ind w:right="860" w:firstLine="2738" w:firstLineChars="1304"/>
        <w:jc w:val="right"/>
        <w:rPr>
          <w:rFonts w:ascii="宋体"/>
          <w:color w:val="auto"/>
          <w:szCs w:val="21"/>
          <w:highlight w:val="none"/>
        </w:rPr>
      </w:pPr>
      <w:r>
        <w:rPr>
          <w:rFonts w:hint="eastAsia" w:ascii="宋体" w:hAnsi="宋体"/>
          <w:color w:val="auto"/>
          <w:szCs w:val="21"/>
          <w:highlight w:val="none"/>
        </w:rPr>
        <w:t>年    月    日</w:t>
      </w:r>
    </w:p>
    <w:p w14:paraId="26F5AAB3">
      <w:pPr>
        <w:pStyle w:val="34"/>
        <w:rPr>
          <w:color w:val="auto"/>
          <w:highlight w:val="none"/>
        </w:rPr>
      </w:pPr>
    </w:p>
    <w:p w14:paraId="4A5744FB">
      <w:pPr>
        <w:pStyle w:val="34"/>
        <w:rPr>
          <w:color w:val="auto"/>
          <w:highlight w:val="none"/>
        </w:rPr>
      </w:pPr>
    </w:p>
    <w:p w14:paraId="58086F65">
      <w:pPr>
        <w:pStyle w:val="34"/>
        <w:rPr>
          <w:color w:val="auto"/>
          <w:highlight w:val="none"/>
        </w:rPr>
      </w:pPr>
    </w:p>
    <w:p w14:paraId="4F76FEF5">
      <w:pPr>
        <w:pStyle w:val="34"/>
        <w:rPr>
          <w:color w:val="auto"/>
          <w:highlight w:val="none"/>
        </w:rPr>
      </w:pPr>
    </w:p>
    <w:p w14:paraId="3F4CFBEE">
      <w:pPr>
        <w:pStyle w:val="34"/>
        <w:rPr>
          <w:color w:val="auto"/>
          <w:highlight w:val="none"/>
        </w:rPr>
      </w:pPr>
    </w:p>
    <w:p w14:paraId="2D247E9D">
      <w:pPr>
        <w:pStyle w:val="34"/>
        <w:rPr>
          <w:color w:val="auto"/>
          <w:highlight w:val="none"/>
        </w:rPr>
      </w:pPr>
    </w:p>
    <w:p w14:paraId="62CD770B">
      <w:pPr>
        <w:pStyle w:val="34"/>
        <w:rPr>
          <w:color w:val="auto"/>
          <w:highlight w:val="none"/>
        </w:rPr>
      </w:pPr>
    </w:p>
    <w:p w14:paraId="7B407D9D">
      <w:pPr>
        <w:pStyle w:val="34"/>
        <w:rPr>
          <w:color w:val="auto"/>
          <w:highlight w:val="none"/>
        </w:rPr>
      </w:pPr>
    </w:p>
    <w:p w14:paraId="6335D92C">
      <w:pPr>
        <w:pStyle w:val="34"/>
        <w:rPr>
          <w:color w:val="auto"/>
          <w:highlight w:val="none"/>
        </w:rPr>
      </w:pPr>
    </w:p>
    <w:p w14:paraId="3A05170F">
      <w:pPr>
        <w:pStyle w:val="34"/>
        <w:rPr>
          <w:color w:val="auto"/>
          <w:highlight w:val="none"/>
        </w:rPr>
      </w:pPr>
    </w:p>
    <w:p w14:paraId="663DEEF0">
      <w:pPr>
        <w:jc w:val="center"/>
        <w:rPr>
          <w:rFonts w:ascii="宋体"/>
          <w:b/>
          <w:bCs/>
          <w:color w:val="auto"/>
          <w:szCs w:val="21"/>
          <w:highlight w:val="none"/>
        </w:rPr>
      </w:pPr>
      <w:r>
        <w:rPr>
          <w:rFonts w:hint="eastAsia"/>
          <w:b/>
          <w:color w:val="auto"/>
          <w:sz w:val="28"/>
          <w:szCs w:val="28"/>
          <w:highlight w:val="none"/>
        </w:rPr>
        <w:br w:type="page"/>
      </w:r>
      <w:r>
        <w:rPr>
          <w:rFonts w:hint="eastAsia"/>
          <w:b/>
          <w:color w:val="auto"/>
          <w:sz w:val="28"/>
          <w:szCs w:val="28"/>
          <w:highlight w:val="none"/>
        </w:rPr>
        <w:t>附：</w:t>
      </w:r>
      <w:r>
        <w:rPr>
          <w:rFonts w:hint="eastAsia" w:ascii="宋体" w:hAnsi="宋体"/>
          <w:b/>
          <w:bCs/>
          <w:color w:val="auto"/>
          <w:sz w:val="28"/>
          <w:szCs w:val="28"/>
          <w:highlight w:val="none"/>
        </w:rPr>
        <w:t>投标分项报价表</w:t>
      </w:r>
    </w:p>
    <w:p w14:paraId="734D9951">
      <w:pPr>
        <w:tabs>
          <w:tab w:val="center" w:pos="4499"/>
        </w:tabs>
        <w:spacing w:line="360" w:lineRule="auto"/>
        <w:rPr>
          <w:rFonts w:ascii="宋体"/>
          <w:bCs/>
          <w:color w:val="auto"/>
          <w:szCs w:val="21"/>
          <w:highlight w:val="none"/>
        </w:rPr>
      </w:pPr>
      <w:r>
        <w:rPr>
          <w:rFonts w:hint="eastAsia" w:ascii="宋体"/>
          <w:bCs/>
          <w:color w:val="auto"/>
          <w:szCs w:val="21"/>
          <w:highlight w:val="none"/>
        </w:rPr>
        <w:t xml:space="preserve">                                                                </w:t>
      </w:r>
    </w:p>
    <w:p w14:paraId="717AA8B8">
      <w:pPr>
        <w:tabs>
          <w:tab w:val="center" w:pos="4499"/>
        </w:tabs>
        <w:spacing w:line="360" w:lineRule="auto"/>
        <w:rPr>
          <w:rFonts w:ascii="宋体"/>
          <w:bCs/>
          <w:color w:val="auto"/>
          <w:szCs w:val="21"/>
          <w:highlight w:val="none"/>
        </w:rPr>
      </w:pPr>
      <w:r>
        <w:rPr>
          <w:rFonts w:hint="eastAsia" w:ascii="宋体"/>
          <w:bCs/>
          <w:color w:val="auto"/>
          <w:szCs w:val="21"/>
          <w:highlight w:val="none"/>
        </w:rPr>
        <w:t xml:space="preserve">                                                                  货币单位：人民币元</w:t>
      </w:r>
    </w:p>
    <w:tbl>
      <w:tblPr>
        <w:tblStyle w:val="27"/>
        <w:tblW w:w="914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58"/>
        <w:gridCol w:w="2580"/>
        <w:gridCol w:w="1176"/>
        <w:gridCol w:w="1020"/>
        <w:gridCol w:w="1020"/>
        <w:gridCol w:w="2292"/>
      </w:tblGrid>
      <w:tr w14:paraId="6C1B7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2" w:hRule="atLeast"/>
        </w:trPr>
        <w:tc>
          <w:tcPr>
            <w:tcW w:w="1058" w:type="dxa"/>
            <w:noWrap w:val="0"/>
            <w:vAlign w:val="center"/>
          </w:tcPr>
          <w:p w14:paraId="04448E2A">
            <w:pPr>
              <w:spacing w:line="360" w:lineRule="auto"/>
              <w:jc w:val="center"/>
              <w:rPr>
                <w:rFonts w:ascii="宋体" w:hAnsi="宋体"/>
                <w:b/>
                <w:color w:val="auto"/>
                <w:szCs w:val="21"/>
                <w:highlight w:val="none"/>
              </w:rPr>
            </w:pPr>
            <w:r>
              <w:rPr>
                <w:rFonts w:hint="eastAsia" w:ascii="宋体" w:hAnsi="宋体"/>
                <w:b/>
                <w:color w:val="auto"/>
                <w:szCs w:val="21"/>
                <w:highlight w:val="none"/>
              </w:rPr>
              <w:t>序号</w:t>
            </w:r>
          </w:p>
        </w:tc>
        <w:tc>
          <w:tcPr>
            <w:tcW w:w="2580" w:type="dxa"/>
            <w:noWrap w:val="0"/>
            <w:vAlign w:val="center"/>
          </w:tcPr>
          <w:p w14:paraId="6B645647">
            <w:pPr>
              <w:spacing w:line="360" w:lineRule="auto"/>
              <w:jc w:val="center"/>
              <w:rPr>
                <w:rFonts w:ascii="宋体" w:hAnsi="宋体"/>
                <w:b/>
                <w:color w:val="auto"/>
                <w:szCs w:val="21"/>
                <w:highlight w:val="none"/>
              </w:rPr>
            </w:pPr>
            <w:r>
              <w:rPr>
                <w:rFonts w:hint="eastAsia" w:ascii="宋体" w:hAnsi="宋体"/>
                <w:b/>
                <w:color w:val="auto"/>
                <w:szCs w:val="21"/>
                <w:highlight w:val="none"/>
              </w:rPr>
              <w:t>名称</w:t>
            </w:r>
          </w:p>
        </w:tc>
        <w:tc>
          <w:tcPr>
            <w:tcW w:w="1176" w:type="dxa"/>
            <w:noWrap w:val="0"/>
            <w:vAlign w:val="center"/>
          </w:tcPr>
          <w:p w14:paraId="45A768B4">
            <w:pPr>
              <w:spacing w:line="360" w:lineRule="auto"/>
              <w:jc w:val="center"/>
              <w:rPr>
                <w:rFonts w:ascii="宋体" w:hAnsi="宋体"/>
                <w:b/>
                <w:color w:val="auto"/>
                <w:szCs w:val="21"/>
                <w:highlight w:val="none"/>
              </w:rPr>
            </w:pPr>
            <w:r>
              <w:rPr>
                <w:rFonts w:hint="eastAsia" w:ascii="宋体" w:hAnsi="宋体"/>
                <w:b/>
                <w:color w:val="auto"/>
                <w:szCs w:val="21"/>
                <w:highlight w:val="none"/>
              </w:rPr>
              <w:t>数量</w:t>
            </w:r>
          </w:p>
        </w:tc>
        <w:tc>
          <w:tcPr>
            <w:tcW w:w="1020" w:type="dxa"/>
            <w:noWrap w:val="0"/>
            <w:vAlign w:val="center"/>
          </w:tcPr>
          <w:p w14:paraId="5BEED46F">
            <w:pPr>
              <w:spacing w:line="360" w:lineRule="auto"/>
              <w:jc w:val="center"/>
              <w:rPr>
                <w:rFonts w:ascii="宋体" w:hAnsi="宋体"/>
                <w:b/>
                <w:color w:val="auto"/>
                <w:szCs w:val="21"/>
                <w:highlight w:val="none"/>
              </w:rPr>
            </w:pPr>
            <w:r>
              <w:rPr>
                <w:rFonts w:hint="eastAsia" w:ascii="宋体" w:hAnsi="宋体"/>
                <w:b/>
                <w:color w:val="auto"/>
                <w:szCs w:val="21"/>
                <w:highlight w:val="none"/>
              </w:rPr>
              <w:t>单价</w:t>
            </w:r>
          </w:p>
        </w:tc>
        <w:tc>
          <w:tcPr>
            <w:tcW w:w="1020" w:type="dxa"/>
            <w:noWrap w:val="0"/>
            <w:vAlign w:val="center"/>
          </w:tcPr>
          <w:p w14:paraId="25103B4B">
            <w:pPr>
              <w:spacing w:line="360" w:lineRule="auto"/>
              <w:jc w:val="center"/>
              <w:rPr>
                <w:rFonts w:ascii="宋体" w:hAnsi="宋体"/>
                <w:b/>
                <w:color w:val="auto"/>
                <w:szCs w:val="21"/>
                <w:highlight w:val="none"/>
              </w:rPr>
            </w:pPr>
            <w:r>
              <w:rPr>
                <w:rFonts w:hint="eastAsia" w:ascii="宋体" w:hAnsi="宋体"/>
                <w:b/>
                <w:color w:val="auto"/>
                <w:szCs w:val="21"/>
                <w:highlight w:val="none"/>
              </w:rPr>
              <w:t>合计</w:t>
            </w:r>
          </w:p>
        </w:tc>
        <w:tc>
          <w:tcPr>
            <w:tcW w:w="2292" w:type="dxa"/>
            <w:noWrap w:val="0"/>
            <w:vAlign w:val="center"/>
          </w:tcPr>
          <w:p w14:paraId="45D7A3F3">
            <w:pPr>
              <w:spacing w:line="360" w:lineRule="auto"/>
              <w:jc w:val="center"/>
              <w:rPr>
                <w:rFonts w:ascii="宋体" w:hAnsi="宋体"/>
                <w:b/>
                <w:color w:val="auto"/>
                <w:szCs w:val="21"/>
                <w:highlight w:val="none"/>
              </w:rPr>
            </w:pPr>
            <w:r>
              <w:rPr>
                <w:rFonts w:hint="eastAsia" w:ascii="宋体" w:hAnsi="宋体"/>
                <w:b/>
                <w:color w:val="auto"/>
                <w:szCs w:val="21"/>
                <w:highlight w:val="none"/>
              </w:rPr>
              <w:t>备注</w:t>
            </w:r>
          </w:p>
        </w:tc>
      </w:tr>
      <w:tr w14:paraId="4A2464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2" w:hRule="atLeast"/>
        </w:trPr>
        <w:tc>
          <w:tcPr>
            <w:tcW w:w="1058" w:type="dxa"/>
            <w:noWrap w:val="0"/>
            <w:vAlign w:val="center"/>
          </w:tcPr>
          <w:p w14:paraId="5879A5DE">
            <w:pPr>
              <w:spacing w:line="360" w:lineRule="auto"/>
              <w:jc w:val="center"/>
              <w:rPr>
                <w:rFonts w:ascii="宋体" w:hAnsi="宋体"/>
                <w:bCs/>
                <w:color w:val="auto"/>
                <w:szCs w:val="21"/>
                <w:highlight w:val="none"/>
              </w:rPr>
            </w:pPr>
            <w:r>
              <w:rPr>
                <w:rFonts w:hint="eastAsia" w:ascii="宋体" w:hAnsi="宋体"/>
                <w:bCs/>
                <w:color w:val="auto"/>
                <w:szCs w:val="21"/>
                <w:highlight w:val="none"/>
              </w:rPr>
              <w:t>1</w:t>
            </w:r>
          </w:p>
        </w:tc>
        <w:tc>
          <w:tcPr>
            <w:tcW w:w="2580" w:type="dxa"/>
            <w:noWrap w:val="0"/>
            <w:vAlign w:val="center"/>
          </w:tcPr>
          <w:p w14:paraId="03F150A6">
            <w:pPr>
              <w:spacing w:line="360" w:lineRule="auto"/>
              <w:jc w:val="center"/>
              <w:rPr>
                <w:rFonts w:ascii="宋体" w:hAnsi="宋体"/>
                <w:bCs/>
                <w:color w:val="auto"/>
                <w:szCs w:val="21"/>
                <w:highlight w:val="none"/>
              </w:rPr>
            </w:pPr>
          </w:p>
        </w:tc>
        <w:tc>
          <w:tcPr>
            <w:tcW w:w="1176" w:type="dxa"/>
            <w:noWrap w:val="0"/>
            <w:vAlign w:val="center"/>
          </w:tcPr>
          <w:p w14:paraId="48951BAD">
            <w:pPr>
              <w:spacing w:line="360" w:lineRule="auto"/>
              <w:jc w:val="center"/>
              <w:rPr>
                <w:rFonts w:ascii="宋体" w:hAnsi="宋体"/>
                <w:bCs/>
                <w:color w:val="auto"/>
                <w:szCs w:val="21"/>
                <w:highlight w:val="none"/>
              </w:rPr>
            </w:pPr>
          </w:p>
        </w:tc>
        <w:tc>
          <w:tcPr>
            <w:tcW w:w="1020" w:type="dxa"/>
            <w:noWrap w:val="0"/>
            <w:vAlign w:val="center"/>
          </w:tcPr>
          <w:p w14:paraId="6BC24386">
            <w:pPr>
              <w:spacing w:line="360" w:lineRule="auto"/>
              <w:jc w:val="center"/>
              <w:rPr>
                <w:rFonts w:ascii="宋体" w:hAnsi="宋体"/>
                <w:bCs/>
                <w:color w:val="auto"/>
                <w:szCs w:val="21"/>
                <w:highlight w:val="none"/>
              </w:rPr>
            </w:pPr>
          </w:p>
        </w:tc>
        <w:tc>
          <w:tcPr>
            <w:tcW w:w="1020" w:type="dxa"/>
            <w:noWrap w:val="0"/>
            <w:vAlign w:val="center"/>
          </w:tcPr>
          <w:p w14:paraId="4276B49E">
            <w:pPr>
              <w:spacing w:line="360" w:lineRule="auto"/>
              <w:jc w:val="center"/>
              <w:rPr>
                <w:rFonts w:ascii="宋体" w:hAnsi="宋体"/>
                <w:bCs/>
                <w:color w:val="auto"/>
                <w:szCs w:val="21"/>
                <w:highlight w:val="none"/>
              </w:rPr>
            </w:pPr>
          </w:p>
        </w:tc>
        <w:tc>
          <w:tcPr>
            <w:tcW w:w="2292" w:type="dxa"/>
            <w:noWrap w:val="0"/>
            <w:vAlign w:val="center"/>
          </w:tcPr>
          <w:p w14:paraId="58FC6EFF">
            <w:pPr>
              <w:spacing w:line="360" w:lineRule="auto"/>
              <w:jc w:val="center"/>
              <w:rPr>
                <w:rFonts w:ascii="宋体" w:hAnsi="宋体"/>
                <w:bCs/>
                <w:color w:val="auto"/>
                <w:szCs w:val="21"/>
                <w:highlight w:val="none"/>
              </w:rPr>
            </w:pPr>
          </w:p>
        </w:tc>
      </w:tr>
      <w:tr w14:paraId="4E9B3A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2" w:hRule="atLeast"/>
        </w:trPr>
        <w:tc>
          <w:tcPr>
            <w:tcW w:w="1058" w:type="dxa"/>
            <w:noWrap w:val="0"/>
            <w:vAlign w:val="center"/>
          </w:tcPr>
          <w:p w14:paraId="0E32D7A1">
            <w:pPr>
              <w:spacing w:line="360" w:lineRule="auto"/>
              <w:jc w:val="center"/>
              <w:rPr>
                <w:rFonts w:ascii="宋体" w:hAnsi="宋体"/>
                <w:bCs/>
                <w:color w:val="auto"/>
                <w:szCs w:val="21"/>
                <w:highlight w:val="none"/>
              </w:rPr>
            </w:pPr>
            <w:r>
              <w:rPr>
                <w:rFonts w:hint="eastAsia" w:ascii="宋体" w:hAnsi="宋体"/>
                <w:bCs/>
                <w:color w:val="auto"/>
                <w:szCs w:val="21"/>
                <w:highlight w:val="none"/>
              </w:rPr>
              <w:t>2</w:t>
            </w:r>
          </w:p>
        </w:tc>
        <w:tc>
          <w:tcPr>
            <w:tcW w:w="2580" w:type="dxa"/>
            <w:noWrap w:val="0"/>
            <w:vAlign w:val="center"/>
          </w:tcPr>
          <w:p w14:paraId="6E5054BC">
            <w:pPr>
              <w:spacing w:line="360" w:lineRule="auto"/>
              <w:jc w:val="center"/>
              <w:rPr>
                <w:rFonts w:ascii="宋体" w:hAnsi="宋体"/>
                <w:bCs/>
                <w:color w:val="auto"/>
                <w:szCs w:val="21"/>
                <w:highlight w:val="none"/>
              </w:rPr>
            </w:pPr>
          </w:p>
        </w:tc>
        <w:tc>
          <w:tcPr>
            <w:tcW w:w="1176" w:type="dxa"/>
            <w:noWrap w:val="0"/>
            <w:vAlign w:val="center"/>
          </w:tcPr>
          <w:p w14:paraId="00D418D5">
            <w:pPr>
              <w:spacing w:line="360" w:lineRule="auto"/>
              <w:jc w:val="center"/>
              <w:rPr>
                <w:rFonts w:ascii="宋体" w:hAnsi="宋体"/>
                <w:bCs/>
                <w:color w:val="auto"/>
                <w:szCs w:val="21"/>
                <w:highlight w:val="none"/>
              </w:rPr>
            </w:pPr>
          </w:p>
        </w:tc>
        <w:tc>
          <w:tcPr>
            <w:tcW w:w="1020" w:type="dxa"/>
            <w:noWrap w:val="0"/>
            <w:vAlign w:val="center"/>
          </w:tcPr>
          <w:p w14:paraId="0DCA5809">
            <w:pPr>
              <w:spacing w:line="360" w:lineRule="auto"/>
              <w:jc w:val="center"/>
              <w:rPr>
                <w:rFonts w:ascii="宋体" w:hAnsi="宋体"/>
                <w:bCs/>
                <w:color w:val="auto"/>
                <w:szCs w:val="21"/>
                <w:highlight w:val="none"/>
              </w:rPr>
            </w:pPr>
          </w:p>
        </w:tc>
        <w:tc>
          <w:tcPr>
            <w:tcW w:w="1020" w:type="dxa"/>
            <w:noWrap w:val="0"/>
            <w:vAlign w:val="center"/>
          </w:tcPr>
          <w:p w14:paraId="1BDDBCA6">
            <w:pPr>
              <w:spacing w:line="360" w:lineRule="auto"/>
              <w:jc w:val="center"/>
              <w:rPr>
                <w:rFonts w:ascii="宋体" w:hAnsi="宋体"/>
                <w:bCs/>
                <w:color w:val="auto"/>
                <w:szCs w:val="21"/>
                <w:highlight w:val="none"/>
              </w:rPr>
            </w:pPr>
          </w:p>
        </w:tc>
        <w:tc>
          <w:tcPr>
            <w:tcW w:w="2292" w:type="dxa"/>
            <w:noWrap w:val="0"/>
            <w:vAlign w:val="center"/>
          </w:tcPr>
          <w:p w14:paraId="6C109382">
            <w:pPr>
              <w:spacing w:line="360" w:lineRule="auto"/>
              <w:jc w:val="center"/>
              <w:rPr>
                <w:rFonts w:ascii="宋体" w:hAnsi="宋体"/>
                <w:bCs/>
                <w:color w:val="auto"/>
                <w:szCs w:val="21"/>
                <w:highlight w:val="none"/>
              </w:rPr>
            </w:pPr>
          </w:p>
        </w:tc>
      </w:tr>
      <w:tr w14:paraId="342580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2" w:hRule="atLeast"/>
        </w:trPr>
        <w:tc>
          <w:tcPr>
            <w:tcW w:w="1058" w:type="dxa"/>
            <w:noWrap w:val="0"/>
            <w:vAlign w:val="center"/>
          </w:tcPr>
          <w:p w14:paraId="4F0A1E26">
            <w:pPr>
              <w:spacing w:line="360" w:lineRule="auto"/>
              <w:jc w:val="center"/>
              <w:rPr>
                <w:rFonts w:ascii="宋体" w:hAnsi="宋体"/>
                <w:bCs/>
                <w:color w:val="auto"/>
                <w:szCs w:val="21"/>
                <w:highlight w:val="none"/>
              </w:rPr>
            </w:pPr>
            <w:r>
              <w:rPr>
                <w:rFonts w:hint="eastAsia" w:ascii="宋体" w:hAnsi="宋体"/>
                <w:bCs/>
                <w:color w:val="auto"/>
                <w:szCs w:val="21"/>
                <w:highlight w:val="none"/>
              </w:rPr>
              <w:t>3</w:t>
            </w:r>
          </w:p>
        </w:tc>
        <w:tc>
          <w:tcPr>
            <w:tcW w:w="2580" w:type="dxa"/>
            <w:noWrap w:val="0"/>
            <w:vAlign w:val="center"/>
          </w:tcPr>
          <w:p w14:paraId="5E811928">
            <w:pPr>
              <w:spacing w:line="360" w:lineRule="auto"/>
              <w:jc w:val="center"/>
              <w:rPr>
                <w:rFonts w:ascii="宋体" w:hAnsi="宋体"/>
                <w:bCs/>
                <w:color w:val="auto"/>
                <w:szCs w:val="21"/>
                <w:highlight w:val="none"/>
              </w:rPr>
            </w:pPr>
          </w:p>
        </w:tc>
        <w:tc>
          <w:tcPr>
            <w:tcW w:w="1176" w:type="dxa"/>
            <w:noWrap w:val="0"/>
            <w:vAlign w:val="center"/>
          </w:tcPr>
          <w:p w14:paraId="169F9F31">
            <w:pPr>
              <w:spacing w:line="360" w:lineRule="auto"/>
              <w:jc w:val="center"/>
              <w:rPr>
                <w:rFonts w:ascii="宋体" w:hAnsi="宋体"/>
                <w:bCs/>
                <w:color w:val="auto"/>
                <w:szCs w:val="21"/>
                <w:highlight w:val="none"/>
              </w:rPr>
            </w:pPr>
          </w:p>
        </w:tc>
        <w:tc>
          <w:tcPr>
            <w:tcW w:w="1020" w:type="dxa"/>
            <w:noWrap w:val="0"/>
            <w:vAlign w:val="center"/>
          </w:tcPr>
          <w:p w14:paraId="273725AF">
            <w:pPr>
              <w:spacing w:line="360" w:lineRule="auto"/>
              <w:jc w:val="center"/>
              <w:rPr>
                <w:rFonts w:ascii="宋体" w:hAnsi="宋体"/>
                <w:bCs/>
                <w:color w:val="auto"/>
                <w:szCs w:val="21"/>
                <w:highlight w:val="none"/>
              </w:rPr>
            </w:pPr>
          </w:p>
        </w:tc>
        <w:tc>
          <w:tcPr>
            <w:tcW w:w="1020" w:type="dxa"/>
            <w:noWrap w:val="0"/>
            <w:vAlign w:val="center"/>
          </w:tcPr>
          <w:p w14:paraId="4CDAD407">
            <w:pPr>
              <w:spacing w:line="360" w:lineRule="auto"/>
              <w:jc w:val="center"/>
              <w:rPr>
                <w:rFonts w:ascii="宋体" w:hAnsi="宋体"/>
                <w:bCs/>
                <w:color w:val="auto"/>
                <w:szCs w:val="21"/>
                <w:highlight w:val="none"/>
              </w:rPr>
            </w:pPr>
          </w:p>
        </w:tc>
        <w:tc>
          <w:tcPr>
            <w:tcW w:w="2292" w:type="dxa"/>
            <w:noWrap w:val="0"/>
            <w:vAlign w:val="center"/>
          </w:tcPr>
          <w:p w14:paraId="6E45E226">
            <w:pPr>
              <w:spacing w:line="360" w:lineRule="auto"/>
              <w:jc w:val="center"/>
              <w:rPr>
                <w:rFonts w:ascii="宋体" w:hAnsi="宋体"/>
                <w:bCs/>
                <w:color w:val="auto"/>
                <w:szCs w:val="21"/>
                <w:highlight w:val="none"/>
              </w:rPr>
            </w:pPr>
          </w:p>
        </w:tc>
      </w:tr>
      <w:tr w14:paraId="08DC96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2" w:hRule="atLeast"/>
        </w:trPr>
        <w:tc>
          <w:tcPr>
            <w:tcW w:w="1058" w:type="dxa"/>
            <w:noWrap w:val="0"/>
            <w:vAlign w:val="center"/>
          </w:tcPr>
          <w:p w14:paraId="5C8F0D69">
            <w:pPr>
              <w:spacing w:line="360" w:lineRule="auto"/>
              <w:jc w:val="center"/>
              <w:rPr>
                <w:rFonts w:ascii="宋体" w:hAnsi="宋体"/>
                <w:bCs/>
                <w:color w:val="auto"/>
                <w:szCs w:val="21"/>
                <w:highlight w:val="none"/>
              </w:rPr>
            </w:pPr>
            <w:r>
              <w:rPr>
                <w:rFonts w:hint="eastAsia" w:ascii="宋体" w:hAnsi="宋体"/>
                <w:bCs/>
                <w:color w:val="auto"/>
                <w:szCs w:val="21"/>
                <w:highlight w:val="none"/>
              </w:rPr>
              <w:t>4</w:t>
            </w:r>
          </w:p>
        </w:tc>
        <w:tc>
          <w:tcPr>
            <w:tcW w:w="2580" w:type="dxa"/>
            <w:noWrap w:val="0"/>
            <w:vAlign w:val="center"/>
          </w:tcPr>
          <w:p w14:paraId="7C15DB0B">
            <w:pPr>
              <w:spacing w:line="360" w:lineRule="auto"/>
              <w:jc w:val="center"/>
              <w:rPr>
                <w:rFonts w:ascii="宋体" w:hAnsi="宋体"/>
                <w:bCs/>
                <w:color w:val="auto"/>
                <w:szCs w:val="21"/>
                <w:highlight w:val="none"/>
              </w:rPr>
            </w:pPr>
          </w:p>
        </w:tc>
        <w:tc>
          <w:tcPr>
            <w:tcW w:w="1176" w:type="dxa"/>
            <w:noWrap w:val="0"/>
            <w:vAlign w:val="center"/>
          </w:tcPr>
          <w:p w14:paraId="49552544">
            <w:pPr>
              <w:spacing w:line="360" w:lineRule="auto"/>
              <w:jc w:val="center"/>
              <w:rPr>
                <w:rFonts w:ascii="宋体" w:hAnsi="宋体"/>
                <w:bCs/>
                <w:color w:val="auto"/>
                <w:szCs w:val="21"/>
                <w:highlight w:val="none"/>
              </w:rPr>
            </w:pPr>
          </w:p>
        </w:tc>
        <w:tc>
          <w:tcPr>
            <w:tcW w:w="1020" w:type="dxa"/>
            <w:noWrap w:val="0"/>
            <w:vAlign w:val="center"/>
          </w:tcPr>
          <w:p w14:paraId="70C5D1CE">
            <w:pPr>
              <w:spacing w:line="360" w:lineRule="auto"/>
              <w:jc w:val="center"/>
              <w:rPr>
                <w:rFonts w:ascii="宋体" w:hAnsi="宋体"/>
                <w:bCs/>
                <w:color w:val="auto"/>
                <w:szCs w:val="21"/>
                <w:highlight w:val="none"/>
              </w:rPr>
            </w:pPr>
          </w:p>
        </w:tc>
        <w:tc>
          <w:tcPr>
            <w:tcW w:w="1020" w:type="dxa"/>
            <w:noWrap w:val="0"/>
            <w:vAlign w:val="center"/>
          </w:tcPr>
          <w:p w14:paraId="460F9522">
            <w:pPr>
              <w:spacing w:line="360" w:lineRule="auto"/>
              <w:jc w:val="center"/>
              <w:rPr>
                <w:rFonts w:ascii="宋体" w:hAnsi="宋体"/>
                <w:bCs/>
                <w:color w:val="auto"/>
                <w:szCs w:val="21"/>
                <w:highlight w:val="none"/>
              </w:rPr>
            </w:pPr>
          </w:p>
        </w:tc>
        <w:tc>
          <w:tcPr>
            <w:tcW w:w="2292" w:type="dxa"/>
            <w:noWrap w:val="0"/>
            <w:vAlign w:val="center"/>
          </w:tcPr>
          <w:p w14:paraId="3F52AAAF">
            <w:pPr>
              <w:spacing w:line="360" w:lineRule="auto"/>
              <w:jc w:val="center"/>
              <w:rPr>
                <w:rFonts w:ascii="宋体" w:hAnsi="宋体"/>
                <w:bCs/>
                <w:color w:val="auto"/>
                <w:szCs w:val="21"/>
                <w:highlight w:val="none"/>
              </w:rPr>
            </w:pPr>
          </w:p>
        </w:tc>
      </w:tr>
      <w:tr w14:paraId="0F2C82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2" w:hRule="atLeast"/>
        </w:trPr>
        <w:tc>
          <w:tcPr>
            <w:tcW w:w="1058" w:type="dxa"/>
            <w:noWrap w:val="0"/>
            <w:vAlign w:val="center"/>
          </w:tcPr>
          <w:p w14:paraId="73026BD0">
            <w:pPr>
              <w:spacing w:line="360" w:lineRule="auto"/>
              <w:jc w:val="center"/>
              <w:rPr>
                <w:rFonts w:ascii="宋体" w:hAnsi="宋体"/>
                <w:bCs/>
                <w:color w:val="auto"/>
                <w:szCs w:val="21"/>
                <w:highlight w:val="none"/>
              </w:rPr>
            </w:pPr>
            <w:r>
              <w:rPr>
                <w:rFonts w:hint="eastAsia" w:ascii="宋体" w:hAnsi="宋体"/>
                <w:bCs/>
                <w:color w:val="auto"/>
                <w:szCs w:val="21"/>
                <w:highlight w:val="none"/>
              </w:rPr>
              <w:t>…</w:t>
            </w:r>
          </w:p>
        </w:tc>
        <w:tc>
          <w:tcPr>
            <w:tcW w:w="2580" w:type="dxa"/>
            <w:noWrap w:val="0"/>
            <w:vAlign w:val="center"/>
          </w:tcPr>
          <w:p w14:paraId="7CF999F7">
            <w:pPr>
              <w:spacing w:line="360" w:lineRule="auto"/>
              <w:jc w:val="center"/>
              <w:rPr>
                <w:rFonts w:ascii="宋体" w:hAnsi="宋体"/>
                <w:bCs/>
                <w:color w:val="auto"/>
                <w:szCs w:val="21"/>
                <w:highlight w:val="none"/>
              </w:rPr>
            </w:pPr>
          </w:p>
        </w:tc>
        <w:tc>
          <w:tcPr>
            <w:tcW w:w="1176" w:type="dxa"/>
            <w:noWrap w:val="0"/>
            <w:vAlign w:val="center"/>
          </w:tcPr>
          <w:p w14:paraId="6FD6AA4D">
            <w:pPr>
              <w:spacing w:line="360" w:lineRule="auto"/>
              <w:jc w:val="center"/>
              <w:rPr>
                <w:rFonts w:ascii="宋体" w:hAnsi="宋体"/>
                <w:bCs/>
                <w:color w:val="auto"/>
                <w:szCs w:val="21"/>
                <w:highlight w:val="none"/>
              </w:rPr>
            </w:pPr>
          </w:p>
        </w:tc>
        <w:tc>
          <w:tcPr>
            <w:tcW w:w="1020" w:type="dxa"/>
            <w:noWrap w:val="0"/>
            <w:vAlign w:val="center"/>
          </w:tcPr>
          <w:p w14:paraId="13DA76E8">
            <w:pPr>
              <w:spacing w:line="360" w:lineRule="auto"/>
              <w:jc w:val="center"/>
              <w:rPr>
                <w:rFonts w:ascii="宋体" w:hAnsi="宋体"/>
                <w:bCs/>
                <w:color w:val="auto"/>
                <w:szCs w:val="21"/>
                <w:highlight w:val="none"/>
              </w:rPr>
            </w:pPr>
          </w:p>
        </w:tc>
        <w:tc>
          <w:tcPr>
            <w:tcW w:w="1020" w:type="dxa"/>
            <w:noWrap w:val="0"/>
            <w:vAlign w:val="center"/>
          </w:tcPr>
          <w:p w14:paraId="68C1D699">
            <w:pPr>
              <w:spacing w:line="360" w:lineRule="auto"/>
              <w:jc w:val="center"/>
              <w:rPr>
                <w:rFonts w:ascii="宋体" w:hAnsi="宋体"/>
                <w:bCs/>
                <w:color w:val="auto"/>
                <w:szCs w:val="21"/>
                <w:highlight w:val="none"/>
              </w:rPr>
            </w:pPr>
          </w:p>
        </w:tc>
        <w:tc>
          <w:tcPr>
            <w:tcW w:w="2292" w:type="dxa"/>
            <w:noWrap w:val="0"/>
            <w:vAlign w:val="center"/>
          </w:tcPr>
          <w:p w14:paraId="50578003">
            <w:pPr>
              <w:spacing w:line="360" w:lineRule="auto"/>
              <w:jc w:val="center"/>
              <w:rPr>
                <w:rFonts w:ascii="宋体" w:hAnsi="宋体"/>
                <w:bCs/>
                <w:color w:val="auto"/>
                <w:szCs w:val="21"/>
                <w:highlight w:val="none"/>
              </w:rPr>
            </w:pPr>
          </w:p>
        </w:tc>
      </w:tr>
      <w:tr w14:paraId="53A77E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2" w:hRule="atLeast"/>
        </w:trPr>
        <w:tc>
          <w:tcPr>
            <w:tcW w:w="1058" w:type="dxa"/>
            <w:noWrap w:val="0"/>
            <w:vAlign w:val="center"/>
          </w:tcPr>
          <w:p w14:paraId="0CDA15B4">
            <w:pPr>
              <w:spacing w:line="360" w:lineRule="auto"/>
              <w:jc w:val="center"/>
              <w:rPr>
                <w:rFonts w:ascii="宋体" w:hAnsi="宋体"/>
                <w:bCs/>
                <w:color w:val="auto"/>
                <w:szCs w:val="21"/>
                <w:highlight w:val="none"/>
              </w:rPr>
            </w:pPr>
          </w:p>
        </w:tc>
        <w:tc>
          <w:tcPr>
            <w:tcW w:w="2580" w:type="dxa"/>
            <w:noWrap w:val="0"/>
            <w:vAlign w:val="center"/>
          </w:tcPr>
          <w:p w14:paraId="00113B7E">
            <w:pPr>
              <w:spacing w:line="360" w:lineRule="auto"/>
              <w:jc w:val="center"/>
              <w:rPr>
                <w:rFonts w:ascii="宋体" w:hAnsi="宋体"/>
                <w:bCs/>
                <w:color w:val="auto"/>
                <w:szCs w:val="21"/>
                <w:highlight w:val="none"/>
              </w:rPr>
            </w:pPr>
          </w:p>
        </w:tc>
        <w:tc>
          <w:tcPr>
            <w:tcW w:w="1176" w:type="dxa"/>
            <w:noWrap w:val="0"/>
            <w:vAlign w:val="center"/>
          </w:tcPr>
          <w:p w14:paraId="5389C40B">
            <w:pPr>
              <w:spacing w:line="360" w:lineRule="auto"/>
              <w:jc w:val="center"/>
              <w:rPr>
                <w:rFonts w:ascii="宋体" w:hAnsi="宋体"/>
                <w:bCs/>
                <w:color w:val="auto"/>
                <w:szCs w:val="21"/>
                <w:highlight w:val="none"/>
              </w:rPr>
            </w:pPr>
          </w:p>
        </w:tc>
        <w:tc>
          <w:tcPr>
            <w:tcW w:w="1020" w:type="dxa"/>
            <w:noWrap w:val="0"/>
            <w:vAlign w:val="center"/>
          </w:tcPr>
          <w:p w14:paraId="47BBC6CD">
            <w:pPr>
              <w:spacing w:line="360" w:lineRule="auto"/>
              <w:jc w:val="center"/>
              <w:rPr>
                <w:rFonts w:ascii="宋体" w:hAnsi="宋体"/>
                <w:bCs/>
                <w:color w:val="auto"/>
                <w:szCs w:val="21"/>
                <w:highlight w:val="none"/>
              </w:rPr>
            </w:pPr>
          </w:p>
        </w:tc>
        <w:tc>
          <w:tcPr>
            <w:tcW w:w="1020" w:type="dxa"/>
            <w:noWrap w:val="0"/>
            <w:vAlign w:val="center"/>
          </w:tcPr>
          <w:p w14:paraId="27F7845D">
            <w:pPr>
              <w:spacing w:line="360" w:lineRule="auto"/>
              <w:jc w:val="center"/>
              <w:rPr>
                <w:rFonts w:ascii="宋体" w:hAnsi="宋体"/>
                <w:bCs/>
                <w:color w:val="auto"/>
                <w:szCs w:val="21"/>
                <w:highlight w:val="none"/>
              </w:rPr>
            </w:pPr>
          </w:p>
        </w:tc>
        <w:tc>
          <w:tcPr>
            <w:tcW w:w="2292" w:type="dxa"/>
            <w:noWrap w:val="0"/>
            <w:vAlign w:val="center"/>
          </w:tcPr>
          <w:p w14:paraId="4C3A1503">
            <w:pPr>
              <w:spacing w:line="360" w:lineRule="auto"/>
              <w:jc w:val="center"/>
              <w:rPr>
                <w:rFonts w:ascii="宋体" w:hAnsi="宋体"/>
                <w:bCs/>
                <w:color w:val="auto"/>
                <w:szCs w:val="21"/>
                <w:highlight w:val="none"/>
              </w:rPr>
            </w:pPr>
          </w:p>
        </w:tc>
      </w:tr>
      <w:tr w14:paraId="56F468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2" w:hRule="atLeast"/>
        </w:trPr>
        <w:tc>
          <w:tcPr>
            <w:tcW w:w="1058" w:type="dxa"/>
            <w:noWrap w:val="0"/>
            <w:vAlign w:val="center"/>
          </w:tcPr>
          <w:p w14:paraId="08C260F3">
            <w:pPr>
              <w:spacing w:line="360" w:lineRule="auto"/>
              <w:jc w:val="center"/>
              <w:rPr>
                <w:rFonts w:ascii="宋体" w:hAnsi="宋体"/>
                <w:bCs/>
                <w:color w:val="auto"/>
                <w:szCs w:val="21"/>
                <w:highlight w:val="none"/>
              </w:rPr>
            </w:pPr>
          </w:p>
        </w:tc>
        <w:tc>
          <w:tcPr>
            <w:tcW w:w="2580" w:type="dxa"/>
            <w:noWrap w:val="0"/>
            <w:vAlign w:val="center"/>
          </w:tcPr>
          <w:p w14:paraId="63C58E2C">
            <w:pPr>
              <w:spacing w:line="360" w:lineRule="auto"/>
              <w:jc w:val="center"/>
              <w:rPr>
                <w:rFonts w:ascii="宋体" w:hAnsi="宋体"/>
                <w:bCs/>
                <w:color w:val="auto"/>
                <w:szCs w:val="21"/>
                <w:highlight w:val="none"/>
              </w:rPr>
            </w:pPr>
          </w:p>
        </w:tc>
        <w:tc>
          <w:tcPr>
            <w:tcW w:w="1176" w:type="dxa"/>
            <w:noWrap w:val="0"/>
            <w:vAlign w:val="center"/>
          </w:tcPr>
          <w:p w14:paraId="04B700C8">
            <w:pPr>
              <w:spacing w:line="360" w:lineRule="auto"/>
              <w:jc w:val="center"/>
              <w:rPr>
                <w:rFonts w:ascii="宋体" w:hAnsi="宋体"/>
                <w:bCs/>
                <w:color w:val="auto"/>
                <w:szCs w:val="21"/>
                <w:highlight w:val="none"/>
              </w:rPr>
            </w:pPr>
          </w:p>
        </w:tc>
        <w:tc>
          <w:tcPr>
            <w:tcW w:w="1020" w:type="dxa"/>
            <w:noWrap w:val="0"/>
            <w:vAlign w:val="center"/>
          </w:tcPr>
          <w:p w14:paraId="0C9BD6AA">
            <w:pPr>
              <w:spacing w:line="360" w:lineRule="auto"/>
              <w:jc w:val="center"/>
              <w:rPr>
                <w:rFonts w:ascii="宋体" w:hAnsi="宋体"/>
                <w:bCs/>
                <w:color w:val="auto"/>
                <w:szCs w:val="21"/>
                <w:highlight w:val="none"/>
              </w:rPr>
            </w:pPr>
          </w:p>
        </w:tc>
        <w:tc>
          <w:tcPr>
            <w:tcW w:w="1020" w:type="dxa"/>
            <w:noWrap w:val="0"/>
            <w:vAlign w:val="center"/>
          </w:tcPr>
          <w:p w14:paraId="596143B0">
            <w:pPr>
              <w:spacing w:line="360" w:lineRule="auto"/>
              <w:jc w:val="center"/>
              <w:rPr>
                <w:rFonts w:ascii="宋体" w:hAnsi="宋体"/>
                <w:bCs/>
                <w:color w:val="auto"/>
                <w:szCs w:val="21"/>
                <w:highlight w:val="none"/>
              </w:rPr>
            </w:pPr>
          </w:p>
        </w:tc>
        <w:tc>
          <w:tcPr>
            <w:tcW w:w="2292" w:type="dxa"/>
            <w:noWrap w:val="0"/>
            <w:vAlign w:val="center"/>
          </w:tcPr>
          <w:p w14:paraId="19670BD3">
            <w:pPr>
              <w:spacing w:line="360" w:lineRule="auto"/>
              <w:jc w:val="center"/>
              <w:rPr>
                <w:rFonts w:ascii="宋体" w:hAnsi="宋体"/>
                <w:bCs/>
                <w:color w:val="auto"/>
                <w:szCs w:val="21"/>
                <w:highlight w:val="none"/>
              </w:rPr>
            </w:pPr>
          </w:p>
        </w:tc>
      </w:tr>
      <w:tr w14:paraId="58C070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8" w:hRule="atLeast"/>
        </w:trPr>
        <w:tc>
          <w:tcPr>
            <w:tcW w:w="1058" w:type="dxa"/>
            <w:noWrap w:val="0"/>
            <w:vAlign w:val="center"/>
          </w:tcPr>
          <w:p w14:paraId="553A3ACE">
            <w:pPr>
              <w:spacing w:line="360" w:lineRule="auto"/>
              <w:jc w:val="center"/>
              <w:rPr>
                <w:rFonts w:ascii="宋体" w:hAnsi="宋体"/>
                <w:bCs/>
                <w:color w:val="auto"/>
                <w:szCs w:val="21"/>
                <w:highlight w:val="none"/>
              </w:rPr>
            </w:pPr>
            <w:r>
              <w:rPr>
                <w:rFonts w:hint="eastAsia" w:ascii="宋体" w:hAnsi="宋体"/>
                <w:bCs/>
                <w:color w:val="auto"/>
                <w:szCs w:val="21"/>
                <w:highlight w:val="none"/>
              </w:rPr>
              <w:t>合计总价</w:t>
            </w:r>
          </w:p>
        </w:tc>
        <w:tc>
          <w:tcPr>
            <w:tcW w:w="8088" w:type="dxa"/>
            <w:gridSpan w:val="5"/>
            <w:noWrap w:val="0"/>
            <w:vAlign w:val="center"/>
          </w:tcPr>
          <w:p w14:paraId="0D9B03E7">
            <w:pPr>
              <w:spacing w:line="360" w:lineRule="auto"/>
              <w:jc w:val="center"/>
              <w:rPr>
                <w:rFonts w:ascii="宋体" w:hAnsi="宋体"/>
                <w:bCs/>
                <w:color w:val="auto"/>
                <w:szCs w:val="21"/>
                <w:highlight w:val="none"/>
              </w:rPr>
            </w:pPr>
          </w:p>
        </w:tc>
      </w:tr>
    </w:tbl>
    <w:p w14:paraId="069EE310">
      <w:pPr>
        <w:spacing w:line="360" w:lineRule="auto"/>
        <w:jc w:val="left"/>
        <w:rPr>
          <w:rFonts w:ascii="宋体" w:hAnsi="宋体"/>
          <w:bCs/>
          <w:color w:val="auto"/>
          <w:szCs w:val="21"/>
          <w:highlight w:val="none"/>
        </w:rPr>
      </w:pPr>
      <w:r>
        <w:rPr>
          <w:rFonts w:hint="eastAsia" w:ascii="宋体" w:hAnsi="宋体"/>
          <w:bCs/>
          <w:color w:val="auto"/>
          <w:szCs w:val="21"/>
          <w:highlight w:val="none"/>
        </w:rPr>
        <w:t>注：1.此表合计总价须和投标函附录投标报价金额一致。</w:t>
      </w:r>
    </w:p>
    <w:p w14:paraId="09541CFA">
      <w:pPr>
        <w:spacing w:line="360" w:lineRule="auto"/>
        <w:jc w:val="left"/>
        <w:rPr>
          <w:rFonts w:ascii="宋体" w:hAnsi="宋体"/>
          <w:bCs/>
          <w:color w:val="auto"/>
          <w:szCs w:val="21"/>
          <w:highlight w:val="none"/>
        </w:rPr>
      </w:pPr>
      <w:r>
        <w:rPr>
          <w:rFonts w:hint="eastAsia" w:ascii="宋体" w:hAnsi="宋体"/>
          <w:bCs/>
          <w:color w:val="auto"/>
          <w:szCs w:val="21"/>
          <w:highlight w:val="none"/>
        </w:rPr>
        <w:t xml:space="preserve">    2.此表可扩展，项目内容可根据实际内容填写。</w:t>
      </w:r>
    </w:p>
    <w:p w14:paraId="69484B78">
      <w:pPr>
        <w:tabs>
          <w:tab w:val="left" w:pos="1155"/>
        </w:tabs>
        <w:spacing w:line="360" w:lineRule="auto"/>
        <w:ind w:right="440" w:firstLine="2738" w:firstLineChars="1304"/>
        <w:jc w:val="right"/>
        <w:rPr>
          <w:rFonts w:ascii="宋体"/>
          <w:color w:val="auto"/>
          <w:szCs w:val="21"/>
          <w:highlight w:val="none"/>
        </w:rPr>
      </w:pPr>
      <w:r>
        <w:rPr>
          <w:rFonts w:hint="eastAsia" w:ascii="宋体" w:hAnsi="宋体"/>
          <w:color w:val="auto"/>
          <w:szCs w:val="21"/>
          <w:highlight w:val="none"/>
        </w:rPr>
        <w:t>投标人名称：</w:t>
      </w:r>
      <w:r>
        <w:rPr>
          <w:rFonts w:hint="eastAsia" w:ascii="宋体" w:hAnsi="宋体"/>
          <w:color w:val="auto"/>
          <w:szCs w:val="21"/>
          <w:highlight w:val="none"/>
          <w:u w:val="single"/>
        </w:rPr>
        <w:t xml:space="preserve">               </w:t>
      </w:r>
      <w:r>
        <w:rPr>
          <w:rFonts w:hint="eastAsia" w:ascii="宋体" w:hAnsi="宋体"/>
          <w:color w:val="auto"/>
          <w:szCs w:val="21"/>
          <w:highlight w:val="none"/>
        </w:rPr>
        <w:t>（</w:t>
      </w:r>
      <w:r>
        <w:rPr>
          <w:rFonts w:hint="eastAsia" w:ascii="宋体" w:hAnsi="宋体" w:cs="宋体"/>
          <w:color w:val="auto"/>
          <w:szCs w:val="21"/>
          <w:highlight w:val="none"/>
        </w:rPr>
        <w:t>盖电子章</w:t>
      </w:r>
      <w:r>
        <w:rPr>
          <w:rFonts w:hint="eastAsia" w:ascii="宋体" w:hAnsi="宋体"/>
          <w:color w:val="auto"/>
          <w:szCs w:val="21"/>
          <w:highlight w:val="none"/>
        </w:rPr>
        <w:t>）</w:t>
      </w:r>
    </w:p>
    <w:p w14:paraId="6B737059">
      <w:pPr>
        <w:spacing w:line="360" w:lineRule="auto"/>
        <w:ind w:firstLine="2738" w:firstLineChars="1304"/>
        <w:jc w:val="right"/>
        <w:rPr>
          <w:rFonts w:ascii="宋体"/>
          <w:color w:val="auto"/>
          <w:szCs w:val="21"/>
          <w:highlight w:val="none"/>
        </w:rPr>
      </w:pPr>
      <w:r>
        <w:rPr>
          <w:rFonts w:hint="eastAsia" w:ascii="宋体" w:hAnsi="宋体"/>
          <w:color w:val="auto"/>
          <w:szCs w:val="21"/>
          <w:highlight w:val="none"/>
        </w:rPr>
        <w:t>法定代表人或授权委托人：</w:t>
      </w:r>
      <w:r>
        <w:rPr>
          <w:rFonts w:hint="eastAsia" w:ascii="宋体" w:hAnsi="宋体"/>
          <w:color w:val="auto"/>
          <w:szCs w:val="21"/>
          <w:highlight w:val="none"/>
          <w:u w:val="single"/>
        </w:rPr>
        <w:t xml:space="preserve">     </w:t>
      </w:r>
      <w:r>
        <w:rPr>
          <w:rFonts w:hint="eastAsia" w:ascii="宋体" w:hAnsi="宋体"/>
          <w:color w:val="auto"/>
          <w:szCs w:val="21"/>
          <w:highlight w:val="none"/>
        </w:rPr>
        <w:t>（</w:t>
      </w:r>
      <w:r>
        <w:rPr>
          <w:rFonts w:hint="eastAsia" w:ascii="宋体" w:hAnsi="宋体" w:cs="宋体"/>
          <w:color w:val="auto"/>
          <w:szCs w:val="21"/>
          <w:highlight w:val="none"/>
        </w:rPr>
        <w:t>签字或盖电子章</w:t>
      </w:r>
      <w:r>
        <w:rPr>
          <w:rFonts w:hint="eastAsia" w:ascii="宋体" w:hAnsi="宋体"/>
          <w:color w:val="auto"/>
          <w:szCs w:val="21"/>
          <w:highlight w:val="none"/>
        </w:rPr>
        <w:t>）</w:t>
      </w:r>
    </w:p>
    <w:p w14:paraId="7878F01E">
      <w:pPr>
        <w:spacing w:line="360" w:lineRule="auto"/>
        <w:ind w:right="860" w:firstLine="2738" w:firstLineChars="1304"/>
        <w:jc w:val="right"/>
        <w:rPr>
          <w:rFonts w:ascii="宋体"/>
          <w:color w:val="auto"/>
          <w:szCs w:val="21"/>
          <w:highlight w:val="none"/>
        </w:rPr>
      </w:pPr>
      <w:r>
        <w:rPr>
          <w:rFonts w:hint="eastAsia" w:ascii="宋体" w:hAnsi="宋体"/>
          <w:color w:val="auto"/>
          <w:szCs w:val="21"/>
          <w:highlight w:val="none"/>
        </w:rPr>
        <w:t>年    月    日</w:t>
      </w:r>
    </w:p>
    <w:p w14:paraId="6D4901D6">
      <w:pPr>
        <w:pStyle w:val="45"/>
        <w:widowControl/>
        <w:spacing w:line="240" w:lineRule="auto"/>
        <w:jc w:val="center"/>
        <w:rPr>
          <w:rFonts w:ascii="宋体" w:hAnsi="宋体" w:eastAsia="宋体" w:cs="宋体"/>
          <w:color w:val="auto"/>
          <w:szCs w:val="28"/>
          <w:highlight w:val="none"/>
        </w:rPr>
      </w:pPr>
      <w:r>
        <w:rPr>
          <w:rFonts w:hint="eastAsia" w:ascii="宋体" w:hAnsi="宋体" w:eastAsia="宋体" w:cs="宋体"/>
          <w:color w:val="auto"/>
          <w:highlight w:val="none"/>
        </w:rPr>
        <w:br w:type="page"/>
      </w:r>
      <w:bookmarkStart w:id="157" w:name="_Toc19368"/>
      <w:bookmarkStart w:id="158" w:name="_Toc30335"/>
      <w:bookmarkStart w:id="159" w:name="_Toc179632811"/>
      <w:bookmarkStart w:id="160" w:name="_Toc499815666"/>
      <w:bookmarkStart w:id="161" w:name="_Toc152045791"/>
      <w:bookmarkStart w:id="162" w:name="_Toc144974860"/>
      <w:bookmarkStart w:id="163" w:name="_Toc152042580"/>
      <w:r>
        <w:rPr>
          <w:rFonts w:hint="eastAsia" w:ascii="宋体" w:hAnsi="宋体" w:eastAsia="宋体" w:cs="宋体"/>
          <w:color w:val="auto"/>
          <w:highlight w:val="none"/>
        </w:rPr>
        <w:t>三、</w:t>
      </w:r>
      <w:r>
        <w:rPr>
          <w:rFonts w:hint="eastAsia" w:ascii="宋体" w:hAnsi="宋体" w:eastAsia="宋体" w:cs="宋体"/>
          <w:color w:val="auto"/>
          <w:szCs w:val="28"/>
          <w:highlight w:val="none"/>
        </w:rPr>
        <w:t>法定代表人身份证明</w:t>
      </w:r>
      <w:bookmarkEnd w:id="157"/>
      <w:bookmarkEnd w:id="158"/>
    </w:p>
    <w:bookmarkEnd w:id="159"/>
    <w:bookmarkEnd w:id="160"/>
    <w:bookmarkEnd w:id="161"/>
    <w:bookmarkEnd w:id="162"/>
    <w:bookmarkEnd w:id="163"/>
    <w:p w14:paraId="01DF95F8">
      <w:pPr>
        <w:tabs>
          <w:tab w:val="left" w:pos="5460"/>
        </w:tabs>
        <w:spacing w:line="360" w:lineRule="auto"/>
        <w:jc w:val="left"/>
        <w:rPr>
          <w:rFonts w:ascii="宋体" w:hAnsi="宋体" w:cs="宋体"/>
          <w:color w:val="auto"/>
          <w:szCs w:val="21"/>
          <w:highlight w:val="none"/>
        </w:rPr>
      </w:pPr>
      <w:r>
        <w:rPr>
          <w:rFonts w:ascii="宋体" w:hAnsi="宋体" w:cs="宋体"/>
          <w:color w:val="auto"/>
          <w:szCs w:val="21"/>
          <w:highlight w:val="none"/>
        </w:rPr>
        <w:tab/>
      </w:r>
    </w:p>
    <w:p w14:paraId="787274B5">
      <w:pPr>
        <w:spacing w:line="360" w:lineRule="auto"/>
        <w:jc w:val="left"/>
        <w:rPr>
          <w:rFonts w:ascii="宋体" w:hAnsi="宋体" w:cs="宋体"/>
          <w:color w:val="auto"/>
          <w:szCs w:val="21"/>
          <w:highlight w:val="none"/>
        </w:rPr>
      </w:pPr>
      <w:r>
        <w:rPr>
          <w:rFonts w:hint="eastAsia" w:ascii="宋体" w:hAnsi="宋体" w:cs="宋体"/>
          <w:color w:val="auto"/>
          <w:kern w:val="0"/>
          <w:szCs w:val="21"/>
          <w:highlight w:val="none"/>
        </w:rPr>
        <w:t>供应商名称：</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w:t>
      </w:r>
    </w:p>
    <w:p w14:paraId="6D6CA63B">
      <w:pPr>
        <w:spacing w:line="360" w:lineRule="auto"/>
        <w:jc w:val="left"/>
        <w:rPr>
          <w:rFonts w:ascii="宋体" w:hAnsi="宋体" w:cs="宋体"/>
          <w:color w:val="auto"/>
          <w:szCs w:val="21"/>
          <w:highlight w:val="none"/>
        </w:rPr>
      </w:pPr>
      <w:r>
        <w:rPr>
          <w:rFonts w:hint="eastAsia" w:ascii="宋体" w:hAnsi="宋体" w:cs="宋体"/>
          <w:color w:val="auto"/>
          <w:kern w:val="0"/>
          <w:szCs w:val="21"/>
          <w:highlight w:val="none"/>
        </w:rPr>
        <w:t>单位性质：</w:t>
      </w:r>
      <w:r>
        <w:rPr>
          <w:rFonts w:hint="eastAsia" w:ascii="宋体" w:hAnsi="宋体" w:cs="宋体"/>
          <w:color w:val="auto"/>
          <w:kern w:val="0"/>
          <w:szCs w:val="21"/>
          <w:highlight w:val="none"/>
          <w:u w:val="single"/>
        </w:rPr>
        <w:t xml:space="preserve">                               </w:t>
      </w:r>
    </w:p>
    <w:p w14:paraId="185B9D19">
      <w:pPr>
        <w:spacing w:line="360" w:lineRule="auto"/>
        <w:jc w:val="left"/>
        <w:rPr>
          <w:rFonts w:ascii="宋体" w:hAnsi="宋体" w:cs="宋体"/>
          <w:color w:val="auto"/>
          <w:szCs w:val="21"/>
          <w:highlight w:val="none"/>
        </w:rPr>
      </w:pPr>
      <w:r>
        <w:rPr>
          <w:rFonts w:hint="eastAsia" w:ascii="宋体" w:hAnsi="宋体" w:cs="宋体"/>
          <w:color w:val="auto"/>
          <w:kern w:val="0"/>
          <w:szCs w:val="21"/>
          <w:highlight w:val="none"/>
        </w:rPr>
        <w:t>地址：</w:t>
      </w:r>
      <w:r>
        <w:rPr>
          <w:rFonts w:hint="eastAsia" w:ascii="宋体" w:hAnsi="宋体" w:cs="宋体"/>
          <w:color w:val="auto"/>
          <w:kern w:val="0"/>
          <w:szCs w:val="21"/>
          <w:highlight w:val="none"/>
          <w:u w:val="single"/>
        </w:rPr>
        <w:t xml:space="preserve">                                   </w:t>
      </w:r>
    </w:p>
    <w:p w14:paraId="3C3C674E">
      <w:pPr>
        <w:spacing w:line="360" w:lineRule="auto"/>
        <w:jc w:val="left"/>
        <w:rPr>
          <w:rFonts w:ascii="宋体" w:hAnsi="宋体" w:cs="宋体"/>
          <w:color w:val="auto"/>
          <w:szCs w:val="21"/>
          <w:highlight w:val="none"/>
        </w:rPr>
      </w:pPr>
      <w:r>
        <w:rPr>
          <w:rFonts w:hint="eastAsia" w:ascii="宋体" w:hAnsi="宋体" w:cs="宋体"/>
          <w:color w:val="auto"/>
          <w:kern w:val="0"/>
          <w:szCs w:val="21"/>
          <w:highlight w:val="none"/>
        </w:rPr>
        <w:t>成立时间：</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年</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月</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日</w:t>
      </w:r>
    </w:p>
    <w:p w14:paraId="501DCAE3">
      <w:pPr>
        <w:spacing w:line="360" w:lineRule="auto"/>
        <w:jc w:val="left"/>
        <w:rPr>
          <w:rFonts w:ascii="宋体" w:hAnsi="宋体" w:cs="宋体"/>
          <w:color w:val="auto"/>
          <w:szCs w:val="21"/>
          <w:highlight w:val="none"/>
        </w:rPr>
      </w:pPr>
      <w:r>
        <w:rPr>
          <w:rFonts w:hint="eastAsia" w:ascii="宋体" w:hAnsi="宋体" w:cs="宋体"/>
          <w:color w:val="auto"/>
          <w:kern w:val="0"/>
          <w:szCs w:val="21"/>
          <w:highlight w:val="none"/>
        </w:rPr>
        <w:t>经营期限：</w:t>
      </w:r>
      <w:r>
        <w:rPr>
          <w:rFonts w:hint="eastAsia" w:ascii="宋体" w:hAnsi="宋体" w:cs="宋体"/>
          <w:color w:val="auto"/>
          <w:kern w:val="0"/>
          <w:szCs w:val="21"/>
          <w:highlight w:val="none"/>
          <w:u w:val="single"/>
        </w:rPr>
        <w:t xml:space="preserve">                               </w:t>
      </w:r>
    </w:p>
    <w:p w14:paraId="7A0B7EEB">
      <w:pPr>
        <w:spacing w:line="360" w:lineRule="auto"/>
        <w:jc w:val="left"/>
        <w:rPr>
          <w:rFonts w:ascii="宋体" w:hAnsi="宋体" w:cs="宋体"/>
          <w:color w:val="auto"/>
          <w:szCs w:val="21"/>
          <w:highlight w:val="none"/>
        </w:rPr>
      </w:pPr>
      <w:r>
        <w:rPr>
          <w:rFonts w:hint="eastAsia" w:ascii="宋体" w:hAnsi="宋体" w:cs="宋体"/>
          <w:color w:val="auto"/>
          <w:kern w:val="0"/>
          <w:szCs w:val="21"/>
          <w:highlight w:val="none"/>
        </w:rPr>
        <w:t>姓名：</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性别：</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年龄：</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职务：</w:t>
      </w:r>
      <w:r>
        <w:rPr>
          <w:rFonts w:hint="eastAsia" w:ascii="宋体" w:hAnsi="宋体" w:cs="宋体"/>
          <w:color w:val="auto"/>
          <w:kern w:val="0"/>
          <w:szCs w:val="21"/>
          <w:highlight w:val="none"/>
          <w:u w:val="single"/>
        </w:rPr>
        <w:t xml:space="preserve">        </w:t>
      </w:r>
    </w:p>
    <w:p w14:paraId="31E6389C">
      <w:pPr>
        <w:spacing w:line="360" w:lineRule="auto"/>
        <w:jc w:val="left"/>
        <w:rPr>
          <w:rFonts w:ascii="宋体" w:hAnsi="宋体" w:cs="宋体"/>
          <w:color w:val="auto"/>
          <w:szCs w:val="21"/>
          <w:highlight w:val="none"/>
        </w:rPr>
      </w:pPr>
      <w:r>
        <w:rPr>
          <w:rFonts w:hint="eastAsia" w:ascii="宋体" w:hAnsi="宋体" w:cs="宋体"/>
          <w:color w:val="auto"/>
          <w:kern w:val="0"/>
          <w:szCs w:val="21"/>
          <w:highlight w:val="none"/>
        </w:rPr>
        <w:t>系</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（供应商名称）的法定代表人。</w:t>
      </w:r>
    </w:p>
    <w:p w14:paraId="7FE27CF0">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rPr>
        <w:t>特此证明。</w:t>
      </w:r>
    </w:p>
    <w:p w14:paraId="04D42D82">
      <w:pPr>
        <w:spacing w:line="360" w:lineRule="auto"/>
        <w:jc w:val="left"/>
        <w:rPr>
          <w:rFonts w:ascii="宋体" w:hAnsi="宋体" w:cs="宋体"/>
          <w:b/>
          <w:bCs/>
          <w:color w:val="auto"/>
          <w:szCs w:val="21"/>
          <w:highlight w:val="none"/>
        </w:rPr>
      </w:pPr>
      <w:r>
        <w:rPr>
          <w:rFonts w:hint="eastAsia" w:ascii="宋体" w:hAnsi="宋体" w:cs="宋体"/>
          <w:b/>
          <w:bCs/>
          <w:color w:val="auto"/>
          <w:szCs w:val="21"/>
          <w:highlight w:val="none"/>
        </w:rPr>
        <w:t>附法定代表人身份证扫描件</w:t>
      </w:r>
    </w:p>
    <w:p w14:paraId="1FF47844">
      <w:pPr>
        <w:spacing w:line="360" w:lineRule="auto"/>
        <w:jc w:val="left"/>
        <w:rPr>
          <w:rFonts w:ascii="宋体" w:hAnsi="宋体" w:cs="宋体"/>
          <w:color w:val="auto"/>
          <w:szCs w:val="21"/>
          <w:highlight w:val="none"/>
        </w:rPr>
      </w:pPr>
    </w:p>
    <w:p w14:paraId="7C6D79B5">
      <w:pPr>
        <w:spacing w:line="360" w:lineRule="auto"/>
        <w:ind w:firstLine="4620" w:firstLineChars="2200"/>
        <w:jc w:val="left"/>
        <w:rPr>
          <w:rFonts w:ascii="宋体" w:hAnsi="宋体" w:cs="宋体"/>
          <w:color w:val="auto"/>
          <w:szCs w:val="21"/>
          <w:highlight w:val="none"/>
        </w:rPr>
      </w:pPr>
    </w:p>
    <w:p w14:paraId="4B0D0533">
      <w:pPr>
        <w:spacing w:line="360" w:lineRule="auto"/>
        <w:ind w:firstLine="4620" w:firstLineChars="2200"/>
        <w:jc w:val="left"/>
        <w:rPr>
          <w:rFonts w:ascii="宋体" w:hAnsi="宋体" w:cs="宋体"/>
          <w:color w:val="auto"/>
          <w:szCs w:val="21"/>
          <w:highlight w:val="none"/>
        </w:rPr>
      </w:pPr>
    </w:p>
    <w:p w14:paraId="3957231F">
      <w:pPr>
        <w:tabs>
          <w:tab w:val="left" w:pos="1155"/>
        </w:tabs>
        <w:spacing w:line="360" w:lineRule="auto"/>
        <w:ind w:right="440" w:firstLine="2738" w:firstLineChars="1304"/>
        <w:jc w:val="right"/>
        <w:rPr>
          <w:rFonts w:ascii="宋体"/>
          <w:color w:val="auto"/>
          <w:szCs w:val="21"/>
          <w:highlight w:val="none"/>
        </w:rPr>
      </w:pPr>
      <w:r>
        <w:rPr>
          <w:rFonts w:hint="eastAsia" w:ascii="宋体" w:hAnsi="宋体"/>
          <w:color w:val="auto"/>
          <w:szCs w:val="21"/>
          <w:highlight w:val="none"/>
        </w:rPr>
        <w:t>投标人名称：</w:t>
      </w:r>
      <w:r>
        <w:rPr>
          <w:rFonts w:hint="eastAsia" w:ascii="宋体" w:hAnsi="宋体"/>
          <w:color w:val="auto"/>
          <w:szCs w:val="21"/>
          <w:highlight w:val="none"/>
          <w:u w:val="single"/>
        </w:rPr>
        <w:t xml:space="preserve">               </w:t>
      </w:r>
      <w:r>
        <w:rPr>
          <w:rFonts w:hint="eastAsia" w:ascii="宋体" w:hAnsi="宋体"/>
          <w:color w:val="auto"/>
          <w:szCs w:val="21"/>
          <w:highlight w:val="none"/>
        </w:rPr>
        <w:t>（</w:t>
      </w:r>
      <w:r>
        <w:rPr>
          <w:rFonts w:hint="eastAsia" w:ascii="宋体" w:hAnsi="宋体" w:cs="宋体"/>
          <w:color w:val="auto"/>
          <w:szCs w:val="21"/>
          <w:highlight w:val="none"/>
        </w:rPr>
        <w:t>盖电子章</w:t>
      </w:r>
      <w:r>
        <w:rPr>
          <w:rFonts w:hint="eastAsia" w:ascii="宋体" w:hAnsi="宋体"/>
          <w:color w:val="auto"/>
          <w:szCs w:val="21"/>
          <w:highlight w:val="none"/>
        </w:rPr>
        <w:t>）</w:t>
      </w:r>
    </w:p>
    <w:p w14:paraId="3AB6B1D9">
      <w:pPr>
        <w:spacing w:line="360" w:lineRule="auto"/>
        <w:ind w:firstLine="2738" w:firstLineChars="1304"/>
        <w:jc w:val="right"/>
        <w:rPr>
          <w:rFonts w:ascii="宋体"/>
          <w:color w:val="auto"/>
          <w:szCs w:val="21"/>
          <w:highlight w:val="none"/>
        </w:rPr>
      </w:pPr>
      <w:r>
        <w:rPr>
          <w:rFonts w:hint="eastAsia" w:ascii="宋体" w:hAnsi="宋体"/>
          <w:color w:val="auto"/>
          <w:szCs w:val="21"/>
          <w:highlight w:val="none"/>
        </w:rPr>
        <w:t>法定代表人或授权委托人：</w:t>
      </w:r>
      <w:r>
        <w:rPr>
          <w:rFonts w:hint="eastAsia" w:ascii="宋体" w:hAnsi="宋体"/>
          <w:color w:val="auto"/>
          <w:szCs w:val="21"/>
          <w:highlight w:val="none"/>
          <w:u w:val="single"/>
        </w:rPr>
        <w:t xml:space="preserve">     </w:t>
      </w:r>
      <w:r>
        <w:rPr>
          <w:rFonts w:hint="eastAsia" w:ascii="宋体" w:hAnsi="宋体"/>
          <w:color w:val="auto"/>
          <w:szCs w:val="21"/>
          <w:highlight w:val="none"/>
        </w:rPr>
        <w:t>（</w:t>
      </w:r>
      <w:r>
        <w:rPr>
          <w:rFonts w:hint="eastAsia" w:ascii="宋体" w:hAnsi="宋体" w:cs="宋体"/>
          <w:color w:val="auto"/>
          <w:szCs w:val="21"/>
          <w:highlight w:val="none"/>
        </w:rPr>
        <w:t>签字或盖电子章</w:t>
      </w:r>
      <w:r>
        <w:rPr>
          <w:rFonts w:hint="eastAsia" w:ascii="宋体" w:hAnsi="宋体"/>
          <w:color w:val="auto"/>
          <w:szCs w:val="21"/>
          <w:highlight w:val="none"/>
        </w:rPr>
        <w:t>）</w:t>
      </w:r>
    </w:p>
    <w:p w14:paraId="0AF40968">
      <w:pPr>
        <w:spacing w:line="360" w:lineRule="auto"/>
        <w:ind w:right="860" w:firstLine="2738" w:firstLineChars="1304"/>
        <w:jc w:val="right"/>
        <w:rPr>
          <w:rFonts w:ascii="宋体"/>
          <w:color w:val="auto"/>
          <w:szCs w:val="21"/>
          <w:highlight w:val="none"/>
        </w:rPr>
      </w:pPr>
      <w:r>
        <w:rPr>
          <w:rFonts w:hint="eastAsia" w:ascii="宋体" w:hAnsi="宋体"/>
          <w:color w:val="auto"/>
          <w:szCs w:val="21"/>
          <w:highlight w:val="none"/>
        </w:rPr>
        <w:t>年    月    日</w:t>
      </w:r>
    </w:p>
    <w:p w14:paraId="16E69C24">
      <w:pPr>
        <w:tabs>
          <w:tab w:val="left" w:pos="310"/>
        </w:tabs>
        <w:spacing w:line="360" w:lineRule="auto"/>
        <w:ind w:firstLine="4200" w:firstLineChars="2000"/>
        <w:jc w:val="left"/>
        <w:rPr>
          <w:rFonts w:ascii="宋体" w:hAnsi="宋体" w:cs="宋体"/>
          <w:color w:val="auto"/>
          <w:szCs w:val="21"/>
          <w:highlight w:val="none"/>
        </w:rPr>
      </w:pPr>
    </w:p>
    <w:p w14:paraId="44BA9D0D">
      <w:pPr>
        <w:topLinePunct/>
        <w:ind w:firstLine="440" w:firstLineChars="200"/>
        <w:jc w:val="left"/>
        <w:rPr>
          <w:rFonts w:ascii="宋体" w:hAnsi="宋体" w:cs="宋体"/>
          <w:color w:val="auto"/>
          <w:szCs w:val="21"/>
          <w:highlight w:val="none"/>
        </w:rPr>
      </w:pPr>
      <w:r>
        <w:rPr>
          <w:rFonts w:hint="eastAsia" w:ascii="宋体" w:hAnsi="宋体" w:cs="宋体"/>
          <w:color w:val="auto"/>
          <w:kern w:val="0"/>
          <w:sz w:val="22"/>
          <w:szCs w:val="21"/>
          <w:highlight w:val="none"/>
        </w:rPr>
        <w:t xml:space="preserve">  </w:t>
      </w:r>
    </w:p>
    <w:p w14:paraId="351CA99A">
      <w:pPr>
        <w:topLinePunct/>
        <w:ind w:firstLine="440" w:firstLineChars="200"/>
        <w:jc w:val="left"/>
        <w:rPr>
          <w:rFonts w:ascii="宋体" w:hAnsi="宋体" w:cs="宋体"/>
          <w:color w:val="auto"/>
          <w:szCs w:val="21"/>
          <w:highlight w:val="none"/>
        </w:rPr>
      </w:pPr>
      <w:r>
        <w:rPr>
          <w:rFonts w:hint="eastAsia" w:ascii="宋体" w:hAnsi="宋体" w:cs="宋体"/>
          <w:color w:val="auto"/>
          <w:kern w:val="0"/>
          <w:sz w:val="22"/>
          <w:szCs w:val="21"/>
          <w:highlight w:val="none"/>
        </w:rPr>
        <w:t xml:space="preserve">                   </w:t>
      </w:r>
    </w:p>
    <w:p w14:paraId="40214A46">
      <w:pPr>
        <w:pStyle w:val="3"/>
        <w:widowControl/>
        <w:spacing w:line="240" w:lineRule="auto"/>
        <w:jc w:val="center"/>
        <w:rPr>
          <w:rFonts w:ascii="宋体" w:hAnsi="宋体" w:eastAsia="宋体" w:cs="宋体"/>
          <w:color w:val="auto"/>
          <w:sz w:val="28"/>
          <w:szCs w:val="28"/>
          <w:highlight w:val="none"/>
        </w:rPr>
      </w:pPr>
      <w:bookmarkStart w:id="164" w:name="_Toc457735305"/>
      <w:bookmarkStart w:id="165" w:name="_Toc445450478"/>
      <w:bookmarkStart w:id="166" w:name="_Toc457761163"/>
      <w:bookmarkStart w:id="167" w:name="_Toc457735667"/>
    </w:p>
    <w:p w14:paraId="708DD896">
      <w:pPr>
        <w:pStyle w:val="3"/>
        <w:widowControl/>
        <w:spacing w:line="240" w:lineRule="auto"/>
        <w:jc w:val="center"/>
        <w:rPr>
          <w:rFonts w:ascii="宋体" w:hAnsi="宋体" w:eastAsia="宋体" w:cs="宋体"/>
          <w:color w:val="auto"/>
          <w:sz w:val="28"/>
          <w:szCs w:val="28"/>
          <w:highlight w:val="none"/>
        </w:rPr>
      </w:pPr>
    </w:p>
    <w:p w14:paraId="6EB47D05">
      <w:pPr>
        <w:pStyle w:val="3"/>
        <w:widowControl/>
        <w:spacing w:line="240" w:lineRule="auto"/>
        <w:jc w:val="center"/>
        <w:rPr>
          <w:rFonts w:ascii="宋体" w:hAnsi="宋体" w:eastAsia="宋体" w:cs="宋体"/>
          <w:color w:val="auto"/>
          <w:sz w:val="28"/>
          <w:szCs w:val="28"/>
          <w:highlight w:val="none"/>
        </w:rPr>
      </w:pPr>
    </w:p>
    <w:p w14:paraId="6635C1ED">
      <w:pPr>
        <w:pStyle w:val="3"/>
        <w:widowControl/>
        <w:spacing w:line="240" w:lineRule="auto"/>
        <w:jc w:val="center"/>
        <w:rPr>
          <w:rFonts w:ascii="宋体" w:hAnsi="宋体" w:eastAsia="宋体" w:cs="宋体"/>
          <w:color w:val="auto"/>
          <w:sz w:val="28"/>
          <w:szCs w:val="28"/>
          <w:highlight w:val="none"/>
        </w:rPr>
      </w:pPr>
    </w:p>
    <w:p w14:paraId="222CE2B6">
      <w:pPr>
        <w:pStyle w:val="3"/>
        <w:widowControl/>
        <w:spacing w:line="240" w:lineRule="auto"/>
        <w:jc w:val="center"/>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bookmarkStart w:id="168" w:name="_Toc20756"/>
      <w:bookmarkStart w:id="169" w:name="_Toc5998"/>
      <w:r>
        <w:rPr>
          <w:rFonts w:hint="eastAsia" w:ascii="宋体" w:hAnsi="宋体" w:eastAsia="宋体" w:cs="宋体"/>
          <w:color w:val="auto"/>
          <w:kern w:val="0"/>
          <w:sz w:val="28"/>
          <w:szCs w:val="28"/>
          <w:highlight w:val="none"/>
        </w:rPr>
        <w:t>四、法定代表人授权书</w:t>
      </w:r>
      <w:bookmarkEnd w:id="164"/>
      <w:bookmarkEnd w:id="165"/>
      <w:bookmarkEnd w:id="166"/>
      <w:bookmarkEnd w:id="167"/>
      <w:bookmarkEnd w:id="168"/>
      <w:bookmarkEnd w:id="169"/>
    </w:p>
    <w:p w14:paraId="703FEF19">
      <w:pPr>
        <w:topLinePunct/>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rPr>
        <w:t>本人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（姓名）系</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（供应商名称）的法定代表人，现委托</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（姓名）为我方授权代表。授权代表根据授权，以我方名义签署、澄清、说明、补正、递交、撤回、修改</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（项目名称）投标文件、签订合同和处理有关事宜，其法律后果由我方承担。</w:t>
      </w:r>
    </w:p>
    <w:p w14:paraId="76A5C370">
      <w:pPr>
        <w:spacing w:line="360" w:lineRule="auto"/>
        <w:jc w:val="left"/>
        <w:rPr>
          <w:rFonts w:ascii="宋体" w:hAnsi="宋体" w:cs="宋体"/>
          <w:color w:val="auto"/>
          <w:szCs w:val="21"/>
          <w:highlight w:val="none"/>
        </w:rPr>
      </w:pPr>
      <w:r>
        <w:rPr>
          <w:rFonts w:hint="eastAsia" w:ascii="宋体" w:hAnsi="宋体" w:cs="宋体"/>
          <w:color w:val="auto"/>
          <w:kern w:val="0"/>
          <w:szCs w:val="21"/>
          <w:highlight w:val="none"/>
        </w:rPr>
        <w:t xml:space="preserve">    委托期限：</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p>
    <w:p w14:paraId="20804BFC">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rPr>
        <w:t>授权代表无转委托权。</w:t>
      </w:r>
    </w:p>
    <w:p w14:paraId="525F5D0D">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rPr>
        <w:t>附：法定代表人身份证及</w:t>
      </w:r>
      <w:r>
        <w:rPr>
          <w:rFonts w:hint="eastAsia" w:ascii="宋体" w:hAnsi="宋体" w:cs="宋体"/>
          <w:color w:val="auto"/>
          <w:spacing w:val="-1"/>
          <w:kern w:val="0"/>
          <w:szCs w:val="21"/>
          <w:highlight w:val="none"/>
        </w:rPr>
        <w:t>供应商授权代表</w:t>
      </w:r>
      <w:r>
        <w:rPr>
          <w:rFonts w:hint="eastAsia" w:ascii="宋体" w:hAnsi="宋体" w:cs="宋体"/>
          <w:color w:val="auto"/>
          <w:kern w:val="0"/>
          <w:szCs w:val="21"/>
          <w:highlight w:val="none"/>
        </w:rPr>
        <w:t>身份证扫描件</w:t>
      </w:r>
    </w:p>
    <w:p w14:paraId="6E104687">
      <w:pPr>
        <w:spacing w:line="360" w:lineRule="auto"/>
        <w:ind w:firstLine="420" w:firstLineChars="200"/>
        <w:jc w:val="left"/>
        <w:rPr>
          <w:rFonts w:ascii="宋体" w:hAnsi="宋体" w:cs="宋体"/>
          <w:color w:val="auto"/>
          <w:szCs w:val="21"/>
          <w:highlight w:val="none"/>
        </w:rPr>
      </w:pPr>
    </w:p>
    <w:p w14:paraId="7F6EDE0E">
      <w:pPr>
        <w:spacing w:line="360" w:lineRule="auto"/>
        <w:ind w:firstLine="420" w:firstLineChars="200"/>
        <w:jc w:val="left"/>
        <w:rPr>
          <w:rFonts w:ascii="宋体" w:hAnsi="宋体" w:cs="宋体"/>
          <w:color w:val="auto"/>
          <w:szCs w:val="21"/>
          <w:highlight w:val="none"/>
        </w:rPr>
      </w:pPr>
    </w:p>
    <w:p w14:paraId="7C832356">
      <w:pPr>
        <w:spacing w:line="360" w:lineRule="auto"/>
        <w:jc w:val="left"/>
        <w:rPr>
          <w:rFonts w:ascii="宋体" w:hAnsi="宋体" w:cs="宋体"/>
          <w:color w:val="auto"/>
          <w:szCs w:val="21"/>
          <w:highlight w:val="none"/>
        </w:rPr>
      </w:pPr>
    </w:p>
    <w:p w14:paraId="04F653E4">
      <w:pPr>
        <w:spacing w:line="360" w:lineRule="auto"/>
        <w:jc w:val="left"/>
        <w:rPr>
          <w:rFonts w:ascii="宋体" w:hAnsi="宋体" w:cs="宋体"/>
          <w:color w:val="auto"/>
          <w:szCs w:val="21"/>
          <w:highlight w:val="none"/>
        </w:rPr>
      </w:pPr>
    </w:p>
    <w:p w14:paraId="44CA3849">
      <w:pPr>
        <w:spacing w:line="360" w:lineRule="auto"/>
        <w:jc w:val="left"/>
        <w:rPr>
          <w:rFonts w:ascii="宋体" w:hAnsi="宋体" w:cs="宋体"/>
          <w:color w:val="auto"/>
          <w:szCs w:val="21"/>
          <w:highlight w:val="none"/>
        </w:rPr>
      </w:pPr>
    </w:p>
    <w:p w14:paraId="6D279804">
      <w:pPr>
        <w:spacing w:line="360" w:lineRule="auto"/>
        <w:jc w:val="left"/>
        <w:rPr>
          <w:rFonts w:ascii="宋体" w:hAnsi="宋体" w:cs="宋体"/>
          <w:color w:val="auto"/>
          <w:szCs w:val="21"/>
          <w:highlight w:val="none"/>
        </w:rPr>
      </w:pPr>
    </w:p>
    <w:p w14:paraId="043127FD">
      <w:pPr>
        <w:spacing w:line="360" w:lineRule="auto"/>
        <w:jc w:val="left"/>
        <w:rPr>
          <w:rFonts w:ascii="宋体" w:hAnsi="宋体" w:cs="宋体"/>
          <w:color w:val="auto"/>
          <w:szCs w:val="21"/>
          <w:highlight w:val="none"/>
        </w:rPr>
      </w:pPr>
    </w:p>
    <w:p w14:paraId="1CE2EA92">
      <w:pPr>
        <w:spacing w:line="360" w:lineRule="auto"/>
        <w:jc w:val="left"/>
        <w:rPr>
          <w:rFonts w:ascii="宋体" w:hAnsi="宋体" w:cs="宋体"/>
          <w:color w:val="auto"/>
          <w:szCs w:val="21"/>
          <w:highlight w:val="none"/>
        </w:rPr>
      </w:pPr>
    </w:p>
    <w:p w14:paraId="4C8E8032">
      <w:pPr>
        <w:tabs>
          <w:tab w:val="left" w:pos="1155"/>
        </w:tabs>
        <w:spacing w:line="360" w:lineRule="auto"/>
        <w:ind w:right="440" w:firstLine="2738" w:firstLineChars="1304"/>
        <w:jc w:val="right"/>
        <w:rPr>
          <w:rFonts w:ascii="宋体"/>
          <w:color w:val="auto"/>
          <w:szCs w:val="21"/>
          <w:highlight w:val="none"/>
        </w:rPr>
      </w:pPr>
      <w:r>
        <w:rPr>
          <w:rFonts w:hint="eastAsia" w:ascii="宋体" w:hAnsi="宋体"/>
          <w:color w:val="auto"/>
          <w:szCs w:val="21"/>
          <w:highlight w:val="none"/>
        </w:rPr>
        <w:t>投标人名称：</w:t>
      </w:r>
      <w:r>
        <w:rPr>
          <w:rFonts w:hint="eastAsia" w:ascii="宋体" w:hAnsi="宋体"/>
          <w:color w:val="auto"/>
          <w:szCs w:val="21"/>
          <w:highlight w:val="none"/>
          <w:u w:val="single"/>
        </w:rPr>
        <w:t xml:space="preserve">               </w:t>
      </w:r>
      <w:r>
        <w:rPr>
          <w:rFonts w:hint="eastAsia" w:ascii="宋体" w:hAnsi="宋体"/>
          <w:color w:val="auto"/>
          <w:szCs w:val="21"/>
          <w:highlight w:val="none"/>
        </w:rPr>
        <w:t>（</w:t>
      </w:r>
      <w:r>
        <w:rPr>
          <w:rFonts w:hint="eastAsia" w:ascii="宋体" w:hAnsi="宋体" w:cs="宋体"/>
          <w:color w:val="auto"/>
          <w:szCs w:val="21"/>
          <w:highlight w:val="none"/>
        </w:rPr>
        <w:t>盖电子章</w:t>
      </w:r>
      <w:r>
        <w:rPr>
          <w:rFonts w:hint="eastAsia" w:ascii="宋体" w:hAnsi="宋体"/>
          <w:color w:val="auto"/>
          <w:szCs w:val="21"/>
          <w:highlight w:val="none"/>
        </w:rPr>
        <w:t>）</w:t>
      </w:r>
    </w:p>
    <w:p w14:paraId="59B1287F">
      <w:pPr>
        <w:spacing w:line="360" w:lineRule="auto"/>
        <w:ind w:firstLine="2738" w:firstLineChars="1304"/>
        <w:jc w:val="right"/>
        <w:rPr>
          <w:rFonts w:ascii="宋体"/>
          <w:color w:val="auto"/>
          <w:szCs w:val="21"/>
          <w:highlight w:val="none"/>
        </w:rPr>
      </w:pPr>
      <w:r>
        <w:rPr>
          <w:rFonts w:hint="eastAsia" w:ascii="宋体" w:hAnsi="宋体"/>
          <w:color w:val="auto"/>
          <w:szCs w:val="21"/>
          <w:highlight w:val="none"/>
        </w:rPr>
        <w:t>法定代表人或授权委托人：</w:t>
      </w:r>
      <w:r>
        <w:rPr>
          <w:rFonts w:hint="eastAsia" w:ascii="宋体" w:hAnsi="宋体"/>
          <w:color w:val="auto"/>
          <w:szCs w:val="21"/>
          <w:highlight w:val="none"/>
          <w:u w:val="single"/>
        </w:rPr>
        <w:t xml:space="preserve">     </w:t>
      </w:r>
      <w:r>
        <w:rPr>
          <w:rFonts w:hint="eastAsia" w:ascii="宋体" w:hAnsi="宋体"/>
          <w:color w:val="auto"/>
          <w:szCs w:val="21"/>
          <w:highlight w:val="none"/>
        </w:rPr>
        <w:t>（</w:t>
      </w:r>
      <w:r>
        <w:rPr>
          <w:rFonts w:hint="eastAsia" w:ascii="宋体" w:hAnsi="宋体" w:cs="宋体"/>
          <w:color w:val="auto"/>
          <w:szCs w:val="21"/>
          <w:highlight w:val="none"/>
        </w:rPr>
        <w:t>签字或盖电子章</w:t>
      </w:r>
      <w:r>
        <w:rPr>
          <w:rFonts w:hint="eastAsia" w:ascii="宋体" w:hAnsi="宋体"/>
          <w:color w:val="auto"/>
          <w:szCs w:val="21"/>
          <w:highlight w:val="none"/>
        </w:rPr>
        <w:t>）</w:t>
      </w:r>
    </w:p>
    <w:p w14:paraId="2152A4AE">
      <w:pPr>
        <w:spacing w:line="360" w:lineRule="auto"/>
        <w:ind w:right="860" w:firstLine="2738" w:firstLineChars="1304"/>
        <w:jc w:val="right"/>
        <w:rPr>
          <w:rFonts w:ascii="宋体"/>
          <w:color w:val="auto"/>
          <w:szCs w:val="21"/>
          <w:highlight w:val="none"/>
        </w:rPr>
      </w:pPr>
      <w:r>
        <w:rPr>
          <w:rFonts w:hint="eastAsia" w:ascii="宋体" w:hAnsi="宋体"/>
          <w:color w:val="auto"/>
          <w:szCs w:val="21"/>
          <w:highlight w:val="none"/>
        </w:rPr>
        <w:t>年    月    日</w:t>
      </w:r>
    </w:p>
    <w:p w14:paraId="3AD8E6FE">
      <w:pPr>
        <w:spacing w:line="360" w:lineRule="auto"/>
        <w:ind w:firstLine="5040" w:firstLineChars="2400"/>
        <w:jc w:val="left"/>
        <w:rPr>
          <w:rFonts w:ascii="宋体" w:hAnsi="宋体" w:cs="宋体"/>
          <w:color w:val="auto"/>
          <w:szCs w:val="21"/>
          <w:highlight w:val="none"/>
        </w:rPr>
      </w:pPr>
    </w:p>
    <w:p w14:paraId="1B16DFF4">
      <w:pPr>
        <w:jc w:val="center"/>
        <w:outlineLvl w:val="1"/>
        <w:rPr>
          <w:rFonts w:ascii="宋体" w:hAnsi="宋体" w:cs="宋体"/>
          <w:color w:val="auto"/>
          <w:szCs w:val="21"/>
          <w:highlight w:val="none"/>
        </w:rPr>
      </w:pPr>
      <w:r>
        <w:rPr>
          <w:rFonts w:hint="eastAsia" w:ascii="宋体" w:hAnsi="宋体" w:cs="宋体"/>
          <w:color w:val="auto"/>
          <w:sz w:val="20"/>
          <w:szCs w:val="20"/>
          <w:highlight w:val="none"/>
        </w:rPr>
        <w:br w:type="page"/>
      </w:r>
      <w:bookmarkStart w:id="170" w:name="_Toc445450481"/>
      <w:bookmarkStart w:id="171" w:name="_Toc457761165"/>
      <w:bookmarkStart w:id="172" w:name="_Toc457735307"/>
      <w:bookmarkStart w:id="173" w:name="_Toc15240"/>
      <w:bookmarkStart w:id="174" w:name="_Toc457735669"/>
      <w:bookmarkStart w:id="175" w:name="_Toc300"/>
      <w:r>
        <w:rPr>
          <w:rFonts w:hint="eastAsia" w:ascii="宋体" w:hAnsi="宋体" w:cs="宋体"/>
          <w:b/>
          <w:bCs/>
          <w:color w:val="auto"/>
          <w:kern w:val="0"/>
          <w:sz w:val="28"/>
          <w:szCs w:val="28"/>
          <w:highlight w:val="none"/>
        </w:rPr>
        <w:t>五、投标人资格证明文件</w:t>
      </w:r>
      <w:bookmarkEnd w:id="170"/>
      <w:bookmarkEnd w:id="171"/>
      <w:bookmarkEnd w:id="172"/>
      <w:bookmarkEnd w:id="173"/>
      <w:bookmarkEnd w:id="174"/>
      <w:bookmarkEnd w:id="175"/>
    </w:p>
    <w:p w14:paraId="6604B4DD">
      <w:pPr>
        <w:pStyle w:val="8"/>
        <w:widowControl/>
        <w:jc w:val="center"/>
        <w:rPr>
          <w:rFonts w:ascii="宋体" w:hAnsi="宋体" w:cs="宋体"/>
          <w:color w:val="auto"/>
          <w:szCs w:val="21"/>
          <w:highlight w:val="none"/>
        </w:rPr>
      </w:pPr>
      <w:r>
        <w:rPr>
          <w:rFonts w:hint="eastAsia"/>
          <w:b/>
          <w:bCs/>
          <w:color w:val="auto"/>
          <w:highlight w:val="none"/>
        </w:rPr>
        <w:t>投标人资格条件要求的资料</w:t>
      </w:r>
    </w:p>
    <w:p w14:paraId="0F38C7F7">
      <w:pPr>
        <w:rPr>
          <w:rFonts w:ascii="宋体" w:hAnsi="宋体" w:cs="宋体"/>
          <w:b/>
          <w:bCs/>
          <w:color w:val="auto"/>
          <w:kern w:val="0"/>
          <w:sz w:val="28"/>
          <w:szCs w:val="28"/>
          <w:highlight w:val="none"/>
        </w:rPr>
      </w:pPr>
      <w:bookmarkStart w:id="176" w:name="_Toc445450485"/>
      <w:r>
        <w:rPr>
          <w:rFonts w:hint="eastAsia" w:ascii="宋体" w:hAnsi="宋体" w:cs="宋体"/>
          <w:b/>
          <w:bCs/>
          <w:color w:val="auto"/>
          <w:kern w:val="0"/>
          <w:sz w:val="28"/>
          <w:szCs w:val="28"/>
          <w:highlight w:val="none"/>
        </w:rPr>
        <w:br w:type="page"/>
      </w:r>
    </w:p>
    <w:p w14:paraId="03E8BBBA">
      <w:pPr>
        <w:tabs>
          <w:tab w:val="left" w:pos="2878"/>
          <w:tab w:val="center" w:pos="4846"/>
        </w:tabs>
        <w:ind w:firstLine="2880" w:firstLineChars="900"/>
        <w:rPr>
          <w:rFonts w:ascii="宋体" w:hAnsi="宋体"/>
          <w:b/>
          <w:color w:val="auto"/>
          <w:sz w:val="32"/>
          <w:szCs w:val="32"/>
          <w:highlight w:val="none"/>
        </w:rPr>
      </w:pPr>
      <w:bookmarkStart w:id="177" w:name="_Toc517"/>
      <w:r>
        <w:rPr>
          <w:rFonts w:hint="eastAsia" w:ascii="宋体" w:hAnsi="宋体" w:cs="宋体"/>
          <w:b/>
          <w:bCs/>
          <w:color w:val="auto"/>
          <w:kern w:val="0"/>
          <w:sz w:val="32"/>
          <w:szCs w:val="32"/>
          <w:highlight w:val="none"/>
        </w:rPr>
        <w:t>六、</w:t>
      </w:r>
      <w:bookmarkEnd w:id="177"/>
      <w:r>
        <w:rPr>
          <w:rFonts w:hint="eastAsia" w:ascii="宋体" w:hAnsi="宋体"/>
          <w:b/>
          <w:color w:val="auto"/>
          <w:sz w:val="32"/>
          <w:szCs w:val="32"/>
          <w:highlight w:val="none"/>
        </w:rPr>
        <w:t>反商业贿赂承诺书</w:t>
      </w:r>
    </w:p>
    <w:p w14:paraId="49CB087A">
      <w:pPr>
        <w:rPr>
          <w:rFonts w:ascii="宋体" w:hAnsi="宋体"/>
          <w:b/>
          <w:color w:val="auto"/>
          <w:szCs w:val="21"/>
          <w:highlight w:val="none"/>
        </w:rPr>
      </w:pPr>
    </w:p>
    <w:p w14:paraId="690FE457">
      <w:pPr>
        <w:pStyle w:val="50"/>
        <w:spacing w:line="360" w:lineRule="auto"/>
        <w:rPr>
          <w:rFonts w:ascii="宋体" w:hAnsi="宋体" w:eastAsia="宋体"/>
          <w:color w:val="auto"/>
          <w:kern w:val="2"/>
          <w:sz w:val="21"/>
          <w:szCs w:val="21"/>
          <w:highlight w:val="none"/>
        </w:rPr>
      </w:pPr>
      <w:r>
        <w:rPr>
          <w:rFonts w:hint="eastAsia" w:ascii="宋体" w:hAnsi="宋体" w:eastAsia="宋体"/>
          <w:color w:val="auto"/>
          <w:kern w:val="2"/>
          <w:sz w:val="21"/>
          <w:szCs w:val="21"/>
          <w:highlight w:val="none"/>
        </w:rPr>
        <w:t>我公司承诺：</w:t>
      </w:r>
    </w:p>
    <w:p w14:paraId="1A0AA804">
      <w:pPr>
        <w:pStyle w:val="50"/>
        <w:spacing w:line="360" w:lineRule="auto"/>
        <w:rPr>
          <w:rFonts w:ascii="宋体" w:hAnsi="宋体" w:eastAsia="宋体"/>
          <w:color w:val="auto"/>
          <w:kern w:val="2"/>
          <w:sz w:val="21"/>
          <w:szCs w:val="21"/>
          <w:highlight w:val="none"/>
        </w:rPr>
      </w:pPr>
      <w:r>
        <w:rPr>
          <w:rFonts w:hint="eastAsia" w:ascii="宋体" w:hAnsi="宋体" w:eastAsia="宋体"/>
          <w:color w:val="auto"/>
          <w:kern w:val="2"/>
          <w:sz w:val="21"/>
          <w:szCs w:val="21"/>
          <w:highlight w:val="none"/>
        </w:rPr>
        <w:t xml:space="preserve">在 </w:t>
      </w:r>
      <w:r>
        <w:rPr>
          <w:rFonts w:hint="eastAsia" w:ascii="宋体" w:hAnsi="宋体" w:eastAsia="宋体"/>
          <w:color w:val="auto"/>
          <w:kern w:val="2"/>
          <w:sz w:val="21"/>
          <w:szCs w:val="21"/>
          <w:highlight w:val="none"/>
          <w:u w:val="single"/>
        </w:rPr>
        <w:t>　　　　　　　　　</w:t>
      </w:r>
      <w:r>
        <w:rPr>
          <w:rFonts w:hint="eastAsia" w:ascii="宋体" w:hAnsi="宋体" w:eastAsia="宋体"/>
          <w:color w:val="auto"/>
          <w:kern w:val="2"/>
          <w:sz w:val="21"/>
          <w:szCs w:val="21"/>
          <w:highlight w:val="none"/>
        </w:rPr>
        <w:t>（投标项目名称）招标活动中，我公司保证做到：</w:t>
      </w:r>
    </w:p>
    <w:p w14:paraId="43F50D59">
      <w:pPr>
        <w:pStyle w:val="50"/>
        <w:spacing w:line="360" w:lineRule="auto"/>
        <w:rPr>
          <w:rFonts w:ascii="宋体" w:hAnsi="宋体" w:eastAsia="宋体"/>
          <w:color w:val="auto"/>
          <w:kern w:val="2"/>
          <w:sz w:val="21"/>
          <w:szCs w:val="21"/>
          <w:highlight w:val="none"/>
        </w:rPr>
      </w:pPr>
      <w:r>
        <w:rPr>
          <w:rFonts w:hint="eastAsia" w:ascii="宋体" w:hAnsi="宋体" w:eastAsia="宋体"/>
          <w:color w:val="auto"/>
          <w:kern w:val="2"/>
          <w:sz w:val="21"/>
          <w:szCs w:val="21"/>
          <w:highlight w:val="none"/>
        </w:rPr>
        <w:t>一、公平竞争参加本次招标活动。</w:t>
      </w:r>
    </w:p>
    <w:p w14:paraId="7DB8556F">
      <w:pPr>
        <w:pStyle w:val="50"/>
        <w:spacing w:line="360" w:lineRule="auto"/>
        <w:rPr>
          <w:rFonts w:ascii="宋体" w:hAnsi="宋体" w:eastAsia="宋体"/>
          <w:color w:val="auto"/>
          <w:kern w:val="2"/>
          <w:sz w:val="21"/>
          <w:szCs w:val="21"/>
          <w:highlight w:val="none"/>
        </w:rPr>
      </w:pPr>
      <w:r>
        <w:rPr>
          <w:rFonts w:hint="eastAsia" w:ascii="宋体" w:hAnsi="宋体" w:eastAsia="宋体"/>
          <w:color w:val="auto"/>
          <w:kern w:val="2"/>
          <w:sz w:val="21"/>
          <w:szCs w:val="21"/>
          <w:highlight w:val="none"/>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6E6F0279">
      <w:pPr>
        <w:pStyle w:val="50"/>
        <w:spacing w:line="360" w:lineRule="auto"/>
        <w:rPr>
          <w:rFonts w:ascii="宋体" w:hAnsi="宋体" w:eastAsia="宋体"/>
          <w:color w:val="auto"/>
          <w:kern w:val="2"/>
          <w:sz w:val="21"/>
          <w:szCs w:val="21"/>
          <w:highlight w:val="none"/>
        </w:rPr>
      </w:pPr>
      <w:r>
        <w:rPr>
          <w:rFonts w:hint="eastAsia" w:ascii="宋体" w:hAnsi="宋体" w:eastAsia="宋体"/>
          <w:color w:val="auto"/>
          <w:kern w:val="2"/>
          <w:sz w:val="21"/>
          <w:szCs w:val="21"/>
          <w:highlight w:val="none"/>
        </w:rPr>
        <w:t>三、若出现上述行为，我公司及参与投标的工作人员愿意接受按照国家法律法规等有关规定给予的处罚。</w:t>
      </w:r>
    </w:p>
    <w:p w14:paraId="3462C41C">
      <w:pPr>
        <w:pStyle w:val="50"/>
        <w:spacing w:line="360" w:lineRule="auto"/>
        <w:rPr>
          <w:rFonts w:ascii="宋体" w:hAnsi="宋体" w:eastAsia="宋体"/>
          <w:color w:val="auto"/>
          <w:kern w:val="2"/>
          <w:sz w:val="21"/>
          <w:szCs w:val="21"/>
          <w:highlight w:val="none"/>
        </w:rPr>
      </w:pPr>
    </w:p>
    <w:p w14:paraId="6A847DC0">
      <w:pPr>
        <w:pStyle w:val="50"/>
        <w:spacing w:line="360" w:lineRule="auto"/>
        <w:rPr>
          <w:rFonts w:ascii="宋体" w:hAnsi="宋体" w:eastAsia="宋体"/>
          <w:color w:val="auto"/>
          <w:kern w:val="2"/>
          <w:sz w:val="21"/>
          <w:szCs w:val="21"/>
          <w:highlight w:val="none"/>
        </w:rPr>
      </w:pPr>
    </w:p>
    <w:p w14:paraId="56D0CC72">
      <w:pPr>
        <w:pStyle w:val="50"/>
        <w:spacing w:line="360" w:lineRule="auto"/>
        <w:rPr>
          <w:rFonts w:ascii="宋体" w:hAnsi="宋体" w:eastAsia="宋体"/>
          <w:color w:val="auto"/>
          <w:kern w:val="2"/>
          <w:sz w:val="21"/>
          <w:szCs w:val="21"/>
          <w:highlight w:val="none"/>
        </w:rPr>
      </w:pPr>
    </w:p>
    <w:p w14:paraId="4C63E2F0">
      <w:pPr>
        <w:tabs>
          <w:tab w:val="left" w:pos="1155"/>
        </w:tabs>
        <w:spacing w:line="360" w:lineRule="auto"/>
        <w:ind w:right="440" w:firstLine="2738" w:firstLineChars="1304"/>
        <w:jc w:val="right"/>
        <w:rPr>
          <w:rFonts w:ascii="宋体"/>
          <w:color w:val="auto"/>
          <w:szCs w:val="21"/>
          <w:highlight w:val="none"/>
        </w:rPr>
      </w:pPr>
      <w:r>
        <w:rPr>
          <w:rFonts w:hint="eastAsia" w:ascii="宋体" w:hAnsi="宋体" w:cs="宋体"/>
          <w:color w:val="auto"/>
          <w:szCs w:val="21"/>
          <w:highlight w:val="none"/>
        </w:rPr>
        <w:t xml:space="preserve">      </w:t>
      </w:r>
      <w:r>
        <w:rPr>
          <w:rFonts w:hint="eastAsia" w:ascii="宋体" w:hAnsi="宋体"/>
          <w:color w:val="auto"/>
          <w:szCs w:val="21"/>
          <w:highlight w:val="none"/>
        </w:rPr>
        <w:t>投标人名称：</w:t>
      </w:r>
      <w:r>
        <w:rPr>
          <w:rFonts w:hint="eastAsia" w:ascii="宋体" w:hAnsi="宋体"/>
          <w:color w:val="auto"/>
          <w:szCs w:val="21"/>
          <w:highlight w:val="none"/>
          <w:u w:val="single"/>
        </w:rPr>
        <w:t xml:space="preserve">               </w:t>
      </w:r>
      <w:r>
        <w:rPr>
          <w:rFonts w:hint="eastAsia" w:ascii="宋体" w:hAnsi="宋体"/>
          <w:color w:val="auto"/>
          <w:szCs w:val="21"/>
          <w:highlight w:val="none"/>
        </w:rPr>
        <w:t>（</w:t>
      </w:r>
      <w:r>
        <w:rPr>
          <w:rFonts w:hint="eastAsia" w:ascii="宋体" w:hAnsi="宋体" w:cs="宋体"/>
          <w:color w:val="auto"/>
          <w:szCs w:val="21"/>
          <w:highlight w:val="none"/>
        </w:rPr>
        <w:t>盖电子章</w:t>
      </w:r>
      <w:r>
        <w:rPr>
          <w:rFonts w:hint="eastAsia" w:ascii="宋体" w:hAnsi="宋体"/>
          <w:color w:val="auto"/>
          <w:szCs w:val="21"/>
          <w:highlight w:val="none"/>
        </w:rPr>
        <w:t>）</w:t>
      </w:r>
    </w:p>
    <w:p w14:paraId="10A14564">
      <w:pPr>
        <w:spacing w:line="360" w:lineRule="auto"/>
        <w:ind w:firstLine="2738" w:firstLineChars="1304"/>
        <w:jc w:val="right"/>
        <w:rPr>
          <w:rFonts w:ascii="宋体"/>
          <w:color w:val="auto"/>
          <w:szCs w:val="21"/>
          <w:highlight w:val="none"/>
        </w:rPr>
      </w:pPr>
      <w:r>
        <w:rPr>
          <w:rFonts w:hint="eastAsia" w:ascii="宋体" w:hAnsi="宋体"/>
          <w:color w:val="auto"/>
          <w:szCs w:val="21"/>
          <w:highlight w:val="none"/>
        </w:rPr>
        <w:t>法定代表人或授权委托人：</w:t>
      </w:r>
      <w:r>
        <w:rPr>
          <w:rFonts w:hint="eastAsia" w:ascii="宋体" w:hAnsi="宋体"/>
          <w:color w:val="auto"/>
          <w:szCs w:val="21"/>
          <w:highlight w:val="none"/>
          <w:u w:val="single"/>
        </w:rPr>
        <w:t xml:space="preserve">     </w:t>
      </w:r>
      <w:r>
        <w:rPr>
          <w:rFonts w:hint="eastAsia" w:ascii="宋体" w:hAnsi="宋体"/>
          <w:color w:val="auto"/>
          <w:szCs w:val="21"/>
          <w:highlight w:val="none"/>
        </w:rPr>
        <w:t>（</w:t>
      </w:r>
      <w:r>
        <w:rPr>
          <w:rFonts w:hint="eastAsia" w:ascii="宋体" w:hAnsi="宋体" w:cs="宋体"/>
          <w:color w:val="auto"/>
          <w:szCs w:val="21"/>
          <w:highlight w:val="none"/>
        </w:rPr>
        <w:t>签字或盖电子章</w:t>
      </w:r>
      <w:r>
        <w:rPr>
          <w:rFonts w:hint="eastAsia" w:ascii="宋体" w:hAnsi="宋体"/>
          <w:color w:val="auto"/>
          <w:szCs w:val="21"/>
          <w:highlight w:val="none"/>
        </w:rPr>
        <w:t>）</w:t>
      </w:r>
    </w:p>
    <w:p w14:paraId="28A63FDE">
      <w:pPr>
        <w:spacing w:line="360" w:lineRule="auto"/>
        <w:ind w:right="860" w:firstLine="2738" w:firstLineChars="1304"/>
        <w:jc w:val="right"/>
        <w:rPr>
          <w:rFonts w:ascii="宋体"/>
          <w:color w:val="auto"/>
          <w:szCs w:val="21"/>
          <w:highlight w:val="none"/>
        </w:rPr>
      </w:pPr>
      <w:r>
        <w:rPr>
          <w:rFonts w:hint="eastAsia" w:ascii="宋体" w:hAnsi="宋体"/>
          <w:color w:val="auto"/>
          <w:szCs w:val="21"/>
          <w:highlight w:val="none"/>
        </w:rPr>
        <w:t>年    月    日</w:t>
      </w:r>
    </w:p>
    <w:p w14:paraId="78F1BE74">
      <w:pPr>
        <w:spacing w:line="360" w:lineRule="auto"/>
        <w:ind w:firstLine="546" w:firstLineChars="195"/>
        <w:jc w:val="right"/>
        <w:rPr>
          <w:rFonts w:ascii="宋体" w:hAnsi="宋体" w:cs="宋体"/>
          <w:color w:val="auto"/>
          <w:sz w:val="28"/>
          <w:szCs w:val="28"/>
          <w:highlight w:val="none"/>
        </w:rPr>
      </w:pPr>
    </w:p>
    <w:p w14:paraId="42720F77">
      <w:pPr>
        <w:jc w:val="left"/>
        <w:rPr>
          <w:rFonts w:ascii="宋体" w:hAnsi="宋体" w:cs="宋体"/>
          <w:color w:val="auto"/>
          <w:sz w:val="28"/>
          <w:szCs w:val="28"/>
          <w:highlight w:val="none"/>
        </w:rPr>
      </w:pPr>
    </w:p>
    <w:p w14:paraId="6E53FC73">
      <w:pPr>
        <w:jc w:val="left"/>
        <w:rPr>
          <w:rFonts w:ascii="宋体" w:hAnsi="宋体" w:cs="宋体"/>
          <w:color w:val="auto"/>
          <w:sz w:val="28"/>
          <w:szCs w:val="28"/>
          <w:highlight w:val="none"/>
        </w:rPr>
      </w:pPr>
    </w:p>
    <w:p w14:paraId="2D70D4FD">
      <w:pPr>
        <w:jc w:val="left"/>
        <w:rPr>
          <w:rFonts w:ascii="宋体" w:hAnsi="宋体" w:cs="宋体"/>
          <w:color w:val="auto"/>
          <w:sz w:val="28"/>
          <w:szCs w:val="28"/>
          <w:highlight w:val="none"/>
        </w:rPr>
      </w:pPr>
    </w:p>
    <w:p w14:paraId="19C97CAE">
      <w:pPr>
        <w:jc w:val="left"/>
        <w:rPr>
          <w:rFonts w:ascii="宋体" w:hAnsi="宋体" w:cs="宋体"/>
          <w:color w:val="auto"/>
          <w:sz w:val="28"/>
          <w:szCs w:val="28"/>
          <w:highlight w:val="none"/>
        </w:rPr>
      </w:pPr>
    </w:p>
    <w:p w14:paraId="62F7DC97">
      <w:pPr>
        <w:jc w:val="left"/>
        <w:rPr>
          <w:rFonts w:ascii="宋体" w:hAnsi="宋体" w:cs="宋体"/>
          <w:color w:val="auto"/>
          <w:sz w:val="28"/>
          <w:szCs w:val="28"/>
          <w:highlight w:val="none"/>
        </w:rPr>
      </w:pPr>
    </w:p>
    <w:p w14:paraId="362CE94B">
      <w:pPr>
        <w:jc w:val="left"/>
        <w:rPr>
          <w:rFonts w:ascii="宋体" w:hAnsi="宋体" w:cs="宋体"/>
          <w:color w:val="auto"/>
          <w:sz w:val="28"/>
          <w:szCs w:val="28"/>
          <w:highlight w:val="none"/>
        </w:rPr>
      </w:pPr>
    </w:p>
    <w:p w14:paraId="0F0EFAA2">
      <w:pPr>
        <w:jc w:val="left"/>
        <w:rPr>
          <w:rFonts w:ascii="宋体" w:hAnsi="宋体" w:cs="宋体"/>
          <w:color w:val="auto"/>
          <w:sz w:val="28"/>
          <w:szCs w:val="28"/>
          <w:highlight w:val="none"/>
        </w:rPr>
      </w:pPr>
    </w:p>
    <w:p w14:paraId="2B2A762A">
      <w:pPr>
        <w:jc w:val="left"/>
        <w:rPr>
          <w:rFonts w:ascii="宋体" w:hAnsi="宋体" w:cs="宋体"/>
          <w:color w:val="auto"/>
          <w:sz w:val="28"/>
          <w:szCs w:val="28"/>
          <w:highlight w:val="none"/>
        </w:rPr>
      </w:pPr>
    </w:p>
    <w:bookmarkEnd w:id="176"/>
    <w:p w14:paraId="5EA829D8">
      <w:pPr>
        <w:rPr>
          <w:rFonts w:hint="eastAsia" w:hAnsi="宋体" w:cs="Times New Roman"/>
          <w:b/>
          <w:color w:val="auto"/>
          <w:kern w:val="2"/>
          <w:sz w:val="32"/>
          <w:szCs w:val="32"/>
          <w:highlight w:val="none"/>
        </w:rPr>
      </w:pPr>
      <w:r>
        <w:rPr>
          <w:rFonts w:hint="eastAsia" w:hAnsi="宋体" w:cs="Times New Roman"/>
          <w:b/>
          <w:color w:val="auto"/>
          <w:kern w:val="2"/>
          <w:sz w:val="32"/>
          <w:szCs w:val="32"/>
          <w:highlight w:val="none"/>
        </w:rPr>
        <w:br w:type="page"/>
      </w:r>
    </w:p>
    <w:p w14:paraId="70BB625B">
      <w:pPr>
        <w:pStyle w:val="34"/>
        <w:jc w:val="center"/>
        <w:rPr>
          <w:color w:val="auto"/>
          <w:highlight w:val="none"/>
        </w:rPr>
      </w:pPr>
      <w:r>
        <w:rPr>
          <w:rFonts w:hint="eastAsia" w:hAnsi="宋体" w:cs="Times New Roman"/>
          <w:b/>
          <w:color w:val="auto"/>
          <w:kern w:val="2"/>
          <w:sz w:val="32"/>
          <w:szCs w:val="32"/>
          <w:highlight w:val="none"/>
        </w:rPr>
        <w:t>七、</w:t>
      </w:r>
      <w:r>
        <w:rPr>
          <w:rFonts w:hint="eastAsia" w:cs="Times New Roman"/>
          <w:b/>
          <w:color w:val="auto"/>
          <w:kern w:val="2"/>
          <w:sz w:val="32"/>
          <w:szCs w:val="32"/>
          <w:highlight w:val="none"/>
          <w:lang w:val="en-US" w:eastAsia="zh-CN"/>
        </w:rPr>
        <w:t>技术标</w:t>
      </w:r>
    </w:p>
    <w:p w14:paraId="42FDE56F">
      <w:pPr>
        <w:pStyle w:val="34"/>
        <w:rPr>
          <w:color w:val="auto"/>
          <w:highlight w:val="none"/>
        </w:rPr>
      </w:pPr>
    </w:p>
    <w:p w14:paraId="2EF8C037">
      <w:pPr>
        <w:pStyle w:val="34"/>
        <w:jc w:val="center"/>
        <w:rPr>
          <w:color w:val="auto"/>
          <w:highlight w:val="none"/>
        </w:rPr>
      </w:pPr>
      <w:r>
        <w:rPr>
          <w:rFonts w:hint="eastAsia"/>
          <w:color w:val="auto"/>
          <w:highlight w:val="none"/>
        </w:rPr>
        <w:t>（格式自拟）</w:t>
      </w:r>
    </w:p>
    <w:p w14:paraId="6227AE97">
      <w:pPr>
        <w:pStyle w:val="34"/>
        <w:jc w:val="center"/>
        <w:rPr>
          <w:color w:val="auto"/>
          <w:highlight w:val="none"/>
        </w:rPr>
      </w:pPr>
    </w:p>
    <w:p w14:paraId="2D92F175">
      <w:pPr>
        <w:pStyle w:val="34"/>
        <w:rPr>
          <w:color w:val="auto"/>
          <w:highlight w:val="none"/>
        </w:rPr>
      </w:pPr>
    </w:p>
    <w:p w14:paraId="2204BCB2">
      <w:pPr>
        <w:pStyle w:val="34"/>
        <w:rPr>
          <w:color w:val="auto"/>
          <w:highlight w:val="none"/>
        </w:rPr>
      </w:pPr>
    </w:p>
    <w:p w14:paraId="549943D0">
      <w:pPr>
        <w:pStyle w:val="34"/>
        <w:rPr>
          <w:color w:val="auto"/>
          <w:highlight w:val="none"/>
        </w:rPr>
      </w:pPr>
    </w:p>
    <w:p w14:paraId="79A8A064">
      <w:pPr>
        <w:pStyle w:val="34"/>
        <w:rPr>
          <w:color w:val="auto"/>
          <w:highlight w:val="none"/>
        </w:rPr>
      </w:pPr>
    </w:p>
    <w:p w14:paraId="2FAC5E3F">
      <w:pPr>
        <w:pStyle w:val="34"/>
        <w:rPr>
          <w:color w:val="auto"/>
          <w:highlight w:val="none"/>
        </w:rPr>
      </w:pPr>
    </w:p>
    <w:p w14:paraId="1E120AF9">
      <w:pPr>
        <w:pStyle w:val="34"/>
        <w:rPr>
          <w:color w:val="auto"/>
          <w:highlight w:val="none"/>
        </w:rPr>
      </w:pPr>
    </w:p>
    <w:p w14:paraId="4F268C4D">
      <w:pPr>
        <w:pStyle w:val="34"/>
        <w:rPr>
          <w:color w:val="auto"/>
          <w:highlight w:val="none"/>
        </w:rPr>
      </w:pPr>
    </w:p>
    <w:p w14:paraId="6DD9F6CC">
      <w:pPr>
        <w:pStyle w:val="34"/>
        <w:rPr>
          <w:color w:val="auto"/>
          <w:highlight w:val="none"/>
        </w:rPr>
      </w:pPr>
    </w:p>
    <w:p w14:paraId="5ADB5B1E">
      <w:pPr>
        <w:pStyle w:val="34"/>
        <w:rPr>
          <w:color w:val="auto"/>
          <w:highlight w:val="none"/>
        </w:rPr>
      </w:pPr>
    </w:p>
    <w:p w14:paraId="335EF04F">
      <w:pPr>
        <w:pStyle w:val="34"/>
        <w:rPr>
          <w:color w:val="auto"/>
          <w:highlight w:val="none"/>
        </w:rPr>
      </w:pPr>
    </w:p>
    <w:p w14:paraId="12F18A8D">
      <w:pPr>
        <w:pStyle w:val="34"/>
        <w:rPr>
          <w:color w:val="auto"/>
          <w:highlight w:val="none"/>
        </w:rPr>
      </w:pPr>
    </w:p>
    <w:p w14:paraId="192D31E8">
      <w:pPr>
        <w:pStyle w:val="34"/>
        <w:rPr>
          <w:color w:val="auto"/>
          <w:highlight w:val="none"/>
        </w:rPr>
      </w:pPr>
    </w:p>
    <w:p w14:paraId="3B4E620F">
      <w:pPr>
        <w:pStyle w:val="34"/>
        <w:rPr>
          <w:color w:val="auto"/>
          <w:highlight w:val="none"/>
        </w:rPr>
      </w:pPr>
    </w:p>
    <w:p w14:paraId="1FEC5123">
      <w:pPr>
        <w:pStyle w:val="34"/>
        <w:rPr>
          <w:color w:val="auto"/>
          <w:highlight w:val="none"/>
        </w:rPr>
      </w:pPr>
    </w:p>
    <w:p w14:paraId="7CF5EE1D">
      <w:pPr>
        <w:pStyle w:val="34"/>
        <w:rPr>
          <w:color w:val="auto"/>
          <w:highlight w:val="none"/>
        </w:rPr>
      </w:pPr>
    </w:p>
    <w:p w14:paraId="36EEBB65">
      <w:pPr>
        <w:pStyle w:val="34"/>
        <w:rPr>
          <w:color w:val="auto"/>
          <w:highlight w:val="none"/>
        </w:rPr>
      </w:pPr>
    </w:p>
    <w:p w14:paraId="06468C09">
      <w:pPr>
        <w:pStyle w:val="34"/>
        <w:rPr>
          <w:color w:val="auto"/>
          <w:highlight w:val="none"/>
        </w:rPr>
      </w:pPr>
    </w:p>
    <w:p w14:paraId="37D59A18">
      <w:pPr>
        <w:pStyle w:val="34"/>
        <w:rPr>
          <w:color w:val="auto"/>
          <w:highlight w:val="none"/>
        </w:rPr>
      </w:pPr>
    </w:p>
    <w:p w14:paraId="0BB5DA6A">
      <w:pPr>
        <w:pStyle w:val="34"/>
        <w:rPr>
          <w:color w:val="auto"/>
          <w:highlight w:val="none"/>
        </w:rPr>
      </w:pPr>
    </w:p>
    <w:p w14:paraId="5A57C1C4">
      <w:pPr>
        <w:pStyle w:val="34"/>
        <w:jc w:val="center"/>
        <w:rPr>
          <w:rFonts w:hint="default" w:hAnsi="宋体" w:eastAsia="宋体" w:cs="Times New Roman"/>
          <w:b/>
          <w:color w:val="auto"/>
          <w:kern w:val="2"/>
          <w:sz w:val="32"/>
          <w:szCs w:val="32"/>
          <w:highlight w:val="none"/>
          <w:lang w:val="en-US" w:eastAsia="zh-CN"/>
        </w:rPr>
      </w:pPr>
      <w:r>
        <w:rPr>
          <w:rFonts w:hint="eastAsia" w:hAnsi="宋体" w:cs="Times New Roman"/>
          <w:b/>
          <w:color w:val="auto"/>
          <w:kern w:val="2"/>
          <w:sz w:val="32"/>
          <w:szCs w:val="32"/>
          <w:highlight w:val="none"/>
        </w:rPr>
        <w:br w:type="page"/>
      </w:r>
      <w:r>
        <w:rPr>
          <w:rFonts w:hint="eastAsia" w:hAnsi="宋体" w:cs="Times New Roman"/>
          <w:b/>
          <w:color w:val="auto"/>
          <w:kern w:val="2"/>
          <w:sz w:val="32"/>
          <w:szCs w:val="32"/>
          <w:highlight w:val="none"/>
        </w:rPr>
        <w:t>八、</w:t>
      </w:r>
      <w:r>
        <w:rPr>
          <w:rFonts w:hint="eastAsia" w:cs="Times New Roman"/>
          <w:b/>
          <w:color w:val="auto"/>
          <w:kern w:val="2"/>
          <w:sz w:val="32"/>
          <w:szCs w:val="32"/>
          <w:highlight w:val="none"/>
          <w:lang w:val="en-US" w:eastAsia="zh-CN"/>
        </w:rPr>
        <w:t>综合标</w:t>
      </w:r>
    </w:p>
    <w:p w14:paraId="4BF117CB">
      <w:pPr>
        <w:pStyle w:val="34"/>
        <w:rPr>
          <w:color w:val="auto"/>
          <w:highlight w:val="none"/>
        </w:rPr>
      </w:pPr>
    </w:p>
    <w:p w14:paraId="47459631">
      <w:pPr>
        <w:pStyle w:val="34"/>
        <w:jc w:val="center"/>
        <w:rPr>
          <w:color w:val="auto"/>
          <w:highlight w:val="none"/>
        </w:rPr>
      </w:pPr>
      <w:r>
        <w:rPr>
          <w:rFonts w:hint="eastAsia"/>
          <w:color w:val="auto"/>
          <w:highlight w:val="none"/>
        </w:rPr>
        <w:t>（格式自拟）</w:t>
      </w:r>
    </w:p>
    <w:p w14:paraId="487731F7">
      <w:pPr>
        <w:pStyle w:val="34"/>
        <w:jc w:val="center"/>
        <w:rPr>
          <w:color w:val="auto"/>
          <w:highlight w:val="none"/>
        </w:rPr>
      </w:pPr>
    </w:p>
    <w:p w14:paraId="31FAD225">
      <w:pPr>
        <w:pStyle w:val="34"/>
        <w:jc w:val="center"/>
        <w:rPr>
          <w:color w:val="auto"/>
          <w:highlight w:val="none"/>
        </w:rPr>
      </w:pPr>
    </w:p>
    <w:p w14:paraId="0A132408">
      <w:pPr>
        <w:pStyle w:val="34"/>
        <w:jc w:val="center"/>
        <w:rPr>
          <w:color w:val="auto"/>
          <w:highlight w:val="none"/>
        </w:rPr>
      </w:pPr>
    </w:p>
    <w:p w14:paraId="7776AC01">
      <w:pPr>
        <w:pStyle w:val="34"/>
        <w:jc w:val="center"/>
        <w:rPr>
          <w:color w:val="auto"/>
          <w:highlight w:val="none"/>
        </w:rPr>
      </w:pPr>
    </w:p>
    <w:p w14:paraId="67EF310D">
      <w:pPr>
        <w:pStyle w:val="34"/>
        <w:jc w:val="center"/>
        <w:rPr>
          <w:color w:val="auto"/>
          <w:highlight w:val="none"/>
        </w:rPr>
      </w:pPr>
    </w:p>
    <w:p w14:paraId="5A146506">
      <w:pPr>
        <w:pStyle w:val="34"/>
        <w:jc w:val="center"/>
        <w:rPr>
          <w:color w:val="auto"/>
          <w:highlight w:val="none"/>
        </w:rPr>
      </w:pPr>
    </w:p>
    <w:p w14:paraId="345437AB">
      <w:pPr>
        <w:pStyle w:val="34"/>
        <w:jc w:val="center"/>
        <w:rPr>
          <w:color w:val="auto"/>
          <w:highlight w:val="none"/>
        </w:rPr>
      </w:pPr>
    </w:p>
    <w:p w14:paraId="28AD5EF0">
      <w:pPr>
        <w:pStyle w:val="34"/>
        <w:jc w:val="center"/>
        <w:rPr>
          <w:color w:val="auto"/>
          <w:highlight w:val="none"/>
        </w:rPr>
      </w:pPr>
    </w:p>
    <w:p w14:paraId="00D401EB">
      <w:pPr>
        <w:pStyle w:val="34"/>
        <w:jc w:val="center"/>
        <w:rPr>
          <w:color w:val="auto"/>
          <w:highlight w:val="none"/>
        </w:rPr>
      </w:pPr>
    </w:p>
    <w:p w14:paraId="27589581">
      <w:pPr>
        <w:pStyle w:val="34"/>
        <w:jc w:val="center"/>
        <w:rPr>
          <w:color w:val="auto"/>
          <w:highlight w:val="none"/>
        </w:rPr>
      </w:pPr>
    </w:p>
    <w:p w14:paraId="02C3A556">
      <w:pPr>
        <w:pStyle w:val="34"/>
        <w:jc w:val="center"/>
        <w:rPr>
          <w:color w:val="auto"/>
          <w:highlight w:val="none"/>
        </w:rPr>
      </w:pPr>
    </w:p>
    <w:p w14:paraId="7A0EE2EB">
      <w:pPr>
        <w:pStyle w:val="34"/>
        <w:jc w:val="center"/>
        <w:rPr>
          <w:color w:val="auto"/>
          <w:highlight w:val="none"/>
        </w:rPr>
      </w:pPr>
    </w:p>
    <w:p w14:paraId="1304C667">
      <w:pPr>
        <w:pStyle w:val="34"/>
        <w:jc w:val="center"/>
        <w:rPr>
          <w:color w:val="auto"/>
          <w:highlight w:val="none"/>
        </w:rPr>
      </w:pPr>
    </w:p>
    <w:p w14:paraId="4D4DD109">
      <w:pPr>
        <w:pStyle w:val="34"/>
        <w:jc w:val="center"/>
        <w:rPr>
          <w:color w:val="auto"/>
          <w:highlight w:val="none"/>
        </w:rPr>
      </w:pPr>
    </w:p>
    <w:p w14:paraId="55D033CF">
      <w:pPr>
        <w:pStyle w:val="34"/>
        <w:jc w:val="center"/>
        <w:rPr>
          <w:color w:val="auto"/>
          <w:highlight w:val="none"/>
        </w:rPr>
      </w:pPr>
    </w:p>
    <w:p w14:paraId="619397A0">
      <w:pPr>
        <w:pStyle w:val="34"/>
        <w:jc w:val="center"/>
        <w:rPr>
          <w:color w:val="auto"/>
          <w:highlight w:val="none"/>
        </w:rPr>
      </w:pPr>
    </w:p>
    <w:p w14:paraId="3D8EEBBD">
      <w:pPr>
        <w:pStyle w:val="34"/>
        <w:jc w:val="center"/>
        <w:rPr>
          <w:color w:val="auto"/>
          <w:highlight w:val="none"/>
        </w:rPr>
      </w:pPr>
    </w:p>
    <w:p w14:paraId="37144511">
      <w:pPr>
        <w:pStyle w:val="34"/>
        <w:jc w:val="center"/>
        <w:rPr>
          <w:color w:val="auto"/>
          <w:highlight w:val="none"/>
        </w:rPr>
      </w:pPr>
    </w:p>
    <w:p w14:paraId="202C6321">
      <w:pPr>
        <w:pStyle w:val="34"/>
        <w:jc w:val="center"/>
        <w:rPr>
          <w:color w:val="auto"/>
          <w:highlight w:val="none"/>
        </w:rPr>
      </w:pPr>
    </w:p>
    <w:p w14:paraId="299CF3D0">
      <w:pPr>
        <w:pStyle w:val="34"/>
        <w:jc w:val="center"/>
        <w:rPr>
          <w:color w:val="auto"/>
          <w:highlight w:val="none"/>
        </w:rPr>
      </w:pPr>
    </w:p>
    <w:p w14:paraId="39E22770">
      <w:pPr>
        <w:pStyle w:val="34"/>
        <w:jc w:val="center"/>
        <w:rPr>
          <w:color w:val="auto"/>
          <w:highlight w:val="none"/>
        </w:rPr>
      </w:pPr>
    </w:p>
    <w:p w14:paraId="7B64D829">
      <w:pPr>
        <w:pStyle w:val="34"/>
        <w:jc w:val="center"/>
        <w:rPr>
          <w:color w:val="auto"/>
          <w:highlight w:val="none"/>
        </w:rPr>
      </w:pPr>
    </w:p>
    <w:p w14:paraId="5CD95308">
      <w:pPr>
        <w:pStyle w:val="34"/>
        <w:jc w:val="center"/>
        <w:rPr>
          <w:color w:val="auto"/>
          <w:highlight w:val="none"/>
        </w:rPr>
      </w:pPr>
    </w:p>
    <w:p w14:paraId="16004DBE">
      <w:pPr>
        <w:pStyle w:val="34"/>
        <w:jc w:val="center"/>
        <w:rPr>
          <w:color w:val="auto"/>
          <w:highlight w:val="none"/>
        </w:rPr>
      </w:pPr>
    </w:p>
    <w:p w14:paraId="4B68C992">
      <w:pPr>
        <w:pStyle w:val="34"/>
        <w:jc w:val="center"/>
        <w:rPr>
          <w:color w:val="auto"/>
          <w:highlight w:val="none"/>
        </w:rPr>
      </w:pPr>
    </w:p>
    <w:p w14:paraId="50AAEAF6">
      <w:pPr>
        <w:pStyle w:val="34"/>
        <w:jc w:val="center"/>
        <w:rPr>
          <w:color w:val="auto"/>
          <w:highlight w:val="none"/>
        </w:rPr>
      </w:pPr>
    </w:p>
    <w:p w14:paraId="3F48AD3B">
      <w:pPr>
        <w:pStyle w:val="34"/>
        <w:jc w:val="center"/>
        <w:rPr>
          <w:color w:val="auto"/>
          <w:highlight w:val="none"/>
        </w:rPr>
      </w:pPr>
    </w:p>
    <w:p w14:paraId="18F8A410">
      <w:pPr>
        <w:pStyle w:val="34"/>
        <w:jc w:val="center"/>
        <w:rPr>
          <w:color w:val="auto"/>
          <w:highlight w:val="none"/>
        </w:rPr>
      </w:pPr>
    </w:p>
    <w:p w14:paraId="4575E84C">
      <w:pPr>
        <w:pStyle w:val="34"/>
        <w:jc w:val="center"/>
        <w:rPr>
          <w:color w:val="auto"/>
          <w:highlight w:val="none"/>
        </w:rPr>
      </w:pPr>
    </w:p>
    <w:p w14:paraId="324E6C56">
      <w:pPr>
        <w:pStyle w:val="34"/>
        <w:jc w:val="center"/>
        <w:rPr>
          <w:color w:val="auto"/>
          <w:highlight w:val="none"/>
        </w:rPr>
      </w:pPr>
    </w:p>
    <w:p w14:paraId="495D9B82">
      <w:pPr>
        <w:pStyle w:val="34"/>
        <w:jc w:val="center"/>
        <w:rPr>
          <w:color w:val="auto"/>
          <w:highlight w:val="none"/>
        </w:rPr>
      </w:pPr>
    </w:p>
    <w:p w14:paraId="1A201C81">
      <w:pPr>
        <w:pStyle w:val="34"/>
        <w:jc w:val="center"/>
        <w:rPr>
          <w:color w:val="auto"/>
          <w:highlight w:val="none"/>
        </w:rPr>
      </w:pPr>
    </w:p>
    <w:p w14:paraId="65415DDD">
      <w:pPr>
        <w:pStyle w:val="34"/>
        <w:jc w:val="center"/>
        <w:rPr>
          <w:color w:val="auto"/>
          <w:highlight w:val="none"/>
        </w:rPr>
      </w:pPr>
    </w:p>
    <w:p w14:paraId="34551014">
      <w:pPr>
        <w:pStyle w:val="34"/>
        <w:jc w:val="center"/>
        <w:rPr>
          <w:color w:val="auto"/>
          <w:highlight w:val="none"/>
        </w:rPr>
      </w:pPr>
    </w:p>
    <w:p w14:paraId="4EC7D527">
      <w:pPr>
        <w:pStyle w:val="34"/>
        <w:jc w:val="center"/>
        <w:rPr>
          <w:color w:val="auto"/>
          <w:highlight w:val="none"/>
        </w:rPr>
      </w:pPr>
    </w:p>
    <w:p w14:paraId="5EA7D52E">
      <w:pPr>
        <w:pStyle w:val="34"/>
        <w:jc w:val="center"/>
        <w:rPr>
          <w:color w:val="auto"/>
          <w:highlight w:val="none"/>
        </w:rPr>
      </w:pPr>
    </w:p>
    <w:p w14:paraId="55F4B979">
      <w:pPr>
        <w:pStyle w:val="34"/>
        <w:jc w:val="center"/>
        <w:rPr>
          <w:color w:val="auto"/>
          <w:highlight w:val="none"/>
        </w:rPr>
      </w:pPr>
    </w:p>
    <w:p w14:paraId="434567A4">
      <w:pPr>
        <w:pStyle w:val="34"/>
        <w:jc w:val="center"/>
        <w:rPr>
          <w:color w:val="auto"/>
          <w:highlight w:val="none"/>
        </w:rPr>
      </w:pPr>
    </w:p>
    <w:p w14:paraId="3CFEBA99">
      <w:pPr>
        <w:pStyle w:val="34"/>
        <w:jc w:val="center"/>
        <w:rPr>
          <w:color w:val="auto"/>
          <w:highlight w:val="none"/>
        </w:rPr>
      </w:pPr>
    </w:p>
    <w:p w14:paraId="248C7C48">
      <w:pPr>
        <w:pStyle w:val="34"/>
        <w:jc w:val="center"/>
        <w:rPr>
          <w:rFonts w:hAnsi="宋体" w:cs="Times New Roman"/>
          <w:b/>
          <w:color w:val="auto"/>
          <w:kern w:val="2"/>
          <w:sz w:val="32"/>
          <w:szCs w:val="32"/>
          <w:highlight w:val="none"/>
        </w:rPr>
      </w:pPr>
      <w:r>
        <w:rPr>
          <w:rFonts w:hint="eastAsia" w:hAnsi="宋体" w:cs="Times New Roman"/>
          <w:b/>
          <w:color w:val="auto"/>
          <w:kern w:val="2"/>
          <w:sz w:val="32"/>
          <w:szCs w:val="32"/>
          <w:highlight w:val="none"/>
        </w:rPr>
        <w:br w:type="page"/>
      </w:r>
      <w:r>
        <w:rPr>
          <w:rFonts w:hint="eastAsia" w:hAnsi="宋体" w:cs="Times New Roman"/>
          <w:b/>
          <w:color w:val="auto"/>
          <w:kern w:val="2"/>
          <w:sz w:val="32"/>
          <w:szCs w:val="32"/>
          <w:highlight w:val="none"/>
        </w:rPr>
        <w:t>九、</w:t>
      </w:r>
      <w:r>
        <w:rPr>
          <w:rFonts w:hint="eastAsia" w:cs="Times New Roman"/>
          <w:b/>
          <w:color w:val="auto"/>
          <w:kern w:val="2"/>
          <w:sz w:val="32"/>
          <w:szCs w:val="32"/>
          <w:highlight w:val="none"/>
          <w:lang w:eastAsia="zh-CN"/>
        </w:rPr>
        <w:t>竞争性磋商文件</w:t>
      </w:r>
      <w:r>
        <w:rPr>
          <w:rFonts w:hint="eastAsia" w:hAnsi="宋体" w:cs="Times New Roman"/>
          <w:b/>
          <w:color w:val="auto"/>
          <w:kern w:val="2"/>
          <w:sz w:val="32"/>
          <w:szCs w:val="32"/>
          <w:highlight w:val="none"/>
        </w:rPr>
        <w:t>要求的其它材料及投标人认为有必要提供的材料</w:t>
      </w:r>
    </w:p>
    <w:p w14:paraId="0CEDCA6A">
      <w:pPr>
        <w:spacing w:line="400" w:lineRule="exact"/>
        <w:jc w:val="center"/>
        <w:rPr>
          <w:rFonts w:ascii="宋体" w:hAnsi="宋体"/>
          <w:b/>
          <w:bCs/>
          <w:color w:val="auto"/>
          <w:szCs w:val="21"/>
          <w:highlight w:val="none"/>
        </w:rPr>
      </w:pPr>
    </w:p>
    <w:p w14:paraId="67CE1A39">
      <w:pPr>
        <w:pStyle w:val="24"/>
        <w:tabs>
          <w:tab w:val="left" w:pos="5250"/>
        </w:tabs>
        <w:ind w:firstLine="211"/>
        <w:jc w:val="center"/>
        <w:rPr>
          <w:rFonts w:ascii="宋体" w:hAnsi="宋体" w:eastAsia="宋体"/>
          <w:b/>
          <w:bCs/>
          <w:color w:val="auto"/>
          <w:szCs w:val="21"/>
          <w:highlight w:val="none"/>
        </w:rPr>
      </w:pPr>
      <w:r>
        <w:rPr>
          <w:rFonts w:hint="eastAsia" w:ascii="宋体" w:hAnsi="宋体" w:eastAsia="宋体"/>
          <w:b/>
          <w:bCs/>
          <w:color w:val="auto"/>
          <w:szCs w:val="21"/>
          <w:highlight w:val="none"/>
        </w:rPr>
        <w:t>1. 承 诺 书</w:t>
      </w:r>
    </w:p>
    <w:p w14:paraId="07AEAAB8">
      <w:pPr>
        <w:autoSpaceDE w:val="0"/>
        <w:autoSpaceDN w:val="0"/>
        <w:adjustRightInd w:val="0"/>
        <w:spacing w:line="360" w:lineRule="auto"/>
        <w:ind w:firstLine="420" w:firstLineChars="200"/>
        <w:rPr>
          <w:color w:val="auto"/>
          <w:szCs w:val="21"/>
          <w:highlight w:val="none"/>
        </w:rPr>
      </w:pPr>
      <w:r>
        <w:rPr>
          <w:rFonts w:hint="eastAsia"/>
          <w:color w:val="auto"/>
          <w:szCs w:val="21"/>
          <w:highlight w:val="none"/>
        </w:rPr>
        <w:t>我公司承诺：我公司独立制作、修改和上传投标文件，并承担因“硬件特征码一致”所造成的不良后果。</w:t>
      </w:r>
    </w:p>
    <w:p w14:paraId="406C2190">
      <w:pPr>
        <w:pStyle w:val="24"/>
        <w:tabs>
          <w:tab w:val="left" w:pos="5250"/>
        </w:tabs>
        <w:ind w:firstLine="0" w:firstLineChars="0"/>
        <w:rPr>
          <w:color w:val="auto"/>
          <w:szCs w:val="21"/>
          <w:highlight w:val="none"/>
        </w:rPr>
      </w:pPr>
    </w:p>
    <w:p w14:paraId="1AF2A3C2">
      <w:pPr>
        <w:autoSpaceDE w:val="0"/>
        <w:autoSpaceDN w:val="0"/>
        <w:adjustRightInd w:val="0"/>
        <w:spacing w:line="380" w:lineRule="exact"/>
        <w:ind w:firstLine="420"/>
        <w:jc w:val="center"/>
        <w:rPr>
          <w:rFonts w:ascii="宋体" w:cs="宋体"/>
          <w:b/>
          <w:bCs/>
          <w:color w:val="auto"/>
          <w:szCs w:val="21"/>
          <w:highlight w:val="none"/>
          <w:lang w:val="zh-CN"/>
        </w:rPr>
      </w:pPr>
    </w:p>
    <w:p w14:paraId="3DC9B48E">
      <w:pPr>
        <w:tabs>
          <w:tab w:val="left" w:pos="1155"/>
        </w:tabs>
        <w:spacing w:line="360" w:lineRule="auto"/>
        <w:ind w:right="440" w:firstLine="2738" w:firstLineChars="1304"/>
        <w:jc w:val="left"/>
        <w:rPr>
          <w:rFonts w:ascii="宋体"/>
          <w:color w:val="auto"/>
          <w:szCs w:val="21"/>
          <w:highlight w:val="none"/>
        </w:rPr>
      </w:pPr>
      <w:r>
        <w:rPr>
          <w:rFonts w:hint="eastAsia" w:ascii="宋体" w:hAnsi="宋体"/>
          <w:color w:val="auto"/>
          <w:szCs w:val="21"/>
          <w:highlight w:val="none"/>
        </w:rPr>
        <w:t>投标人名称：</w:t>
      </w:r>
      <w:r>
        <w:rPr>
          <w:rFonts w:hint="eastAsia" w:ascii="宋体" w:hAnsi="宋体"/>
          <w:color w:val="auto"/>
          <w:szCs w:val="21"/>
          <w:highlight w:val="none"/>
          <w:u w:val="single"/>
        </w:rPr>
        <w:t xml:space="preserve">               </w:t>
      </w:r>
      <w:r>
        <w:rPr>
          <w:rFonts w:hint="eastAsia" w:ascii="宋体" w:hAnsi="宋体"/>
          <w:color w:val="auto"/>
          <w:szCs w:val="21"/>
          <w:highlight w:val="none"/>
        </w:rPr>
        <w:t>（</w:t>
      </w:r>
      <w:r>
        <w:rPr>
          <w:rFonts w:hint="eastAsia" w:ascii="宋体" w:hAnsi="宋体" w:cs="宋体"/>
          <w:color w:val="auto"/>
          <w:szCs w:val="21"/>
          <w:highlight w:val="none"/>
        </w:rPr>
        <w:t>盖电子章</w:t>
      </w:r>
      <w:r>
        <w:rPr>
          <w:rFonts w:hint="eastAsia" w:ascii="宋体" w:hAnsi="宋体"/>
          <w:color w:val="auto"/>
          <w:szCs w:val="21"/>
          <w:highlight w:val="none"/>
        </w:rPr>
        <w:t>）</w:t>
      </w:r>
    </w:p>
    <w:p w14:paraId="0F0AAC07">
      <w:pPr>
        <w:spacing w:line="360" w:lineRule="auto"/>
        <w:ind w:firstLine="2738" w:firstLineChars="1304"/>
        <w:jc w:val="left"/>
        <w:rPr>
          <w:rFonts w:ascii="宋体"/>
          <w:color w:val="auto"/>
          <w:szCs w:val="21"/>
          <w:highlight w:val="none"/>
        </w:rPr>
      </w:pPr>
      <w:r>
        <w:rPr>
          <w:rFonts w:hint="eastAsia" w:ascii="宋体" w:hAnsi="宋体"/>
          <w:color w:val="auto"/>
          <w:szCs w:val="21"/>
          <w:highlight w:val="none"/>
        </w:rPr>
        <w:t>法定代表人或授权委托人：</w:t>
      </w:r>
      <w:r>
        <w:rPr>
          <w:rFonts w:hint="eastAsia" w:ascii="宋体" w:hAnsi="宋体"/>
          <w:color w:val="auto"/>
          <w:szCs w:val="21"/>
          <w:highlight w:val="none"/>
          <w:u w:val="single"/>
        </w:rPr>
        <w:t xml:space="preserve">     </w:t>
      </w:r>
      <w:r>
        <w:rPr>
          <w:rFonts w:hint="eastAsia" w:ascii="宋体" w:hAnsi="宋体"/>
          <w:color w:val="auto"/>
          <w:szCs w:val="21"/>
          <w:highlight w:val="none"/>
        </w:rPr>
        <w:t>（</w:t>
      </w:r>
      <w:r>
        <w:rPr>
          <w:rFonts w:hint="eastAsia" w:ascii="宋体" w:hAnsi="宋体" w:cs="宋体"/>
          <w:color w:val="auto"/>
          <w:szCs w:val="21"/>
          <w:highlight w:val="none"/>
        </w:rPr>
        <w:t>签字或盖电子章</w:t>
      </w:r>
      <w:r>
        <w:rPr>
          <w:rFonts w:hint="eastAsia" w:ascii="宋体" w:hAnsi="宋体"/>
          <w:color w:val="auto"/>
          <w:szCs w:val="21"/>
          <w:highlight w:val="none"/>
        </w:rPr>
        <w:t>）</w:t>
      </w:r>
    </w:p>
    <w:p w14:paraId="427555E8">
      <w:pPr>
        <w:spacing w:line="360" w:lineRule="auto"/>
        <w:ind w:right="860" w:firstLine="2738" w:firstLineChars="1304"/>
        <w:jc w:val="left"/>
        <w:rPr>
          <w:rFonts w:ascii="宋体"/>
          <w:color w:val="auto"/>
          <w:szCs w:val="21"/>
          <w:highlight w:val="none"/>
        </w:rPr>
      </w:pPr>
      <w:r>
        <w:rPr>
          <w:rFonts w:hint="eastAsia" w:ascii="宋体" w:hAnsi="宋体"/>
          <w:color w:val="auto"/>
          <w:szCs w:val="21"/>
          <w:highlight w:val="none"/>
        </w:rPr>
        <w:t>年    月    日</w:t>
      </w:r>
    </w:p>
    <w:p w14:paraId="0BB6D8C1">
      <w:pPr>
        <w:autoSpaceDE w:val="0"/>
        <w:autoSpaceDN w:val="0"/>
        <w:adjustRightInd w:val="0"/>
        <w:spacing w:line="380" w:lineRule="exact"/>
        <w:jc w:val="right"/>
        <w:rPr>
          <w:color w:val="auto"/>
          <w:highlight w:val="none"/>
          <w:lang w:val="zh-CN"/>
        </w:rPr>
      </w:pPr>
    </w:p>
    <w:p w14:paraId="754E63F7">
      <w:pPr>
        <w:spacing w:line="400" w:lineRule="exact"/>
        <w:jc w:val="center"/>
        <w:rPr>
          <w:rFonts w:ascii="宋体" w:hAnsi="宋体"/>
          <w:b/>
          <w:bCs/>
          <w:color w:val="auto"/>
          <w:sz w:val="30"/>
          <w:highlight w:val="none"/>
        </w:rPr>
      </w:pPr>
    </w:p>
    <w:p w14:paraId="0F2EEBAE">
      <w:pPr>
        <w:spacing w:line="360" w:lineRule="auto"/>
        <w:ind w:left="420"/>
        <w:rPr>
          <w:rFonts w:ascii="宋体" w:hAnsi="宋体"/>
          <w:color w:val="auto"/>
          <w:highlight w:val="none"/>
        </w:rPr>
      </w:pPr>
    </w:p>
    <w:p w14:paraId="7AD4CCC0">
      <w:pPr>
        <w:spacing w:line="400" w:lineRule="exact"/>
        <w:jc w:val="center"/>
        <w:rPr>
          <w:rFonts w:ascii="宋体" w:hAnsi="宋体"/>
          <w:b/>
          <w:bCs/>
          <w:color w:val="auto"/>
          <w:sz w:val="30"/>
          <w:highlight w:val="none"/>
        </w:rPr>
      </w:pPr>
    </w:p>
    <w:p w14:paraId="47F2A99D">
      <w:pPr>
        <w:pStyle w:val="34"/>
        <w:rPr>
          <w:color w:val="auto"/>
          <w:highlight w:val="none"/>
        </w:rPr>
      </w:pPr>
    </w:p>
    <w:p w14:paraId="6960F0A3">
      <w:pPr>
        <w:pStyle w:val="34"/>
        <w:rPr>
          <w:color w:val="auto"/>
          <w:highlight w:val="none"/>
        </w:rPr>
      </w:pPr>
    </w:p>
    <w:p w14:paraId="7D9D89FE">
      <w:pPr>
        <w:pStyle w:val="34"/>
        <w:rPr>
          <w:color w:val="auto"/>
          <w:highlight w:val="none"/>
        </w:rPr>
      </w:pPr>
    </w:p>
    <w:p w14:paraId="72726779">
      <w:pPr>
        <w:jc w:val="center"/>
        <w:outlineLvl w:val="1"/>
        <w:rPr>
          <w:rFonts w:ascii="宋体" w:hAnsi="宋体" w:cs="宋体"/>
          <w:color w:val="auto"/>
          <w:sz w:val="28"/>
          <w:szCs w:val="28"/>
          <w:highlight w:val="none"/>
        </w:rPr>
      </w:pPr>
      <w:bookmarkStart w:id="178" w:name="_Toc26741"/>
      <w:r>
        <w:rPr>
          <w:rFonts w:hint="eastAsia" w:ascii="宋体" w:hAnsi="宋体"/>
          <w:b/>
          <w:bCs/>
          <w:color w:val="auto"/>
          <w:szCs w:val="21"/>
          <w:highlight w:val="none"/>
        </w:rPr>
        <w:t>2、投标人认为有必要提供的材料</w:t>
      </w:r>
      <w:bookmarkEnd w:id="178"/>
    </w:p>
    <w:p w14:paraId="01459C8A">
      <w:pPr>
        <w:jc w:val="left"/>
        <w:rPr>
          <w:rFonts w:ascii="宋体" w:hAnsi="宋体" w:cs="宋体"/>
          <w:color w:val="auto"/>
          <w:sz w:val="28"/>
          <w:szCs w:val="28"/>
          <w:highlight w:val="none"/>
        </w:rPr>
      </w:pPr>
    </w:p>
    <w:p w14:paraId="39C71985">
      <w:pPr>
        <w:jc w:val="left"/>
        <w:rPr>
          <w:rFonts w:ascii="宋体" w:hAnsi="宋体" w:cs="宋体"/>
          <w:color w:val="auto"/>
          <w:sz w:val="28"/>
          <w:szCs w:val="28"/>
          <w:highlight w:val="none"/>
        </w:rPr>
      </w:pPr>
    </w:p>
    <w:p w14:paraId="174E7A96">
      <w:pPr>
        <w:jc w:val="left"/>
        <w:rPr>
          <w:rFonts w:ascii="宋体" w:hAnsi="宋体" w:cs="宋体"/>
          <w:color w:val="auto"/>
          <w:sz w:val="28"/>
          <w:szCs w:val="28"/>
          <w:highlight w:val="none"/>
        </w:rPr>
      </w:pPr>
    </w:p>
    <w:p w14:paraId="3237A42A">
      <w:pPr>
        <w:jc w:val="left"/>
        <w:rPr>
          <w:rFonts w:ascii="宋体" w:hAnsi="宋体" w:cs="宋体"/>
          <w:color w:val="auto"/>
          <w:sz w:val="28"/>
          <w:szCs w:val="28"/>
          <w:highlight w:val="none"/>
        </w:rPr>
      </w:pPr>
    </w:p>
    <w:p w14:paraId="3943F006">
      <w:pPr>
        <w:jc w:val="left"/>
        <w:rPr>
          <w:rFonts w:ascii="宋体" w:hAnsi="宋体" w:cs="宋体"/>
          <w:color w:val="auto"/>
          <w:sz w:val="28"/>
          <w:szCs w:val="28"/>
          <w:highlight w:val="none"/>
        </w:rPr>
      </w:pPr>
    </w:p>
    <w:p w14:paraId="0C60F846">
      <w:pPr>
        <w:jc w:val="left"/>
        <w:rPr>
          <w:rFonts w:ascii="宋体" w:hAnsi="宋体" w:cs="宋体"/>
          <w:color w:val="auto"/>
          <w:sz w:val="28"/>
          <w:szCs w:val="28"/>
          <w:highlight w:val="none"/>
        </w:rPr>
      </w:pPr>
    </w:p>
    <w:p w14:paraId="1F22E8F1">
      <w:pPr>
        <w:jc w:val="left"/>
        <w:rPr>
          <w:rFonts w:ascii="宋体" w:hAnsi="宋体" w:cs="宋体"/>
          <w:color w:val="auto"/>
          <w:sz w:val="28"/>
          <w:szCs w:val="28"/>
          <w:highlight w:val="none"/>
        </w:rPr>
      </w:pPr>
    </w:p>
    <w:p w14:paraId="61EA1573">
      <w:pPr>
        <w:jc w:val="left"/>
        <w:rPr>
          <w:rFonts w:ascii="宋体" w:hAnsi="宋体" w:cs="宋体"/>
          <w:color w:val="auto"/>
          <w:sz w:val="28"/>
          <w:szCs w:val="28"/>
          <w:highlight w:val="none"/>
        </w:rPr>
      </w:pPr>
    </w:p>
    <w:p w14:paraId="22B2E75E">
      <w:pPr>
        <w:rPr>
          <w:rFonts w:ascii="宋体" w:hAnsi="宋体" w:cs="宋体"/>
          <w:b/>
          <w:bCs/>
          <w:color w:val="auto"/>
          <w:sz w:val="28"/>
          <w:szCs w:val="28"/>
          <w:highlight w:val="none"/>
        </w:rPr>
      </w:pPr>
      <w:r>
        <w:rPr>
          <w:rFonts w:hint="eastAsia" w:ascii="宋体" w:hAnsi="宋体" w:cs="宋体"/>
          <w:b/>
          <w:bCs/>
          <w:color w:val="auto"/>
          <w:sz w:val="28"/>
          <w:szCs w:val="28"/>
          <w:highlight w:val="none"/>
        </w:rPr>
        <w:br w:type="page"/>
      </w:r>
    </w:p>
    <w:p w14:paraId="7D3B2161">
      <w:pPr>
        <w:pStyle w:val="34"/>
        <w:jc w:val="center"/>
        <w:rPr>
          <w:rFonts w:hAnsi="宋体" w:cs="Times New Roman"/>
          <w:b/>
          <w:color w:val="auto"/>
          <w:kern w:val="2"/>
          <w:sz w:val="32"/>
          <w:szCs w:val="32"/>
          <w:highlight w:val="none"/>
        </w:rPr>
      </w:pPr>
      <w:r>
        <w:rPr>
          <w:rFonts w:hint="eastAsia" w:hAnsi="宋体" w:cs="Times New Roman"/>
          <w:b/>
          <w:color w:val="auto"/>
          <w:kern w:val="2"/>
          <w:sz w:val="32"/>
          <w:szCs w:val="32"/>
          <w:highlight w:val="none"/>
        </w:rPr>
        <w:t>十、政府采购政策</w:t>
      </w:r>
    </w:p>
    <w:p w14:paraId="0268080F">
      <w:pPr>
        <w:autoSpaceDE w:val="0"/>
        <w:autoSpaceDN w:val="0"/>
        <w:adjustRightInd w:val="0"/>
        <w:ind w:right="-20"/>
        <w:jc w:val="left"/>
        <w:rPr>
          <w:rFonts w:ascii="宋体" w:hAnsi="宋体" w:cs="宋体"/>
          <w:b/>
          <w:bCs/>
          <w:color w:val="auto"/>
          <w:kern w:val="0"/>
          <w:sz w:val="24"/>
          <w:highlight w:val="none"/>
        </w:rPr>
      </w:pPr>
    </w:p>
    <w:p w14:paraId="23244052">
      <w:pPr>
        <w:keepNext w:val="0"/>
        <w:keepLines w:val="0"/>
        <w:pageBreakBefore w:val="0"/>
        <w:widowControl w:val="0"/>
        <w:kinsoku/>
        <w:wordWrap/>
        <w:overflowPunct/>
        <w:topLinePunct w:val="0"/>
        <w:autoSpaceDE w:val="0"/>
        <w:autoSpaceDN w:val="0"/>
        <w:bidi w:val="0"/>
        <w:adjustRightInd w:val="0"/>
        <w:snapToGrid/>
        <w:spacing w:line="360" w:lineRule="auto"/>
        <w:ind w:right="-20"/>
        <w:jc w:val="left"/>
        <w:textAlignment w:val="auto"/>
        <w:rPr>
          <w:rFonts w:ascii="宋体" w:hAnsi="宋体" w:eastAsia="宋体" w:cs="宋体"/>
          <w:color w:val="auto"/>
          <w:kern w:val="0"/>
          <w:sz w:val="21"/>
          <w:szCs w:val="21"/>
          <w:highlight w:val="none"/>
        </w:rPr>
      </w:pPr>
      <w:r>
        <w:rPr>
          <w:rFonts w:hint="eastAsia" w:ascii="宋体" w:hAnsi="宋体" w:cs="宋体"/>
          <w:color w:val="auto"/>
          <w:kern w:val="0"/>
          <w:sz w:val="21"/>
          <w:szCs w:val="21"/>
          <w:highlight w:val="none"/>
        </w:rPr>
        <w:t>（</w:t>
      </w:r>
      <w:r>
        <w:rPr>
          <w:rFonts w:hint="eastAsia" w:ascii="宋体" w:hAnsi="宋体" w:eastAsia="宋体" w:cs="宋体"/>
          <w:color w:val="auto"/>
          <w:kern w:val="0"/>
          <w:sz w:val="21"/>
          <w:szCs w:val="21"/>
          <w:highlight w:val="none"/>
        </w:rPr>
        <w:t>1）政府采购政策、采购标的需满足的要求，以及投标人须提供的必要证明材料，否则不予优惠。</w:t>
      </w:r>
    </w:p>
    <w:p w14:paraId="2440C809">
      <w:pPr>
        <w:pStyle w:val="24"/>
        <w:keepNext w:val="0"/>
        <w:keepLines w:val="0"/>
        <w:pageBreakBefore w:val="0"/>
        <w:widowControl w:val="0"/>
        <w:kinsoku/>
        <w:wordWrap/>
        <w:overflowPunct/>
        <w:topLinePunct w:val="0"/>
        <w:bidi w:val="0"/>
        <w:snapToGrid/>
        <w:spacing w:after="0" w:line="360" w:lineRule="auto"/>
        <w:ind w:firstLine="0" w:firstLineChars="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（2）如投标人满足政府采购政策，可按照本章对应格式填写并附相关证明材料。</w:t>
      </w:r>
    </w:p>
    <w:p w14:paraId="5957979B">
      <w:pPr>
        <w:pStyle w:val="24"/>
        <w:keepNext w:val="0"/>
        <w:keepLines w:val="0"/>
        <w:pageBreakBefore w:val="0"/>
        <w:widowControl w:val="0"/>
        <w:kinsoku/>
        <w:wordWrap/>
        <w:overflowPunct/>
        <w:topLinePunct w:val="0"/>
        <w:bidi w:val="0"/>
        <w:snapToGrid/>
        <w:spacing w:after="0" w:line="360" w:lineRule="auto"/>
        <w:ind w:firstLine="0" w:firstLineChars="0"/>
        <w:textAlignment w:val="auto"/>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（3）如果投标人不满足政府采购政策可忽略本章内容。</w:t>
      </w:r>
    </w:p>
    <w:p w14:paraId="00C9754F">
      <w:pPr>
        <w:pStyle w:val="3"/>
        <w:numPr>
          <w:ilvl w:val="1"/>
          <w:numId w:val="0"/>
        </w:numPr>
        <w:spacing w:line="240" w:lineRule="auto"/>
        <w:ind w:left="426"/>
        <w:jc w:val="center"/>
        <w:rPr>
          <w:rFonts w:ascii="宋体" w:hAnsi="宋体" w:eastAsia="宋体" w:cs="宋体"/>
          <w:color w:val="auto"/>
          <w:sz w:val="24"/>
          <w:szCs w:val="22"/>
          <w:highlight w:val="none"/>
        </w:rPr>
      </w:pPr>
      <w:r>
        <w:rPr>
          <w:rFonts w:hint="eastAsia" w:ascii="宋体" w:hAnsi="宋体" w:eastAsia="宋体" w:cs="宋体"/>
          <w:color w:val="auto"/>
          <w:sz w:val="21"/>
          <w:szCs w:val="21"/>
          <w:highlight w:val="none"/>
        </w:rPr>
        <w:br w:type="page"/>
      </w:r>
      <w:r>
        <w:rPr>
          <w:rFonts w:hint="eastAsia" w:ascii="宋体" w:hAnsi="宋体" w:eastAsia="宋体" w:cs="宋体"/>
          <w:color w:val="auto"/>
          <w:sz w:val="21"/>
          <w:szCs w:val="21"/>
          <w:highlight w:val="none"/>
        </w:rPr>
        <w:t>（</w:t>
      </w:r>
      <w:r>
        <w:rPr>
          <w:rFonts w:hint="eastAsia" w:ascii="宋体" w:hAnsi="宋体" w:eastAsia="宋体" w:cs="宋体"/>
          <w:color w:val="auto"/>
          <w:sz w:val="24"/>
          <w:szCs w:val="22"/>
          <w:highlight w:val="none"/>
        </w:rPr>
        <w:t>一）、关于小、微企业及产品（如有）</w:t>
      </w:r>
    </w:p>
    <w:p w14:paraId="26AC88AF">
      <w:pPr>
        <w:spacing w:line="360" w:lineRule="auto"/>
        <w:jc w:val="left"/>
        <w:rPr>
          <w:rFonts w:ascii="宋体" w:hAnsi="宋体" w:cs="宋体"/>
          <w:b/>
          <w:color w:val="auto"/>
          <w:sz w:val="22"/>
          <w:szCs w:val="15"/>
          <w:highlight w:val="none"/>
        </w:rPr>
      </w:pPr>
      <w:r>
        <w:rPr>
          <w:rFonts w:hint="eastAsia" w:ascii="宋体" w:hAnsi="宋体" w:cs="宋体"/>
          <w:b/>
          <w:color w:val="auto"/>
          <w:sz w:val="22"/>
          <w:szCs w:val="15"/>
          <w:highlight w:val="none"/>
        </w:rPr>
        <w:t>1、政府采购政策：</w:t>
      </w:r>
    </w:p>
    <w:p w14:paraId="4BD07BFC">
      <w:pPr>
        <w:spacing w:line="360" w:lineRule="auto"/>
        <w:jc w:val="left"/>
        <w:rPr>
          <w:rFonts w:ascii="宋体" w:hAnsi="宋体" w:cs="宋体"/>
          <w:color w:val="auto"/>
          <w:sz w:val="22"/>
          <w:szCs w:val="15"/>
          <w:highlight w:val="none"/>
        </w:rPr>
      </w:pPr>
      <w:r>
        <w:rPr>
          <w:rFonts w:hint="eastAsia" w:ascii="宋体" w:hAnsi="宋体" w:cs="宋体"/>
          <w:color w:val="auto"/>
          <w:sz w:val="22"/>
          <w:szCs w:val="16"/>
          <w:highlight w:val="none"/>
        </w:rPr>
        <w:t>1.1《政府采购促进中小企业发展管理办法》（财库[2020]46号）</w:t>
      </w:r>
    </w:p>
    <w:p w14:paraId="4AC6EE7E">
      <w:pPr>
        <w:spacing w:line="360" w:lineRule="auto"/>
        <w:jc w:val="left"/>
        <w:rPr>
          <w:rFonts w:ascii="宋体" w:hAnsi="宋体" w:cs="宋体"/>
          <w:color w:val="auto"/>
          <w:sz w:val="22"/>
          <w:szCs w:val="16"/>
          <w:highlight w:val="none"/>
        </w:rPr>
      </w:pPr>
      <w:r>
        <w:rPr>
          <w:rFonts w:hint="eastAsia" w:ascii="宋体" w:hAnsi="宋体" w:cs="宋体"/>
          <w:color w:val="auto"/>
          <w:sz w:val="22"/>
          <w:szCs w:val="16"/>
          <w:highlight w:val="none"/>
        </w:rPr>
        <w:t>1.2《工业和信息化部、国家统计局、国家发展和改革委员会、财政部关于印发中小企业划型标准规定的通知》（工信部联企业[2011]300号）</w:t>
      </w:r>
    </w:p>
    <w:p w14:paraId="0BEF9EA0">
      <w:pPr>
        <w:spacing w:line="360" w:lineRule="auto"/>
        <w:jc w:val="left"/>
        <w:rPr>
          <w:rFonts w:ascii="宋体" w:hAnsi="宋体" w:cs="宋体"/>
          <w:b/>
          <w:color w:val="auto"/>
          <w:sz w:val="22"/>
          <w:szCs w:val="15"/>
          <w:highlight w:val="none"/>
        </w:rPr>
      </w:pPr>
      <w:r>
        <w:rPr>
          <w:rFonts w:hint="eastAsia" w:ascii="宋体" w:hAnsi="宋体" w:cs="宋体"/>
          <w:b/>
          <w:color w:val="auto"/>
          <w:sz w:val="22"/>
          <w:szCs w:val="16"/>
          <w:highlight w:val="none"/>
        </w:rPr>
        <w:t>2、附声明函（</w:t>
      </w:r>
      <w:r>
        <w:rPr>
          <w:rFonts w:hint="eastAsia" w:ascii="宋体" w:hAnsi="宋体" w:cs="宋体"/>
          <w:color w:val="auto"/>
          <w:sz w:val="22"/>
          <w:szCs w:val="15"/>
          <w:highlight w:val="none"/>
        </w:rPr>
        <w:t>无声明函投标报价评审时不予价格扣除优惠</w:t>
      </w:r>
      <w:r>
        <w:rPr>
          <w:rFonts w:hint="eastAsia" w:ascii="宋体" w:hAnsi="宋体" w:cs="宋体"/>
          <w:b/>
          <w:color w:val="auto"/>
          <w:sz w:val="22"/>
          <w:szCs w:val="16"/>
          <w:highlight w:val="none"/>
        </w:rPr>
        <w:t>）</w:t>
      </w:r>
    </w:p>
    <w:p w14:paraId="77D3E508">
      <w:pPr>
        <w:jc w:val="center"/>
        <w:rPr>
          <w:rFonts w:ascii="宋体" w:hAnsi="宋体" w:cs="宋体"/>
          <w:color w:val="auto"/>
          <w:sz w:val="24"/>
          <w:szCs w:val="16"/>
          <w:highlight w:val="none"/>
        </w:rPr>
      </w:pPr>
    </w:p>
    <w:p w14:paraId="70B52D68">
      <w:pPr>
        <w:rPr>
          <w:rFonts w:ascii="宋体" w:hAnsi="宋体"/>
          <w:color w:val="auto"/>
          <w:highlight w:val="none"/>
        </w:rPr>
      </w:pPr>
    </w:p>
    <w:p w14:paraId="1C834279">
      <w:pPr>
        <w:pStyle w:val="34"/>
        <w:rPr>
          <w:color w:val="auto"/>
          <w:highlight w:val="none"/>
        </w:rPr>
      </w:pPr>
    </w:p>
    <w:p w14:paraId="48CE2296">
      <w:pPr>
        <w:pStyle w:val="34"/>
        <w:rPr>
          <w:color w:val="auto"/>
          <w:highlight w:val="none"/>
        </w:rPr>
      </w:pPr>
    </w:p>
    <w:p w14:paraId="4FBF26B4">
      <w:pPr>
        <w:pStyle w:val="34"/>
        <w:rPr>
          <w:color w:val="auto"/>
          <w:highlight w:val="none"/>
        </w:rPr>
      </w:pPr>
    </w:p>
    <w:p w14:paraId="0643C65D">
      <w:pPr>
        <w:pStyle w:val="34"/>
        <w:rPr>
          <w:color w:val="auto"/>
          <w:highlight w:val="none"/>
        </w:rPr>
      </w:pPr>
    </w:p>
    <w:p w14:paraId="78533EA8">
      <w:pPr>
        <w:pStyle w:val="34"/>
        <w:rPr>
          <w:color w:val="auto"/>
          <w:highlight w:val="none"/>
        </w:rPr>
      </w:pPr>
    </w:p>
    <w:p w14:paraId="2EB11C81">
      <w:pPr>
        <w:pStyle w:val="34"/>
        <w:rPr>
          <w:color w:val="auto"/>
          <w:highlight w:val="none"/>
        </w:rPr>
      </w:pPr>
    </w:p>
    <w:p w14:paraId="20E567E2">
      <w:pPr>
        <w:pStyle w:val="34"/>
        <w:rPr>
          <w:color w:val="auto"/>
          <w:highlight w:val="none"/>
        </w:rPr>
      </w:pPr>
    </w:p>
    <w:p w14:paraId="2FEFE281">
      <w:pPr>
        <w:pStyle w:val="34"/>
        <w:rPr>
          <w:color w:val="auto"/>
          <w:highlight w:val="none"/>
        </w:rPr>
      </w:pPr>
    </w:p>
    <w:p w14:paraId="0F43FEFF">
      <w:pPr>
        <w:pStyle w:val="34"/>
        <w:rPr>
          <w:color w:val="auto"/>
          <w:highlight w:val="none"/>
        </w:rPr>
      </w:pPr>
    </w:p>
    <w:p w14:paraId="2BADB023">
      <w:pPr>
        <w:pStyle w:val="34"/>
        <w:rPr>
          <w:color w:val="auto"/>
          <w:highlight w:val="none"/>
        </w:rPr>
      </w:pPr>
    </w:p>
    <w:p w14:paraId="3B7FBB4E">
      <w:pPr>
        <w:pStyle w:val="34"/>
        <w:rPr>
          <w:color w:val="auto"/>
          <w:highlight w:val="none"/>
        </w:rPr>
      </w:pPr>
    </w:p>
    <w:p w14:paraId="052A8FB6">
      <w:pPr>
        <w:pStyle w:val="34"/>
        <w:rPr>
          <w:color w:val="auto"/>
          <w:highlight w:val="none"/>
        </w:rPr>
      </w:pPr>
    </w:p>
    <w:p w14:paraId="41862E98">
      <w:pPr>
        <w:pStyle w:val="34"/>
        <w:rPr>
          <w:color w:val="auto"/>
          <w:highlight w:val="none"/>
        </w:rPr>
      </w:pPr>
    </w:p>
    <w:p w14:paraId="5D17C8A0">
      <w:pPr>
        <w:pStyle w:val="34"/>
        <w:rPr>
          <w:color w:val="auto"/>
          <w:highlight w:val="none"/>
        </w:rPr>
      </w:pPr>
    </w:p>
    <w:p w14:paraId="23E6CAE5">
      <w:pPr>
        <w:pStyle w:val="34"/>
        <w:rPr>
          <w:color w:val="auto"/>
          <w:highlight w:val="none"/>
        </w:rPr>
      </w:pPr>
    </w:p>
    <w:p w14:paraId="29081D47">
      <w:pPr>
        <w:pStyle w:val="34"/>
        <w:rPr>
          <w:color w:val="auto"/>
          <w:highlight w:val="none"/>
        </w:rPr>
      </w:pPr>
    </w:p>
    <w:p w14:paraId="0D862855">
      <w:pPr>
        <w:pStyle w:val="34"/>
        <w:rPr>
          <w:color w:val="auto"/>
          <w:highlight w:val="none"/>
        </w:rPr>
      </w:pPr>
    </w:p>
    <w:p w14:paraId="2A7E8719">
      <w:pPr>
        <w:pStyle w:val="34"/>
        <w:rPr>
          <w:color w:val="auto"/>
          <w:highlight w:val="none"/>
        </w:rPr>
      </w:pPr>
    </w:p>
    <w:p w14:paraId="3A697251">
      <w:pPr>
        <w:pStyle w:val="34"/>
        <w:rPr>
          <w:color w:val="auto"/>
          <w:highlight w:val="none"/>
        </w:rPr>
      </w:pPr>
    </w:p>
    <w:p w14:paraId="0169F9BA">
      <w:pPr>
        <w:pStyle w:val="34"/>
        <w:rPr>
          <w:color w:val="auto"/>
          <w:highlight w:val="none"/>
        </w:rPr>
      </w:pPr>
    </w:p>
    <w:p w14:paraId="4A025C5D">
      <w:pPr>
        <w:pStyle w:val="34"/>
        <w:rPr>
          <w:color w:val="auto"/>
          <w:highlight w:val="none"/>
        </w:rPr>
      </w:pPr>
    </w:p>
    <w:p w14:paraId="6ECCD625">
      <w:pPr>
        <w:pStyle w:val="34"/>
        <w:rPr>
          <w:color w:val="auto"/>
          <w:highlight w:val="none"/>
        </w:rPr>
      </w:pPr>
    </w:p>
    <w:p w14:paraId="2F199EE5">
      <w:pPr>
        <w:pStyle w:val="34"/>
        <w:rPr>
          <w:color w:val="auto"/>
          <w:highlight w:val="none"/>
        </w:rPr>
      </w:pPr>
    </w:p>
    <w:p w14:paraId="05C96327">
      <w:pPr>
        <w:pStyle w:val="34"/>
        <w:rPr>
          <w:color w:val="auto"/>
          <w:highlight w:val="none"/>
        </w:rPr>
      </w:pPr>
    </w:p>
    <w:p w14:paraId="1B67C0BA">
      <w:pPr>
        <w:pStyle w:val="34"/>
        <w:rPr>
          <w:color w:val="auto"/>
          <w:highlight w:val="none"/>
        </w:rPr>
      </w:pPr>
    </w:p>
    <w:p w14:paraId="72639646">
      <w:pPr>
        <w:pStyle w:val="34"/>
        <w:rPr>
          <w:color w:val="auto"/>
          <w:highlight w:val="none"/>
        </w:rPr>
      </w:pPr>
    </w:p>
    <w:p w14:paraId="3ED9F0FF">
      <w:pPr>
        <w:pStyle w:val="34"/>
        <w:rPr>
          <w:color w:val="auto"/>
          <w:highlight w:val="none"/>
        </w:rPr>
      </w:pPr>
    </w:p>
    <w:p w14:paraId="7EE13D05">
      <w:pPr>
        <w:pStyle w:val="34"/>
        <w:rPr>
          <w:color w:val="auto"/>
          <w:highlight w:val="none"/>
        </w:rPr>
      </w:pPr>
    </w:p>
    <w:p w14:paraId="19750328">
      <w:pPr>
        <w:pStyle w:val="34"/>
        <w:rPr>
          <w:color w:val="auto"/>
          <w:highlight w:val="none"/>
        </w:rPr>
      </w:pPr>
    </w:p>
    <w:p w14:paraId="58D989A4">
      <w:pPr>
        <w:pStyle w:val="34"/>
        <w:rPr>
          <w:color w:val="auto"/>
          <w:highlight w:val="none"/>
        </w:rPr>
      </w:pPr>
    </w:p>
    <w:p w14:paraId="68378E1D">
      <w:pPr>
        <w:pStyle w:val="12"/>
        <w:jc w:val="center"/>
        <w:rPr>
          <w:rFonts w:hint="eastAsia" w:ascii="宋体" w:hAnsi="宋体" w:eastAsia="宋体" w:cs="宋体"/>
          <w:b/>
          <w:bCs/>
          <w:color w:val="auto"/>
          <w:sz w:val="24"/>
          <w:szCs w:val="24"/>
        </w:rPr>
      </w:pPr>
      <w:bookmarkStart w:id="179" w:name="_Toc87002956"/>
      <w:bookmarkStart w:id="180" w:name="_Toc20558"/>
      <w:r>
        <w:rPr>
          <w:rFonts w:hint="eastAsia" w:ascii="宋体" w:hAnsi="宋体" w:eastAsia="宋体" w:cs="宋体"/>
          <w:color w:val="auto"/>
          <w:sz w:val="28"/>
          <w:szCs w:val="28"/>
          <w:highlight w:val="none"/>
        </w:rPr>
        <w:br w:type="page"/>
      </w:r>
      <w:bookmarkEnd w:id="179"/>
      <w:bookmarkEnd w:id="180"/>
      <w:r>
        <w:rPr>
          <w:rFonts w:hint="eastAsia" w:ascii="宋体" w:hAnsi="宋体" w:eastAsia="宋体" w:cs="宋体"/>
          <w:b/>
          <w:bCs/>
          <w:color w:val="auto"/>
          <w:sz w:val="24"/>
          <w:szCs w:val="24"/>
        </w:rPr>
        <w:t>中小企业声明函</w:t>
      </w:r>
    </w:p>
    <w:p w14:paraId="53DA4FB7">
      <w:pPr>
        <w:adjustRightInd w:val="0"/>
        <w:snapToGrid w:val="0"/>
        <w:spacing w:line="440" w:lineRule="exact"/>
        <w:ind w:firstLine="444" w:firstLineChars="200"/>
        <w:rPr>
          <w:rFonts w:hint="eastAsia" w:ascii="宋体" w:hAnsi="宋体" w:cs="宋体"/>
          <w:color w:val="auto"/>
          <w:spacing w:val="6"/>
          <w:sz w:val="21"/>
          <w:szCs w:val="21"/>
          <w:highlight w:val="none"/>
        </w:rPr>
      </w:pPr>
    </w:p>
    <w:p w14:paraId="6FDD23BB">
      <w:pPr>
        <w:bidi w:val="0"/>
        <w:ind w:firstLine="420" w:firstLineChars="200"/>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本公司郑重声明，根据《政府采购促进中小企业发展管理办法》（财库﹝2020﹞46 号）的规定，本公司参加</w:t>
      </w:r>
      <w:r>
        <w:rPr>
          <w:rFonts w:hint="eastAsia" w:ascii="宋体" w:hAnsi="宋体" w:eastAsia="宋体" w:cs="宋体"/>
          <w:bCs/>
          <w:iCs/>
          <w:color w:val="auto"/>
          <w:kern w:val="2"/>
          <w:sz w:val="21"/>
          <w:szCs w:val="21"/>
          <w:highlight w:val="none"/>
          <w:u w:val="single"/>
        </w:rPr>
        <w:t>（单位名称）</w:t>
      </w:r>
      <w:r>
        <w:rPr>
          <w:rFonts w:hint="eastAsia" w:ascii="宋体" w:hAnsi="宋体" w:eastAsia="宋体" w:cs="宋体"/>
          <w:bCs/>
          <w:color w:val="auto"/>
          <w:kern w:val="2"/>
          <w:sz w:val="21"/>
          <w:szCs w:val="21"/>
          <w:highlight w:val="none"/>
        </w:rPr>
        <w:t xml:space="preserve">的 </w:t>
      </w:r>
      <w:r>
        <w:rPr>
          <w:rFonts w:hint="eastAsia" w:ascii="宋体" w:hAnsi="宋体" w:eastAsia="宋体" w:cs="宋体"/>
          <w:bCs/>
          <w:color w:val="auto"/>
          <w:kern w:val="2"/>
          <w:sz w:val="21"/>
          <w:szCs w:val="21"/>
          <w:highlight w:val="none"/>
          <w:u w:val="single"/>
        </w:rPr>
        <w:t xml:space="preserve">  </w:t>
      </w:r>
      <w:r>
        <w:rPr>
          <w:rFonts w:hint="eastAsia" w:ascii="宋体" w:hAnsi="宋体" w:eastAsia="宋体" w:cs="宋体"/>
          <w:bCs/>
          <w:iCs/>
          <w:color w:val="auto"/>
          <w:kern w:val="2"/>
          <w:sz w:val="21"/>
          <w:szCs w:val="21"/>
          <w:highlight w:val="none"/>
          <w:u w:val="single"/>
        </w:rPr>
        <w:t>（项目名称）</w:t>
      </w:r>
      <w:r>
        <w:rPr>
          <w:rFonts w:hint="eastAsia" w:ascii="宋体" w:hAnsi="宋体" w:eastAsia="宋体" w:cs="宋体"/>
          <w:bCs/>
          <w:color w:val="auto"/>
          <w:kern w:val="2"/>
          <w:sz w:val="21"/>
          <w:szCs w:val="21"/>
          <w:highlight w:val="none"/>
        </w:rPr>
        <w:t xml:space="preserve">采购活动，提供的货物全部由符合政策要求的中小企业制造。相关企业的具体情况如下： </w:t>
      </w:r>
    </w:p>
    <w:p w14:paraId="0F0433B9">
      <w:pPr>
        <w:bidi w:val="0"/>
        <w:ind w:firstLine="420" w:firstLineChars="200"/>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 xml:space="preserve">1. </w:t>
      </w:r>
      <w:r>
        <w:rPr>
          <w:rFonts w:hint="eastAsia" w:ascii="宋体" w:hAnsi="宋体" w:eastAsia="宋体" w:cs="宋体"/>
          <w:bCs/>
          <w:iCs/>
          <w:color w:val="auto"/>
          <w:kern w:val="2"/>
          <w:sz w:val="21"/>
          <w:szCs w:val="21"/>
          <w:highlight w:val="none"/>
          <w:u w:val="single"/>
        </w:rPr>
        <w:t>（标的名称）</w:t>
      </w:r>
      <w:r>
        <w:rPr>
          <w:rFonts w:hint="eastAsia" w:ascii="宋体" w:hAnsi="宋体" w:eastAsia="宋体" w:cs="宋体"/>
          <w:bCs/>
          <w:i/>
          <w:iCs/>
          <w:color w:val="auto"/>
          <w:kern w:val="2"/>
          <w:sz w:val="21"/>
          <w:szCs w:val="21"/>
          <w:highlight w:val="none"/>
          <w:u w:val="single"/>
        </w:rPr>
        <w:t xml:space="preserve"> </w:t>
      </w:r>
      <w:r>
        <w:rPr>
          <w:rFonts w:hint="eastAsia" w:ascii="宋体" w:hAnsi="宋体" w:eastAsia="宋体" w:cs="宋体"/>
          <w:bCs/>
          <w:color w:val="auto"/>
          <w:kern w:val="2"/>
          <w:sz w:val="21"/>
          <w:szCs w:val="21"/>
          <w:highlight w:val="none"/>
        </w:rPr>
        <w:t>，属于</w:t>
      </w:r>
      <w:r>
        <w:rPr>
          <w:rFonts w:hint="eastAsia" w:ascii="宋体" w:hAnsi="宋体" w:eastAsia="宋体" w:cs="宋体"/>
          <w:bCs/>
          <w:iCs/>
          <w:color w:val="auto"/>
          <w:kern w:val="2"/>
          <w:sz w:val="21"/>
          <w:szCs w:val="21"/>
          <w:highlight w:val="none"/>
          <w:u w:val="single"/>
        </w:rPr>
        <w:t xml:space="preserve">       </w:t>
      </w:r>
      <w:r>
        <w:rPr>
          <w:rFonts w:hint="eastAsia" w:ascii="宋体" w:hAnsi="宋体" w:eastAsia="宋体" w:cs="宋体"/>
          <w:bCs/>
          <w:color w:val="auto"/>
          <w:kern w:val="2"/>
          <w:sz w:val="21"/>
          <w:szCs w:val="21"/>
          <w:highlight w:val="none"/>
        </w:rPr>
        <w:t>行业；制造商为</w:t>
      </w:r>
      <w:r>
        <w:rPr>
          <w:rFonts w:hint="eastAsia" w:ascii="宋体" w:hAnsi="宋体" w:eastAsia="宋体" w:cs="宋体"/>
          <w:bCs/>
          <w:iCs/>
          <w:color w:val="auto"/>
          <w:kern w:val="2"/>
          <w:sz w:val="21"/>
          <w:szCs w:val="21"/>
          <w:highlight w:val="none"/>
          <w:u w:val="single"/>
        </w:rPr>
        <w:t>（企业名称）</w:t>
      </w:r>
      <w:r>
        <w:rPr>
          <w:rFonts w:hint="eastAsia" w:ascii="宋体" w:hAnsi="宋体" w:eastAsia="宋体" w:cs="宋体"/>
          <w:bCs/>
          <w:color w:val="auto"/>
          <w:kern w:val="2"/>
          <w:sz w:val="21"/>
          <w:szCs w:val="21"/>
          <w:highlight w:val="none"/>
        </w:rPr>
        <w:t>，从业人员</w:t>
      </w:r>
      <w:r>
        <w:rPr>
          <w:rFonts w:hint="eastAsia" w:ascii="宋体" w:hAnsi="宋体" w:eastAsia="宋体" w:cs="宋体"/>
          <w:bCs/>
          <w:color w:val="auto"/>
          <w:kern w:val="2"/>
          <w:sz w:val="21"/>
          <w:szCs w:val="21"/>
          <w:highlight w:val="none"/>
          <w:u w:val="single"/>
        </w:rPr>
        <w:t xml:space="preserve">    </w:t>
      </w:r>
      <w:r>
        <w:rPr>
          <w:rFonts w:hint="eastAsia" w:ascii="宋体" w:hAnsi="宋体" w:eastAsia="宋体" w:cs="宋体"/>
          <w:bCs/>
          <w:color w:val="auto"/>
          <w:kern w:val="2"/>
          <w:sz w:val="21"/>
          <w:szCs w:val="21"/>
          <w:highlight w:val="none"/>
        </w:rPr>
        <w:t>人，营业收入为</w:t>
      </w:r>
      <w:r>
        <w:rPr>
          <w:rFonts w:hint="eastAsia" w:ascii="宋体" w:hAnsi="宋体" w:eastAsia="宋体" w:cs="宋体"/>
          <w:bCs/>
          <w:color w:val="auto"/>
          <w:kern w:val="2"/>
          <w:sz w:val="21"/>
          <w:szCs w:val="21"/>
          <w:highlight w:val="none"/>
          <w:u w:val="single"/>
        </w:rPr>
        <w:t xml:space="preserve">     </w:t>
      </w:r>
      <w:r>
        <w:rPr>
          <w:rFonts w:hint="eastAsia" w:ascii="宋体" w:hAnsi="宋体" w:eastAsia="宋体" w:cs="宋体"/>
          <w:bCs/>
          <w:color w:val="auto"/>
          <w:kern w:val="2"/>
          <w:sz w:val="21"/>
          <w:szCs w:val="21"/>
          <w:highlight w:val="none"/>
        </w:rPr>
        <w:t>万元，资产总额为</w:t>
      </w:r>
      <w:r>
        <w:rPr>
          <w:rFonts w:hint="eastAsia" w:ascii="宋体" w:hAnsi="宋体" w:eastAsia="宋体" w:cs="宋体"/>
          <w:bCs/>
          <w:color w:val="auto"/>
          <w:kern w:val="2"/>
          <w:sz w:val="21"/>
          <w:szCs w:val="21"/>
          <w:highlight w:val="none"/>
          <w:u w:val="single"/>
        </w:rPr>
        <w:t xml:space="preserve">      </w:t>
      </w:r>
      <w:r>
        <w:rPr>
          <w:rFonts w:hint="eastAsia" w:ascii="宋体" w:hAnsi="宋体" w:eastAsia="宋体" w:cs="宋体"/>
          <w:bCs/>
          <w:color w:val="auto"/>
          <w:kern w:val="2"/>
          <w:sz w:val="21"/>
          <w:szCs w:val="21"/>
          <w:highlight w:val="none"/>
        </w:rPr>
        <w:t>万元，属于</w:t>
      </w:r>
      <w:r>
        <w:rPr>
          <w:rFonts w:hint="eastAsia" w:ascii="宋体" w:hAnsi="宋体" w:eastAsia="宋体" w:cs="宋体"/>
          <w:bCs/>
          <w:i/>
          <w:iCs/>
          <w:color w:val="auto"/>
          <w:kern w:val="2"/>
          <w:sz w:val="21"/>
          <w:szCs w:val="21"/>
          <w:highlight w:val="none"/>
          <w:u w:val="single"/>
        </w:rPr>
        <w:t>（</w:t>
      </w:r>
      <w:r>
        <w:rPr>
          <w:rFonts w:hint="eastAsia" w:ascii="宋体" w:hAnsi="宋体" w:eastAsia="宋体" w:cs="宋体"/>
          <w:bCs/>
          <w:iCs/>
          <w:color w:val="auto"/>
          <w:kern w:val="2"/>
          <w:sz w:val="21"/>
          <w:szCs w:val="21"/>
          <w:highlight w:val="none"/>
          <w:u w:val="single"/>
        </w:rPr>
        <w:t>中型企业、小型企业、微型企业）</w:t>
      </w:r>
      <w:r>
        <w:rPr>
          <w:rFonts w:hint="eastAsia" w:ascii="宋体" w:hAnsi="宋体" w:eastAsia="宋体" w:cs="宋体"/>
          <w:bCs/>
          <w:color w:val="auto"/>
          <w:kern w:val="2"/>
          <w:sz w:val="21"/>
          <w:szCs w:val="21"/>
          <w:highlight w:val="none"/>
        </w:rPr>
        <w:t xml:space="preserve">； </w:t>
      </w:r>
    </w:p>
    <w:p w14:paraId="4454CF40">
      <w:pPr>
        <w:bidi w:val="0"/>
        <w:ind w:firstLine="420" w:firstLineChars="200"/>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 xml:space="preserve">2. </w:t>
      </w:r>
      <w:r>
        <w:rPr>
          <w:rFonts w:hint="eastAsia" w:ascii="宋体" w:hAnsi="宋体" w:eastAsia="宋体" w:cs="宋体"/>
          <w:bCs/>
          <w:iCs/>
          <w:color w:val="auto"/>
          <w:kern w:val="2"/>
          <w:sz w:val="21"/>
          <w:szCs w:val="21"/>
          <w:highlight w:val="none"/>
          <w:u w:val="single"/>
        </w:rPr>
        <w:t>（标的名称）</w:t>
      </w:r>
      <w:r>
        <w:rPr>
          <w:rFonts w:hint="eastAsia" w:ascii="宋体" w:hAnsi="宋体" w:eastAsia="宋体" w:cs="宋体"/>
          <w:bCs/>
          <w:color w:val="auto"/>
          <w:kern w:val="2"/>
          <w:sz w:val="21"/>
          <w:szCs w:val="21"/>
          <w:highlight w:val="none"/>
          <w:u w:val="single"/>
        </w:rPr>
        <w:t xml:space="preserve"> </w:t>
      </w:r>
      <w:r>
        <w:rPr>
          <w:rFonts w:hint="eastAsia" w:ascii="宋体" w:hAnsi="宋体" w:eastAsia="宋体" w:cs="宋体"/>
          <w:bCs/>
          <w:color w:val="auto"/>
          <w:kern w:val="2"/>
          <w:sz w:val="21"/>
          <w:szCs w:val="21"/>
          <w:highlight w:val="none"/>
        </w:rPr>
        <w:t>，属于</w:t>
      </w:r>
      <w:r>
        <w:rPr>
          <w:rFonts w:hint="eastAsia" w:ascii="宋体" w:hAnsi="宋体" w:eastAsia="宋体" w:cs="宋体"/>
          <w:bCs/>
          <w:iCs/>
          <w:color w:val="auto"/>
          <w:kern w:val="2"/>
          <w:sz w:val="21"/>
          <w:szCs w:val="21"/>
          <w:highlight w:val="none"/>
          <w:u w:val="single"/>
        </w:rPr>
        <w:t xml:space="preserve">   </w:t>
      </w:r>
      <w:r>
        <w:rPr>
          <w:rFonts w:hint="eastAsia" w:ascii="宋体" w:hAnsi="宋体" w:eastAsia="宋体" w:cs="宋体"/>
          <w:bCs/>
          <w:iCs/>
          <w:color w:val="auto"/>
          <w:kern w:val="2"/>
          <w:sz w:val="21"/>
          <w:szCs w:val="21"/>
          <w:highlight w:val="none"/>
          <w:u w:val="single"/>
          <w:lang w:val="en-US" w:eastAsia="zh-CN"/>
        </w:rPr>
        <w:t xml:space="preserve">  </w:t>
      </w:r>
      <w:r>
        <w:rPr>
          <w:rFonts w:hint="eastAsia" w:ascii="宋体" w:hAnsi="宋体" w:eastAsia="宋体" w:cs="宋体"/>
          <w:bCs/>
          <w:iCs/>
          <w:color w:val="auto"/>
          <w:kern w:val="2"/>
          <w:sz w:val="21"/>
          <w:szCs w:val="21"/>
          <w:highlight w:val="none"/>
          <w:u w:val="single"/>
        </w:rPr>
        <w:t xml:space="preserve"> </w:t>
      </w:r>
      <w:r>
        <w:rPr>
          <w:rFonts w:hint="eastAsia" w:ascii="宋体" w:hAnsi="宋体" w:eastAsia="宋体" w:cs="宋体"/>
          <w:bCs/>
          <w:color w:val="auto"/>
          <w:kern w:val="2"/>
          <w:sz w:val="21"/>
          <w:szCs w:val="21"/>
          <w:highlight w:val="none"/>
        </w:rPr>
        <w:t>行业；制造商为</w:t>
      </w:r>
      <w:r>
        <w:rPr>
          <w:rFonts w:hint="eastAsia" w:ascii="宋体" w:hAnsi="宋体" w:eastAsia="宋体" w:cs="宋体"/>
          <w:bCs/>
          <w:color w:val="auto"/>
          <w:kern w:val="2"/>
          <w:sz w:val="21"/>
          <w:szCs w:val="21"/>
          <w:highlight w:val="none"/>
          <w:u w:val="single"/>
        </w:rPr>
        <w:t>（</w:t>
      </w:r>
      <w:r>
        <w:rPr>
          <w:rFonts w:hint="eastAsia" w:ascii="宋体" w:hAnsi="宋体" w:eastAsia="宋体" w:cs="宋体"/>
          <w:bCs/>
          <w:iCs/>
          <w:color w:val="auto"/>
          <w:kern w:val="2"/>
          <w:sz w:val="21"/>
          <w:szCs w:val="21"/>
          <w:highlight w:val="none"/>
          <w:u w:val="single"/>
        </w:rPr>
        <w:t>企业名称），</w:t>
      </w:r>
      <w:r>
        <w:rPr>
          <w:rFonts w:hint="eastAsia" w:ascii="宋体" w:hAnsi="宋体" w:eastAsia="宋体" w:cs="宋体"/>
          <w:bCs/>
          <w:color w:val="auto"/>
          <w:kern w:val="2"/>
          <w:sz w:val="21"/>
          <w:szCs w:val="21"/>
          <w:highlight w:val="none"/>
        </w:rPr>
        <w:t>从业人员</w:t>
      </w:r>
      <w:r>
        <w:rPr>
          <w:rFonts w:hint="eastAsia" w:ascii="宋体" w:hAnsi="宋体" w:eastAsia="宋体" w:cs="宋体"/>
          <w:bCs/>
          <w:color w:val="auto"/>
          <w:kern w:val="2"/>
          <w:sz w:val="21"/>
          <w:szCs w:val="21"/>
          <w:highlight w:val="none"/>
          <w:u w:val="single"/>
        </w:rPr>
        <w:t xml:space="preserve">   </w:t>
      </w:r>
      <w:r>
        <w:rPr>
          <w:rFonts w:hint="eastAsia" w:ascii="宋体" w:hAnsi="宋体" w:eastAsia="宋体" w:cs="宋体"/>
          <w:bCs/>
          <w:color w:val="auto"/>
          <w:kern w:val="2"/>
          <w:sz w:val="21"/>
          <w:szCs w:val="21"/>
          <w:highlight w:val="none"/>
        </w:rPr>
        <w:t>人，营业收入为</w:t>
      </w:r>
      <w:r>
        <w:rPr>
          <w:rFonts w:hint="eastAsia" w:ascii="宋体" w:hAnsi="宋体" w:eastAsia="宋体" w:cs="宋体"/>
          <w:bCs/>
          <w:color w:val="auto"/>
          <w:kern w:val="2"/>
          <w:sz w:val="21"/>
          <w:szCs w:val="21"/>
          <w:highlight w:val="none"/>
          <w:u w:val="single"/>
        </w:rPr>
        <w:t xml:space="preserve">    </w:t>
      </w:r>
      <w:r>
        <w:rPr>
          <w:rFonts w:hint="eastAsia" w:ascii="宋体" w:hAnsi="宋体" w:eastAsia="宋体" w:cs="宋体"/>
          <w:bCs/>
          <w:color w:val="auto"/>
          <w:kern w:val="2"/>
          <w:sz w:val="21"/>
          <w:szCs w:val="21"/>
          <w:highlight w:val="none"/>
        </w:rPr>
        <w:t>万元，资产总额为</w:t>
      </w:r>
      <w:r>
        <w:rPr>
          <w:rFonts w:hint="eastAsia" w:ascii="宋体" w:hAnsi="宋体" w:eastAsia="宋体" w:cs="宋体"/>
          <w:bCs/>
          <w:color w:val="auto"/>
          <w:kern w:val="2"/>
          <w:sz w:val="21"/>
          <w:szCs w:val="21"/>
          <w:highlight w:val="none"/>
          <w:u w:val="single"/>
        </w:rPr>
        <w:t xml:space="preserve">     </w:t>
      </w:r>
      <w:r>
        <w:rPr>
          <w:rFonts w:hint="eastAsia" w:ascii="宋体" w:hAnsi="宋体" w:eastAsia="宋体" w:cs="宋体"/>
          <w:bCs/>
          <w:color w:val="auto"/>
          <w:kern w:val="2"/>
          <w:sz w:val="21"/>
          <w:szCs w:val="21"/>
          <w:highlight w:val="none"/>
        </w:rPr>
        <w:t>万元，属于</w:t>
      </w:r>
      <w:r>
        <w:rPr>
          <w:rFonts w:hint="eastAsia" w:ascii="宋体" w:hAnsi="宋体" w:eastAsia="宋体" w:cs="宋体"/>
          <w:bCs/>
          <w:iCs/>
          <w:color w:val="auto"/>
          <w:kern w:val="2"/>
          <w:sz w:val="21"/>
          <w:szCs w:val="21"/>
          <w:highlight w:val="none"/>
          <w:u w:val="single"/>
        </w:rPr>
        <w:t>（中型企业、小型企业、微型企业）</w:t>
      </w:r>
      <w:r>
        <w:rPr>
          <w:rFonts w:hint="eastAsia" w:ascii="宋体" w:hAnsi="宋体" w:eastAsia="宋体" w:cs="宋体"/>
          <w:bCs/>
          <w:color w:val="auto"/>
          <w:kern w:val="2"/>
          <w:sz w:val="21"/>
          <w:szCs w:val="21"/>
          <w:highlight w:val="none"/>
        </w:rPr>
        <w:t xml:space="preserve">； </w:t>
      </w:r>
    </w:p>
    <w:p w14:paraId="2B687848">
      <w:pPr>
        <w:widowControl/>
        <w:spacing w:line="360" w:lineRule="auto"/>
        <w:ind w:firstLine="420" w:firstLineChars="200"/>
        <w:jc w:val="left"/>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w:t>
      </w:r>
    </w:p>
    <w:p w14:paraId="6FFFBE9F">
      <w:pPr>
        <w:bidi w:val="0"/>
        <w:ind w:firstLine="420" w:firstLineChars="200"/>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以上企业，不属于大企业的分支机构，不存在控股股东为大企业的情形，也不存在与大企业的负责人为同一人的情形。</w:t>
      </w:r>
    </w:p>
    <w:p w14:paraId="2DE0CAC3">
      <w:pPr>
        <w:bidi w:val="0"/>
        <w:ind w:firstLine="420" w:firstLineChars="200"/>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 xml:space="preserve">本企业对上述声明内容的真实性负责。如有虚假，将依法承担相应责任。 </w:t>
      </w:r>
    </w:p>
    <w:p w14:paraId="3B12D463">
      <w:pPr>
        <w:spacing w:line="588" w:lineRule="exact"/>
        <w:ind w:firstLine="444" w:firstLineChars="200"/>
        <w:jc w:val="both"/>
        <w:rPr>
          <w:rFonts w:hint="eastAsia" w:ascii="宋体" w:hAnsi="宋体" w:eastAsia="宋体" w:cs="宋体"/>
          <w:color w:val="auto"/>
          <w:spacing w:val="6"/>
          <w:kern w:val="0"/>
          <w:sz w:val="21"/>
          <w:szCs w:val="21"/>
          <w:highlight w:val="none"/>
        </w:rPr>
      </w:pPr>
      <w:r>
        <w:rPr>
          <w:rFonts w:hint="eastAsia" w:ascii="宋体" w:hAnsi="宋体" w:eastAsia="宋体" w:cs="宋体"/>
          <w:color w:val="auto"/>
          <w:spacing w:val="6"/>
          <w:kern w:val="0"/>
          <w:sz w:val="21"/>
          <w:szCs w:val="21"/>
          <w:highlight w:val="none"/>
        </w:rPr>
        <w:t xml:space="preserve"> </w:t>
      </w:r>
    </w:p>
    <w:p w14:paraId="41444B46">
      <w:pPr>
        <w:pStyle w:val="34"/>
        <w:rPr>
          <w:rFonts w:hint="eastAsia" w:ascii="宋体" w:hAnsi="宋体" w:eastAsia="宋体" w:cs="宋体"/>
          <w:color w:val="auto"/>
          <w:spacing w:val="6"/>
          <w:kern w:val="0"/>
          <w:sz w:val="21"/>
          <w:szCs w:val="21"/>
          <w:highlight w:val="none"/>
        </w:rPr>
      </w:pPr>
    </w:p>
    <w:p w14:paraId="26131B38">
      <w:pPr>
        <w:pStyle w:val="35"/>
        <w:rPr>
          <w:rFonts w:hint="eastAsia"/>
          <w:color w:val="auto"/>
        </w:rPr>
      </w:pPr>
    </w:p>
    <w:p w14:paraId="57E425EE">
      <w:pPr>
        <w:spacing w:line="360" w:lineRule="auto"/>
        <w:ind w:firstLine="0" w:firstLineChars="0"/>
        <w:jc w:val="right"/>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供应商名称：</w:t>
      </w:r>
      <w:r>
        <w:rPr>
          <w:rFonts w:hint="eastAsia" w:ascii="宋体" w:hAnsi="宋体" w:eastAsia="宋体" w:cs="宋体"/>
          <w:color w:val="auto"/>
          <w:kern w:val="1"/>
          <w:sz w:val="21"/>
          <w:szCs w:val="21"/>
          <w:highlight w:val="none"/>
          <w:u w:val="single"/>
        </w:rPr>
        <w:t xml:space="preserve">               </w:t>
      </w:r>
      <w:r>
        <w:rPr>
          <w:rFonts w:hint="eastAsia" w:ascii="宋体" w:hAnsi="宋体" w:eastAsia="宋体" w:cs="宋体"/>
          <w:color w:val="auto"/>
          <w:kern w:val="1"/>
          <w:sz w:val="21"/>
          <w:szCs w:val="21"/>
          <w:highlight w:val="none"/>
        </w:rPr>
        <w:t>（</w:t>
      </w:r>
      <w:r>
        <w:rPr>
          <w:rFonts w:hint="eastAsia" w:ascii="宋体" w:hAnsi="宋体" w:eastAsia="宋体" w:cs="宋体"/>
          <w:color w:val="auto"/>
          <w:kern w:val="1"/>
          <w:sz w:val="21"/>
          <w:szCs w:val="21"/>
          <w:highlight w:val="none"/>
          <w:lang w:val="en-US" w:eastAsia="zh-CN"/>
        </w:rPr>
        <w:t>盖</w:t>
      </w:r>
      <w:r>
        <w:rPr>
          <w:rFonts w:hint="eastAsia" w:ascii="宋体" w:hAnsi="宋体" w:eastAsia="宋体" w:cs="宋体"/>
          <w:color w:val="auto"/>
          <w:kern w:val="1"/>
          <w:sz w:val="21"/>
          <w:szCs w:val="21"/>
          <w:highlight w:val="none"/>
        </w:rPr>
        <w:t>章）</w:t>
      </w:r>
    </w:p>
    <w:p w14:paraId="717F2342">
      <w:pPr>
        <w:spacing w:line="360" w:lineRule="auto"/>
        <w:ind w:firstLine="0" w:firstLineChars="0"/>
        <w:jc w:val="right"/>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日期：</w:t>
      </w:r>
      <w:r>
        <w:rPr>
          <w:rFonts w:hint="eastAsia" w:ascii="宋体" w:hAnsi="宋体" w:eastAsia="宋体" w:cs="宋体"/>
          <w:color w:val="auto"/>
          <w:kern w:val="1"/>
          <w:sz w:val="21"/>
          <w:szCs w:val="21"/>
          <w:highlight w:val="none"/>
          <w:u w:val="single"/>
        </w:rPr>
        <w:t xml:space="preserve"> </w:t>
      </w:r>
      <w:r>
        <w:rPr>
          <w:rFonts w:hint="eastAsia" w:ascii="宋体" w:hAnsi="宋体" w:eastAsia="宋体" w:cs="宋体"/>
          <w:color w:val="auto"/>
          <w:kern w:val="1"/>
          <w:sz w:val="21"/>
          <w:szCs w:val="21"/>
          <w:highlight w:val="none"/>
          <w:u w:val="single"/>
          <w:lang w:val="en-US" w:eastAsia="zh-CN"/>
        </w:rPr>
        <w:t xml:space="preserve">    </w:t>
      </w:r>
      <w:r>
        <w:rPr>
          <w:rFonts w:hint="eastAsia" w:ascii="宋体" w:hAnsi="宋体" w:eastAsia="宋体" w:cs="宋体"/>
          <w:color w:val="auto"/>
          <w:kern w:val="1"/>
          <w:sz w:val="21"/>
          <w:szCs w:val="21"/>
          <w:highlight w:val="none"/>
        </w:rPr>
        <w:t>年</w:t>
      </w:r>
      <w:r>
        <w:rPr>
          <w:rFonts w:hint="eastAsia" w:ascii="宋体" w:hAnsi="宋体" w:eastAsia="宋体" w:cs="宋体"/>
          <w:color w:val="auto"/>
          <w:kern w:val="1"/>
          <w:sz w:val="21"/>
          <w:szCs w:val="21"/>
          <w:highlight w:val="none"/>
          <w:u w:val="single"/>
        </w:rPr>
        <w:t xml:space="preserve"> </w:t>
      </w:r>
      <w:r>
        <w:rPr>
          <w:rFonts w:hint="eastAsia" w:ascii="宋体" w:hAnsi="宋体" w:eastAsia="宋体" w:cs="宋体"/>
          <w:color w:val="auto"/>
          <w:kern w:val="1"/>
          <w:sz w:val="21"/>
          <w:szCs w:val="21"/>
          <w:highlight w:val="none"/>
          <w:u w:val="single"/>
          <w:lang w:val="en-US" w:eastAsia="zh-CN"/>
        </w:rPr>
        <w:t xml:space="preserve">    </w:t>
      </w:r>
      <w:r>
        <w:rPr>
          <w:rFonts w:hint="eastAsia" w:ascii="宋体" w:hAnsi="宋体" w:eastAsia="宋体" w:cs="宋体"/>
          <w:color w:val="auto"/>
          <w:kern w:val="1"/>
          <w:sz w:val="21"/>
          <w:szCs w:val="21"/>
          <w:highlight w:val="none"/>
        </w:rPr>
        <w:t>月</w:t>
      </w:r>
      <w:r>
        <w:rPr>
          <w:rFonts w:hint="eastAsia" w:ascii="宋体" w:hAnsi="宋体" w:eastAsia="宋体" w:cs="宋体"/>
          <w:color w:val="auto"/>
          <w:kern w:val="1"/>
          <w:sz w:val="21"/>
          <w:szCs w:val="21"/>
          <w:highlight w:val="none"/>
          <w:u w:val="single"/>
        </w:rPr>
        <w:t xml:space="preserve"> </w:t>
      </w:r>
      <w:r>
        <w:rPr>
          <w:rFonts w:hint="eastAsia" w:ascii="宋体" w:hAnsi="宋体" w:eastAsia="宋体" w:cs="宋体"/>
          <w:color w:val="auto"/>
          <w:kern w:val="1"/>
          <w:sz w:val="21"/>
          <w:szCs w:val="21"/>
          <w:highlight w:val="none"/>
          <w:u w:val="single"/>
          <w:lang w:val="en-US" w:eastAsia="zh-CN"/>
        </w:rPr>
        <w:t xml:space="preserve">    </w:t>
      </w:r>
      <w:r>
        <w:rPr>
          <w:rFonts w:hint="eastAsia" w:ascii="宋体" w:hAnsi="宋体" w:eastAsia="宋体" w:cs="宋体"/>
          <w:color w:val="auto"/>
          <w:kern w:val="1"/>
          <w:sz w:val="21"/>
          <w:szCs w:val="21"/>
          <w:highlight w:val="none"/>
        </w:rPr>
        <w:t>日</w:t>
      </w:r>
    </w:p>
    <w:p w14:paraId="3575613E">
      <w:pPr>
        <w:wordWrap w:val="0"/>
        <w:spacing w:line="420" w:lineRule="auto"/>
        <w:ind w:firstLine="3084"/>
        <w:jc w:val="right"/>
        <w:rPr>
          <w:rFonts w:ascii="宋体" w:hAnsi="宋体" w:cs="楷体"/>
          <w:color w:val="auto"/>
          <w:sz w:val="22"/>
          <w:szCs w:val="22"/>
          <w:highlight w:val="none"/>
          <w:u w:val="single"/>
        </w:rPr>
      </w:pPr>
    </w:p>
    <w:p w14:paraId="4ABF0C7B">
      <w:pPr>
        <w:spacing w:line="360" w:lineRule="auto"/>
        <w:rPr>
          <w:rFonts w:ascii="宋体" w:hAnsi="宋体" w:cs="宋体"/>
          <w:color w:val="auto"/>
          <w:spacing w:val="6"/>
          <w:sz w:val="22"/>
          <w:szCs w:val="22"/>
          <w:highlight w:val="none"/>
        </w:rPr>
      </w:pPr>
    </w:p>
    <w:p w14:paraId="5F108F4A">
      <w:pPr>
        <w:rPr>
          <w:rFonts w:ascii="宋体" w:hAnsi="宋体"/>
          <w:color w:val="auto"/>
          <w:sz w:val="22"/>
          <w:szCs w:val="22"/>
          <w:highlight w:val="none"/>
        </w:rPr>
      </w:pPr>
    </w:p>
    <w:p w14:paraId="5C904FD7">
      <w:pPr>
        <w:rPr>
          <w:rFonts w:ascii="宋体" w:hAnsi="宋体"/>
          <w:color w:val="auto"/>
          <w:sz w:val="22"/>
          <w:szCs w:val="22"/>
          <w:highlight w:val="none"/>
        </w:rPr>
      </w:pPr>
    </w:p>
    <w:p w14:paraId="452C6FDD">
      <w:pPr>
        <w:spacing w:line="400" w:lineRule="exact"/>
        <w:jc w:val="left"/>
        <w:rPr>
          <w:rFonts w:ascii="宋体" w:hAnsi="宋体"/>
          <w:b/>
          <w:sz w:val="22"/>
          <w:szCs w:val="22"/>
          <w:highlight w:val="none"/>
        </w:rPr>
      </w:pPr>
      <w:r>
        <w:rPr>
          <w:rFonts w:hint="eastAsia" w:ascii="宋体" w:hAnsi="宋体"/>
          <w:b/>
          <w:sz w:val="22"/>
          <w:szCs w:val="22"/>
          <w:highlight w:val="none"/>
        </w:rPr>
        <w:t>注：1、从业人员、营业收入、资产总额填报上一年度数据，无上一年度数据的新成立企业可不填报。</w:t>
      </w:r>
    </w:p>
    <w:p w14:paraId="03E722F9">
      <w:pPr>
        <w:spacing w:line="400" w:lineRule="exact"/>
        <w:jc w:val="left"/>
        <w:rPr>
          <w:rFonts w:hint="eastAsia" w:ascii="宋体" w:hAnsi="宋体"/>
          <w:b/>
          <w:sz w:val="22"/>
          <w:szCs w:val="22"/>
          <w:highlight w:val="none"/>
        </w:rPr>
      </w:pPr>
      <w:r>
        <w:rPr>
          <w:rFonts w:hint="eastAsia" w:ascii="宋体" w:hAnsi="宋体"/>
          <w:b/>
          <w:sz w:val="22"/>
          <w:szCs w:val="22"/>
          <w:highlight w:val="none"/>
        </w:rPr>
        <w:t>2、中标人的本声明函随中标结果同时公布，接受其他供应商和社会监督。</w:t>
      </w:r>
    </w:p>
    <w:p w14:paraId="34006D2A">
      <w:pPr>
        <w:rPr>
          <w:rFonts w:ascii="宋体" w:hAnsi="宋体"/>
          <w:color w:val="auto"/>
          <w:szCs w:val="21"/>
          <w:highlight w:val="none"/>
        </w:rPr>
      </w:pPr>
    </w:p>
    <w:p w14:paraId="7D7C468F">
      <w:pPr>
        <w:rPr>
          <w:rFonts w:ascii="宋体" w:hAnsi="宋体"/>
          <w:color w:val="auto"/>
          <w:highlight w:val="none"/>
        </w:rPr>
      </w:pPr>
    </w:p>
    <w:p w14:paraId="569710C7">
      <w:pPr>
        <w:pStyle w:val="34"/>
        <w:rPr>
          <w:color w:val="auto"/>
          <w:highlight w:val="none"/>
        </w:rPr>
      </w:pPr>
    </w:p>
    <w:p w14:paraId="1E82397D">
      <w:pPr>
        <w:pStyle w:val="34"/>
        <w:rPr>
          <w:color w:val="auto"/>
          <w:highlight w:val="none"/>
        </w:rPr>
      </w:pPr>
    </w:p>
    <w:p w14:paraId="757F8E19">
      <w:pPr>
        <w:pStyle w:val="34"/>
        <w:rPr>
          <w:color w:val="auto"/>
          <w:highlight w:val="none"/>
        </w:rPr>
      </w:pPr>
    </w:p>
    <w:p w14:paraId="08999E24">
      <w:pPr>
        <w:pStyle w:val="34"/>
        <w:rPr>
          <w:color w:val="auto"/>
          <w:highlight w:val="none"/>
        </w:rPr>
      </w:pPr>
    </w:p>
    <w:p w14:paraId="6D5E6D67">
      <w:pPr>
        <w:pStyle w:val="34"/>
        <w:rPr>
          <w:color w:val="auto"/>
          <w:highlight w:val="none"/>
        </w:rPr>
      </w:pPr>
    </w:p>
    <w:p w14:paraId="3871D878">
      <w:pPr>
        <w:pStyle w:val="34"/>
        <w:rPr>
          <w:color w:val="auto"/>
          <w:highlight w:val="none"/>
        </w:rPr>
      </w:pPr>
    </w:p>
    <w:p w14:paraId="5FB2037C">
      <w:pPr>
        <w:rPr>
          <w:rFonts w:hint="eastAsia" w:hAnsi="宋体" w:cs="宋体"/>
          <w:b/>
          <w:bCs/>
          <w:color w:val="auto"/>
          <w:sz w:val="24"/>
          <w:szCs w:val="24"/>
          <w:highlight w:val="none"/>
        </w:rPr>
      </w:pPr>
      <w:r>
        <w:rPr>
          <w:rFonts w:hint="eastAsia" w:hAnsi="宋体" w:cs="宋体"/>
          <w:b/>
          <w:bCs/>
          <w:color w:val="auto"/>
          <w:sz w:val="24"/>
          <w:szCs w:val="24"/>
          <w:highlight w:val="none"/>
        </w:rPr>
        <w:br w:type="page"/>
      </w:r>
    </w:p>
    <w:p w14:paraId="3A080D53">
      <w:pPr>
        <w:pStyle w:val="12"/>
        <w:jc w:val="center"/>
        <w:rPr>
          <w:rFonts w:hAnsi="宋体" w:cs="宋体"/>
          <w:color w:val="auto"/>
          <w:sz w:val="24"/>
          <w:szCs w:val="24"/>
          <w:highlight w:val="none"/>
        </w:rPr>
      </w:pPr>
      <w:r>
        <w:rPr>
          <w:rFonts w:hint="eastAsia" w:hAnsi="宋体" w:cs="宋体"/>
          <w:b/>
          <w:bCs/>
          <w:color w:val="auto"/>
          <w:sz w:val="24"/>
          <w:szCs w:val="24"/>
          <w:highlight w:val="none"/>
        </w:rPr>
        <w:t>（二）、关于监狱企业（如有）</w:t>
      </w:r>
    </w:p>
    <w:p w14:paraId="58FC1B22">
      <w:pPr>
        <w:widowControl/>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1、政府采购政策</w:t>
      </w:r>
    </w:p>
    <w:p w14:paraId="1A57BA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财政部、司法部关于政府采购支持监狱企业发展有关问题的通知（财库【2014】68号）</w:t>
      </w:r>
    </w:p>
    <w:p w14:paraId="1DCFDD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宋体" w:hAnsi="宋体" w:cs="宋体"/>
          <w:color w:val="auto"/>
          <w:kern w:val="0"/>
          <w:szCs w:val="21"/>
          <w:highlight w:val="none"/>
        </w:rPr>
      </w:pPr>
    </w:p>
    <w:p w14:paraId="286BB4FD">
      <w:pPr>
        <w:widowControl/>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2、附证明材料</w:t>
      </w:r>
    </w:p>
    <w:p w14:paraId="09C89FC5">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提供由省级以上监狱管理局、戒毒管理局（含新疆生产建设兵团）出具的属于监狱企业的证明文件，否则投标报价评审时不予价格扣除优惠。</w:t>
      </w:r>
    </w:p>
    <w:p w14:paraId="13BA951F">
      <w:pPr>
        <w:pStyle w:val="34"/>
        <w:spacing w:line="360" w:lineRule="auto"/>
        <w:rPr>
          <w:rFonts w:hAnsi="宋体"/>
          <w:color w:val="auto"/>
          <w:sz w:val="21"/>
          <w:szCs w:val="21"/>
          <w:highlight w:val="none"/>
        </w:rPr>
      </w:pPr>
    </w:p>
    <w:p w14:paraId="3070A4FF">
      <w:pPr>
        <w:pStyle w:val="34"/>
        <w:rPr>
          <w:rFonts w:hAnsi="宋体"/>
          <w:color w:val="auto"/>
          <w:szCs w:val="16"/>
          <w:highlight w:val="none"/>
        </w:rPr>
      </w:pPr>
    </w:p>
    <w:p w14:paraId="2FF027A9">
      <w:pPr>
        <w:pStyle w:val="34"/>
        <w:rPr>
          <w:rFonts w:hAnsi="宋体"/>
          <w:color w:val="auto"/>
          <w:szCs w:val="16"/>
          <w:highlight w:val="none"/>
        </w:rPr>
      </w:pPr>
    </w:p>
    <w:p w14:paraId="45E0A259">
      <w:pPr>
        <w:pStyle w:val="34"/>
        <w:rPr>
          <w:rFonts w:hAnsi="宋体"/>
          <w:color w:val="auto"/>
          <w:szCs w:val="16"/>
          <w:highlight w:val="none"/>
        </w:rPr>
      </w:pPr>
    </w:p>
    <w:p w14:paraId="272EFC27">
      <w:pPr>
        <w:pStyle w:val="34"/>
        <w:rPr>
          <w:rFonts w:hAnsi="宋体"/>
          <w:color w:val="auto"/>
          <w:szCs w:val="16"/>
          <w:highlight w:val="none"/>
        </w:rPr>
      </w:pPr>
    </w:p>
    <w:p w14:paraId="07E7B515">
      <w:pPr>
        <w:pStyle w:val="34"/>
        <w:rPr>
          <w:rFonts w:hAnsi="宋体"/>
          <w:color w:val="auto"/>
          <w:szCs w:val="16"/>
          <w:highlight w:val="none"/>
        </w:rPr>
      </w:pPr>
    </w:p>
    <w:p w14:paraId="3DFB1AFF">
      <w:pPr>
        <w:pStyle w:val="34"/>
        <w:rPr>
          <w:rFonts w:hAnsi="宋体"/>
          <w:color w:val="auto"/>
          <w:szCs w:val="16"/>
          <w:highlight w:val="none"/>
        </w:rPr>
      </w:pPr>
    </w:p>
    <w:p w14:paraId="02A519CB">
      <w:pPr>
        <w:pStyle w:val="34"/>
        <w:rPr>
          <w:rFonts w:hAnsi="宋体"/>
          <w:color w:val="auto"/>
          <w:szCs w:val="16"/>
          <w:highlight w:val="none"/>
        </w:rPr>
      </w:pPr>
    </w:p>
    <w:p w14:paraId="1A11FDAB">
      <w:pPr>
        <w:pStyle w:val="34"/>
        <w:rPr>
          <w:rFonts w:hAnsi="宋体"/>
          <w:color w:val="auto"/>
          <w:szCs w:val="16"/>
          <w:highlight w:val="none"/>
        </w:rPr>
      </w:pPr>
    </w:p>
    <w:p w14:paraId="10AA5E78">
      <w:pPr>
        <w:pStyle w:val="34"/>
        <w:rPr>
          <w:rFonts w:hAnsi="宋体"/>
          <w:color w:val="auto"/>
          <w:szCs w:val="16"/>
          <w:highlight w:val="none"/>
        </w:rPr>
      </w:pPr>
    </w:p>
    <w:p w14:paraId="16ACEAA2">
      <w:pPr>
        <w:pStyle w:val="34"/>
        <w:rPr>
          <w:rFonts w:hAnsi="宋体"/>
          <w:color w:val="auto"/>
          <w:szCs w:val="16"/>
          <w:highlight w:val="none"/>
        </w:rPr>
      </w:pPr>
    </w:p>
    <w:p w14:paraId="76737456">
      <w:pPr>
        <w:pStyle w:val="34"/>
        <w:rPr>
          <w:rFonts w:hAnsi="宋体"/>
          <w:color w:val="auto"/>
          <w:szCs w:val="16"/>
          <w:highlight w:val="none"/>
        </w:rPr>
      </w:pPr>
    </w:p>
    <w:p w14:paraId="6F0CC07E">
      <w:pPr>
        <w:pStyle w:val="34"/>
        <w:rPr>
          <w:rFonts w:hAnsi="宋体"/>
          <w:color w:val="auto"/>
          <w:szCs w:val="16"/>
          <w:highlight w:val="none"/>
        </w:rPr>
      </w:pPr>
    </w:p>
    <w:p w14:paraId="73069B35">
      <w:pPr>
        <w:pStyle w:val="34"/>
        <w:rPr>
          <w:rFonts w:hAnsi="宋体"/>
          <w:color w:val="auto"/>
          <w:szCs w:val="16"/>
          <w:highlight w:val="none"/>
        </w:rPr>
      </w:pPr>
    </w:p>
    <w:p w14:paraId="2F745240">
      <w:pPr>
        <w:pStyle w:val="34"/>
        <w:rPr>
          <w:rFonts w:hAnsi="宋体"/>
          <w:color w:val="auto"/>
          <w:szCs w:val="16"/>
          <w:highlight w:val="none"/>
        </w:rPr>
      </w:pPr>
    </w:p>
    <w:p w14:paraId="10779C57">
      <w:pPr>
        <w:pStyle w:val="34"/>
        <w:rPr>
          <w:rFonts w:hAnsi="宋体"/>
          <w:color w:val="auto"/>
          <w:szCs w:val="16"/>
          <w:highlight w:val="none"/>
        </w:rPr>
      </w:pPr>
    </w:p>
    <w:p w14:paraId="1BEE0C84">
      <w:pPr>
        <w:pStyle w:val="34"/>
        <w:rPr>
          <w:rFonts w:hAnsi="宋体"/>
          <w:color w:val="auto"/>
          <w:szCs w:val="16"/>
          <w:highlight w:val="none"/>
        </w:rPr>
      </w:pPr>
    </w:p>
    <w:p w14:paraId="16D1FC28">
      <w:pPr>
        <w:pStyle w:val="34"/>
        <w:rPr>
          <w:rFonts w:hAnsi="宋体"/>
          <w:color w:val="auto"/>
          <w:szCs w:val="16"/>
          <w:highlight w:val="none"/>
        </w:rPr>
      </w:pPr>
    </w:p>
    <w:p w14:paraId="0E9BC371">
      <w:pPr>
        <w:pStyle w:val="34"/>
        <w:rPr>
          <w:rFonts w:hAnsi="宋体"/>
          <w:color w:val="auto"/>
          <w:szCs w:val="16"/>
          <w:highlight w:val="none"/>
        </w:rPr>
      </w:pPr>
    </w:p>
    <w:p w14:paraId="48F40A86">
      <w:pPr>
        <w:pStyle w:val="34"/>
        <w:rPr>
          <w:rFonts w:hAnsi="宋体"/>
          <w:color w:val="auto"/>
          <w:szCs w:val="16"/>
          <w:highlight w:val="none"/>
        </w:rPr>
      </w:pPr>
    </w:p>
    <w:p w14:paraId="3CC04E8A">
      <w:pPr>
        <w:pStyle w:val="34"/>
        <w:rPr>
          <w:rFonts w:hAnsi="宋体"/>
          <w:color w:val="auto"/>
          <w:szCs w:val="16"/>
          <w:highlight w:val="none"/>
        </w:rPr>
      </w:pPr>
    </w:p>
    <w:p w14:paraId="30925755">
      <w:pPr>
        <w:pStyle w:val="34"/>
        <w:rPr>
          <w:rFonts w:hAnsi="宋体"/>
          <w:color w:val="auto"/>
          <w:szCs w:val="16"/>
          <w:highlight w:val="none"/>
        </w:rPr>
      </w:pPr>
    </w:p>
    <w:p w14:paraId="4C0A4E99">
      <w:pPr>
        <w:pStyle w:val="34"/>
        <w:rPr>
          <w:rFonts w:hAnsi="宋体"/>
          <w:color w:val="auto"/>
          <w:szCs w:val="16"/>
          <w:highlight w:val="none"/>
        </w:rPr>
      </w:pPr>
    </w:p>
    <w:p w14:paraId="71A2B076">
      <w:pPr>
        <w:pStyle w:val="34"/>
        <w:rPr>
          <w:rFonts w:hAnsi="宋体"/>
          <w:color w:val="auto"/>
          <w:szCs w:val="16"/>
          <w:highlight w:val="none"/>
        </w:rPr>
      </w:pPr>
    </w:p>
    <w:p w14:paraId="0B269B8F">
      <w:pPr>
        <w:pStyle w:val="34"/>
        <w:rPr>
          <w:rFonts w:hAnsi="宋体"/>
          <w:color w:val="auto"/>
          <w:szCs w:val="16"/>
          <w:highlight w:val="none"/>
        </w:rPr>
      </w:pPr>
    </w:p>
    <w:p w14:paraId="42307A4B">
      <w:pPr>
        <w:pStyle w:val="34"/>
        <w:rPr>
          <w:rFonts w:hAnsi="宋体"/>
          <w:color w:val="auto"/>
          <w:szCs w:val="16"/>
          <w:highlight w:val="none"/>
        </w:rPr>
      </w:pPr>
    </w:p>
    <w:p w14:paraId="19B12C0D">
      <w:pPr>
        <w:pStyle w:val="34"/>
        <w:rPr>
          <w:rFonts w:hAnsi="宋体"/>
          <w:color w:val="auto"/>
          <w:szCs w:val="16"/>
          <w:highlight w:val="none"/>
        </w:rPr>
      </w:pPr>
    </w:p>
    <w:bookmarkEnd w:id="142"/>
    <w:bookmarkEnd w:id="143"/>
    <w:bookmarkEnd w:id="144"/>
    <w:p w14:paraId="21C7233B">
      <w:pPr>
        <w:pStyle w:val="34"/>
        <w:rPr>
          <w:color w:val="auto"/>
        </w:rPr>
      </w:pPr>
    </w:p>
    <w:sectPr>
      <w:headerReference r:id="rId11" w:type="first"/>
      <w:footerReference r:id="rId13" w:type="first"/>
      <w:headerReference r:id="rId10" w:type="default"/>
      <w:footerReference r:id="rId12" w:type="default"/>
      <w:pgSz w:w="11907" w:h="16840"/>
      <w:pgMar w:top="1440" w:right="1080" w:bottom="1440" w:left="1080" w:header="964" w:footer="624" w:gutter="0"/>
      <w:pgNumType w:fmt="decimal"/>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roman"/>
    <w:pitch w:val="default"/>
    <w:sig w:usb0="00000001" w:usb1="080E0000" w:usb2="00000000" w:usb3="00000000" w:csb0="00040000" w:csb1="00000000"/>
  </w:font>
  <w:font w:name="¨¦?????">
    <w:altName w:val="Courier New"/>
    <w:panose1 w:val="00000000000000000000"/>
    <w:charset w:val="00"/>
    <w:family w:val="auto"/>
    <w:pitch w:val="default"/>
    <w:sig w:usb0="00000000" w:usb1="00000000" w:usb2="00000000" w:usb3="00000000" w:csb0="00000001" w:csb1="00000000"/>
  </w:font>
  <w:font w:name="??????">
    <w:altName w:val="Courier New"/>
    <w:panose1 w:val="00000000000000000000"/>
    <w:charset w:val="00"/>
    <w:family w:val="auto"/>
    <w:pitch w:val="default"/>
    <w:sig w:usb0="00000000" w:usb1="00000000" w:usb2="00000000" w:usb3="00000000" w:csb0="00000001" w:csb1="00000000"/>
  </w:font>
  <w:font w:name="Times New">
    <w:altName w:val="Times New Roman"/>
    <w:panose1 w:val="00000000000000000000"/>
    <w:charset w:val="00"/>
    <w:family w:val="auto"/>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Ari">
    <w:altName w:val="Arial"/>
    <w:panose1 w:val="00000000000000000000"/>
    <w:charset w:val="00"/>
    <w:family w:val="swiss"/>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TimesNewRomanPSMT">
    <w:altName w:val="Times New Roman"/>
    <w:panose1 w:val="00000000000000000000"/>
    <w:charset w:val="00"/>
    <w:family w:val="roman"/>
    <w:pitch w:val="default"/>
    <w:sig w:usb0="00000000" w:usb1="00000000" w:usb2="00000000" w:usb3="00000000" w:csb0="0000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DE5D15">
    <w:pPr>
      <w:pStyle w:val="15"/>
      <w:tabs>
        <w:tab w:val="left" w:pos="7050"/>
        <w:tab w:val="right" w:pos="8504"/>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03C82">
    <w:pPr>
      <w:pStyle w:val="15"/>
      <w:pBdr>
        <w:top w:val="single" w:color="auto" w:sz="4" w:space="1"/>
      </w:pBdr>
      <w:ind w:right="360"/>
      <w:rPr>
        <w:rStyle w:val="30"/>
        <w:rFonts w:ascii="宋体" w:hAnsi="宋体"/>
        <w:sz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947ABC">
                          <w:pPr>
                            <w:pStyle w:val="1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7C947ABC">
                    <w:pPr>
                      <w:pStyle w:val="1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F333F3">
    <w:pPr>
      <w:pStyle w:val="15"/>
      <w:pBdr>
        <w:bottom w:val="single" w:color="auto" w:sz="4" w:space="0"/>
      </w:pBd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C76C9D">
                          <w:pPr>
                            <w:pStyle w:val="1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5DC76C9D">
                    <w:pPr>
                      <w:pStyle w:val="15"/>
                    </w:pPr>
                    <w:r>
                      <w:fldChar w:fldCharType="begin"/>
                    </w:r>
                    <w:r>
                      <w:instrText xml:space="preserve"> PAGE  \* MERGEFORMAT </w:instrText>
                    </w:r>
                    <w:r>
                      <w:fldChar w:fldCharType="separate"/>
                    </w:r>
                    <w:r>
                      <w:t>2</w:t>
                    </w:r>
                    <w:r>
                      <w:fldChar w:fldCharType="end"/>
                    </w:r>
                  </w:p>
                </w:txbxContent>
              </v:textbox>
            </v:shape>
          </w:pict>
        </mc:Fallback>
      </mc:AlternateContent>
    </w:r>
  </w:p>
  <w:p w14:paraId="5690F808">
    <w:pPr>
      <w:pStyle w:val="15"/>
      <w:rPr>
        <w:rFonts w:hint="eastAsia" w:eastAsia="宋体"/>
        <w:lang w:eastAsia="zh-C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97944E">
    <w:pPr>
      <w:pStyle w:val="15"/>
      <w:pBdr>
        <w:bottom w:val="single" w:color="auto" w:sz="4" w:space="0"/>
      </w:pBdr>
      <w:rPr>
        <w:rFonts w:hint="eastAsia"/>
        <w:lang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EAD736">
                          <w:pPr>
                            <w:pStyle w:val="15"/>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3BEAD736">
                    <w:pPr>
                      <w:pStyle w:val="15"/>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EC25CC">
    <w:pPr>
      <w:pStyle w:val="15"/>
      <w:ind w:right="360"/>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BBFA0">
    <w:pPr>
      <w:pStyle w:val="17"/>
      <w:jc w:val="left"/>
      <w:rPr>
        <w:rFonts w:hint="eastAsia" w:ascii="宋体" w:hAnsi="宋体" w:cs="宋体"/>
      </w:rPr>
    </w:pPr>
    <w:r>
      <w:rPr>
        <w:rFonts w:hint="eastAsia" w:ascii="宋体" w:hAnsi="宋体" w:eastAsia="宋体" w:cs="宋体"/>
        <w:kern w:val="0"/>
        <w:sz w:val="18"/>
        <w:szCs w:val="18"/>
        <w:lang w:val="en-US" w:eastAsia="zh-CN" w:bidi="ar-SA"/>
      </w:rPr>
      <w:t xml:space="preserve">杞县中医院等离子空气消毒机采购项目                                           </w:t>
    </w:r>
    <w:r>
      <w:rPr>
        <w:rFonts w:hint="eastAsia" w:ascii="宋体" w:hAnsi="宋体" w:cs="宋体"/>
      </w:rPr>
      <w:t>竞争性磋商文件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5390C">
    <w:pPr>
      <w:pStyle w:val="17"/>
      <w:ind w:left="8280" w:hanging="8280" w:hangingChars="4600"/>
      <w:jc w:val="both"/>
      <w:rPr>
        <w:rFonts w:hint="eastAsia" w:ascii="宋体" w:hAnsi="宋体" w:cs="宋体"/>
        <w:sz w:val="18"/>
        <w:szCs w:val="18"/>
      </w:rPr>
    </w:pPr>
    <w:r>
      <w:rPr>
        <w:rFonts w:hint="eastAsia" w:ascii="宋体" w:hAnsi="宋体" w:cs="宋体"/>
        <w:lang w:val="en-US" w:eastAsia="zh-CN"/>
      </w:rPr>
      <w:t>杞县中医院等离子空气消毒机采购项目</w:t>
    </w:r>
    <w:r>
      <w:rPr>
        <w:rFonts w:hint="eastAsia" w:ascii="宋体" w:hAnsi="宋体" w:cs="宋体"/>
        <w:sz w:val="22"/>
        <w:lang w:val="en-US" w:eastAsia="zh-CN"/>
      </w:rPr>
      <w:t xml:space="preserve">                </w:t>
    </w:r>
    <w:r>
      <w:rPr>
        <w:rFonts w:hint="eastAsia" w:ascii="宋体" w:hAnsi="宋体" w:cs="宋体"/>
        <w:sz w:val="18"/>
        <w:szCs w:val="18"/>
      </w:rPr>
      <w:t>竞争性磋商文件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AABAB">
    <w:pPr>
      <w:pStyle w:val="17"/>
      <w:pBdr>
        <w:bottom w:val="single" w:color="auto" w:sz="4" w:space="0"/>
      </w:pBdr>
      <w:ind w:left="7020" w:hanging="7020" w:hangingChars="3900"/>
      <w:jc w:val="left"/>
      <w:rPr>
        <w:rFonts w:hint="eastAsia" w:ascii="Times New Roman" w:hAnsi="Times New Roman" w:eastAsia="宋体" w:cs="Times New Roman"/>
        <w:lang w:eastAsia="zh-CN"/>
      </w:rPr>
    </w:pPr>
    <w:r>
      <w:rPr>
        <w:rFonts w:hint="eastAsia" w:ascii="Times New Roman" w:hAnsi="Times New Roman" w:eastAsia="宋体" w:cs="Times New Roman"/>
        <w:lang w:eastAsia="zh-CN"/>
      </w:rPr>
      <w:t>杞县中医院等离子空气消毒机采购项目</w:t>
    </w:r>
    <w:r>
      <w:rPr>
        <w:rFonts w:hint="eastAsia" w:ascii="Times New Roman" w:hAnsi="Times New Roman" w:eastAsia="宋体" w:cs="Times New Roman"/>
        <w:lang w:val="en-US" w:eastAsia="zh-CN"/>
      </w:rPr>
      <w:t xml:space="preserve">                                                  竞争性磋商</w:t>
    </w:r>
    <w:r>
      <w:rPr>
        <w:rFonts w:hint="eastAsia" w:ascii="Times New Roman" w:hAnsi="Times New Roman" w:eastAsia="宋体" w:cs="Times New Roman"/>
        <w:lang w:eastAsia="zh-CN"/>
      </w:rPr>
      <w:t>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3A842">
    <w:pPr>
      <w:pStyle w:val="17"/>
      <w:pBdr>
        <w:bottom w:val="single" w:color="auto" w:sz="4" w:space="0"/>
      </w:pBdr>
      <w:ind w:left="7020" w:hanging="7020" w:hangingChars="3900"/>
      <w:jc w:val="left"/>
      <w:rPr>
        <w:rFonts w:hint="eastAsia" w:eastAsia="宋体"/>
        <w:lang w:eastAsia="zh-CN"/>
      </w:rPr>
    </w:pPr>
    <w:r>
      <w:rPr>
        <w:rFonts w:hint="eastAsia" w:ascii="宋体" w:hAnsi="宋体" w:cs="Arial"/>
        <w:color w:val="333333"/>
        <w:kern w:val="0"/>
        <w:szCs w:val="21"/>
        <w:lang w:eastAsia="zh-CN"/>
      </w:rPr>
      <w:t>杞县中医院等离子空气消毒机采购项目</w:t>
    </w:r>
    <w:r>
      <w:rPr>
        <w:rFonts w:hint="eastAsia" w:ascii="宋体" w:hAnsi="宋体" w:cs="Arial"/>
        <w:color w:val="333333"/>
        <w:kern w:val="0"/>
        <w:szCs w:val="21"/>
      </w:rPr>
      <w:t>　　　</w:t>
    </w:r>
    <w:r>
      <w:rPr>
        <w:rFonts w:hint="eastAsia"/>
      </w:rPr>
      <w:t xml:space="preserve">  　　　　 </w:t>
    </w:r>
    <w:r>
      <w:rPr>
        <w:rFonts w:hint="eastAsia"/>
        <w:lang w:val="en-US" w:eastAsia="zh-CN"/>
      </w:rPr>
      <w:t xml:space="preserve">                   </w:t>
    </w:r>
    <w:r>
      <w:rPr>
        <w:rFonts w:hint="eastAsia"/>
      </w:rPr>
      <w:t xml:space="preserve">              </w:t>
    </w:r>
    <w:r>
      <w:rPr>
        <w:rFonts w:hint="eastAsia"/>
        <w:lang w:val="en-US" w:eastAsia="zh-CN"/>
      </w:rPr>
      <w:t>竞争性磋商</w:t>
    </w:r>
    <w:r>
      <w:rPr>
        <w:rFonts w:hint="eastAsia"/>
        <w:lang w:eastAsia="zh-CN"/>
      </w:rPr>
      <w:t>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EAEBD">
    <w:pPr>
      <w:pStyle w:val="17"/>
      <w:pBdr>
        <w:bottom w:val="single" w:color="auto" w:sz="4" w:space="0"/>
      </w:pBdr>
      <w:jc w:val="left"/>
      <w:rPr>
        <w:rFonts w:hint="eastAsia" w:eastAsia="宋体"/>
        <w:lang w:eastAsia="zh-CN"/>
      </w:rPr>
    </w:pPr>
    <w:r>
      <w:rPr>
        <w:rFonts w:hint="eastAsia" w:ascii="宋体" w:hAnsi="宋体" w:cs="Arial"/>
        <w:color w:val="333333"/>
        <w:kern w:val="0"/>
        <w:szCs w:val="21"/>
        <w:lang w:eastAsia="zh-CN"/>
      </w:rPr>
      <w:t>杞县中医院等离子空气消毒机采购项目</w:t>
    </w:r>
    <w:r>
      <w:rPr>
        <w:rFonts w:hint="eastAsia" w:ascii="宋体" w:hAnsi="宋体" w:cs="Arial"/>
        <w:color w:val="333333"/>
        <w:kern w:val="0"/>
        <w:szCs w:val="21"/>
      </w:rPr>
      <w:t>　　　　</w:t>
    </w:r>
    <w:r>
      <w:rPr>
        <w:rFonts w:hint="eastAsia"/>
      </w:rPr>
      <w:t xml:space="preserve">　　　　　　　　       </w:t>
    </w:r>
    <w:r>
      <w:rPr>
        <w:rFonts w:hint="eastAsia"/>
        <w:lang w:val="en-US" w:eastAsia="zh-CN"/>
      </w:rPr>
      <w:t>竞争性磋商</w:t>
    </w:r>
    <w:r>
      <w:rPr>
        <w:rFonts w:hint="eastAsia"/>
        <w:lang w:eastAsia="zh-CN"/>
      </w:rPr>
      <w:t>文件</w:t>
    </w:r>
  </w:p>
  <w:p w14:paraId="740E30A1">
    <w:pPr>
      <w:tabs>
        <w:tab w:val="left" w:pos="8788"/>
      </w:tabs>
      <w:spacing w:line="500" w:lineRule="exact"/>
      <w:ind w:right="-32"/>
      <w:rPr>
        <w:rFonts w:ascii="宋体" w:hAnsi="宋体"/>
        <w:color w:val="000000"/>
        <w:spacing w:val="-6"/>
        <w:szCs w:val="21"/>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A019D">
    <w:pPr>
      <w:pStyle w:val="1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687C84"/>
    <w:multiLevelType w:val="singleLevel"/>
    <w:tmpl w:val="F6687C84"/>
    <w:lvl w:ilvl="0" w:tentative="0">
      <w:start w:val="2"/>
      <w:numFmt w:val="decimal"/>
      <w:suff w:val="nothing"/>
      <w:lvlText w:val="%1、"/>
      <w:lvlJc w:val="left"/>
    </w:lvl>
  </w:abstractNum>
  <w:abstractNum w:abstractNumId="1">
    <w:nsid w:val="00000007"/>
    <w:multiLevelType w:val="multilevel"/>
    <w:tmpl w:val="00000007"/>
    <w:lvl w:ilvl="0" w:tentative="0">
      <w:start w:val="1"/>
      <w:numFmt w:val="bullet"/>
      <w:lvlText w:val="□"/>
      <w:lvlJc w:val="left"/>
      <w:pPr>
        <w:tabs>
          <w:tab w:val="left" w:pos="360"/>
        </w:tabs>
        <w:ind w:left="360" w:hanging="360"/>
      </w:pPr>
      <w:rPr>
        <w:rFonts w:hint="eastAsia" w:ascii="宋体" w:hAnsi="宋体" w:eastAsia="宋体"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0349A3D9"/>
    <w:multiLevelType w:val="singleLevel"/>
    <w:tmpl w:val="0349A3D9"/>
    <w:lvl w:ilvl="0" w:tentative="0">
      <w:start w:val="2"/>
      <w:numFmt w:val="chineseCounting"/>
      <w:suff w:val="space"/>
      <w:lvlText w:val="第%1章"/>
      <w:lvlJc w:val="left"/>
      <w:pPr>
        <w:ind w:left="3240" w:firstLine="0"/>
      </w:pPr>
      <w:rPr>
        <w:rFonts w:hint="eastAsia"/>
      </w:rPr>
    </w:lvl>
  </w:abstractNum>
  <w:abstractNum w:abstractNumId="3">
    <w:nsid w:val="14AF2F4E"/>
    <w:multiLevelType w:val="multilevel"/>
    <w:tmpl w:val="14AF2F4E"/>
    <w:lvl w:ilvl="0" w:tentative="0">
      <w:start w:val="1"/>
      <w:numFmt w:val="none"/>
      <w:lvlText w:val="一、"/>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0"/>
  <w:bordersDoNotSurroundFooter w:val="0"/>
  <w:attachedTemplate r:id="rId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MwYzJmNWI5NWFhZDliMzAwNjkzZTEzZWQ4YzA0NzEifQ=="/>
  </w:docVars>
  <w:rsids>
    <w:rsidRoot w:val="591D2D5D"/>
    <w:rsid w:val="00002747"/>
    <w:rsid w:val="0000453F"/>
    <w:rsid w:val="00020AE4"/>
    <w:rsid w:val="00022D1C"/>
    <w:rsid w:val="00027230"/>
    <w:rsid w:val="00036153"/>
    <w:rsid w:val="00036556"/>
    <w:rsid w:val="00037FBA"/>
    <w:rsid w:val="00056066"/>
    <w:rsid w:val="00061D06"/>
    <w:rsid w:val="00062462"/>
    <w:rsid w:val="00063154"/>
    <w:rsid w:val="00064D82"/>
    <w:rsid w:val="00070A99"/>
    <w:rsid w:val="00077E46"/>
    <w:rsid w:val="00080F73"/>
    <w:rsid w:val="000934A1"/>
    <w:rsid w:val="000A38F7"/>
    <w:rsid w:val="000B1CB5"/>
    <w:rsid w:val="000B2A72"/>
    <w:rsid w:val="000B2C4D"/>
    <w:rsid w:val="000B6902"/>
    <w:rsid w:val="000C16B6"/>
    <w:rsid w:val="000C3124"/>
    <w:rsid w:val="000D3C0F"/>
    <w:rsid w:val="000D6584"/>
    <w:rsid w:val="000D65C8"/>
    <w:rsid w:val="000E4028"/>
    <w:rsid w:val="001106CF"/>
    <w:rsid w:val="001109B6"/>
    <w:rsid w:val="001115AC"/>
    <w:rsid w:val="001249AA"/>
    <w:rsid w:val="00134724"/>
    <w:rsid w:val="00136979"/>
    <w:rsid w:val="00140C0D"/>
    <w:rsid w:val="00146C72"/>
    <w:rsid w:val="00162BC1"/>
    <w:rsid w:val="0017653B"/>
    <w:rsid w:val="00177947"/>
    <w:rsid w:val="001842E4"/>
    <w:rsid w:val="00186BE3"/>
    <w:rsid w:val="00195F72"/>
    <w:rsid w:val="0019700C"/>
    <w:rsid w:val="001A14CF"/>
    <w:rsid w:val="001A35A9"/>
    <w:rsid w:val="001A3A12"/>
    <w:rsid w:val="001B202B"/>
    <w:rsid w:val="001C27EF"/>
    <w:rsid w:val="001C7824"/>
    <w:rsid w:val="001E0AB2"/>
    <w:rsid w:val="001E0F31"/>
    <w:rsid w:val="001E6233"/>
    <w:rsid w:val="001E69F4"/>
    <w:rsid w:val="001F1086"/>
    <w:rsid w:val="001F188D"/>
    <w:rsid w:val="00203A46"/>
    <w:rsid w:val="00207904"/>
    <w:rsid w:val="00217888"/>
    <w:rsid w:val="00222660"/>
    <w:rsid w:val="00233E93"/>
    <w:rsid w:val="00241F30"/>
    <w:rsid w:val="00244DC0"/>
    <w:rsid w:val="00252E50"/>
    <w:rsid w:val="00256814"/>
    <w:rsid w:val="002A2EDB"/>
    <w:rsid w:val="002A4B3D"/>
    <w:rsid w:val="002A5DB8"/>
    <w:rsid w:val="002A6E5A"/>
    <w:rsid w:val="002C02B1"/>
    <w:rsid w:val="002D0CC3"/>
    <w:rsid w:val="002D0F29"/>
    <w:rsid w:val="002D1BB9"/>
    <w:rsid w:val="002D372A"/>
    <w:rsid w:val="002D5340"/>
    <w:rsid w:val="002D5A53"/>
    <w:rsid w:val="002E1484"/>
    <w:rsid w:val="002F6ECC"/>
    <w:rsid w:val="00306ECD"/>
    <w:rsid w:val="003234A4"/>
    <w:rsid w:val="00324806"/>
    <w:rsid w:val="0034168F"/>
    <w:rsid w:val="00352863"/>
    <w:rsid w:val="0035379C"/>
    <w:rsid w:val="00373A02"/>
    <w:rsid w:val="00384C9D"/>
    <w:rsid w:val="00385A51"/>
    <w:rsid w:val="003958D5"/>
    <w:rsid w:val="00396177"/>
    <w:rsid w:val="003A1471"/>
    <w:rsid w:val="003A45A4"/>
    <w:rsid w:val="003B1660"/>
    <w:rsid w:val="003B4C3D"/>
    <w:rsid w:val="003C6997"/>
    <w:rsid w:val="003D43C3"/>
    <w:rsid w:val="003E2310"/>
    <w:rsid w:val="003F7313"/>
    <w:rsid w:val="00402F3F"/>
    <w:rsid w:val="00410190"/>
    <w:rsid w:val="0041203A"/>
    <w:rsid w:val="004144D1"/>
    <w:rsid w:val="0042168B"/>
    <w:rsid w:val="00421EE7"/>
    <w:rsid w:val="00422DBD"/>
    <w:rsid w:val="00435D5F"/>
    <w:rsid w:val="00437008"/>
    <w:rsid w:val="0044494C"/>
    <w:rsid w:val="00453039"/>
    <w:rsid w:val="0046474F"/>
    <w:rsid w:val="00473A2E"/>
    <w:rsid w:val="004870CE"/>
    <w:rsid w:val="00491E7E"/>
    <w:rsid w:val="004A611B"/>
    <w:rsid w:val="004C4EAC"/>
    <w:rsid w:val="004D3B06"/>
    <w:rsid w:val="004E76E6"/>
    <w:rsid w:val="004F0596"/>
    <w:rsid w:val="0051123D"/>
    <w:rsid w:val="00512B2A"/>
    <w:rsid w:val="00516135"/>
    <w:rsid w:val="00522AB2"/>
    <w:rsid w:val="005315BB"/>
    <w:rsid w:val="00533083"/>
    <w:rsid w:val="00533C01"/>
    <w:rsid w:val="005340BC"/>
    <w:rsid w:val="00537220"/>
    <w:rsid w:val="00541DB4"/>
    <w:rsid w:val="0054365D"/>
    <w:rsid w:val="005547A5"/>
    <w:rsid w:val="00562C4D"/>
    <w:rsid w:val="00567969"/>
    <w:rsid w:val="00576C7D"/>
    <w:rsid w:val="00577B42"/>
    <w:rsid w:val="00592C63"/>
    <w:rsid w:val="00592D0A"/>
    <w:rsid w:val="00596B28"/>
    <w:rsid w:val="005A6037"/>
    <w:rsid w:val="005D19F3"/>
    <w:rsid w:val="005D7E40"/>
    <w:rsid w:val="005E0EC9"/>
    <w:rsid w:val="005E60E7"/>
    <w:rsid w:val="006056B9"/>
    <w:rsid w:val="0061685D"/>
    <w:rsid w:val="00623500"/>
    <w:rsid w:val="00625F6D"/>
    <w:rsid w:val="00631006"/>
    <w:rsid w:val="00633E6F"/>
    <w:rsid w:val="00635804"/>
    <w:rsid w:val="00640C29"/>
    <w:rsid w:val="00645A89"/>
    <w:rsid w:val="00653FE6"/>
    <w:rsid w:val="00662A2D"/>
    <w:rsid w:val="00683BA8"/>
    <w:rsid w:val="00686F15"/>
    <w:rsid w:val="00687F10"/>
    <w:rsid w:val="00692525"/>
    <w:rsid w:val="006A2301"/>
    <w:rsid w:val="006B3314"/>
    <w:rsid w:val="006D7922"/>
    <w:rsid w:val="006F19AC"/>
    <w:rsid w:val="006F1B84"/>
    <w:rsid w:val="00701C34"/>
    <w:rsid w:val="0070368C"/>
    <w:rsid w:val="00715325"/>
    <w:rsid w:val="00715772"/>
    <w:rsid w:val="0071638E"/>
    <w:rsid w:val="007171C7"/>
    <w:rsid w:val="00717683"/>
    <w:rsid w:val="00724720"/>
    <w:rsid w:val="00746FA1"/>
    <w:rsid w:val="00757BB6"/>
    <w:rsid w:val="0076019C"/>
    <w:rsid w:val="007639BB"/>
    <w:rsid w:val="00765575"/>
    <w:rsid w:val="00776244"/>
    <w:rsid w:val="00776CE7"/>
    <w:rsid w:val="0078139A"/>
    <w:rsid w:val="00791A0B"/>
    <w:rsid w:val="00796EB6"/>
    <w:rsid w:val="007B36F8"/>
    <w:rsid w:val="007D1C51"/>
    <w:rsid w:val="007E2EC1"/>
    <w:rsid w:val="007E7757"/>
    <w:rsid w:val="007F3501"/>
    <w:rsid w:val="00803172"/>
    <w:rsid w:val="008041E6"/>
    <w:rsid w:val="0081031C"/>
    <w:rsid w:val="008133C5"/>
    <w:rsid w:val="00813E74"/>
    <w:rsid w:val="00814582"/>
    <w:rsid w:val="008159B5"/>
    <w:rsid w:val="00827CB7"/>
    <w:rsid w:val="00851FC9"/>
    <w:rsid w:val="00860A30"/>
    <w:rsid w:val="00861878"/>
    <w:rsid w:val="00864C44"/>
    <w:rsid w:val="00871250"/>
    <w:rsid w:val="00876724"/>
    <w:rsid w:val="00892CFC"/>
    <w:rsid w:val="00896D74"/>
    <w:rsid w:val="008A30B8"/>
    <w:rsid w:val="008A7142"/>
    <w:rsid w:val="008B5EDE"/>
    <w:rsid w:val="008C5263"/>
    <w:rsid w:val="008D11A7"/>
    <w:rsid w:val="008E3718"/>
    <w:rsid w:val="0094291E"/>
    <w:rsid w:val="00945144"/>
    <w:rsid w:val="00967373"/>
    <w:rsid w:val="00970D50"/>
    <w:rsid w:val="009760D3"/>
    <w:rsid w:val="00985D03"/>
    <w:rsid w:val="009871E2"/>
    <w:rsid w:val="00990867"/>
    <w:rsid w:val="009A515B"/>
    <w:rsid w:val="009B08E8"/>
    <w:rsid w:val="009B43AD"/>
    <w:rsid w:val="009B43AE"/>
    <w:rsid w:val="009C6640"/>
    <w:rsid w:val="009D29EC"/>
    <w:rsid w:val="009D40DD"/>
    <w:rsid w:val="009F741C"/>
    <w:rsid w:val="00A03538"/>
    <w:rsid w:val="00A115C5"/>
    <w:rsid w:val="00A22DA9"/>
    <w:rsid w:val="00A23C33"/>
    <w:rsid w:val="00A24C4A"/>
    <w:rsid w:val="00A26E3B"/>
    <w:rsid w:val="00A4451B"/>
    <w:rsid w:val="00A55111"/>
    <w:rsid w:val="00A55E5A"/>
    <w:rsid w:val="00A56174"/>
    <w:rsid w:val="00A60F6C"/>
    <w:rsid w:val="00A64715"/>
    <w:rsid w:val="00A717F4"/>
    <w:rsid w:val="00A72C2F"/>
    <w:rsid w:val="00A764B3"/>
    <w:rsid w:val="00A8473C"/>
    <w:rsid w:val="00A903E8"/>
    <w:rsid w:val="00A9438F"/>
    <w:rsid w:val="00A95C60"/>
    <w:rsid w:val="00A979EA"/>
    <w:rsid w:val="00AA0222"/>
    <w:rsid w:val="00AA0C88"/>
    <w:rsid w:val="00AA78C6"/>
    <w:rsid w:val="00AB12C7"/>
    <w:rsid w:val="00AB3319"/>
    <w:rsid w:val="00AB386E"/>
    <w:rsid w:val="00AD1013"/>
    <w:rsid w:val="00AD1C39"/>
    <w:rsid w:val="00AE4EFF"/>
    <w:rsid w:val="00AE740A"/>
    <w:rsid w:val="00B118AD"/>
    <w:rsid w:val="00B14A4D"/>
    <w:rsid w:val="00B1682F"/>
    <w:rsid w:val="00B25410"/>
    <w:rsid w:val="00B25FE2"/>
    <w:rsid w:val="00B2756D"/>
    <w:rsid w:val="00B3797C"/>
    <w:rsid w:val="00B61D1F"/>
    <w:rsid w:val="00B637EB"/>
    <w:rsid w:val="00B67A98"/>
    <w:rsid w:val="00B7457A"/>
    <w:rsid w:val="00BA386E"/>
    <w:rsid w:val="00BB0F92"/>
    <w:rsid w:val="00BC2ABF"/>
    <w:rsid w:val="00BC532D"/>
    <w:rsid w:val="00BD0078"/>
    <w:rsid w:val="00BD236A"/>
    <w:rsid w:val="00BD6180"/>
    <w:rsid w:val="00BE09AF"/>
    <w:rsid w:val="00BF66E6"/>
    <w:rsid w:val="00C0649C"/>
    <w:rsid w:val="00C072AA"/>
    <w:rsid w:val="00C120D4"/>
    <w:rsid w:val="00C20782"/>
    <w:rsid w:val="00C209B5"/>
    <w:rsid w:val="00C258BD"/>
    <w:rsid w:val="00C25E69"/>
    <w:rsid w:val="00C2604C"/>
    <w:rsid w:val="00C324E0"/>
    <w:rsid w:val="00C347EB"/>
    <w:rsid w:val="00C40F7E"/>
    <w:rsid w:val="00C46A08"/>
    <w:rsid w:val="00C5223C"/>
    <w:rsid w:val="00C66851"/>
    <w:rsid w:val="00C74565"/>
    <w:rsid w:val="00C74D90"/>
    <w:rsid w:val="00CA7EEC"/>
    <w:rsid w:val="00CB4E25"/>
    <w:rsid w:val="00CD2873"/>
    <w:rsid w:val="00CD2A9C"/>
    <w:rsid w:val="00CE4E8D"/>
    <w:rsid w:val="00CF27CC"/>
    <w:rsid w:val="00CF43EA"/>
    <w:rsid w:val="00CF49C7"/>
    <w:rsid w:val="00D01705"/>
    <w:rsid w:val="00D0382A"/>
    <w:rsid w:val="00D03A29"/>
    <w:rsid w:val="00D07C34"/>
    <w:rsid w:val="00D22256"/>
    <w:rsid w:val="00D22640"/>
    <w:rsid w:val="00D34847"/>
    <w:rsid w:val="00D52273"/>
    <w:rsid w:val="00D541FE"/>
    <w:rsid w:val="00D7569D"/>
    <w:rsid w:val="00D906D2"/>
    <w:rsid w:val="00DA2E61"/>
    <w:rsid w:val="00DA5342"/>
    <w:rsid w:val="00DA677A"/>
    <w:rsid w:val="00DA7D62"/>
    <w:rsid w:val="00DB0758"/>
    <w:rsid w:val="00DB2D13"/>
    <w:rsid w:val="00DB6641"/>
    <w:rsid w:val="00DD0C60"/>
    <w:rsid w:val="00DD6D02"/>
    <w:rsid w:val="00DE2CE6"/>
    <w:rsid w:val="00DE4692"/>
    <w:rsid w:val="00DE54E5"/>
    <w:rsid w:val="00DF63BE"/>
    <w:rsid w:val="00E0753F"/>
    <w:rsid w:val="00E07678"/>
    <w:rsid w:val="00E13FAC"/>
    <w:rsid w:val="00E3127B"/>
    <w:rsid w:val="00E318AE"/>
    <w:rsid w:val="00E420F2"/>
    <w:rsid w:val="00E451F2"/>
    <w:rsid w:val="00E47D46"/>
    <w:rsid w:val="00E6226F"/>
    <w:rsid w:val="00E63623"/>
    <w:rsid w:val="00E64FE2"/>
    <w:rsid w:val="00E74F40"/>
    <w:rsid w:val="00E82318"/>
    <w:rsid w:val="00EA2ECB"/>
    <w:rsid w:val="00EB6596"/>
    <w:rsid w:val="00EC3B9B"/>
    <w:rsid w:val="00EC40A8"/>
    <w:rsid w:val="00EC5698"/>
    <w:rsid w:val="00EC7315"/>
    <w:rsid w:val="00ED3C30"/>
    <w:rsid w:val="00ED5060"/>
    <w:rsid w:val="00ED62A9"/>
    <w:rsid w:val="00EE6114"/>
    <w:rsid w:val="00EE65C6"/>
    <w:rsid w:val="00EF16FF"/>
    <w:rsid w:val="00EF4402"/>
    <w:rsid w:val="00EF59AE"/>
    <w:rsid w:val="00F07123"/>
    <w:rsid w:val="00F14325"/>
    <w:rsid w:val="00F23D68"/>
    <w:rsid w:val="00F25342"/>
    <w:rsid w:val="00F27FED"/>
    <w:rsid w:val="00F35202"/>
    <w:rsid w:val="00F43512"/>
    <w:rsid w:val="00F44207"/>
    <w:rsid w:val="00F44470"/>
    <w:rsid w:val="00F53466"/>
    <w:rsid w:val="00F65C50"/>
    <w:rsid w:val="00F67B08"/>
    <w:rsid w:val="00F810C3"/>
    <w:rsid w:val="00F8468B"/>
    <w:rsid w:val="00F8595A"/>
    <w:rsid w:val="00F9023D"/>
    <w:rsid w:val="00F9060A"/>
    <w:rsid w:val="00F943E7"/>
    <w:rsid w:val="00FA3B45"/>
    <w:rsid w:val="00FA6268"/>
    <w:rsid w:val="00FB23D7"/>
    <w:rsid w:val="00FC575B"/>
    <w:rsid w:val="00FC7FF4"/>
    <w:rsid w:val="00FD3497"/>
    <w:rsid w:val="00FE7D98"/>
    <w:rsid w:val="00FF4C7D"/>
    <w:rsid w:val="01352872"/>
    <w:rsid w:val="0157752C"/>
    <w:rsid w:val="015C3C64"/>
    <w:rsid w:val="01780E1C"/>
    <w:rsid w:val="01A03493"/>
    <w:rsid w:val="01BB6BDF"/>
    <w:rsid w:val="01CB1B5D"/>
    <w:rsid w:val="01F27E78"/>
    <w:rsid w:val="020C0A39"/>
    <w:rsid w:val="021C4DD6"/>
    <w:rsid w:val="022A76EB"/>
    <w:rsid w:val="024E4B4B"/>
    <w:rsid w:val="025C796A"/>
    <w:rsid w:val="028C7EBB"/>
    <w:rsid w:val="02AA3092"/>
    <w:rsid w:val="02E46F10"/>
    <w:rsid w:val="02EA22CA"/>
    <w:rsid w:val="03072CD2"/>
    <w:rsid w:val="030E7F19"/>
    <w:rsid w:val="03135D23"/>
    <w:rsid w:val="03367AB9"/>
    <w:rsid w:val="033A74D7"/>
    <w:rsid w:val="034653DA"/>
    <w:rsid w:val="038641B4"/>
    <w:rsid w:val="0390173B"/>
    <w:rsid w:val="03960D67"/>
    <w:rsid w:val="03987BAF"/>
    <w:rsid w:val="03BA545D"/>
    <w:rsid w:val="03D92B0A"/>
    <w:rsid w:val="03F21B81"/>
    <w:rsid w:val="03FC3432"/>
    <w:rsid w:val="04217246"/>
    <w:rsid w:val="043B10FF"/>
    <w:rsid w:val="0464788E"/>
    <w:rsid w:val="04696755"/>
    <w:rsid w:val="04735A2B"/>
    <w:rsid w:val="04BC1928"/>
    <w:rsid w:val="04CB4231"/>
    <w:rsid w:val="04D050A3"/>
    <w:rsid w:val="04D16C61"/>
    <w:rsid w:val="04F220C4"/>
    <w:rsid w:val="0500198F"/>
    <w:rsid w:val="05031042"/>
    <w:rsid w:val="0539563E"/>
    <w:rsid w:val="055B3806"/>
    <w:rsid w:val="059A3D98"/>
    <w:rsid w:val="05BB5379"/>
    <w:rsid w:val="05D13618"/>
    <w:rsid w:val="063F2183"/>
    <w:rsid w:val="06AF0C53"/>
    <w:rsid w:val="06E43B62"/>
    <w:rsid w:val="0702107C"/>
    <w:rsid w:val="07245105"/>
    <w:rsid w:val="072651EF"/>
    <w:rsid w:val="072C432C"/>
    <w:rsid w:val="07751C03"/>
    <w:rsid w:val="077A1787"/>
    <w:rsid w:val="07AC46D2"/>
    <w:rsid w:val="07C67134"/>
    <w:rsid w:val="07D57406"/>
    <w:rsid w:val="081B154E"/>
    <w:rsid w:val="081E0C5B"/>
    <w:rsid w:val="089B1E76"/>
    <w:rsid w:val="08A47272"/>
    <w:rsid w:val="08E1129A"/>
    <w:rsid w:val="08F875BE"/>
    <w:rsid w:val="09285B65"/>
    <w:rsid w:val="09304FAA"/>
    <w:rsid w:val="09752120"/>
    <w:rsid w:val="097B2303"/>
    <w:rsid w:val="0996241E"/>
    <w:rsid w:val="09C40184"/>
    <w:rsid w:val="09C47ED7"/>
    <w:rsid w:val="0A1549DF"/>
    <w:rsid w:val="0A426D43"/>
    <w:rsid w:val="0A963711"/>
    <w:rsid w:val="0AB42F12"/>
    <w:rsid w:val="0AC8346D"/>
    <w:rsid w:val="0AE4777C"/>
    <w:rsid w:val="0AE82236"/>
    <w:rsid w:val="0B011F9A"/>
    <w:rsid w:val="0B06596C"/>
    <w:rsid w:val="0B0F433A"/>
    <w:rsid w:val="0B5E2EEA"/>
    <w:rsid w:val="0B64074F"/>
    <w:rsid w:val="0B83012F"/>
    <w:rsid w:val="0BB4055A"/>
    <w:rsid w:val="0C165A64"/>
    <w:rsid w:val="0C1C7A68"/>
    <w:rsid w:val="0C352BF1"/>
    <w:rsid w:val="0C4940EB"/>
    <w:rsid w:val="0C5126CF"/>
    <w:rsid w:val="0C642DA9"/>
    <w:rsid w:val="0C7E7DDA"/>
    <w:rsid w:val="0C8551E1"/>
    <w:rsid w:val="0C8E0BA6"/>
    <w:rsid w:val="0CB61994"/>
    <w:rsid w:val="0CBA7011"/>
    <w:rsid w:val="0CD57FAB"/>
    <w:rsid w:val="0CE77D31"/>
    <w:rsid w:val="0CFB0E37"/>
    <w:rsid w:val="0D6D6E22"/>
    <w:rsid w:val="0D7A7975"/>
    <w:rsid w:val="0D8D654B"/>
    <w:rsid w:val="0DA77B36"/>
    <w:rsid w:val="0DB53CD0"/>
    <w:rsid w:val="0DCA40BB"/>
    <w:rsid w:val="0DCB3373"/>
    <w:rsid w:val="0DE775E3"/>
    <w:rsid w:val="0DFB2B2B"/>
    <w:rsid w:val="0E076582"/>
    <w:rsid w:val="0E364A4E"/>
    <w:rsid w:val="0E3E7266"/>
    <w:rsid w:val="0E4E1F31"/>
    <w:rsid w:val="0E5D6215"/>
    <w:rsid w:val="0E763F86"/>
    <w:rsid w:val="0E8F4618"/>
    <w:rsid w:val="0E9852E6"/>
    <w:rsid w:val="0EC60EB9"/>
    <w:rsid w:val="0ECF18FB"/>
    <w:rsid w:val="0F271573"/>
    <w:rsid w:val="0F337FCF"/>
    <w:rsid w:val="0F3A7C05"/>
    <w:rsid w:val="0F412916"/>
    <w:rsid w:val="0F520635"/>
    <w:rsid w:val="0FAF2D39"/>
    <w:rsid w:val="0FC35DCF"/>
    <w:rsid w:val="0FCB4D8F"/>
    <w:rsid w:val="100114B9"/>
    <w:rsid w:val="10122F56"/>
    <w:rsid w:val="10480D80"/>
    <w:rsid w:val="10660230"/>
    <w:rsid w:val="1093534F"/>
    <w:rsid w:val="10B01ED0"/>
    <w:rsid w:val="10E34F4D"/>
    <w:rsid w:val="111B56F4"/>
    <w:rsid w:val="111C25B1"/>
    <w:rsid w:val="113542C9"/>
    <w:rsid w:val="113D7A9A"/>
    <w:rsid w:val="114E6332"/>
    <w:rsid w:val="1173218F"/>
    <w:rsid w:val="11767517"/>
    <w:rsid w:val="119B4F8B"/>
    <w:rsid w:val="11A0059D"/>
    <w:rsid w:val="11AC4290"/>
    <w:rsid w:val="11B30526"/>
    <w:rsid w:val="11C02950"/>
    <w:rsid w:val="11D7384A"/>
    <w:rsid w:val="11ED2E29"/>
    <w:rsid w:val="1206374E"/>
    <w:rsid w:val="1215235A"/>
    <w:rsid w:val="12154944"/>
    <w:rsid w:val="12241424"/>
    <w:rsid w:val="126B2BAF"/>
    <w:rsid w:val="127134B4"/>
    <w:rsid w:val="1293234F"/>
    <w:rsid w:val="129C4C2C"/>
    <w:rsid w:val="12B66F38"/>
    <w:rsid w:val="12CD1ABC"/>
    <w:rsid w:val="12EC203F"/>
    <w:rsid w:val="13166FBF"/>
    <w:rsid w:val="1324536A"/>
    <w:rsid w:val="13876133"/>
    <w:rsid w:val="139E7E8C"/>
    <w:rsid w:val="13A429E7"/>
    <w:rsid w:val="13AB24EB"/>
    <w:rsid w:val="13CA6C39"/>
    <w:rsid w:val="13F75AD6"/>
    <w:rsid w:val="14055672"/>
    <w:rsid w:val="143778C7"/>
    <w:rsid w:val="145A107D"/>
    <w:rsid w:val="145F06DB"/>
    <w:rsid w:val="149B12EA"/>
    <w:rsid w:val="14A814E0"/>
    <w:rsid w:val="14B604C5"/>
    <w:rsid w:val="14C5366B"/>
    <w:rsid w:val="14D53BA2"/>
    <w:rsid w:val="14FD2957"/>
    <w:rsid w:val="154C6CC8"/>
    <w:rsid w:val="155D4754"/>
    <w:rsid w:val="15602FA3"/>
    <w:rsid w:val="15643482"/>
    <w:rsid w:val="15850E30"/>
    <w:rsid w:val="15B01C1E"/>
    <w:rsid w:val="15B63025"/>
    <w:rsid w:val="15B733C2"/>
    <w:rsid w:val="1601755D"/>
    <w:rsid w:val="160E3980"/>
    <w:rsid w:val="16413A5D"/>
    <w:rsid w:val="167417E7"/>
    <w:rsid w:val="168626AD"/>
    <w:rsid w:val="169A39A1"/>
    <w:rsid w:val="17041FCF"/>
    <w:rsid w:val="17086345"/>
    <w:rsid w:val="170B17D6"/>
    <w:rsid w:val="17795407"/>
    <w:rsid w:val="17C95632"/>
    <w:rsid w:val="17DD2DFE"/>
    <w:rsid w:val="17E9368A"/>
    <w:rsid w:val="17FD1D0E"/>
    <w:rsid w:val="185048DF"/>
    <w:rsid w:val="185A5982"/>
    <w:rsid w:val="185D5E7B"/>
    <w:rsid w:val="18747AA2"/>
    <w:rsid w:val="18773193"/>
    <w:rsid w:val="18851ADB"/>
    <w:rsid w:val="18903EF8"/>
    <w:rsid w:val="18A93681"/>
    <w:rsid w:val="18B9269D"/>
    <w:rsid w:val="18C64903"/>
    <w:rsid w:val="192F4E2E"/>
    <w:rsid w:val="19342E2B"/>
    <w:rsid w:val="19414D23"/>
    <w:rsid w:val="1942229C"/>
    <w:rsid w:val="195C4443"/>
    <w:rsid w:val="19666BC2"/>
    <w:rsid w:val="19A838B9"/>
    <w:rsid w:val="19CB1914"/>
    <w:rsid w:val="1A0042F9"/>
    <w:rsid w:val="1A262EF8"/>
    <w:rsid w:val="1A2F6E98"/>
    <w:rsid w:val="1A355BFA"/>
    <w:rsid w:val="1A4C44A0"/>
    <w:rsid w:val="1A5C74F2"/>
    <w:rsid w:val="1A6B1AAE"/>
    <w:rsid w:val="1A82320B"/>
    <w:rsid w:val="1A8E1D01"/>
    <w:rsid w:val="1AD75846"/>
    <w:rsid w:val="1AFF2A2E"/>
    <w:rsid w:val="1B082132"/>
    <w:rsid w:val="1B10775A"/>
    <w:rsid w:val="1B1E6E4E"/>
    <w:rsid w:val="1B2B737F"/>
    <w:rsid w:val="1B4F6B39"/>
    <w:rsid w:val="1B544659"/>
    <w:rsid w:val="1B64799F"/>
    <w:rsid w:val="1B6650FA"/>
    <w:rsid w:val="1B8A6FDA"/>
    <w:rsid w:val="1BBB70BE"/>
    <w:rsid w:val="1BCC3FAE"/>
    <w:rsid w:val="1BCD30DB"/>
    <w:rsid w:val="1BE94E95"/>
    <w:rsid w:val="1C032365"/>
    <w:rsid w:val="1C7E7FDF"/>
    <w:rsid w:val="1C8177E9"/>
    <w:rsid w:val="1C971C5B"/>
    <w:rsid w:val="1C9B49BF"/>
    <w:rsid w:val="1CCD4535"/>
    <w:rsid w:val="1CCE15D5"/>
    <w:rsid w:val="1CDE05F2"/>
    <w:rsid w:val="1CFA1766"/>
    <w:rsid w:val="1D6210C5"/>
    <w:rsid w:val="1D7D2EAE"/>
    <w:rsid w:val="1D883F36"/>
    <w:rsid w:val="1D8B182D"/>
    <w:rsid w:val="1DA63635"/>
    <w:rsid w:val="1DC84E43"/>
    <w:rsid w:val="1DDD09EE"/>
    <w:rsid w:val="1DEF7B48"/>
    <w:rsid w:val="1E3F7CDF"/>
    <w:rsid w:val="1E7A6EF7"/>
    <w:rsid w:val="1E9D0596"/>
    <w:rsid w:val="1EB564D4"/>
    <w:rsid w:val="1F0B3750"/>
    <w:rsid w:val="1F1929A5"/>
    <w:rsid w:val="1F4A6878"/>
    <w:rsid w:val="1F5A78BA"/>
    <w:rsid w:val="1F662CB1"/>
    <w:rsid w:val="1FAA0BD0"/>
    <w:rsid w:val="1FB02549"/>
    <w:rsid w:val="1FB256ED"/>
    <w:rsid w:val="1FD837FF"/>
    <w:rsid w:val="1FE16A4A"/>
    <w:rsid w:val="1FF75113"/>
    <w:rsid w:val="20032ADA"/>
    <w:rsid w:val="200C49A1"/>
    <w:rsid w:val="205B78A5"/>
    <w:rsid w:val="20664106"/>
    <w:rsid w:val="20A042C4"/>
    <w:rsid w:val="20BA01A2"/>
    <w:rsid w:val="20CE26CE"/>
    <w:rsid w:val="20F63590"/>
    <w:rsid w:val="214D23A2"/>
    <w:rsid w:val="21933ED0"/>
    <w:rsid w:val="21CD14FF"/>
    <w:rsid w:val="21EC48CE"/>
    <w:rsid w:val="21F50BC9"/>
    <w:rsid w:val="220B1127"/>
    <w:rsid w:val="222E4856"/>
    <w:rsid w:val="22394639"/>
    <w:rsid w:val="22532AEE"/>
    <w:rsid w:val="22627BE7"/>
    <w:rsid w:val="22B57C66"/>
    <w:rsid w:val="22B727F6"/>
    <w:rsid w:val="22D92B44"/>
    <w:rsid w:val="22E0566B"/>
    <w:rsid w:val="22F04783"/>
    <w:rsid w:val="22F913FB"/>
    <w:rsid w:val="23076924"/>
    <w:rsid w:val="234D3738"/>
    <w:rsid w:val="236B231D"/>
    <w:rsid w:val="23B45E9D"/>
    <w:rsid w:val="23EA3ADF"/>
    <w:rsid w:val="23EA77CA"/>
    <w:rsid w:val="249073D6"/>
    <w:rsid w:val="24CA3815"/>
    <w:rsid w:val="24DE2055"/>
    <w:rsid w:val="24F11E83"/>
    <w:rsid w:val="254D7446"/>
    <w:rsid w:val="256C4082"/>
    <w:rsid w:val="257B622C"/>
    <w:rsid w:val="25B11B92"/>
    <w:rsid w:val="25BC242D"/>
    <w:rsid w:val="25BF4783"/>
    <w:rsid w:val="25CE7B47"/>
    <w:rsid w:val="25E60F52"/>
    <w:rsid w:val="26112F12"/>
    <w:rsid w:val="261B18AE"/>
    <w:rsid w:val="261E7F0C"/>
    <w:rsid w:val="263018F0"/>
    <w:rsid w:val="2647340C"/>
    <w:rsid w:val="268C5A9B"/>
    <w:rsid w:val="269417D9"/>
    <w:rsid w:val="26A23E50"/>
    <w:rsid w:val="26A5448A"/>
    <w:rsid w:val="2713603C"/>
    <w:rsid w:val="27327D7E"/>
    <w:rsid w:val="276D6196"/>
    <w:rsid w:val="27830C51"/>
    <w:rsid w:val="278903FC"/>
    <w:rsid w:val="278F6EED"/>
    <w:rsid w:val="27994F87"/>
    <w:rsid w:val="279C3CF7"/>
    <w:rsid w:val="27B27BF3"/>
    <w:rsid w:val="27BD1A14"/>
    <w:rsid w:val="27D001FB"/>
    <w:rsid w:val="28040A8A"/>
    <w:rsid w:val="280E2503"/>
    <w:rsid w:val="284339E3"/>
    <w:rsid w:val="28437BCE"/>
    <w:rsid w:val="28605C78"/>
    <w:rsid w:val="2881593B"/>
    <w:rsid w:val="288448DC"/>
    <w:rsid w:val="28E474D1"/>
    <w:rsid w:val="29531CFB"/>
    <w:rsid w:val="295F5454"/>
    <w:rsid w:val="299753D5"/>
    <w:rsid w:val="29B269C7"/>
    <w:rsid w:val="29B65F53"/>
    <w:rsid w:val="29F2697D"/>
    <w:rsid w:val="2A250ADB"/>
    <w:rsid w:val="2A447628"/>
    <w:rsid w:val="2AC901B1"/>
    <w:rsid w:val="2ACE16B2"/>
    <w:rsid w:val="2AD91375"/>
    <w:rsid w:val="2B114EE9"/>
    <w:rsid w:val="2B274C59"/>
    <w:rsid w:val="2B486A6D"/>
    <w:rsid w:val="2B6D28C9"/>
    <w:rsid w:val="2BAD5C08"/>
    <w:rsid w:val="2BD24CFE"/>
    <w:rsid w:val="2BD84244"/>
    <w:rsid w:val="2C0E5270"/>
    <w:rsid w:val="2C247F18"/>
    <w:rsid w:val="2C26473B"/>
    <w:rsid w:val="2C2F340C"/>
    <w:rsid w:val="2C4468CE"/>
    <w:rsid w:val="2C465D5F"/>
    <w:rsid w:val="2C4D33CF"/>
    <w:rsid w:val="2C6D77BD"/>
    <w:rsid w:val="2C8E73DC"/>
    <w:rsid w:val="2CD107F3"/>
    <w:rsid w:val="2CE73CA3"/>
    <w:rsid w:val="2CF51ED1"/>
    <w:rsid w:val="2D260298"/>
    <w:rsid w:val="2D597FB3"/>
    <w:rsid w:val="2D8C0FAC"/>
    <w:rsid w:val="2DB94D8F"/>
    <w:rsid w:val="2DB94F78"/>
    <w:rsid w:val="2DCB3767"/>
    <w:rsid w:val="2DF3744C"/>
    <w:rsid w:val="2E031289"/>
    <w:rsid w:val="2E190834"/>
    <w:rsid w:val="2E3F5343"/>
    <w:rsid w:val="2E453790"/>
    <w:rsid w:val="2E6C551C"/>
    <w:rsid w:val="2E732971"/>
    <w:rsid w:val="2E7967FF"/>
    <w:rsid w:val="2E9C4AA6"/>
    <w:rsid w:val="2F0873B9"/>
    <w:rsid w:val="2F220384"/>
    <w:rsid w:val="2F2E21A1"/>
    <w:rsid w:val="2F944B24"/>
    <w:rsid w:val="2FB1517C"/>
    <w:rsid w:val="2FD113DA"/>
    <w:rsid w:val="3027082A"/>
    <w:rsid w:val="30295D48"/>
    <w:rsid w:val="302F2ACC"/>
    <w:rsid w:val="30460EB8"/>
    <w:rsid w:val="304844CB"/>
    <w:rsid w:val="30550253"/>
    <w:rsid w:val="307B152E"/>
    <w:rsid w:val="309457EF"/>
    <w:rsid w:val="309B4007"/>
    <w:rsid w:val="309C6B5A"/>
    <w:rsid w:val="309E03A3"/>
    <w:rsid w:val="30A66FAA"/>
    <w:rsid w:val="30B6368E"/>
    <w:rsid w:val="30C301B1"/>
    <w:rsid w:val="30DD36DD"/>
    <w:rsid w:val="30DE0EA6"/>
    <w:rsid w:val="30E71708"/>
    <w:rsid w:val="310B7735"/>
    <w:rsid w:val="31C373C7"/>
    <w:rsid w:val="31EC01FF"/>
    <w:rsid w:val="324D5E95"/>
    <w:rsid w:val="325B4E5A"/>
    <w:rsid w:val="328F7539"/>
    <w:rsid w:val="32C635D3"/>
    <w:rsid w:val="33077B96"/>
    <w:rsid w:val="33255A6A"/>
    <w:rsid w:val="33272299"/>
    <w:rsid w:val="332A30ED"/>
    <w:rsid w:val="333D3C9C"/>
    <w:rsid w:val="337F74F6"/>
    <w:rsid w:val="33EC5EA2"/>
    <w:rsid w:val="342019D6"/>
    <w:rsid w:val="342F05E5"/>
    <w:rsid w:val="34330FA8"/>
    <w:rsid w:val="343751D9"/>
    <w:rsid w:val="343E13A5"/>
    <w:rsid w:val="34451C83"/>
    <w:rsid w:val="345B1602"/>
    <w:rsid w:val="346B4741"/>
    <w:rsid w:val="349C63DF"/>
    <w:rsid w:val="349E2D09"/>
    <w:rsid w:val="34A22009"/>
    <w:rsid w:val="34C816C9"/>
    <w:rsid w:val="35150821"/>
    <w:rsid w:val="352F22FC"/>
    <w:rsid w:val="354E2E3F"/>
    <w:rsid w:val="35515B68"/>
    <w:rsid w:val="35561B0D"/>
    <w:rsid w:val="35732682"/>
    <w:rsid w:val="35861A58"/>
    <w:rsid w:val="358D76C0"/>
    <w:rsid w:val="35B926F1"/>
    <w:rsid w:val="35D86ACE"/>
    <w:rsid w:val="35E96EE5"/>
    <w:rsid w:val="35FD0E9C"/>
    <w:rsid w:val="361E0577"/>
    <w:rsid w:val="36351095"/>
    <w:rsid w:val="364726F5"/>
    <w:rsid w:val="36672AFA"/>
    <w:rsid w:val="36832E12"/>
    <w:rsid w:val="36A56D6E"/>
    <w:rsid w:val="36C97333"/>
    <w:rsid w:val="36D10100"/>
    <w:rsid w:val="37253BAF"/>
    <w:rsid w:val="37393CB6"/>
    <w:rsid w:val="373B161D"/>
    <w:rsid w:val="376860E2"/>
    <w:rsid w:val="378073BA"/>
    <w:rsid w:val="37907FDB"/>
    <w:rsid w:val="37911E53"/>
    <w:rsid w:val="37971BCD"/>
    <w:rsid w:val="37D24B71"/>
    <w:rsid w:val="37DD081D"/>
    <w:rsid w:val="38007FE8"/>
    <w:rsid w:val="380135CA"/>
    <w:rsid w:val="38056CCF"/>
    <w:rsid w:val="383737E0"/>
    <w:rsid w:val="38575FCC"/>
    <w:rsid w:val="38673CD8"/>
    <w:rsid w:val="388332A6"/>
    <w:rsid w:val="38D66F26"/>
    <w:rsid w:val="392020E5"/>
    <w:rsid w:val="39260C0B"/>
    <w:rsid w:val="39266647"/>
    <w:rsid w:val="39345C80"/>
    <w:rsid w:val="39472B87"/>
    <w:rsid w:val="396764B9"/>
    <w:rsid w:val="399B1463"/>
    <w:rsid w:val="39A62826"/>
    <w:rsid w:val="3A560ED9"/>
    <w:rsid w:val="3A723DFD"/>
    <w:rsid w:val="3ADF400E"/>
    <w:rsid w:val="3AEC57EE"/>
    <w:rsid w:val="3AF712CC"/>
    <w:rsid w:val="3BAD46C6"/>
    <w:rsid w:val="3BC8415F"/>
    <w:rsid w:val="3BDD11D6"/>
    <w:rsid w:val="3C0A6A0D"/>
    <w:rsid w:val="3C2B7D42"/>
    <w:rsid w:val="3C33120E"/>
    <w:rsid w:val="3C497957"/>
    <w:rsid w:val="3C4D13F4"/>
    <w:rsid w:val="3D4F478D"/>
    <w:rsid w:val="3D5C2616"/>
    <w:rsid w:val="3D640E3F"/>
    <w:rsid w:val="3D891623"/>
    <w:rsid w:val="3DB07BC0"/>
    <w:rsid w:val="3DCA7510"/>
    <w:rsid w:val="3E052E8F"/>
    <w:rsid w:val="3E0572CB"/>
    <w:rsid w:val="3E2540C3"/>
    <w:rsid w:val="3E3F71F8"/>
    <w:rsid w:val="3E691955"/>
    <w:rsid w:val="3ED123BC"/>
    <w:rsid w:val="3EE5368C"/>
    <w:rsid w:val="3F020776"/>
    <w:rsid w:val="3F0263E0"/>
    <w:rsid w:val="3F2B4B01"/>
    <w:rsid w:val="3F3379F0"/>
    <w:rsid w:val="3F8904C0"/>
    <w:rsid w:val="3F8B4416"/>
    <w:rsid w:val="3FA92B6B"/>
    <w:rsid w:val="3FC0128D"/>
    <w:rsid w:val="3FF272F2"/>
    <w:rsid w:val="3FF678FA"/>
    <w:rsid w:val="4001612E"/>
    <w:rsid w:val="4065487F"/>
    <w:rsid w:val="40963B96"/>
    <w:rsid w:val="409A3A5D"/>
    <w:rsid w:val="40C01233"/>
    <w:rsid w:val="40CA4471"/>
    <w:rsid w:val="40D03395"/>
    <w:rsid w:val="40E679AE"/>
    <w:rsid w:val="40E92112"/>
    <w:rsid w:val="41C65BE8"/>
    <w:rsid w:val="41CF2D27"/>
    <w:rsid w:val="41CF6CC5"/>
    <w:rsid w:val="41E35238"/>
    <w:rsid w:val="420024FA"/>
    <w:rsid w:val="42010F19"/>
    <w:rsid w:val="42155F9A"/>
    <w:rsid w:val="421B4CDC"/>
    <w:rsid w:val="421E71BF"/>
    <w:rsid w:val="424524FA"/>
    <w:rsid w:val="42641E27"/>
    <w:rsid w:val="42675052"/>
    <w:rsid w:val="427D107A"/>
    <w:rsid w:val="427E64BE"/>
    <w:rsid w:val="42B36FA2"/>
    <w:rsid w:val="42C5104B"/>
    <w:rsid w:val="43195901"/>
    <w:rsid w:val="432263B4"/>
    <w:rsid w:val="43343DC8"/>
    <w:rsid w:val="435B357D"/>
    <w:rsid w:val="43EA244E"/>
    <w:rsid w:val="44035A09"/>
    <w:rsid w:val="4433634D"/>
    <w:rsid w:val="443F27A9"/>
    <w:rsid w:val="4444781F"/>
    <w:rsid w:val="44465A14"/>
    <w:rsid w:val="446438B1"/>
    <w:rsid w:val="446E0159"/>
    <w:rsid w:val="447B6B38"/>
    <w:rsid w:val="4492209A"/>
    <w:rsid w:val="4498797D"/>
    <w:rsid w:val="44B30262"/>
    <w:rsid w:val="44B972F0"/>
    <w:rsid w:val="44E66B3A"/>
    <w:rsid w:val="44EA7FA2"/>
    <w:rsid w:val="44F75984"/>
    <w:rsid w:val="4547041C"/>
    <w:rsid w:val="457334D9"/>
    <w:rsid w:val="4581498B"/>
    <w:rsid w:val="46134973"/>
    <w:rsid w:val="462E1A2E"/>
    <w:rsid w:val="46311606"/>
    <w:rsid w:val="464153A3"/>
    <w:rsid w:val="46506E39"/>
    <w:rsid w:val="465A0995"/>
    <w:rsid w:val="467058B1"/>
    <w:rsid w:val="4677165F"/>
    <w:rsid w:val="4693034E"/>
    <w:rsid w:val="46D07953"/>
    <w:rsid w:val="4717028C"/>
    <w:rsid w:val="472E6B9D"/>
    <w:rsid w:val="47A13338"/>
    <w:rsid w:val="47A3396B"/>
    <w:rsid w:val="47D00D68"/>
    <w:rsid w:val="48200C00"/>
    <w:rsid w:val="48336B73"/>
    <w:rsid w:val="48872930"/>
    <w:rsid w:val="489152DF"/>
    <w:rsid w:val="48AF489B"/>
    <w:rsid w:val="48B2768D"/>
    <w:rsid w:val="48C84043"/>
    <w:rsid w:val="48E07F64"/>
    <w:rsid w:val="48F13B7A"/>
    <w:rsid w:val="48F97312"/>
    <w:rsid w:val="49055CDE"/>
    <w:rsid w:val="49314C7A"/>
    <w:rsid w:val="493213A4"/>
    <w:rsid w:val="49A67591"/>
    <w:rsid w:val="49EB7F15"/>
    <w:rsid w:val="49F121CF"/>
    <w:rsid w:val="4A2500A6"/>
    <w:rsid w:val="4A563C9A"/>
    <w:rsid w:val="4A684F71"/>
    <w:rsid w:val="4A861503"/>
    <w:rsid w:val="4B2047A0"/>
    <w:rsid w:val="4B4E7084"/>
    <w:rsid w:val="4B6D62F0"/>
    <w:rsid w:val="4B717E33"/>
    <w:rsid w:val="4B910A7E"/>
    <w:rsid w:val="4B9D2E43"/>
    <w:rsid w:val="4BDE3E16"/>
    <w:rsid w:val="4BDF049E"/>
    <w:rsid w:val="4C646F30"/>
    <w:rsid w:val="4C7B1665"/>
    <w:rsid w:val="4C802FA0"/>
    <w:rsid w:val="4CAF1562"/>
    <w:rsid w:val="4CD94BBC"/>
    <w:rsid w:val="4D0645F9"/>
    <w:rsid w:val="4D160839"/>
    <w:rsid w:val="4D1B26B0"/>
    <w:rsid w:val="4D2F0B58"/>
    <w:rsid w:val="4D532F2D"/>
    <w:rsid w:val="4D733638"/>
    <w:rsid w:val="4D8E669C"/>
    <w:rsid w:val="4DC01745"/>
    <w:rsid w:val="4DD424E8"/>
    <w:rsid w:val="4DD47FD6"/>
    <w:rsid w:val="4DFA5ACA"/>
    <w:rsid w:val="4E1160F1"/>
    <w:rsid w:val="4E1B5DF4"/>
    <w:rsid w:val="4E296052"/>
    <w:rsid w:val="4E381F9E"/>
    <w:rsid w:val="4E3A5D0E"/>
    <w:rsid w:val="4E52057F"/>
    <w:rsid w:val="4E7068AF"/>
    <w:rsid w:val="4E7C1358"/>
    <w:rsid w:val="4EBF3EEB"/>
    <w:rsid w:val="4EDF198A"/>
    <w:rsid w:val="4F050C64"/>
    <w:rsid w:val="4F1E3411"/>
    <w:rsid w:val="4F2E3A17"/>
    <w:rsid w:val="4F3778AA"/>
    <w:rsid w:val="4F634F72"/>
    <w:rsid w:val="4FAD6A0E"/>
    <w:rsid w:val="4FB51868"/>
    <w:rsid w:val="4FC71A10"/>
    <w:rsid w:val="4FC86EAF"/>
    <w:rsid w:val="4FCC40BB"/>
    <w:rsid w:val="4FE95390"/>
    <w:rsid w:val="500F2E37"/>
    <w:rsid w:val="50204561"/>
    <w:rsid w:val="50305002"/>
    <w:rsid w:val="503638A8"/>
    <w:rsid w:val="50595C18"/>
    <w:rsid w:val="50655C0C"/>
    <w:rsid w:val="509240DF"/>
    <w:rsid w:val="509C7502"/>
    <w:rsid w:val="50B6165D"/>
    <w:rsid w:val="50D17611"/>
    <w:rsid w:val="50D44082"/>
    <w:rsid w:val="50F94906"/>
    <w:rsid w:val="51103AD6"/>
    <w:rsid w:val="514A5F52"/>
    <w:rsid w:val="514C7376"/>
    <w:rsid w:val="515B7A1D"/>
    <w:rsid w:val="515D5437"/>
    <w:rsid w:val="516C77CE"/>
    <w:rsid w:val="517C2410"/>
    <w:rsid w:val="51CA32E3"/>
    <w:rsid w:val="51DC6B91"/>
    <w:rsid w:val="51DF2696"/>
    <w:rsid w:val="51EF6EEF"/>
    <w:rsid w:val="522D1654"/>
    <w:rsid w:val="525B41E5"/>
    <w:rsid w:val="52956AD4"/>
    <w:rsid w:val="52A57C86"/>
    <w:rsid w:val="52C34C47"/>
    <w:rsid w:val="52D63F42"/>
    <w:rsid w:val="52EC3697"/>
    <w:rsid w:val="53104C2C"/>
    <w:rsid w:val="531A29C7"/>
    <w:rsid w:val="532155C5"/>
    <w:rsid w:val="53246291"/>
    <w:rsid w:val="535A7CEA"/>
    <w:rsid w:val="53623CDA"/>
    <w:rsid w:val="5374598A"/>
    <w:rsid w:val="538208AF"/>
    <w:rsid w:val="53D86E0B"/>
    <w:rsid w:val="53DB4FD4"/>
    <w:rsid w:val="53F16810"/>
    <w:rsid w:val="54161C73"/>
    <w:rsid w:val="54A51C9E"/>
    <w:rsid w:val="55521BC9"/>
    <w:rsid w:val="5562256D"/>
    <w:rsid w:val="556C484B"/>
    <w:rsid w:val="558D118A"/>
    <w:rsid w:val="55A4007F"/>
    <w:rsid w:val="560421A1"/>
    <w:rsid w:val="561A52C9"/>
    <w:rsid w:val="562408B1"/>
    <w:rsid w:val="565559C0"/>
    <w:rsid w:val="565804FA"/>
    <w:rsid w:val="56755722"/>
    <w:rsid w:val="568E136C"/>
    <w:rsid w:val="569C0506"/>
    <w:rsid w:val="56AB0DF4"/>
    <w:rsid w:val="56BE4164"/>
    <w:rsid w:val="56CE2338"/>
    <w:rsid w:val="56D20788"/>
    <w:rsid w:val="56E16F8B"/>
    <w:rsid w:val="56E62BE6"/>
    <w:rsid w:val="56ED5254"/>
    <w:rsid w:val="5727547F"/>
    <w:rsid w:val="573E12D6"/>
    <w:rsid w:val="57472E20"/>
    <w:rsid w:val="574F5BC8"/>
    <w:rsid w:val="57664A1C"/>
    <w:rsid w:val="57722648"/>
    <w:rsid w:val="57740A14"/>
    <w:rsid w:val="577675F9"/>
    <w:rsid w:val="577B69BD"/>
    <w:rsid w:val="57885248"/>
    <w:rsid w:val="57BB3492"/>
    <w:rsid w:val="57CD1C5D"/>
    <w:rsid w:val="57DB474F"/>
    <w:rsid w:val="58530F60"/>
    <w:rsid w:val="58A037E3"/>
    <w:rsid w:val="58C16BF8"/>
    <w:rsid w:val="58D8106F"/>
    <w:rsid w:val="59004098"/>
    <w:rsid w:val="591D2D5D"/>
    <w:rsid w:val="594D25DB"/>
    <w:rsid w:val="595C6BA8"/>
    <w:rsid w:val="595E71E6"/>
    <w:rsid w:val="596029D6"/>
    <w:rsid w:val="59646CF7"/>
    <w:rsid w:val="59772FAE"/>
    <w:rsid w:val="59BE7035"/>
    <w:rsid w:val="59E3042D"/>
    <w:rsid w:val="59E331A8"/>
    <w:rsid w:val="5A520CA7"/>
    <w:rsid w:val="5A683452"/>
    <w:rsid w:val="5A77590E"/>
    <w:rsid w:val="5A7B4AD5"/>
    <w:rsid w:val="5A7B6C10"/>
    <w:rsid w:val="5A9A0C31"/>
    <w:rsid w:val="5AB046B9"/>
    <w:rsid w:val="5ACD5F86"/>
    <w:rsid w:val="5B045B2D"/>
    <w:rsid w:val="5B7E5D6E"/>
    <w:rsid w:val="5C081A68"/>
    <w:rsid w:val="5C3921D3"/>
    <w:rsid w:val="5C851C2A"/>
    <w:rsid w:val="5CEA667B"/>
    <w:rsid w:val="5D16080B"/>
    <w:rsid w:val="5D301CA3"/>
    <w:rsid w:val="5D341A46"/>
    <w:rsid w:val="5D4613CB"/>
    <w:rsid w:val="5D4A13E8"/>
    <w:rsid w:val="5D4A6D64"/>
    <w:rsid w:val="5D5B5747"/>
    <w:rsid w:val="5D8177AC"/>
    <w:rsid w:val="5DAE00A2"/>
    <w:rsid w:val="5DB06557"/>
    <w:rsid w:val="5DCD43AB"/>
    <w:rsid w:val="5DDF7A60"/>
    <w:rsid w:val="5E1E1E07"/>
    <w:rsid w:val="5E205B08"/>
    <w:rsid w:val="5E385567"/>
    <w:rsid w:val="5E615505"/>
    <w:rsid w:val="5E673C65"/>
    <w:rsid w:val="5E7B5BBF"/>
    <w:rsid w:val="5E865AD5"/>
    <w:rsid w:val="5EB22A2A"/>
    <w:rsid w:val="5ED0043C"/>
    <w:rsid w:val="5ED706FA"/>
    <w:rsid w:val="5F157E5B"/>
    <w:rsid w:val="5F2D60B8"/>
    <w:rsid w:val="5F3A5374"/>
    <w:rsid w:val="5F467D0B"/>
    <w:rsid w:val="5F4F557A"/>
    <w:rsid w:val="5F5B5EBE"/>
    <w:rsid w:val="5F920D48"/>
    <w:rsid w:val="5FA0033E"/>
    <w:rsid w:val="5FA44924"/>
    <w:rsid w:val="5FDC7576"/>
    <w:rsid w:val="60335F4C"/>
    <w:rsid w:val="60466FCE"/>
    <w:rsid w:val="605C6513"/>
    <w:rsid w:val="606C1B82"/>
    <w:rsid w:val="60730B79"/>
    <w:rsid w:val="60C2243D"/>
    <w:rsid w:val="60DA6D4B"/>
    <w:rsid w:val="60DA793B"/>
    <w:rsid w:val="619C19CF"/>
    <w:rsid w:val="61B36D25"/>
    <w:rsid w:val="61C5270B"/>
    <w:rsid w:val="61E86705"/>
    <w:rsid w:val="62187CA6"/>
    <w:rsid w:val="6229463E"/>
    <w:rsid w:val="62444710"/>
    <w:rsid w:val="6262573D"/>
    <w:rsid w:val="62916153"/>
    <w:rsid w:val="62C850AC"/>
    <w:rsid w:val="62DD0876"/>
    <w:rsid w:val="62DF6945"/>
    <w:rsid w:val="62E84D6B"/>
    <w:rsid w:val="633F1BC7"/>
    <w:rsid w:val="6355471F"/>
    <w:rsid w:val="635B004C"/>
    <w:rsid w:val="635B1021"/>
    <w:rsid w:val="637711D3"/>
    <w:rsid w:val="63893AD3"/>
    <w:rsid w:val="639975BA"/>
    <w:rsid w:val="63B3069F"/>
    <w:rsid w:val="63C65E85"/>
    <w:rsid w:val="63CC1D0C"/>
    <w:rsid w:val="643178DC"/>
    <w:rsid w:val="64344084"/>
    <w:rsid w:val="646E29E0"/>
    <w:rsid w:val="646F4877"/>
    <w:rsid w:val="64A80FC2"/>
    <w:rsid w:val="64A86918"/>
    <w:rsid w:val="64AB72F7"/>
    <w:rsid w:val="64CE5C72"/>
    <w:rsid w:val="64D06AA2"/>
    <w:rsid w:val="650717B3"/>
    <w:rsid w:val="651E3CBD"/>
    <w:rsid w:val="651F4E36"/>
    <w:rsid w:val="65563146"/>
    <w:rsid w:val="655A5E64"/>
    <w:rsid w:val="656F15CC"/>
    <w:rsid w:val="658C3A4D"/>
    <w:rsid w:val="658D1477"/>
    <w:rsid w:val="65B202BD"/>
    <w:rsid w:val="65BD5F3A"/>
    <w:rsid w:val="65C46A14"/>
    <w:rsid w:val="65CB1873"/>
    <w:rsid w:val="65E47E23"/>
    <w:rsid w:val="65EF18CC"/>
    <w:rsid w:val="65F922DE"/>
    <w:rsid w:val="660C7CFF"/>
    <w:rsid w:val="663200B6"/>
    <w:rsid w:val="6638278E"/>
    <w:rsid w:val="665A5642"/>
    <w:rsid w:val="66660B1E"/>
    <w:rsid w:val="6686016D"/>
    <w:rsid w:val="66E6359D"/>
    <w:rsid w:val="671019D1"/>
    <w:rsid w:val="673C7152"/>
    <w:rsid w:val="67416140"/>
    <w:rsid w:val="675F2D38"/>
    <w:rsid w:val="677807FE"/>
    <w:rsid w:val="67AF4FEA"/>
    <w:rsid w:val="67DC208F"/>
    <w:rsid w:val="685206AF"/>
    <w:rsid w:val="68831087"/>
    <w:rsid w:val="68833924"/>
    <w:rsid w:val="689F7A51"/>
    <w:rsid w:val="68A21B66"/>
    <w:rsid w:val="68A344A5"/>
    <w:rsid w:val="68BD756B"/>
    <w:rsid w:val="68C64BD7"/>
    <w:rsid w:val="69010033"/>
    <w:rsid w:val="691952F4"/>
    <w:rsid w:val="694C5D2B"/>
    <w:rsid w:val="69623A87"/>
    <w:rsid w:val="697F12FB"/>
    <w:rsid w:val="697F2E44"/>
    <w:rsid w:val="69B53FB1"/>
    <w:rsid w:val="69C25A59"/>
    <w:rsid w:val="69CE32D0"/>
    <w:rsid w:val="69DC1DC2"/>
    <w:rsid w:val="69E0370C"/>
    <w:rsid w:val="69F31571"/>
    <w:rsid w:val="69FA755A"/>
    <w:rsid w:val="6A441EA6"/>
    <w:rsid w:val="6A490C4B"/>
    <w:rsid w:val="6A505A87"/>
    <w:rsid w:val="6A9E7C48"/>
    <w:rsid w:val="6AF1726A"/>
    <w:rsid w:val="6B0E2F63"/>
    <w:rsid w:val="6B2E6722"/>
    <w:rsid w:val="6B382743"/>
    <w:rsid w:val="6B6E3640"/>
    <w:rsid w:val="6BBE04ED"/>
    <w:rsid w:val="6C047635"/>
    <w:rsid w:val="6C132292"/>
    <w:rsid w:val="6C2C7242"/>
    <w:rsid w:val="6C486CD0"/>
    <w:rsid w:val="6C5D0160"/>
    <w:rsid w:val="6D2014EB"/>
    <w:rsid w:val="6D2E2136"/>
    <w:rsid w:val="6D48562C"/>
    <w:rsid w:val="6D535020"/>
    <w:rsid w:val="6D5528F2"/>
    <w:rsid w:val="6D572428"/>
    <w:rsid w:val="6D750FCF"/>
    <w:rsid w:val="6DBB337C"/>
    <w:rsid w:val="6E0734C3"/>
    <w:rsid w:val="6E2B7D4C"/>
    <w:rsid w:val="6E537FA9"/>
    <w:rsid w:val="6EA36399"/>
    <w:rsid w:val="6ED02820"/>
    <w:rsid w:val="6EFC40AD"/>
    <w:rsid w:val="6F1F199C"/>
    <w:rsid w:val="6FAA68CC"/>
    <w:rsid w:val="701D12CF"/>
    <w:rsid w:val="701E7C08"/>
    <w:rsid w:val="705F71BF"/>
    <w:rsid w:val="708F3903"/>
    <w:rsid w:val="70C61DF0"/>
    <w:rsid w:val="70D9342B"/>
    <w:rsid w:val="70E8645E"/>
    <w:rsid w:val="711321BC"/>
    <w:rsid w:val="712E5E16"/>
    <w:rsid w:val="71331E53"/>
    <w:rsid w:val="71573B9F"/>
    <w:rsid w:val="71806376"/>
    <w:rsid w:val="719A5E92"/>
    <w:rsid w:val="719F00FB"/>
    <w:rsid w:val="71A1081A"/>
    <w:rsid w:val="71C832D5"/>
    <w:rsid w:val="72121D7C"/>
    <w:rsid w:val="72226908"/>
    <w:rsid w:val="724C5252"/>
    <w:rsid w:val="72562570"/>
    <w:rsid w:val="726F6344"/>
    <w:rsid w:val="728A2691"/>
    <w:rsid w:val="72A51661"/>
    <w:rsid w:val="72B352CD"/>
    <w:rsid w:val="736443A1"/>
    <w:rsid w:val="73A6630C"/>
    <w:rsid w:val="73AB59C1"/>
    <w:rsid w:val="73B2612A"/>
    <w:rsid w:val="73D01950"/>
    <w:rsid w:val="74052C97"/>
    <w:rsid w:val="7406374F"/>
    <w:rsid w:val="74F45108"/>
    <w:rsid w:val="75081CB4"/>
    <w:rsid w:val="751C3DA7"/>
    <w:rsid w:val="75210917"/>
    <w:rsid w:val="75395D82"/>
    <w:rsid w:val="754824FF"/>
    <w:rsid w:val="75535AB5"/>
    <w:rsid w:val="75683CD2"/>
    <w:rsid w:val="75BA38C1"/>
    <w:rsid w:val="75BB5396"/>
    <w:rsid w:val="75EB641E"/>
    <w:rsid w:val="76057031"/>
    <w:rsid w:val="761E390B"/>
    <w:rsid w:val="7624775D"/>
    <w:rsid w:val="762B4319"/>
    <w:rsid w:val="762D25F0"/>
    <w:rsid w:val="764E54A2"/>
    <w:rsid w:val="767F437E"/>
    <w:rsid w:val="76BF0E5C"/>
    <w:rsid w:val="76E068BE"/>
    <w:rsid w:val="76FE59D9"/>
    <w:rsid w:val="77067C49"/>
    <w:rsid w:val="77195203"/>
    <w:rsid w:val="771D1364"/>
    <w:rsid w:val="7724396F"/>
    <w:rsid w:val="772B1EBA"/>
    <w:rsid w:val="77375538"/>
    <w:rsid w:val="77686F1B"/>
    <w:rsid w:val="777D03A5"/>
    <w:rsid w:val="778C3111"/>
    <w:rsid w:val="77902907"/>
    <w:rsid w:val="7798242E"/>
    <w:rsid w:val="77C40974"/>
    <w:rsid w:val="78114613"/>
    <w:rsid w:val="78151675"/>
    <w:rsid w:val="781C3E8F"/>
    <w:rsid w:val="784D106E"/>
    <w:rsid w:val="785602F1"/>
    <w:rsid w:val="78871387"/>
    <w:rsid w:val="788B2A45"/>
    <w:rsid w:val="789313C7"/>
    <w:rsid w:val="78B310F1"/>
    <w:rsid w:val="78D36201"/>
    <w:rsid w:val="78E24281"/>
    <w:rsid w:val="79074AB5"/>
    <w:rsid w:val="790D2B21"/>
    <w:rsid w:val="7918142C"/>
    <w:rsid w:val="791C7835"/>
    <w:rsid w:val="792E4B0A"/>
    <w:rsid w:val="793B1B85"/>
    <w:rsid w:val="79714F0C"/>
    <w:rsid w:val="79743D21"/>
    <w:rsid w:val="798925CC"/>
    <w:rsid w:val="798B18F2"/>
    <w:rsid w:val="7994614D"/>
    <w:rsid w:val="79997AC2"/>
    <w:rsid w:val="79C36B41"/>
    <w:rsid w:val="79CF5B4B"/>
    <w:rsid w:val="79F939AB"/>
    <w:rsid w:val="7A013016"/>
    <w:rsid w:val="7A0F1A8E"/>
    <w:rsid w:val="7A372D9C"/>
    <w:rsid w:val="7A6423E0"/>
    <w:rsid w:val="7A927D22"/>
    <w:rsid w:val="7A9B3A11"/>
    <w:rsid w:val="7A9F566D"/>
    <w:rsid w:val="7AA75778"/>
    <w:rsid w:val="7AAF10AD"/>
    <w:rsid w:val="7AE40E52"/>
    <w:rsid w:val="7B3D282F"/>
    <w:rsid w:val="7B6D60C5"/>
    <w:rsid w:val="7B853268"/>
    <w:rsid w:val="7B8A579D"/>
    <w:rsid w:val="7B9A10BA"/>
    <w:rsid w:val="7BBC33D9"/>
    <w:rsid w:val="7BBF7CFF"/>
    <w:rsid w:val="7BEE727C"/>
    <w:rsid w:val="7BF67383"/>
    <w:rsid w:val="7C012117"/>
    <w:rsid w:val="7C180F26"/>
    <w:rsid w:val="7C635AEE"/>
    <w:rsid w:val="7C7541BA"/>
    <w:rsid w:val="7C8C0FE1"/>
    <w:rsid w:val="7CDF64B4"/>
    <w:rsid w:val="7CE20F6D"/>
    <w:rsid w:val="7CE4046F"/>
    <w:rsid w:val="7D332376"/>
    <w:rsid w:val="7D3954DE"/>
    <w:rsid w:val="7D4D4C67"/>
    <w:rsid w:val="7D7C6016"/>
    <w:rsid w:val="7D965C61"/>
    <w:rsid w:val="7DD32800"/>
    <w:rsid w:val="7E097784"/>
    <w:rsid w:val="7E171402"/>
    <w:rsid w:val="7E6330AF"/>
    <w:rsid w:val="7E6A026C"/>
    <w:rsid w:val="7E6B0287"/>
    <w:rsid w:val="7E7538B7"/>
    <w:rsid w:val="7E971905"/>
    <w:rsid w:val="7EA85A3A"/>
    <w:rsid w:val="7EB3766C"/>
    <w:rsid w:val="7EC20AE4"/>
    <w:rsid w:val="7EF46511"/>
    <w:rsid w:val="7F054C3B"/>
    <w:rsid w:val="7F304634"/>
    <w:rsid w:val="7F460177"/>
    <w:rsid w:val="7F5C155D"/>
    <w:rsid w:val="7F5F2928"/>
    <w:rsid w:val="7F7023B0"/>
    <w:rsid w:val="7F785D4D"/>
    <w:rsid w:val="7F7B070E"/>
    <w:rsid w:val="7FC503E3"/>
    <w:rsid w:val="7FEA72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3"/>
    <w:link w:val="55"/>
    <w:autoRedefine/>
    <w:qFormat/>
    <w:uiPriority w:val="0"/>
    <w:pPr>
      <w:keepNext/>
      <w:keepLines/>
      <w:spacing w:line="360" w:lineRule="auto"/>
      <w:outlineLvl w:val="0"/>
    </w:pPr>
    <w:rPr>
      <w:b/>
      <w:bCs/>
      <w:kern w:val="44"/>
      <w:sz w:val="32"/>
      <w:szCs w:val="44"/>
    </w:rPr>
  </w:style>
  <w:style w:type="paragraph" w:styleId="3">
    <w:name w:val="heading 2"/>
    <w:basedOn w:val="1"/>
    <w:next w:val="1"/>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autoRedefine/>
    <w:qFormat/>
    <w:uiPriority w:val="0"/>
    <w:pPr>
      <w:keepNext/>
      <w:keepLines/>
      <w:spacing w:before="260" w:after="260" w:line="416" w:lineRule="auto"/>
      <w:outlineLvl w:val="2"/>
    </w:pPr>
    <w:rPr>
      <w:b/>
      <w:bCs/>
      <w:sz w:val="32"/>
      <w:szCs w:val="32"/>
    </w:rPr>
  </w:style>
  <w:style w:type="paragraph" w:styleId="5">
    <w:name w:val="heading 4"/>
    <w:basedOn w:val="1"/>
    <w:next w:val="1"/>
    <w:autoRedefine/>
    <w:unhideWhenUsed/>
    <w:qFormat/>
    <w:uiPriority w:val="0"/>
    <w:pPr>
      <w:keepNext/>
      <w:keepLines/>
      <w:spacing w:line="360" w:lineRule="auto"/>
      <w:outlineLvl w:val="3"/>
    </w:pPr>
    <w:rPr>
      <w:rFonts w:ascii="Arial" w:hAnsi="Arial"/>
      <w:b/>
      <w:bCs/>
      <w:szCs w:val="28"/>
    </w:rPr>
  </w:style>
  <w:style w:type="character" w:default="1" w:styleId="29">
    <w:name w:val="Default Paragraph Font"/>
    <w:autoRedefine/>
    <w:semiHidden/>
    <w:unhideWhenUsed/>
    <w:qFormat/>
    <w:uiPriority w:val="1"/>
  </w:style>
  <w:style w:type="table" w:default="1" w:styleId="27">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99"/>
    <w:pPr>
      <w:ind w:firstLine="420" w:firstLineChars="200"/>
    </w:pPr>
    <w:rPr>
      <w:szCs w:val="20"/>
    </w:rPr>
  </w:style>
  <w:style w:type="paragraph" w:styleId="7">
    <w:name w:val="annotation text"/>
    <w:basedOn w:val="1"/>
    <w:autoRedefine/>
    <w:qFormat/>
    <w:uiPriority w:val="0"/>
    <w:pPr>
      <w:jc w:val="left"/>
    </w:pPr>
    <w:rPr>
      <w:rFonts w:ascii="Calibri" w:hAnsi="Calibri"/>
      <w:kern w:val="0"/>
      <w:sz w:val="22"/>
      <w:szCs w:val="22"/>
    </w:rPr>
  </w:style>
  <w:style w:type="paragraph" w:styleId="8">
    <w:name w:val="Body Text"/>
    <w:basedOn w:val="1"/>
    <w:next w:val="1"/>
    <w:autoRedefine/>
    <w:qFormat/>
    <w:uiPriority w:val="0"/>
    <w:pPr>
      <w:spacing w:after="120"/>
    </w:pPr>
  </w:style>
  <w:style w:type="paragraph" w:styleId="9">
    <w:name w:val="Body Text Indent"/>
    <w:basedOn w:val="1"/>
    <w:autoRedefine/>
    <w:qFormat/>
    <w:uiPriority w:val="0"/>
    <w:pPr>
      <w:spacing w:after="120"/>
      <w:ind w:left="420" w:leftChars="200"/>
      <w:jc w:val="left"/>
    </w:pPr>
    <w:rPr>
      <w:rFonts w:ascii="Calibri" w:hAnsi="Calibri" w:eastAsia="Times New Roman"/>
      <w:kern w:val="0"/>
      <w:sz w:val="22"/>
      <w:szCs w:val="20"/>
    </w:rPr>
  </w:style>
  <w:style w:type="paragraph" w:styleId="10">
    <w:name w:val="List 2"/>
    <w:basedOn w:val="1"/>
    <w:autoRedefine/>
    <w:qFormat/>
    <w:uiPriority w:val="0"/>
    <w:pPr>
      <w:ind w:left="100" w:leftChars="200" w:hanging="200" w:hangingChars="200"/>
    </w:pPr>
  </w:style>
  <w:style w:type="paragraph" w:styleId="11">
    <w:name w:val="toc 3"/>
    <w:basedOn w:val="1"/>
    <w:next w:val="1"/>
    <w:autoRedefine/>
    <w:qFormat/>
    <w:uiPriority w:val="0"/>
    <w:pPr>
      <w:ind w:left="840" w:leftChars="400"/>
    </w:pPr>
  </w:style>
  <w:style w:type="paragraph" w:styleId="12">
    <w:name w:val="Plain Text"/>
    <w:basedOn w:val="1"/>
    <w:autoRedefine/>
    <w:qFormat/>
    <w:uiPriority w:val="0"/>
    <w:rPr>
      <w:rFonts w:ascii="宋体" w:hAnsi="Courier New" w:cs="Courier New"/>
      <w:szCs w:val="21"/>
    </w:rPr>
  </w:style>
  <w:style w:type="paragraph" w:styleId="13">
    <w:name w:val="Date"/>
    <w:basedOn w:val="1"/>
    <w:next w:val="1"/>
    <w:qFormat/>
    <w:uiPriority w:val="0"/>
    <w:pPr>
      <w:ind w:left="100" w:leftChars="2500"/>
    </w:pPr>
  </w:style>
  <w:style w:type="paragraph" w:styleId="14">
    <w:name w:val="Balloon Text"/>
    <w:basedOn w:val="1"/>
    <w:link w:val="52"/>
    <w:autoRedefine/>
    <w:qFormat/>
    <w:uiPriority w:val="0"/>
    <w:rPr>
      <w:sz w:val="18"/>
      <w:szCs w:val="18"/>
    </w:rPr>
  </w:style>
  <w:style w:type="paragraph" w:styleId="15">
    <w:name w:val="footer"/>
    <w:basedOn w:val="1"/>
    <w:autoRedefine/>
    <w:qFormat/>
    <w:uiPriority w:val="0"/>
    <w:pPr>
      <w:tabs>
        <w:tab w:val="center" w:pos="4153"/>
        <w:tab w:val="right" w:pos="8306"/>
      </w:tabs>
      <w:snapToGrid w:val="0"/>
      <w:jc w:val="left"/>
    </w:pPr>
    <w:rPr>
      <w:sz w:val="18"/>
      <w:szCs w:val="18"/>
    </w:rPr>
  </w:style>
  <w:style w:type="paragraph" w:styleId="16">
    <w:name w:val="envelope return"/>
    <w:basedOn w:val="1"/>
    <w:autoRedefine/>
    <w:qFormat/>
    <w:uiPriority w:val="0"/>
    <w:pPr>
      <w:snapToGrid w:val="0"/>
    </w:pPr>
    <w:rPr>
      <w:rFonts w:ascii="Arial" w:hAnsi="Arial"/>
    </w:rPr>
  </w:style>
  <w:style w:type="paragraph" w:styleId="17">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autoRedefine/>
    <w:qFormat/>
    <w:uiPriority w:val="39"/>
  </w:style>
  <w:style w:type="paragraph" w:styleId="19">
    <w:name w:val="toc 2"/>
    <w:basedOn w:val="1"/>
    <w:next w:val="1"/>
    <w:autoRedefine/>
    <w:qFormat/>
    <w:uiPriority w:val="39"/>
    <w:pPr>
      <w:tabs>
        <w:tab w:val="left" w:pos="840"/>
        <w:tab w:val="right" w:leader="dot" w:pos="9061"/>
      </w:tabs>
      <w:ind w:left="420" w:leftChars="200"/>
    </w:pPr>
  </w:style>
  <w:style w:type="paragraph" w:styleId="20">
    <w:name w:val="Body Text 2"/>
    <w:basedOn w:val="1"/>
    <w:autoRedefine/>
    <w:qFormat/>
    <w:uiPriority w:val="0"/>
    <w:pPr>
      <w:spacing w:after="120" w:line="480" w:lineRule="auto"/>
    </w:pPr>
  </w:style>
  <w:style w:type="paragraph" w:styleId="21">
    <w:name w:val="Message Header"/>
    <w:basedOn w:val="1"/>
    <w:autoRedefine/>
    <w:qFormat/>
    <w:uiPriority w:val="0"/>
    <w:pPr>
      <w:pBdr>
        <w:top w:val="single" w:color="auto" w:sz="6" w:space="1"/>
        <w:left w:val="single" w:color="auto" w:sz="6" w:space="1"/>
        <w:bottom w:val="single" w:color="auto" w:sz="6" w:space="1"/>
        <w:right w:val="single" w:color="auto" w:sz="6" w:space="1"/>
      </w:pBdr>
      <w:shd w:val="pct20" w:color="auto" w:fill="auto"/>
      <w:ind w:left="1000" w:leftChars="500" w:hanging="500" w:hangingChars="500"/>
    </w:pPr>
    <w:rPr>
      <w:rFonts w:ascii="Cambria" w:hAnsi="Cambria"/>
    </w:rPr>
  </w:style>
  <w:style w:type="paragraph" w:styleId="22">
    <w:name w:val="Normal (Web)"/>
    <w:basedOn w:val="1"/>
    <w:autoRedefine/>
    <w:qFormat/>
    <w:uiPriority w:val="0"/>
    <w:pPr>
      <w:widowControl/>
      <w:spacing w:before="100" w:beforeAutospacing="1" w:after="100" w:afterAutospacing="1" w:line="320" w:lineRule="atLeast"/>
      <w:jc w:val="left"/>
    </w:pPr>
    <w:rPr>
      <w:rFonts w:ascii="宋体" w:hAnsi="宋体"/>
      <w:kern w:val="0"/>
      <w:sz w:val="18"/>
      <w:szCs w:val="18"/>
    </w:rPr>
  </w:style>
  <w:style w:type="paragraph" w:styleId="23">
    <w:name w:val="Title"/>
    <w:basedOn w:val="1"/>
    <w:next w:val="1"/>
    <w:autoRedefine/>
    <w:qFormat/>
    <w:uiPriority w:val="0"/>
    <w:pPr>
      <w:spacing w:before="240" w:after="60"/>
      <w:jc w:val="center"/>
      <w:outlineLvl w:val="0"/>
    </w:pPr>
    <w:rPr>
      <w:rFonts w:ascii="Cambria" w:hAnsi="Cambria" w:eastAsia="Times New Roman"/>
      <w:b/>
      <w:kern w:val="0"/>
      <w:sz w:val="32"/>
      <w:szCs w:val="32"/>
    </w:rPr>
  </w:style>
  <w:style w:type="paragraph" w:styleId="24">
    <w:name w:val="Body Text First Indent"/>
    <w:basedOn w:val="8"/>
    <w:next w:val="25"/>
    <w:autoRedefine/>
    <w:qFormat/>
    <w:uiPriority w:val="0"/>
    <w:pPr>
      <w:ind w:firstLine="420" w:firstLineChars="100"/>
    </w:pPr>
    <w:rPr>
      <w:rFonts w:eastAsia="楷体_GB2312"/>
    </w:rPr>
  </w:style>
  <w:style w:type="paragraph" w:styleId="25">
    <w:name w:val="Body Text First Indent 2"/>
    <w:basedOn w:val="9"/>
    <w:next w:val="26"/>
    <w:autoRedefine/>
    <w:unhideWhenUsed/>
    <w:qFormat/>
    <w:uiPriority w:val="99"/>
    <w:pPr>
      <w:ind w:firstLine="420" w:firstLineChars="200"/>
    </w:pPr>
  </w:style>
  <w:style w:type="paragraph" w:customStyle="1" w:styleId="26">
    <w:name w:val="样式 正文首行缩进 2 + Arial"/>
    <w:basedOn w:val="1"/>
    <w:next w:val="1"/>
    <w:qFormat/>
    <w:uiPriority w:val="0"/>
    <w:pPr>
      <w:spacing w:after="120" w:line="320" w:lineRule="atLeast"/>
      <w:ind w:firstLine="200" w:firstLineChars="200"/>
    </w:pPr>
    <w:rPr>
      <w:rFonts w:ascii="Arial" w:hAnsi="Arial"/>
      <w:kern w:val="0"/>
    </w:rPr>
  </w:style>
  <w:style w:type="table" w:styleId="28">
    <w:name w:val="Table Grid"/>
    <w:basedOn w:val="27"/>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page number"/>
    <w:basedOn w:val="29"/>
    <w:autoRedefine/>
    <w:qFormat/>
    <w:uiPriority w:val="0"/>
  </w:style>
  <w:style w:type="character" w:styleId="31">
    <w:name w:val="FollowedHyperlink"/>
    <w:basedOn w:val="29"/>
    <w:autoRedefine/>
    <w:qFormat/>
    <w:uiPriority w:val="0"/>
    <w:rPr>
      <w:color w:val="333333"/>
      <w:u w:val="none"/>
    </w:rPr>
  </w:style>
  <w:style w:type="character" w:styleId="32">
    <w:name w:val="Emphasis"/>
    <w:basedOn w:val="29"/>
    <w:autoRedefine/>
    <w:qFormat/>
    <w:uiPriority w:val="0"/>
  </w:style>
  <w:style w:type="character" w:styleId="33">
    <w:name w:val="Hyperlink"/>
    <w:basedOn w:val="29"/>
    <w:autoRedefine/>
    <w:qFormat/>
    <w:uiPriority w:val="99"/>
    <w:rPr>
      <w:color w:val="0000FF"/>
      <w:u w:val="single"/>
    </w:rPr>
  </w:style>
  <w:style w:type="paragraph" w:customStyle="1" w:styleId="34">
    <w:name w:val="Default"/>
    <w:basedOn w:val="12"/>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5">
    <w:name w:val="大标题"/>
    <w:basedOn w:val="1"/>
    <w:next w:val="25"/>
    <w:autoRedefine/>
    <w:qFormat/>
    <w:uiPriority w:val="0"/>
    <w:pPr>
      <w:jc w:val="center"/>
    </w:pPr>
    <w:rPr>
      <w:rFonts w:ascii="Arial" w:hAnsi="Arial"/>
      <w:b/>
      <w:sz w:val="28"/>
    </w:rPr>
  </w:style>
  <w:style w:type="paragraph" w:customStyle="1" w:styleId="36">
    <w:name w:val="正文（缩进）"/>
    <w:basedOn w:val="1"/>
    <w:autoRedefine/>
    <w:qFormat/>
    <w:uiPriority w:val="0"/>
    <w:pPr>
      <w:ind w:firstLine="480" w:firstLineChars="200"/>
    </w:pPr>
  </w:style>
  <w:style w:type="character" w:customStyle="1" w:styleId="37">
    <w:name w:val="CharAttribute17"/>
    <w:autoRedefine/>
    <w:qFormat/>
    <w:uiPriority w:val="99"/>
    <w:rPr>
      <w:rFonts w:ascii="¨¦?????" w:hAnsi="¨¦?????" w:cs="¨¦?????"/>
      <w:b/>
      <w:bCs/>
      <w:sz w:val="31"/>
      <w:szCs w:val="31"/>
    </w:rPr>
  </w:style>
  <w:style w:type="character" w:customStyle="1" w:styleId="38">
    <w:name w:val="CharAttribute11"/>
    <w:autoRedefine/>
    <w:qFormat/>
    <w:uiPriority w:val="0"/>
    <w:rPr>
      <w:rFonts w:ascii="??????" w:hAnsi="??????" w:cs="??????"/>
      <w:sz w:val="21"/>
      <w:szCs w:val="21"/>
    </w:rPr>
  </w:style>
  <w:style w:type="paragraph" w:customStyle="1" w:styleId="39">
    <w:name w:val="ParaAttribute12"/>
    <w:autoRedefine/>
    <w:qFormat/>
    <w:uiPriority w:val="99"/>
    <w:pPr>
      <w:widowControl w:val="0"/>
      <w:wordWrap w:val="0"/>
      <w:spacing w:line="240" w:lineRule="exact"/>
    </w:pPr>
    <w:rPr>
      <w:rFonts w:ascii="Times New Roman" w:hAnsi="Times New Roman" w:eastAsia="宋体" w:cs="Times New Roman"/>
      <w:sz w:val="21"/>
      <w:szCs w:val="22"/>
      <w:lang w:val="en-US" w:eastAsia="zh-CN" w:bidi="ar-SA"/>
    </w:rPr>
  </w:style>
  <w:style w:type="character" w:customStyle="1" w:styleId="40">
    <w:name w:val="CharAttribute13"/>
    <w:autoRedefine/>
    <w:qFormat/>
    <w:uiPriority w:val="0"/>
    <w:rPr>
      <w:rFonts w:ascii="Times New" w:hAnsi="Times New" w:cs="Times New"/>
      <w:sz w:val="21"/>
      <w:szCs w:val="21"/>
    </w:rPr>
  </w:style>
  <w:style w:type="paragraph" w:customStyle="1" w:styleId="41">
    <w:name w:val="样式 标题 3 + (中文) 黑体 小四 非加粗 段前: 7.8 磅 段后: 0 磅 行距: 固定值 20 磅"/>
    <w:basedOn w:val="4"/>
    <w:autoRedefine/>
    <w:qFormat/>
    <w:uiPriority w:val="0"/>
    <w:pPr>
      <w:spacing w:before="0" w:after="0" w:line="400" w:lineRule="exact"/>
    </w:pPr>
    <w:rPr>
      <w:rFonts w:eastAsia="黑体"/>
      <w:sz w:val="24"/>
      <w:szCs w:val="20"/>
    </w:rPr>
  </w:style>
  <w:style w:type="character" w:customStyle="1" w:styleId="42">
    <w:name w:val="apple-converted-space"/>
    <w:basedOn w:val="29"/>
    <w:autoRedefine/>
    <w:qFormat/>
    <w:uiPriority w:val="0"/>
  </w:style>
  <w:style w:type="paragraph" w:customStyle="1" w:styleId="43">
    <w:name w:val="style11"/>
    <w:basedOn w:val="1"/>
    <w:autoRedefine/>
    <w:qFormat/>
    <w:uiPriority w:val="0"/>
    <w:pPr>
      <w:widowControl/>
      <w:spacing w:before="100" w:beforeAutospacing="1" w:after="100" w:afterAutospacing="1"/>
      <w:jc w:val="left"/>
    </w:pPr>
    <w:rPr>
      <w:rFonts w:hint="eastAsia" w:ascii="宋体" w:hAnsi="宋体"/>
      <w:kern w:val="0"/>
      <w:sz w:val="24"/>
      <w:szCs w:val="22"/>
    </w:rPr>
  </w:style>
  <w:style w:type="paragraph" w:customStyle="1" w:styleId="44">
    <w:name w:val="无间隔1"/>
    <w:basedOn w:val="1"/>
    <w:autoRedefine/>
    <w:qFormat/>
    <w:uiPriority w:val="0"/>
    <w:pPr>
      <w:widowControl/>
      <w:adjustRightInd w:val="0"/>
      <w:snapToGrid w:val="0"/>
      <w:jc w:val="left"/>
    </w:pPr>
    <w:rPr>
      <w:rFonts w:ascii="Tahoma" w:hAnsi="Tahoma" w:eastAsia="微软雅黑"/>
      <w:kern w:val="0"/>
      <w:sz w:val="22"/>
      <w:szCs w:val="22"/>
    </w:rPr>
  </w:style>
  <w:style w:type="paragraph" w:customStyle="1" w:styleId="45">
    <w:name w:val="样式 标题 2 + Times New Roman 四号 非加粗 段前: 5 磅 段后: 0 磅 行距: 固定值 20..."/>
    <w:basedOn w:val="3"/>
    <w:autoRedefine/>
    <w:qFormat/>
    <w:uiPriority w:val="0"/>
    <w:pPr>
      <w:keepNext w:val="0"/>
      <w:keepLines w:val="0"/>
      <w:spacing w:before="100" w:after="0" w:line="400" w:lineRule="exact"/>
      <w:jc w:val="left"/>
    </w:pPr>
    <w:rPr>
      <w:rFonts w:ascii="Times New Roman" w:hAnsi="Times New Roman"/>
      <w:kern w:val="0"/>
      <w:sz w:val="28"/>
      <w:szCs w:val="44"/>
    </w:rPr>
  </w:style>
  <w:style w:type="character" w:customStyle="1" w:styleId="46">
    <w:name w:val="font41"/>
    <w:basedOn w:val="29"/>
    <w:autoRedefine/>
    <w:qFormat/>
    <w:uiPriority w:val="0"/>
    <w:rPr>
      <w:rFonts w:hint="eastAsia" w:ascii="宋体" w:hAnsi="宋体" w:eastAsia="宋体" w:cs="宋体"/>
      <w:color w:val="000000"/>
      <w:sz w:val="24"/>
      <w:szCs w:val="24"/>
      <w:u w:val="none"/>
    </w:rPr>
  </w:style>
  <w:style w:type="character" w:customStyle="1" w:styleId="47">
    <w:name w:val="font11"/>
    <w:basedOn w:val="29"/>
    <w:autoRedefine/>
    <w:qFormat/>
    <w:uiPriority w:val="0"/>
    <w:rPr>
      <w:rFonts w:ascii="宋体" w:hAnsi="宋体" w:eastAsia="宋体" w:cs="宋体"/>
      <w:color w:val="000000"/>
      <w:sz w:val="24"/>
      <w:szCs w:val="24"/>
      <w:u w:val="none"/>
    </w:rPr>
  </w:style>
  <w:style w:type="paragraph" w:customStyle="1" w:styleId="48">
    <w:name w:val="ParaAttribute109"/>
    <w:autoRedefine/>
    <w:qFormat/>
    <w:uiPriority w:val="99"/>
    <w:pPr>
      <w:widowControl w:val="0"/>
      <w:wordWrap w:val="0"/>
      <w:spacing w:line="163" w:lineRule="exact"/>
    </w:pPr>
    <w:rPr>
      <w:rFonts w:ascii="Times New Roman" w:hAnsi="Times New Roman" w:eastAsia="宋体" w:cs="Times New Roman"/>
      <w:sz w:val="21"/>
      <w:szCs w:val="22"/>
      <w:lang w:val="en-US" w:eastAsia="zh-CN" w:bidi="ar-SA"/>
    </w:rPr>
  </w:style>
  <w:style w:type="paragraph" w:customStyle="1" w:styleId="49">
    <w:name w:val="List Paragraph1"/>
    <w:basedOn w:val="1"/>
    <w:autoRedefine/>
    <w:qFormat/>
    <w:uiPriority w:val="0"/>
    <w:pPr>
      <w:ind w:firstLine="420" w:firstLineChars="200"/>
    </w:pPr>
    <w:rPr>
      <w:rFonts w:ascii="Calibri" w:hAnsi="Calibri"/>
    </w:rPr>
  </w:style>
  <w:style w:type="paragraph" w:customStyle="1" w:styleId="50">
    <w:name w:val="文档正文"/>
    <w:basedOn w:val="1"/>
    <w:autoRedefine/>
    <w:qFormat/>
    <w:uiPriority w:val="0"/>
    <w:pPr>
      <w:adjustRightInd w:val="0"/>
      <w:spacing w:line="480" w:lineRule="atLeast"/>
      <w:ind w:firstLine="567"/>
      <w:textAlignment w:val="baseline"/>
    </w:pPr>
    <w:rPr>
      <w:rFonts w:ascii="Ari" w:eastAsia="Ari"/>
      <w:kern w:val="0"/>
      <w:sz w:val="28"/>
      <w:szCs w:val="20"/>
    </w:rPr>
  </w:style>
  <w:style w:type="paragraph" w:styleId="51">
    <w:name w:val="List Paragraph"/>
    <w:basedOn w:val="1"/>
    <w:link w:val="56"/>
    <w:autoRedefine/>
    <w:qFormat/>
    <w:uiPriority w:val="34"/>
    <w:pPr>
      <w:ind w:firstLine="420"/>
    </w:pPr>
  </w:style>
  <w:style w:type="character" w:customStyle="1" w:styleId="52">
    <w:name w:val="批注框文本 Char"/>
    <w:basedOn w:val="29"/>
    <w:link w:val="14"/>
    <w:autoRedefine/>
    <w:qFormat/>
    <w:uiPriority w:val="0"/>
    <w:rPr>
      <w:rFonts w:ascii="Times New Roman" w:hAnsi="Times New Roman"/>
      <w:kern w:val="2"/>
      <w:sz w:val="18"/>
      <w:szCs w:val="18"/>
    </w:rPr>
  </w:style>
  <w:style w:type="paragraph" w:customStyle="1" w:styleId="53">
    <w:name w:val="Body Text First Indent1"/>
    <w:basedOn w:val="8"/>
    <w:autoRedefine/>
    <w:qFormat/>
    <w:uiPriority w:val="99"/>
    <w:pPr>
      <w:ind w:firstLine="420"/>
    </w:pPr>
    <w:rPr>
      <w:rFonts w:ascii="Calibri" w:hAnsi="Calibri"/>
      <w:sz w:val="32"/>
    </w:rPr>
  </w:style>
  <w:style w:type="paragraph" w:customStyle="1" w:styleId="54">
    <w:name w:val="shsj2em"/>
    <w:basedOn w:val="1"/>
    <w:autoRedefine/>
    <w:qFormat/>
    <w:uiPriority w:val="0"/>
    <w:pPr>
      <w:widowControl/>
      <w:jc w:val="left"/>
    </w:pPr>
    <w:rPr>
      <w:rFonts w:ascii="宋体" w:hAnsi="宋体" w:cs="宋体"/>
      <w:kern w:val="0"/>
      <w:sz w:val="24"/>
    </w:rPr>
  </w:style>
  <w:style w:type="character" w:customStyle="1" w:styleId="55">
    <w:name w:val="标题 1 Char"/>
    <w:basedOn w:val="29"/>
    <w:link w:val="2"/>
    <w:autoRedefine/>
    <w:qFormat/>
    <w:uiPriority w:val="0"/>
    <w:rPr>
      <w:rFonts w:ascii="Times New Roman" w:hAnsi="Times New Roman"/>
      <w:b/>
      <w:bCs/>
      <w:kern w:val="44"/>
      <w:sz w:val="32"/>
      <w:szCs w:val="44"/>
    </w:rPr>
  </w:style>
  <w:style w:type="character" w:customStyle="1" w:styleId="56">
    <w:name w:val="列出段落 Char"/>
    <w:link w:val="51"/>
    <w:autoRedefine/>
    <w:qFormat/>
    <w:uiPriority w:val="34"/>
    <w:rPr>
      <w:rFonts w:ascii="Times New Roman" w:hAnsi="Times New Roman"/>
      <w:kern w:val="2"/>
      <w:sz w:val="21"/>
      <w:szCs w:val="24"/>
    </w:rPr>
  </w:style>
  <w:style w:type="paragraph" w:customStyle="1" w:styleId="57">
    <w:name w:val="列出段落1"/>
    <w:basedOn w:val="1"/>
    <w:next w:val="1"/>
    <w:autoRedefine/>
    <w:qFormat/>
    <w:uiPriority w:val="0"/>
    <w:pPr>
      <w:ind w:firstLine="420" w:firstLineChars="200"/>
    </w:pPr>
    <w:rPr>
      <w:rFonts w:ascii="Calibri" w:hAnsi="Calibri"/>
      <w:szCs w:val="22"/>
    </w:rPr>
  </w:style>
  <w:style w:type="table" w:customStyle="1" w:styleId="58">
    <w:name w:val="网格型1"/>
    <w:basedOn w:val="27"/>
    <w:autoRedefine/>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9">
    <w:name w:val="font01"/>
    <w:basedOn w:val="29"/>
    <w:autoRedefine/>
    <w:qFormat/>
    <w:uiPriority w:val="0"/>
    <w:rPr>
      <w:rFonts w:hint="eastAsia" w:ascii="宋体" w:hAnsi="宋体" w:eastAsia="宋体" w:cs="宋体"/>
      <w:color w:val="000000"/>
      <w:sz w:val="20"/>
      <w:szCs w:val="20"/>
      <w:u w:val="none"/>
    </w:rPr>
  </w:style>
  <w:style w:type="character" w:customStyle="1" w:styleId="60">
    <w:name w:val="right"/>
    <w:basedOn w:val="29"/>
    <w:autoRedefine/>
    <w:qFormat/>
    <w:uiPriority w:val="0"/>
    <w:rPr>
      <w:color w:val="999999"/>
      <w:sz w:val="18"/>
      <w:szCs w:val="18"/>
    </w:rPr>
  </w:style>
  <w:style w:type="character" w:customStyle="1" w:styleId="61">
    <w:name w:val="right1"/>
    <w:basedOn w:val="29"/>
    <w:autoRedefine/>
    <w:qFormat/>
    <w:uiPriority w:val="0"/>
    <w:rPr>
      <w:color w:val="999999"/>
    </w:rPr>
  </w:style>
  <w:style w:type="character" w:customStyle="1" w:styleId="62">
    <w:name w:val="active1"/>
    <w:basedOn w:val="29"/>
    <w:autoRedefine/>
    <w:qFormat/>
    <w:uiPriority w:val="0"/>
    <w:rPr>
      <w:color w:val="FFFFFF"/>
      <w:shd w:val="clear" w:fill="2B7AFC"/>
    </w:rPr>
  </w:style>
  <w:style w:type="character" w:customStyle="1" w:styleId="63">
    <w:name w:val="hover"/>
    <w:basedOn w:val="29"/>
    <w:autoRedefine/>
    <w:qFormat/>
    <w:uiPriority w:val="0"/>
  </w:style>
  <w:style w:type="character" w:customStyle="1" w:styleId="64">
    <w:name w:val="fl"/>
    <w:basedOn w:val="29"/>
    <w:autoRedefine/>
    <w:qFormat/>
    <w:uiPriority w:val="0"/>
    <w:rPr>
      <w:color w:val="666666"/>
    </w:rPr>
  </w:style>
  <w:style w:type="character" w:customStyle="1" w:styleId="65">
    <w:name w:val="fr4"/>
    <w:basedOn w:val="29"/>
    <w:autoRedefine/>
    <w:qFormat/>
    <w:uiPriority w:val="0"/>
  </w:style>
  <w:style w:type="character" w:customStyle="1" w:styleId="66">
    <w:name w:val="gb-jt"/>
    <w:basedOn w:val="29"/>
    <w:autoRedefine/>
    <w:qFormat/>
    <w:uiPriority w:val="0"/>
  </w:style>
  <w:style w:type="character" w:customStyle="1" w:styleId="67">
    <w:name w:val="green"/>
    <w:basedOn w:val="29"/>
    <w:autoRedefine/>
    <w:qFormat/>
    <w:uiPriority w:val="0"/>
    <w:rPr>
      <w:color w:val="58B200"/>
      <w:sz w:val="21"/>
      <w:szCs w:val="21"/>
    </w:rPr>
  </w:style>
  <w:style w:type="character" w:customStyle="1" w:styleId="68">
    <w:name w:val="red2"/>
    <w:basedOn w:val="29"/>
    <w:autoRedefine/>
    <w:qFormat/>
    <w:uiPriority w:val="0"/>
    <w:rPr>
      <w:color w:val="FF0000"/>
      <w:sz w:val="21"/>
      <w:szCs w:val="21"/>
    </w:rPr>
  </w:style>
  <w:style w:type="character" w:customStyle="1" w:styleId="69">
    <w:name w:val="red3"/>
    <w:basedOn w:val="29"/>
    <w:autoRedefine/>
    <w:qFormat/>
    <w:uiPriority w:val="0"/>
    <w:rPr>
      <w:color w:val="FF0000"/>
      <w:sz w:val="24"/>
      <w:szCs w:val="24"/>
    </w:rPr>
  </w:style>
  <w:style w:type="character" w:customStyle="1" w:styleId="70">
    <w:name w:val="blue"/>
    <w:basedOn w:val="29"/>
    <w:autoRedefine/>
    <w:qFormat/>
    <w:uiPriority w:val="0"/>
    <w:rPr>
      <w:color w:val="0371C6"/>
      <w:sz w:val="21"/>
      <w:szCs w:val="21"/>
    </w:rPr>
  </w:style>
  <w:style w:type="character" w:customStyle="1" w:styleId="71">
    <w:name w:val="hover18"/>
    <w:basedOn w:val="29"/>
    <w:autoRedefine/>
    <w:qFormat/>
    <w:uiPriority w:val="0"/>
  </w:style>
  <w:style w:type="character" w:customStyle="1" w:styleId="72">
    <w:name w:val="red"/>
    <w:basedOn w:val="29"/>
    <w:autoRedefine/>
    <w:qFormat/>
    <w:uiPriority w:val="0"/>
    <w:rPr>
      <w:color w:val="FF0000"/>
      <w:sz w:val="21"/>
      <w:szCs w:val="21"/>
    </w:rPr>
  </w:style>
  <w:style w:type="character" w:customStyle="1" w:styleId="73">
    <w:name w:val="red1"/>
    <w:basedOn w:val="29"/>
    <w:autoRedefine/>
    <w:qFormat/>
    <w:uiPriority w:val="0"/>
    <w:rPr>
      <w:color w:val="FF0000"/>
      <w:sz w:val="24"/>
      <w:szCs w:val="24"/>
    </w:rPr>
  </w:style>
  <w:style w:type="character" w:customStyle="1" w:styleId="74">
    <w:name w:val="hover24"/>
    <w:basedOn w:val="29"/>
    <w:autoRedefine/>
    <w:qFormat/>
    <w:uiPriority w:val="0"/>
  </w:style>
  <w:style w:type="character" w:customStyle="1" w:styleId="75">
    <w:name w:val="fl2"/>
    <w:basedOn w:val="29"/>
    <w:autoRedefine/>
    <w:qFormat/>
    <w:uiPriority w:val="0"/>
    <w:rPr>
      <w:color w:val="666666"/>
    </w:rPr>
  </w:style>
  <w:style w:type="paragraph" w:customStyle="1" w:styleId="76">
    <w:name w:val="*正文"/>
    <w:basedOn w:val="1"/>
    <w:next w:val="1"/>
    <w:qFormat/>
    <w:uiPriority w:val="0"/>
    <w:pPr>
      <w:widowControl/>
      <w:ind w:firstLine="482"/>
    </w:pPr>
    <w:rPr>
      <w:rFonts w:ascii="微软雅黑" w:hAnsi="微软雅黑" w:eastAsia="微软雅黑" w:cs="Times New Roman"/>
      <w:szCs w:val="22"/>
    </w:rPr>
  </w:style>
  <w:style w:type="paragraph" w:customStyle="1" w:styleId="77">
    <w:name w:val="Table Paragraph"/>
    <w:basedOn w:val="1"/>
    <w:qFormat/>
    <w:uiPriority w:val="1"/>
    <w:pPr>
      <w:autoSpaceDE w:val="0"/>
      <w:autoSpaceDN w:val="0"/>
      <w:spacing w:before="2" w:line="289" w:lineRule="exact"/>
      <w:ind w:left="26"/>
      <w:jc w:val="left"/>
    </w:pPr>
    <w:rPr>
      <w:rFonts w:ascii="宋体" w:hAnsi="宋体" w:eastAsia="宋体" w:cs="宋体"/>
      <w:kern w:val="0"/>
      <w:sz w:val="22"/>
    </w:rPr>
  </w:style>
  <w:style w:type="character" w:customStyle="1" w:styleId="78">
    <w:name w:val="font21"/>
    <w:basedOn w:val="29"/>
    <w:qFormat/>
    <w:uiPriority w:val="0"/>
    <w:rPr>
      <w:rFonts w:hint="eastAsia" w:ascii="宋体" w:hAnsi="宋体" w:eastAsia="宋体" w:cs="宋体"/>
      <w:color w:val="000000"/>
      <w:sz w:val="24"/>
      <w:szCs w:val="24"/>
      <w:u w:val="none"/>
    </w:rPr>
  </w:style>
  <w:style w:type="character" w:customStyle="1" w:styleId="79">
    <w:name w:val="active3"/>
    <w:basedOn w:val="29"/>
    <w:qFormat/>
    <w:uiPriority w:val="0"/>
    <w:rPr>
      <w:color w:val="FFFFFF"/>
      <w:shd w:val="clear" w:fill="2B7AFC"/>
    </w:rPr>
  </w:style>
  <w:style w:type="character" w:customStyle="1" w:styleId="80">
    <w:name w:val="fontstyle11"/>
    <w:qFormat/>
    <w:uiPriority w:val="0"/>
    <w:rPr>
      <w:rFonts w:ascii="宋体" w:hAnsi="宋体" w:eastAsia="宋体" w:cs="宋体"/>
      <w:color w:val="00000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Pages>50</Pages>
  <Words>13119</Words>
  <Characters>14545</Characters>
  <Lines>196</Lines>
  <Paragraphs>55</Paragraphs>
  <TotalTime>27</TotalTime>
  <ScaleCrop>false</ScaleCrop>
  <LinksUpToDate>false</LinksUpToDate>
  <CharactersWithSpaces>14728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2021-11-15T03:13:00Z</dcterms:created>
  <dc:creator>你笑得就像海市蜃楼。</dc:creator>
  <cp:lastModifiedBy>河南良智行工程管理咨询有限公司:李桀</cp:lastModifiedBy>
  <cp:lastPrinted>2020-09-02T01:42:00Z</cp:lastPrinted>
  <dcterms:modified xsi:type="dcterms:W3CDTF">2026-08-03T03:39:29Z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0E6E066CBAEB4B3281AF58084D04437A_13</vt:lpwstr>
  </property>
  <property fmtid="{D5CDD505-2E9C-101B-9397-08002B2CF9AE}" pid="4" name="KSOTemplateDocerSaveRecord">
    <vt:lpwstr>eyJoZGlkIjoiNGMwYzJmNWI5NWFhZDliMzAwNjkzZTEzZWQ4YzA0NzEiLCJ1c2VySWQiOiI1MDk3NzMxMTIifQ==</vt:lpwstr>
  </property>
</Properties>
</file>